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0F0F5B" w:rsidRDefault="00FC6D88" w:rsidP="00E2168B">
      <w:pPr>
        <w:spacing w:before="280" w:after="240"/>
        <w:rPr>
          <w:b/>
          <w:sz w:val="32"/>
          <w:szCs w:val="32"/>
        </w:rPr>
      </w:pPr>
      <w:r w:rsidRPr="000F0F5B">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0F0F5B" w:rsidRDefault="00955175" w:rsidP="00955175">
      <w:pPr>
        <w:pStyle w:val="LI-Title"/>
        <w:pBdr>
          <w:top w:val="none" w:sz="0" w:space="0" w:color="auto"/>
        </w:pBdr>
        <w:jc w:val="center"/>
      </w:pPr>
    </w:p>
    <w:p w14:paraId="5B8D4084" w14:textId="77777777" w:rsidR="00955175" w:rsidRPr="000F0F5B" w:rsidRDefault="00955175" w:rsidP="00955175">
      <w:pPr>
        <w:pStyle w:val="LI-Title"/>
        <w:pBdr>
          <w:top w:val="none" w:sz="0" w:space="0" w:color="auto"/>
        </w:pBdr>
        <w:jc w:val="center"/>
      </w:pPr>
      <w:r w:rsidRPr="000F0F5B">
        <w:t>Explanatory Statement</w:t>
      </w:r>
    </w:p>
    <w:p w14:paraId="54F0DD85" w14:textId="77777777" w:rsidR="00955175" w:rsidRPr="000F0F5B" w:rsidRDefault="00955175" w:rsidP="00955175">
      <w:pPr>
        <w:rPr>
          <w:lang w:eastAsia="en-AU"/>
        </w:rPr>
      </w:pPr>
    </w:p>
    <w:p w14:paraId="6E0BA687" w14:textId="77777777" w:rsidR="008822B3" w:rsidRPr="000F0F5B" w:rsidRDefault="008C06F0" w:rsidP="008822B3">
      <w:pPr>
        <w:jc w:val="center"/>
        <w:rPr>
          <w:b/>
          <w:i/>
          <w:sz w:val="28"/>
          <w:szCs w:val="28"/>
          <w:lang w:eastAsia="en-AU"/>
        </w:rPr>
      </w:pPr>
      <w:r w:rsidRPr="000F0F5B">
        <w:rPr>
          <w:b/>
          <w:i/>
          <w:sz w:val="28"/>
          <w:szCs w:val="28"/>
          <w:lang w:eastAsia="en-AU"/>
        </w:rPr>
        <w:t>ASIC Corporations (Electronic Disclosure) Instrument 2025/447</w:t>
      </w:r>
      <w:bookmarkStart w:id="0" w:name="BK_S3P1L1C1"/>
      <w:bookmarkEnd w:id="0"/>
      <w:r w:rsidR="00F202CB" w:rsidRPr="000F0F5B">
        <w:rPr>
          <w:b/>
          <w:i/>
          <w:sz w:val="28"/>
          <w:szCs w:val="28"/>
          <w:lang w:eastAsia="en-AU"/>
        </w:rPr>
        <w:t xml:space="preserve"> </w:t>
      </w:r>
      <w:r w:rsidR="00F202CB" w:rsidRPr="000F0F5B">
        <w:rPr>
          <w:bCs/>
          <w:i/>
          <w:sz w:val="28"/>
          <w:szCs w:val="28"/>
          <w:lang w:eastAsia="en-AU"/>
        </w:rPr>
        <w:t>and</w:t>
      </w:r>
      <w:r w:rsidR="00F202CB" w:rsidRPr="000F0F5B">
        <w:rPr>
          <w:b/>
          <w:i/>
          <w:sz w:val="28"/>
          <w:szCs w:val="28"/>
          <w:lang w:eastAsia="en-AU"/>
        </w:rPr>
        <w:t xml:space="preserve"> </w:t>
      </w:r>
      <w:r w:rsidR="008822B3" w:rsidRPr="000F0F5B">
        <w:rPr>
          <w:b/>
          <w:i/>
          <w:sz w:val="28"/>
          <w:szCs w:val="28"/>
          <w:lang w:eastAsia="en-AU"/>
        </w:rPr>
        <w:t>ASIC Corporations (Amendment and Repeal) Instrument 2025/448</w:t>
      </w:r>
    </w:p>
    <w:p w14:paraId="3D70207E" w14:textId="32CC63DB" w:rsidR="00863657" w:rsidRPr="000F0F5B" w:rsidRDefault="00F800C9" w:rsidP="00F800C9">
      <w:pPr>
        <w:pStyle w:val="LI-BodyTextParaa"/>
        <w:ind w:left="0" w:firstLine="0"/>
      </w:pPr>
      <w:r w:rsidRPr="000F0F5B">
        <w:t xml:space="preserve">This is the Explanatory Statement for </w:t>
      </w:r>
      <w:r w:rsidR="008C06F0" w:rsidRPr="000F0F5B">
        <w:rPr>
          <w:i/>
          <w:iCs/>
        </w:rPr>
        <w:t>ASIC Corporations (Electronic Disclosure) Instrument 2025/447</w:t>
      </w:r>
      <w:r w:rsidR="008822B3" w:rsidRPr="000F0F5B">
        <w:t xml:space="preserve"> (</w:t>
      </w:r>
      <w:r w:rsidR="008822B3" w:rsidRPr="000F0F5B">
        <w:rPr>
          <w:b/>
          <w:bCs/>
          <w:i/>
          <w:iCs/>
        </w:rPr>
        <w:t xml:space="preserve">Electronic </w:t>
      </w:r>
      <w:r w:rsidR="00454789" w:rsidRPr="000F0F5B">
        <w:rPr>
          <w:b/>
          <w:bCs/>
          <w:i/>
          <w:iCs/>
        </w:rPr>
        <w:t>Disclosure Instrument</w:t>
      </w:r>
      <w:r w:rsidR="008822B3" w:rsidRPr="000F0F5B">
        <w:t>)</w:t>
      </w:r>
      <w:r w:rsidR="00454789" w:rsidRPr="000F0F5B">
        <w:t xml:space="preserve"> and </w:t>
      </w:r>
      <w:r w:rsidR="000929DD" w:rsidRPr="000F0F5B">
        <w:rPr>
          <w:i/>
          <w:iCs/>
        </w:rPr>
        <w:t xml:space="preserve">ASIC Corporations (Amendment and Repeal) Instrument 2025/448 </w:t>
      </w:r>
      <w:r w:rsidR="000929DD" w:rsidRPr="000F0F5B">
        <w:t>(</w:t>
      </w:r>
      <w:r w:rsidR="000929DD" w:rsidRPr="000F0F5B">
        <w:rPr>
          <w:b/>
          <w:bCs/>
          <w:i/>
          <w:iCs/>
        </w:rPr>
        <w:t>Amendment and Repeal Instrument</w:t>
      </w:r>
      <w:r w:rsidR="000929DD" w:rsidRPr="000F0F5B">
        <w:t>)</w:t>
      </w:r>
      <w:r w:rsidR="008C06F0" w:rsidRPr="000F0F5B">
        <w:t>.</w:t>
      </w:r>
    </w:p>
    <w:p w14:paraId="119B6103" w14:textId="77777777" w:rsidR="00F800C9" w:rsidRPr="000F0F5B" w:rsidRDefault="00863657" w:rsidP="00F800C9">
      <w:pPr>
        <w:pStyle w:val="LI-BodyTextParaa"/>
        <w:ind w:left="0" w:firstLine="0"/>
      </w:pPr>
      <w:r w:rsidRPr="000F0F5B">
        <w:t>Th</w:t>
      </w:r>
      <w:r w:rsidR="00F800C9" w:rsidRPr="000F0F5B">
        <w:t>e</w:t>
      </w:r>
      <w:r w:rsidRPr="000F0F5B">
        <w:t xml:space="preserve"> </w:t>
      </w:r>
      <w:r w:rsidR="00F800C9" w:rsidRPr="000F0F5B">
        <w:t>Explanatory Statement is approved by the Australian Securities and Investments Commission (</w:t>
      </w:r>
      <w:r w:rsidR="00F800C9" w:rsidRPr="000F0F5B">
        <w:rPr>
          <w:b/>
          <w:i/>
        </w:rPr>
        <w:t>ASIC</w:t>
      </w:r>
      <w:r w:rsidR="00F800C9" w:rsidRPr="000F0F5B">
        <w:t>).</w:t>
      </w:r>
    </w:p>
    <w:p w14:paraId="10E55E66" w14:textId="77777777" w:rsidR="00F800C9" w:rsidRPr="000F0F5B" w:rsidRDefault="005D1FEA" w:rsidP="006D6079">
      <w:pPr>
        <w:pStyle w:val="LI-BodyTextNumbered"/>
        <w:keepNext/>
        <w:ind w:left="0" w:firstLine="0"/>
        <w:rPr>
          <w:b/>
        </w:rPr>
      </w:pPr>
      <w:r w:rsidRPr="000F0F5B">
        <w:rPr>
          <w:b/>
        </w:rPr>
        <w:t>Summary</w:t>
      </w:r>
    </w:p>
    <w:p w14:paraId="4F8E6751" w14:textId="3898EFAF" w:rsidR="00E93130" w:rsidRPr="000F0F5B" w:rsidRDefault="00F800C9" w:rsidP="00470768">
      <w:pPr>
        <w:pStyle w:val="LI-BodyTextParaa"/>
        <w:ind w:left="567"/>
      </w:pPr>
      <w:r w:rsidRPr="000F0F5B">
        <w:t>1</w:t>
      </w:r>
      <w:r w:rsidR="005D1FEA" w:rsidRPr="000F0F5B">
        <w:t>.</w:t>
      </w:r>
      <w:r w:rsidRPr="000F0F5B">
        <w:tab/>
      </w:r>
      <w:r w:rsidR="007E4E24" w:rsidRPr="000F0F5B">
        <w:t>The Electronic Disclosure Instrument</w:t>
      </w:r>
      <w:r w:rsidR="00197DFB" w:rsidRPr="000F0F5B">
        <w:t xml:space="preserve"> modifies the </w:t>
      </w:r>
      <w:r w:rsidR="00197DFB" w:rsidRPr="000F0F5B">
        <w:rPr>
          <w:i/>
          <w:iCs/>
        </w:rPr>
        <w:t>Corporations Act 2001</w:t>
      </w:r>
      <w:r w:rsidR="007E4E24" w:rsidRPr="000F0F5B" w:rsidDel="007E4E24">
        <w:t xml:space="preserve"> </w:t>
      </w:r>
      <w:r w:rsidR="00197DFB" w:rsidRPr="000F0F5B">
        <w:t>(</w:t>
      </w:r>
      <w:r w:rsidR="00197DFB" w:rsidRPr="000F0F5B">
        <w:rPr>
          <w:b/>
          <w:bCs/>
          <w:i/>
          <w:iCs/>
        </w:rPr>
        <w:t>Corporations Act</w:t>
      </w:r>
      <w:r w:rsidR="00197DFB" w:rsidRPr="000F0F5B">
        <w:t xml:space="preserve">) and </w:t>
      </w:r>
      <w:r w:rsidR="00197DFB" w:rsidRPr="000F0F5B">
        <w:rPr>
          <w:i/>
          <w:iCs/>
        </w:rPr>
        <w:t xml:space="preserve">Corporations Regulations 2001 </w:t>
      </w:r>
      <w:r w:rsidR="00197DFB" w:rsidRPr="000F0F5B">
        <w:t>(</w:t>
      </w:r>
      <w:r w:rsidR="00197DFB" w:rsidRPr="000F0F5B">
        <w:rPr>
          <w:b/>
          <w:bCs/>
          <w:i/>
          <w:iCs/>
        </w:rPr>
        <w:t>Corporations Regulations</w:t>
      </w:r>
      <w:r w:rsidR="00197DFB" w:rsidRPr="000F0F5B">
        <w:t xml:space="preserve">) </w:t>
      </w:r>
      <w:r w:rsidR="0028738F" w:rsidRPr="000F0F5B">
        <w:t>to facilitate electronic delivery of financial services disclosures</w:t>
      </w:r>
      <w:r w:rsidR="009A5CB5" w:rsidRPr="000F0F5B">
        <w:t xml:space="preserve">. </w:t>
      </w:r>
    </w:p>
    <w:p w14:paraId="5D4C258B" w14:textId="0460AC81" w:rsidR="00740774" w:rsidRPr="000F0F5B" w:rsidRDefault="00E93130" w:rsidP="00470768">
      <w:pPr>
        <w:pStyle w:val="LI-BodyTextParaa"/>
        <w:ind w:left="567"/>
      </w:pPr>
      <w:r w:rsidRPr="000F0F5B">
        <w:t>2.</w:t>
      </w:r>
      <w:r w:rsidRPr="000F0F5B">
        <w:tab/>
      </w:r>
      <w:r w:rsidR="002C196F" w:rsidRPr="000F0F5B">
        <w:t xml:space="preserve">This is done </w:t>
      </w:r>
      <w:r w:rsidR="00E2678C" w:rsidRPr="000F0F5B">
        <w:t>by</w:t>
      </w:r>
      <w:r w:rsidR="009A5CB5" w:rsidRPr="000F0F5B">
        <w:t xml:space="preserve"> </w:t>
      </w:r>
      <w:r w:rsidR="003A36D6" w:rsidRPr="000F0F5B">
        <w:t xml:space="preserve">modifying </w:t>
      </w:r>
      <w:r w:rsidR="00FA75F5" w:rsidRPr="000F0F5B">
        <w:t>sections and regulations</w:t>
      </w:r>
      <w:r w:rsidR="003A36D6" w:rsidRPr="000F0F5B">
        <w:t xml:space="preserve"> in the second column of Table 1 to </w:t>
      </w:r>
      <w:r w:rsidR="003E645F" w:rsidRPr="000F0F5B">
        <w:t>enabl</w:t>
      </w:r>
      <w:r w:rsidR="000C1BEA" w:rsidRPr="000F0F5B">
        <w:t>e</w:t>
      </w:r>
      <w:r w:rsidR="003E645F" w:rsidRPr="000F0F5B">
        <w:t xml:space="preserve"> </w:t>
      </w:r>
      <w:r w:rsidR="00D4275F" w:rsidRPr="000F0F5B">
        <w:t xml:space="preserve">the </w:t>
      </w:r>
      <w:r w:rsidR="00E2678C" w:rsidRPr="000F0F5B">
        <w:t xml:space="preserve">financial services disclosures </w:t>
      </w:r>
      <w:r w:rsidR="00AB103E" w:rsidRPr="000F0F5B">
        <w:t xml:space="preserve">listed </w:t>
      </w:r>
      <w:r w:rsidR="00740774" w:rsidRPr="000F0F5B">
        <w:t xml:space="preserve">in </w:t>
      </w:r>
      <w:r w:rsidR="003A36D6" w:rsidRPr="000F0F5B">
        <w:t xml:space="preserve">the </w:t>
      </w:r>
      <w:r w:rsidR="008C040E" w:rsidRPr="000F0F5B">
        <w:t>fir</w:t>
      </w:r>
      <w:r w:rsidR="00F33A96" w:rsidRPr="000F0F5B">
        <w:t xml:space="preserve">st column </w:t>
      </w:r>
      <w:r w:rsidR="00E2678C" w:rsidRPr="000F0F5B">
        <w:t>to be delivered electronically</w:t>
      </w:r>
      <w:r w:rsidR="009E48B9" w:rsidRPr="000F0F5B">
        <w:t xml:space="preserve">, including without </w:t>
      </w:r>
      <w:r w:rsidR="006D2414" w:rsidRPr="000F0F5B">
        <w:t xml:space="preserve">client consent, </w:t>
      </w:r>
      <w:r w:rsidR="00071E5E" w:rsidRPr="000F0F5B">
        <w:t>i</w:t>
      </w:r>
      <w:r w:rsidR="002C196F" w:rsidRPr="000F0F5B">
        <w:t>n more circumstances i</w:t>
      </w:r>
      <w:r w:rsidR="00071E5E" w:rsidRPr="000F0F5B">
        <w:t>f conditions are met</w:t>
      </w:r>
      <w:r w:rsidR="00AB103E" w:rsidRPr="000F0F5B">
        <w:t xml:space="preserve">. </w:t>
      </w:r>
      <w:r w:rsidR="00071E5E" w:rsidRPr="000F0F5B">
        <w:t xml:space="preserve"> </w:t>
      </w:r>
    </w:p>
    <w:p w14:paraId="0FD53249" w14:textId="60A5906A" w:rsidR="00740774" w:rsidRPr="000F0F5B" w:rsidRDefault="00740774" w:rsidP="00A9458B">
      <w:pPr>
        <w:pStyle w:val="LI-BodyTextParaa"/>
        <w:ind w:left="567" w:firstLine="0"/>
      </w:pPr>
      <w:r w:rsidRPr="000F0F5B">
        <w:rPr>
          <w:b/>
          <w:bCs/>
        </w:rPr>
        <w:t>Table 1</w:t>
      </w:r>
      <w:r w:rsidR="005710EB" w:rsidRPr="000F0F5B">
        <w:rPr>
          <w:b/>
          <w:bCs/>
        </w:rPr>
        <w:t>:</w:t>
      </w:r>
      <w:r w:rsidR="005710EB" w:rsidRPr="000F0F5B">
        <w:t xml:space="preserve"> Relevant financial services disclosures</w:t>
      </w:r>
    </w:p>
    <w:tbl>
      <w:tblPr>
        <w:tblStyle w:val="TableGrid"/>
        <w:tblW w:w="0" w:type="auto"/>
        <w:tblInd w:w="567" w:type="dxa"/>
        <w:tblLook w:val="04A0" w:firstRow="1" w:lastRow="0" w:firstColumn="1" w:lastColumn="0" w:noHBand="0" w:noVBand="1"/>
      </w:tblPr>
      <w:tblGrid>
        <w:gridCol w:w="6232"/>
        <w:gridCol w:w="1504"/>
      </w:tblGrid>
      <w:tr w:rsidR="009A16D6" w:rsidRPr="000F0F5B" w14:paraId="6641137F" w14:textId="77777777" w:rsidTr="00472023">
        <w:tc>
          <w:tcPr>
            <w:tcW w:w="6232" w:type="dxa"/>
          </w:tcPr>
          <w:p w14:paraId="411AF7D6" w14:textId="35AF113D" w:rsidR="005710EB" w:rsidRPr="000F0F5B" w:rsidRDefault="005710EB" w:rsidP="00470768">
            <w:pPr>
              <w:pStyle w:val="LI-BodyTextParaa"/>
              <w:ind w:left="0" w:firstLine="0"/>
              <w:rPr>
                <w:b/>
                <w:bCs/>
              </w:rPr>
            </w:pPr>
            <w:r w:rsidRPr="000F0F5B">
              <w:rPr>
                <w:b/>
                <w:bCs/>
              </w:rPr>
              <w:t>Disclosure</w:t>
            </w:r>
          </w:p>
        </w:tc>
        <w:tc>
          <w:tcPr>
            <w:tcW w:w="1504" w:type="dxa"/>
          </w:tcPr>
          <w:p w14:paraId="66EB23D2" w14:textId="1F9A5AF7" w:rsidR="005710EB" w:rsidRPr="000F0F5B" w:rsidRDefault="00976945" w:rsidP="00797BEE">
            <w:pPr>
              <w:pStyle w:val="LI-BodyTextParaa"/>
              <w:ind w:left="0" w:firstLine="0"/>
              <w:jc w:val="center"/>
              <w:rPr>
                <w:b/>
                <w:bCs/>
              </w:rPr>
            </w:pPr>
            <w:r w:rsidRPr="000F0F5B">
              <w:rPr>
                <w:b/>
                <w:bCs/>
              </w:rPr>
              <w:t xml:space="preserve">Modified </w:t>
            </w:r>
            <w:r w:rsidR="009A16D6" w:rsidRPr="000F0F5B">
              <w:rPr>
                <w:b/>
                <w:bCs/>
              </w:rPr>
              <w:t>provisions</w:t>
            </w:r>
          </w:p>
        </w:tc>
      </w:tr>
      <w:tr w:rsidR="009A16D6" w:rsidRPr="000F0F5B" w14:paraId="022BAFAC" w14:textId="77777777" w:rsidTr="00472023">
        <w:tc>
          <w:tcPr>
            <w:tcW w:w="6232" w:type="dxa"/>
          </w:tcPr>
          <w:p w14:paraId="5CEE6525" w14:textId="5FAEEACE" w:rsidR="002A094A" w:rsidRPr="000F0F5B" w:rsidRDefault="002A094A" w:rsidP="00470768">
            <w:pPr>
              <w:pStyle w:val="LI-BodyTextParaa"/>
              <w:ind w:left="0" w:firstLine="0"/>
            </w:pPr>
            <w:r w:rsidRPr="000F0F5B">
              <w:t>Financial Services Guide</w:t>
            </w:r>
            <w:r w:rsidR="00A736D0" w:rsidRPr="000F0F5B">
              <w:t>s</w:t>
            </w:r>
            <w:r w:rsidRPr="000F0F5B">
              <w:t xml:space="preserve"> (</w:t>
            </w:r>
            <w:r w:rsidRPr="000F0F5B">
              <w:rPr>
                <w:b/>
                <w:bCs/>
                <w:i/>
                <w:iCs/>
              </w:rPr>
              <w:t>FSG</w:t>
            </w:r>
            <w:r w:rsidR="002219B8" w:rsidRPr="000F0F5B">
              <w:rPr>
                <w:b/>
                <w:bCs/>
                <w:i/>
                <w:iCs/>
              </w:rPr>
              <w:t>s</w:t>
            </w:r>
            <w:r w:rsidRPr="000F0F5B">
              <w:t>) and Supplementary FSG</w:t>
            </w:r>
            <w:r w:rsidR="00A736D0" w:rsidRPr="000F0F5B">
              <w:t>s</w:t>
            </w:r>
          </w:p>
        </w:tc>
        <w:tc>
          <w:tcPr>
            <w:tcW w:w="1504" w:type="dxa"/>
            <w:vMerge w:val="restart"/>
          </w:tcPr>
          <w:p w14:paraId="7AACE90F" w14:textId="77777777" w:rsidR="002A094A" w:rsidRPr="000F0F5B" w:rsidRDefault="002A094A" w:rsidP="008F6A13">
            <w:pPr>
              <w:pStyle w:val="LI-BodyTextParaa"/>
              <w:ind w:left="0" w:firstLine="0"/>
              <w:jc w:val="center"/>
            </w:pPr>
          </w:p>
          <w:p w14:paraId="40AB2EB5" w14:textId="73700A18" w:rsidR="00653F28" w:rsidRPr="000F0F5B" w:rsidRDefault="00010A4F" w:rsidP="007D59E4">
            <w:pPr>
              <w:pStyle w:val="LI-BodyTextParaa"/>
              <w:ind w:left="0" w:firstLine="0"/>
              <w:jc w:val="center"/>
            </w:pPr>
            <w:r w:rsidRPr="000F0F5B">
              <w:t xml:space="preserve">s9, </w:t>
            </w:r>
            <w:r w:rsidR="001F2737" w:rsidRPr="000F0F5B">
              <w:t>940C</w:t>
            </w:r>
            <w:r w:rsidR="007D59E4" w:rsidRPr="000F0F5B">
              <w:t>;</w:t>
            </w:r>
            <w:r w:rsidR="007D59E4" w:rsidRPr="000F0F5B">
              <w:br/>
            </w:r>
            <w:r w:rsidR="00653F28" w:rsidRPr="000F0F5B">
              <w:t>reg 7.7.01</w:t>
            </w:r>
          </w:p>
        </w:tc>
      </w:tr>
      <w:tr w:rsidR="009A16D6" w:rsidRPr="000F0F5B" w14:paraId="419B9B38" w14:textId="3A65FFB6" w:rsidTr="00472023">
        <w:tc>
          <w:tcPr>
            <w:tcW w:w="6232" w:type="dxa"/>
          </w:tcPr>
          <w:p w14:paraId="7398A269" w14:textId="6A0FFC54" w:rsidR="002A094A" w:rsidRPr="000F0F5B" w:rsidRDefault="002A094A" w:rsidP="00470768">
            <w:pPr>
              <w:pStyle w:val="LI-BodyTextParaa"/>
              <w:ind w:left="0" w:firstLine="0"/>
            </w:pPr>
            <w:r w:rsidRPr="000F0F5B">
              <w:t>Statement</w:t>
            </w:r>
            <w:r w:rsidR="002612DF" w:rsidRPr="000F0F5B">
              <w:t>s</w:t>
            </w:r>
            <w:r w:rsidRPr="000F0F5B">
              <w:t xml:space="preserve"> of Advice</w:t>
            </w:r>
            <w:r w:rsidR="00683F3F" w:rsidRPr="000F0F5B">
              <w:t xml:space="preserve"> (</w:t>
            </w:r>
            <w:r w:rsidR="00683F3F" w:rsidRPr="000F0F5B">
              <w:rPr>
                <w:b/>
                <w:bCs/>
                <w:i/>
                <w:iCs/>
              </w:rPr>
              <w:t>S</w:t>
            </w:r>
            <w:r w:rsidR="00621428" w:rsidRPr="000F0F5B">
              <w:rPr>
                <w:b/>
                <w:bCs/>
                <w:i/>
                <w:iCs/>
              </w:rPr>
              <w:t>O</w:t>
            </w:r>
            <w:r w:rsidR="00683F3F" w:rsidRPr="000F0F5B">
              <w:rPr>
                <w:b/>
                <w:bCs/>
                <w:i/>
                <w:iCs/>
              </w:rPr>
              <w:t>A</w:t>
            </w:r>
            <w:r w:rsidR="002219B8" w:rsidRPr="000F0F5B">
              <w:rPr>
                <w:b/>
                <w:bCs/>
                <w:i/>
                <w:iCs/>
              </w:rPr>
              <w:t>s</w:t>
            </w:r>
            <w:r w:rsidR="00683F3F" w:rsidRPr="000F0F5B">
              <w:t>)</w:t>
            </w:r>
          </w:p>
        </w:tc>
        <w:tc>
          <w:tcPr>
            <w:tcW w:w="1504" w:type="dxa"/>
            <w:vMerge/>
          </w:tcPr>
          <w:p w14:paraId="760FBB16" w14:textId="77777777" w:rsidR="002A094A" w:rsidRPr="000F0F5B" w:rsidRDefault="002A094A" w:rsidP="008F6A13">
            <w:pPr>
              <w:pStyle w:val="LI-BodyTextParaa"/>
              <w:ind w:left="0" w:firstLine="0"/>
              <w:jc w:val="center"/>
            </w:pPr>
          </w:p>
        </w:tc>
      </w:tr>
      <w:tr w:rsidR="009A16D6" w:rsidRPr="000F0F5B" w14:paraId="26955D2E" w14:textId="46706CF7" w:rsidTr="00472023">
        <w:tc>
          <w:tcPr>
            <w:tcW w:w="6232" w:type="dxa"/>
          </w:tcPr>
          <w:p w14:paraId="0D5F92F4" w14:textId="374D5D58" w:rsidR="002A094A" w:rsidRPr="000F0F5B" w:rsidRDefault="002A094A" w:rsidP="00470768">
            <w:pPr>
              <w:pStyle w:val="LI-BodyTextParaa"/>
              <w:ind w:left="0" w:firstLine="0"/>
            </w:pPr>
            <w:r w:rsidRPr="000F0F5B">
              <w:t>Cash Settlement Fact Sheet</w:t>
            </w:r>
            <w:r w:rsidR="00A736D0" w:rsidRPr="000F0F5B">
              <w:t>s</w:t>
            </w:r>
          </w:p>
        </w:tc>
        <w:tc>
          <w:tcPr>
            <w:tcW w:w="1504" w:type="dxa"/>
            <w:vMerge/>
          </w:tcPr>
          <w:p w14:paraId="62111FDD" w14:textId="77777777" w:rsidR="002A094A" w:rsidRPr="000F0F5B" w:rsidRDefault="002A094A" w:rsidP="008F6A13">
            <w:pPr>
              <w:pStyle w:val="LI-BodyTextParaa"/>
              <w:ind w:left="0" w:firstLine="0"/>
              <w:jc w:val="center"/>
            </w:pPr>
          </w:p>
        </w:tc>
      </w:tr>
      <w:tr w:rsidR="009A16D6" w:rsidRPr="000F0F5B" w14:paraId="27244D16" w14:textId="77777777" w:rsidTr="00472023">
        <w:tc>
          <w:tcPr>
            <w:tcW w:w="6232" w:type="dxa"/>
          </w:tcPr>
          <w:p w14:paraId="4B246C93" w14:textId="44C0BECA" w:rsidR="005710EB" w:rsidRPr="000F0F5B" w:rsidRDefault="002A094A" w:rsidP="00470768">
            <w:pPr>
              <w:pStyle w:val="LI-BodyTextParaa"/>
              <w:ind w:left="0" w:firstLine="0"/>
            </w:pPr>
            <w:r w:rsidRPr="000F0F5B">
              <w:t>Product Disclosure Statement</w:t>
            </w:r>
            <w:r w:rsidR="00A736D0" w:rsidRPr="000F0F5B">
              <w:t>s</w:t>
            </w:r>
            <w:r w:rsidRPr="000F0F5B">
              <w:t xml:space="preserve"> (</w:t>
            </w:r>
            <w:r w:rsidRPr="000F0F5B">
              <w:rPr>
                <w:b/>
                <w:bCs/>
                <w:i/>
                <w:iCs/>
              </w:rPr>
              <w:t>PDS</w:t>
            </w:r>
            <w:r w:rsidR="002219B8" w:rsidRPr="000F0F5B">
              <w:rPr>
                <w:b/>
                <w:bCs/>
                <w:i/>
                <w:iCs/>
              </w:rPr>
              <w:t>s</w:t>
            </w:r>
            <w:r w:rsidRPr="000F0F5B">
              <w:t>), Supplementary PDS</w:t>
            </w:r>
            <w:r w:rsidR="00A736D0" w:rsidRPr="000F0F5B">
              <w:t>s</w:t>
            </w:r>
            <w:r w:rsidRPr="000F0F5B">
              <w:t xml:space="preserve"> and Replacement PDS</w:t>
            </w:r>
            <w:r w:rsidR="00A736D0" w:rsidRPr="000F0F5B">
              <w:t>s</w:t>
            </w:r>
          </w:p>
        </w:tc>
        <w:tc>
          <w:tcPr>
            <w:tcW w:w="1504" w:type="dxa"/>
          </w:tcPr>
          <w:p w14:paraId="699A97E3" w14:textId="0BC68D55" w:rsidR="006C5401" w:rsidRPr="000F0F5B" w:rsidRDefault="003A36D6" w:rsidP="00593546">
            <w:pPr>
              <w:pStyle w:val="LI-BodyTextParaa"/>
              <w:ind w:left="0" w:firstLine="0"/>
              <w:jc w:val="center"/>
            </w:pPr>
            <w:r w:rsidRPr="000F0F5B">
              <w:t xml:space="preserve">s9, </w:t>
            </w:r>
            <w:r w:rsidR="00AA7F44" w:rsidRPr="000F0F5B">
              <w:t>1015C</w:t>
            </w:r>
            <w:r w:rsidR="007D59E4" w:rsidRPr="000F0F5B">
              <w:t>;</w:t>
            </w:r>
            <w:r w:rsidR="007D59E4" w:rsidRPr="000F0F5B">
              <w:br/>
            </w:r>
            <w:r w:rsidR="006C5401" w:rsidRPr="000F0F5B">
              <w:t>reg 7.9.02A</w:t>
            </w:r>
          </w:p>
        </w:tc>
      </w:tr>
      <w:tr w:rsidR="009A16D6" w:rsidRPr="000F0F5B" w14:paraId="655B1251" w14:textId="77777777" w:rsidTr="00472023">
        <w:tc>
          <w:tcPr>
            <w:tcW w:w="6232" w:type="dxa"/>
          </w:tcPr>
          <w:p w14:paraId="702F2EEC" w14:textId="0D331229" w:rsidR="002F5272" w:rsidRPr="000F0F5B" w:rsidRDefault="005559AE" w:rsidP="00470768">
            <w:pPr>
              <w:pStyle w:val="LI-BodyTextParaa"/>
              <w:ind w:left="0" w:firstLine="0"/>
            </w:pPr>
            <w:r w:rsidRPr="000F0F5B">
              <w:t>Information statements for CGS depository interests</w:t>
            </w:r>
            <w:r w:rsidR="008546FE" w:rsidRPr="000F0F5B">
              <w:t xml:space="preserve"> (</w:t>
            </w:r>
            <w:r w:rsidR="008546FE" w:rsidRPr="000F0F5B">
              <w:rPr>
                <w:b/>
                <w:bCs/>
                <w:i/>
                <w:iCs/>
              </w:rPr>
              <w:t>CGS Depository Interest Information Statement</w:t>
            </w:r>
            <w:r w:rsidR="008546FE" w:rsidRPr="000F0F5B">
              <w:t>)</w:t>
            </w:r>
          </w:p>
        </w:tc>
        <w:tc>
          <w:tcPr>
            <w:tcW w:w="1504" w:type="dxa"/>
          </w:tcPr>
          <w:p w14:paraId="5D281283" w14:textId="4F10A0E2" w:rsidR="002F5272" w:rsidRPr="000F0F5B" w:rsidRDefault="00562E97" w:rsidP="002F5272">
            <w:pPr>
              <w:pStyle w:val="LI-BodyTextParaa"/>
              <w:ind w:left="0" w:firstLine="0"/>
              <w:jc w:val="center"/>
            </w:pPr>
            <w:r w:rsidRPr="000F0F5B">
              <w:t xml:space="preserve">s9, </w:t>
            </w:r>
            <w:r w:rsidR="002D3FD0" w:rsidRPr="000F0F5B">
              <w:t>1020AK</w:t>
            </w:r>
          </w:p>
        </w:tc>
      </w:tr>
      <w:tr w:rsidR="009A16D6" w:rsidRPr="000F0F5B" w14:paraId="0919B037" w14:textId="77777777" w:rsidTr="00472023">
        <w:tc>
          <w:tcPr>
            <w:tcW w:w="6232" w:type="dxa"/>
          </w:tcPr>
          <w:p w14:paraId="22FBCE8C" w14:textId="30B445C7" w:rsidR="005559AE" w:rsidRPr="000F0F5B" w:rsidRDefault="00F17D5F" w:rsidP="00470768">
            <w:pPr>
              <w:pStyle w:val="LI-BodyTextParaa"/>
              <w:ind w:left="0" w:firstLine="0"/>
            </w:pPr>
            <w:r w:rsidRPr="000F0F5B">
              <w:t xml:space="preserve">Additional information </w:t>
            </w:r>
            <w:r w:rsidR="00A736D0" w:rsidRPr="000F0F5B">
              <w:t xml:space="preserve">sought </w:t>
            </w:r>
            <w:r w:rsidRPr="000F0F5B">
              <w:t>on request</w:t>
            </w:r>
            <w:r w:rsidR="008546FE" w:rsidRPr="000F0F5B">
              <w:t xml:space="preserve"> under section 1017A of the Corporations Act (</w:t>
            </w:r>
            <w:r w:rsidR="008546FE" w:rsidRPr="000F0F5B">
              <w:rPr>
                <w:b/>
                <w:bCs/>
                <w:i/>
                <w:iCs/>
              </w:rPr>
              <w:t>Additional Information</w:t>
            </w:r>
            <w:r w:rsidR="008546FE" w:rsidRPr="000F0F5B">
              <w:t>)</w:t>
            </w:r>
          </w:p>
        </w:tc>
        <w:tc>
          <w:tcPr>
            <w:tcW w:w="1504" w:type="dxa"/>
          </w:tcPr>
          <w:p w14:paraId="312F92A6" w14:textId="0D6D7CAC" w:rsidR="005559AE" w:rsidRPr="000F0F5B" w:rsidRDefault="0085025E" w:rsidP="002F5272">
            <w:pPr>
              <w:pStyle w:val="LI-BodyTextParaa"/>
              <w:ind w:left="0" w:firstLine="0"/>
              <w:jc w:val="center"/>
            </w:pPr>
            <w:r w:rsidRPr="000F0F5B">
              <w:t>s</w:t>
            </w:r>
            <w:r w:rsidR="00562E97" w:rsidRPr="000F0F5B">
              <w:t xml:space="preserve">9, </w:t>
            </w:r>
            <w:r w:rsidR="00B03E48" w:rsidRPr="000F0F5B">
              <w:t>1017A</w:t>
            </w:r>
          </w:p>
        </w:tc>
      </w:tr>
      <w:tr w:rsidR="007773C1" w:rsidRPr="000F0F5B" w14:paraId="1E1EA264" w14:textId="77777777" w:rsidTr="00472023">
        <w:tc>
          <w:tcPr>
            <w:tcW w:w="6232" w:type="dxa"/>
          </w:tcPr>
          <w:p w14:paraId="3989F384" w14:textId="5F050155" w:rsidR="007773C1" w:rsidRPr="000F0F5B" w:rsidRDefault="007773C1" w:rsidP="00470768">
            <w:pPr>
              <w:pStyle w:val="LI-BodyTextParaa"/>
              <w:ind w:left="0" w:firstLine="0"/>
            </w:pPr>
            <w:r w:rsidRPr="000F0F5B">
              <w:lastRenderedPageBreak/>
              <w:t>Periodic statements</w:t>
            </w:r>
            <w:r w:rsidR="00B52158" w:rsidRPr="000F0F5B">
              <w:t xml:space="preserve"> under section 1017D of the Corporations Act (</w:t>
            </w:r>
            <w:r w:rsidR="00B52158" w:rsidRPr="000F0F5B">
              <w:rPr>
                <w:b/>
                <w:bCs/>
                <w:i/>
                <w:iCs/>
              </w:rPr>
              <w:t>Periodic Statements</w:t>
            </w:r>
            <w:r w:rsidR="00B52158" w:rsidRPr="000F0F5B">
              <w:t>)</w:t>
            </w:r>
          </w:p>
        </w:tc>
        <w:tc>
          <w:tcPr>
            <w:tcW w:w="1504" w:type="dxa"/>
            <w:vMerge w:val="restart"/>
          </w:tcPr>
          <w:p w14:paraId="7C4FD801" w14:textId="2F519FE3" w:rsidR="007773C1" w:rsidRPr="000F0F5B" w:rsidRDefault="00562E97" w:rsidP="007D59E4">
            <w:pPr>
              <w:pStyle w:val="LI-BodyTextParaa"/>
              <w:ind w:left="0" w:firstLine="0"/>
              <w:jc w:val="center"/>
            </w:pPr>
            <w:r w:rsidRPr="000F0F5B">
              <w:t>s9</w:t>
            </w:r>
            <w:r w:rsidR="007D59E4" w:rsidRPr="000F0F5B">
              <w:t>;</w:t>
            </w:r>
            <w:r w:rsidR="007D59E4" w:rsidRPr="000F0F5B">
              <w:br/>
            </w:r>
            <w:r w:rsidR="007773C1" w:rsidRPr="000F0F5B">
              <w:t>reg 7.9.75A</w:t>
            </w:r>
          </w:p>
        </w:tc>
      </w:tr>
      <w:tr w:rsidR="007773C1" w:rsidRPr="000F0F5B" w14:paraId="03EAF743" w14:textId="77777777" w:rsidTr="00472023">
        <w:tc>
          <w:tcPr>
            <w:tcW w:w="6232" w:type="dxa"/>
          </w:tcPr>
          <w:p w14:paraId="12C971C5" w14:textId="5B28BFC2" w:rsidR="007773C1" w:rsidRPr="000F0F5B" w:rsidRDefault="00794B68" w:rsidP="00470768">
            <w:pPr>
              <w:pStyle w:val="LI-BodyTextParaa"/>
              <w:ind w:left="0" w:firstLine="0"/>
            </w:pPr>
            <w:r w:rsidRPr="000F0F5B">
              <w:t>Ongoing disclosure</w:t>
            </w:r>
            <w:r w:rsidR="0094739E" w:rsidRPr="000F0F5B">
              <w:t xml:space="preserve"> of material changes and significant event</w:t>
            </w:r>
            <w:r w:rsidRPr="000F0F5B">
              <w:t>s under section 1017</w:t>
            </w:r>
            <w:r w:rsidR="0094739E" w:rsidRPr="000F0F5B">
              <w:t>B</w:t>
            </w:r>
            <w:r w:rsidRPr="000F0F5B">
              <w:t xml:space="preserve"> of the Corporations Act (</w:t>
            </w:r>
            <w:r w:rsidR="009D45E7" w:rsidRPr="000F0F5B">
              <w:rPr>
                <w:b/>
                <w:bCs/>
                <w:i/>
                <w:iCs/>
              </w:rPr>
              <w:t xml:space="preserve">Significant </w:t>
            </w:r>
            <w:r w:rsidR="008546FE" w:rsidRPr="000F0F5B">
              <w:rPr>
                <w:b/>
                <w:bCs/>
                <w:i/>
                <w:iCs/>
              </w:rPr>
              <w:t>E</w:t>
            </w:r>
            <w:r w:rsidR="009D45E7" w:rsidRPr="000F0F5B">
              <w:rPr>
                <w:b/>
                <w:bCs/>
                <w:i/>
                <w:iCs/>
              </w:rPr>
              <w:t xml:space="preserve">vent </w:t>
            </w:r>
            <w:r w:rsidR="008546FE" w:rsidRPr="000F0F5B">
              <w:rPr>
                <w:b/>
                <w:bCs/>
                <w:i/>
                <w:iCs/>
              </w:rPr>
              <w:t>N</w:t>
            </w:r>
            <w:r w:rsidR="009D45E7" w:rsidRPr="000F0F5B">
              <w:rPr>
                <w:b/>
                <w:bCs/>
                <w:i/>
                <w:iCs/>
              </w:rPr>
              <w:t>otices</w:t>
            </w:r>
            <w:r w:rsidRPr="000F0F5B">
              <w:t>)</w:t>
            </w:r>
          </w:p>
        </w:tc>
        <w:tc>
          <w:tcPr>
            <w:tcW w:w="1504" w:type="dxa"/>
            <w:vMerge/>
          </w:tcPr>
          <w:p w14:paraId="551E3BDA" w14:textId="3608A542" w:rsidR="007773C1" w:rsidRPr="000F0F5B" w:rsidRDefault="007773C1" w:rsidP="002F5272">
            <w:pPr>
              <w:pStyle w:val="LI-BodyTextParaa"/>
              <w:ind w:left="0" w:firstLine="0"/>
              <w:jc w:val="center"/>
            </w:pPr>
          </w:p>
        </w:tc>
      </w:tr>
      <w:tr w:rsidR="007773C1" w:rsidRPr="000F0F5B" w14:paraId="15A7807F" w14:textId="77777777" w:rsidTr="00472023">
        <w:tc>
          <w:tcPr>
            <w:tcW w:w="6232" w:type="dxa"/>
          </w:tcPr>
          <w:p w14:paraId="681C6961" w14:textId="43882F62" w:rsidR="007773C1" w:rsidRPr="000F0F5B" w:rsidRDefault="007773C1" w:rsidP="00470768">
            <w:pPr>
              <w:pStyle w:val="LI-BodyTextParaa"/>
              <w:ind w:left="0" w:firstLine="0"/>
            </w:pPr>
            <w:r w:rsidRPr="000F0F5B">
              <w:t>Fund information</w:t>
            </w:r>
            <w:r w:rsidR="0094739E" w:rsidRPr="000F0F5B">
              <w:t xml:space="preserve"> under section 1</w:t>
            </w:r>
            <w:r w:rsidR="00D40D8F" w:rsidRPr="000F0F5B">
              <w:t>017DA of the Corporations Act</w:t>
            </w:r>
            <w:r w:rsidR="00B52158" w:rsidRPr="000F0F5B">
              <w:t xml:space="preserve"> (</w:t>
            </w:r>
            <w:r w:rsidR="00B52158" w:rsidRPr="000F0F5B">
              <w:rPr>
                <w:b/>
                <w:bCs/>
                <w:i/>
                <w:iCs/>
              </w:rPr>
              <w:t xml:space="preserve">Fund </w:t>
            </w:r>
            <w:r w:rsidR="008546FE" w:rsidRPr="000F0F5B">
              <w:rPr>
                <w:b/>
                <w:bCs/>
                <w:i/>
                <w:iCs/>
              </w:rPr>
              <w:t>I</w:t>
            </w:r>
            <w:r w:rsidR="00B52158" w:rsidRPr="000F0F5B">
              <w:rPr>
                <w:b/>
                <w:bCs/>
                <w:i/>
                <w:iCs/>
              </w:rPr>
              <w:t>nformation</w:t>
            </w:r>
            <w:r w:rsidR="00B52158" w:rsidRPr="000F0F5B">
              <w:t>)</w:t>
            </w:r>
          </w:p>
        </w:tc>
        <w:tc>
          <w:tcPr>
            <w:tcW w:w="1504" w:type="dxa"/>
            <w:vMerge/>
          </w:tcPr>
          <w:p w14:paraId="2503963E" w14:textId="7467E66B" w:rsidR="007773C1" w:rsidRPr="000F0F5B" w:rsidRDefault="007773C1" w:rsidP="002F5272">
            <w:pPr>
              <w:pStyle w:val="LI-BodyTextParaa"/>
              <w:ind w:left="0" w:firstLine="0"/>
              <w:jc w:val="center"/>
            </w:pPr>
          </w:p>
        </w:tc>
      </w:tr>
    </w:tbl>
    <w:p w14:paraId="56BF7F96" w14:textId="5B9D59C3" w:rsidR="00722365" w:rsidRPr="000F0F5B" w:rsidRDefault="00F64C8B" w:rsidP="00470768">
      <w:pPr>
        <w:pStyle w:val="LI-BodyTextParaa"/>
        <w:ind w:left="567"/>
      </w:pPr>
      <w:r w:rsidRPr="000F0F5B">
        <w:t>3</w:t>
      </w:r>
      <w:r w:rsidR="00740774" w:rsidRPr="000F0F5B">
        <w:t>.</w:t>
      </w:r>
      <w:r w:rsidR="00740774" w:rsidRPr="000F0F5B">
        <w:tab/>
        <w:t xml:space="preserve">The </w:t>
      </w:r>
      <w:r w:rsidR="002B764E" w:rsidRPr="000F0F5B">
        <w:t xml:space="preserve">Electronic Disclosure </w:t>
      </w:r>
      <w:r w:rsidR="00740774" w:rsidRPr="000F0F5B">
        <w:t xml:space="preserve">Instrument </w:t>
      </w:r>
      <w:r w:rsidR="00071E5E" w:rsidRPr="000F0F5B">
        <w:t>modif</w:t>
      </w:r>
      <w:r w:rsidR="0044492D" w:rsidRPr="000F0F5B">
        <w:t>ies</w:t>
      </w:r>
      <w:r w:rsidR="00DF615C" w:rsidRPr="000F0F5B">
        <w:t xml:space="preserve"> </w:t>
      </w:r>
      <w:r w:rsidR="00071E5E" w:rsidRPr="000F0F5B">
        <w:t>short</w:t>
      </w:r>
      <w:r w:rsidR="003C7702" w:rsidRPr="000F0F5B">
        <w:t>er</w:t>
      </w:r>
      <w:r w:rsidR="00071E5E" w:rsidRPr="000F0F5B">
        <w:t xml:space="preserve"> </w:t>
      </w:r>
      <w:r w:rsidR="00892DD5" w:rsidRPr="000F0F5B">
        <w:t>product disclosure statement (</w:t>
      </w:r>
      <w:r w:rsidR="0005269C" w:rsidRPr="000F0F5B">
        <w:rPr>
          <w:b/>
          <w:bCs/>
          <w:i/>
          <w:iCs/>
        </w:rPr>
        <w:t>S</w:t>
      </w:r>
      <w:r w:rsidR="00892DD5" w:rsidRPr="000F0F5B">
        <w:rPr>
          <w:b/>
          <w:bCs/>
          <w:i/>
          <w:iCs/>
        </w:rPr>
        <w:t xml:space="preserve">horter </w:t>
      </w:r>
      <w:r w:rsidR="0063052E" w:rsidRPr="000F0F5B">
        <w:rPr>
          <w:b/>
          <w:bCs/>
          <w:i/>
          <w:iCs/>
        </w:rPr>
        <w:t>PDS</w:t>
      </w:r>
      <w:r w:rsidR="00892DD5" w:rsidRPr="000F0F5B">
        <w:t>)</w:t>
      </w:r>
      <w:r w:rsidR="00071E5E" w:rsidRPr="000F0F5B">
        <w:t xml:space="preserve"> </w:t>
      </w:r>
      <w:r w:rsidR="00722365" w:rsidRPr="000F0F5B">
        <w:t>requirements so that:</w:t>
      </w:r>
    </w:p>
    <w:p w14:paraId="11E91D22" w14:textId="3C85BFE7" w:rsidR="00360FF8" w:rsidRPr="000F0F5B" w:rsidRDefault="00360FF8" w:rsidP="00360FF8">
      <w:pPr>
        <w:pStyle w:val="LI-BodyTextParaa"/>
        <w:ind w:left="1134"/>
      </w:pPr>
      <w:r w:rsidRPr="000F0F5B">
        <w:t>(a)</w:t>
      </w:r>
      <w:r w:rsidRPr="000F0F5B">
        <w:tab/>
      </w:r>
      <w:r w:rsidR="00367EFA" w:rsidRPr="000F0F5B">
        <w:t xml:space="preserve">their </w:t>
      </w:r>
      <w:r w:rsidR="00B97993" w:rsidRPr="000F0F5B">
        <w:t xml:space="preserve">page length </w:t>
      </w:r>
      <w:r w:rsidR="009C3059" w:rsidRPr="000F0F5B">
        <w:t xml:space="preserve">limitations </w:t>
      </w:r>
      <w:r w:rsidR="00170B51" w:rsidRPr="000F0F5B">
        <w:t xml:space="preserve">are applicable only to the extent that the </w:t>
      </w:r>
      <w:r w:rsidR="0005269C" w:rsidRPr="000F0F5B">
        <w:t>S</w:t>
      </w:r>
      <w:r w:rsidR="00170B51" w:rsidRPr="000F0F5B">
        <w:t xml:space="preserve">horter PDS </w:t>
      </w:r>
      <w:r w:rsidR="00D4275F" w:rsidRPr="000F0F5B">
        <w:t>can</w:t>
      </w:r>
      <w:r w:rsidR="00102FE2" w:rsidRPr="000F0F5B">
        <w:t xml:space="preserve"> be printed</w:t>
      </w:r>
      <w:r w:rsidRPr="000F0F5B">
        <w:t>; and</w:t>
      </w:r>
    </w:p>
    <w:p w14:paraId="47ED9F47" w14:textId="3D2E8F40" w:rsidR="0008283D" w:rsidRPr="000F0F5B" w:rsidRDefault="009C3059" w:rsidP="004353D2">
      <w:pPr>
        <w:pStyle w:val="LI-BodyTextParaa"/>
        <w:ind w:left="1134"/>
      </w:pPr>
      <w:r w:rsidRPr="000F0F5B">
        <w:t>(b)</w:t>
      </w:r>
      <w:r w:rsidRPr="000F0F5B">
        <w:tab/>
      </w:r>
      <w:r w:rsidR="0069653C" w:rsidRPr="000F0F5B">
        <w:t>t</w:t>
      </w:r>
      <w:r w:rsidR="00316406" w:rsidRPr="000F0F5B">
        <w:t xml:space="preserve">he requirement </w:t>
      </w:r>
      <w:r w:rsidR="00B97993" w:rsidRPr="000F0F5B">
        <w:t xml:space="preserve">to give a </w:t>
      </w:r>
      <w:r w:rsidR="0005269C" w:rsidRPr="000F0F5B">
        <w:t>S</w:t>
      </w:r>
      <w:r w:rsidR="00B97993" w:rsidRPr="000F0F5B">
        <w:t>horter PDS upon request</w:t>
      </w:r>
      <w:r w:rsidR="007E6AF6" w:rsidRPr="000F0F5B">
        <w:t xml:space="preserve"> for </w:t>
      </w:r>
      <w:r w:rsidR="0005269C" w:rsidRPr="000F0F5B">
        <w:t>S</w:t>
      </w:r>
      <w:r w:rsidR="007E6AF6" w:rsidRPr="000F0F5B">
        <w:t xml:space="preserve">horter PDSs </w:t>
      </w:r>
      <w:r w:rsidR="00911DF7" w:rsidRPr="000F0F5B">
        <w:t xml:space="preserve">in an electronic form </w:t>
      </w:r>
      <w:r w:rsidR="006C445E" w:rsidRPr="000F0F5B">
        <w:t xml:space="preserve">does not apply if </w:t>
      </w:r>
      <w:r w:rsidR="00911DF7" w:rsidRPr="000F0F5B">
        <w:t xml:space="preserve">some or </w:t>
      </w:r>
      <w:r w:rsidR="00D4275F" w:rsidRPr="000F0F5B">
        <w:t>a</w:t>
      </w:r>
      <w:r w:rsidR="00911DF7" w:rsidRPr="000F0F5B">
        <w:t xml:space="preserve">ll of the material </w:t>
      </w:r>
      <w:r w:rsidR="006C445E" w:rsidRPr="000F0F5B">
        <w:t xml:space="preserve">in the PDS is </w:t>
      </w:r>
      <w:r w:rsidR="0008283D" w:rsidRPr="000F0F5B">
        <w:t xml:space="preserve">not </w:t>
      </w:r>
      <w:r w:rsidR="00E740C0" w:rsidRPr="000F0F5B">
        <w:t>capable of printing</w:t>
      </w:r>
      <w:r w:rsidR="00643934" w:rsidRPr="000F0F5B">
        <w:t xml:space="preserve">, </w:t>
      </w:r>
      <w:r w:rsidR="0008283D" w:rsidRPr="000F0F5B">
        <w:t>provided conditions are met.</w:t>
      </w:r>
    </w:p>
    <w:p w14:paraId="2041D4C5" w14:textId="57FC1E50" w:rsidR="00CB72A2" w:rsidRDefault="00F64C8B" w:rsidP="0009165F">
      <w:pPr>
        <w:pStyle w:val="LI-BodyTextParaa"/>
        <w:ind w:left="567"/>
      </w:pPr>
      <w:r w:rsidRPr="000F0F5B">
        <w:t>4</w:t>
      </w:r>
      <w:r w:rsidR="0009165F" w:rsidRPr="000F0F5B">
        <w:t>.</w:t>
      </w:r>
      <w:r w:rsidR="0009165F" w:rsidRPr="000F0F5B">
        <w:tab/>
      </w:r>
      <w:r w:rsidR="00643934" w:rsidRPr="000F0F5B">
        <w:t xml:space="preserve">The </w:t>
      </w:r>
      <w:r w:rsidR="00922DD7" w:rsidRPr="000F0F5B">
        <w:t xml:space="preserve">Electronic Disclosure </w:t>
      </w:r>
      <w:r w:rsidR="00643934" w:rsidRPr="000F0F5B">
        <w:t xml:space="preserve">Instrument also </w:t>
      </w:r>
      <w:r w:rsidR="0063052E" w:rsidRPr="000F0F5B">
        <w:t>modif</w:t>
      </w:r>
      <w:r w:rsidR="00643934" w:rsidRPr="000F0F5B">
        <w:t>ies</w:t>
      </w:r>
      <w:r w:rsidR="0063052E" w:rsidRPr="000F0F5B">
        <w:t xml:space="preserve"> the </w:t>
      </w:r>
      <w:r w:rsidR="008D05E8" w:rsidRPr="000F0F5B">
        <w:t xml:space="preserve">provisions </w:t>
      </w:r>
      <w:r w:rsidR="00972064" w:rsidRPr="000F0F5B">
        <w:t>in the second column of Table</w:t>
      </w:r>
      <w:r w:rsidR="00972064">
        <w:t xml:space="preserve"> 2 </w:t>
      </w:r>
      <w:r w:rsidR="00A154A8">
        <w:t xml:space="preserve">so that </w:t>
      </w:r>
      <w:r w:rsidR="00A764E9">
        <w:t xml:space="preserve">the </w:t>
      </w:r>
      <w:r w:rsidR="008870B4">
        <w:t xml:space="preserve">requirements for </w:t>
      </w:r>
      <w:r w:rsidR="00A764E9">
        <w:t xml:space="preserve">the titles of disclosures listed in the first column of Table 2 </w:t>
      </w:r>
      <w:r w:rsidR="008870B4">
        <w:t xml:space="preserve">to be </w:t>
      </w:r>
      <w:r w:rsidR="00C31EB8">
        <w:t xml:space="preserve">on </w:t>
      </w:r>
      <w:r w:rsidR="00C45ABE">
        <w:t xml:space="preserve">the disclosure </w:t>
      </w:r>
      <w:r w:rsidR="00C31EB8">
        <w:t xml:space="preserve">cover or at or </w:t>
      </w:r>
      <w:r w:rsidR="00873650">
        <w:t xml:space="preserve">near </w:t>
      </w:r>
      <w:r w:rsidR="00C31EB8">
        <w:t>the front</w:t>
      </w:r>
      <w:r w:rsidR="00C45ABE">
        <w:t xml:space="preserve">, </w:t>
      </w:r>
      <w:r w:rsidR="00121767">
        <w:t xml:space="preserve">are </w:t>
      </w:r>
      <w:r w:rsidR="00002C74">
        <w:t xml:space="preserve">amended to permit disclosure </w:t>
      </w:r>
      <w:r w:rsidR="0016211D">
        <w:t>at the ‘beginning’ of the disclosure</w:t>
      </w:r>
      <w:r w:rsidR="00C31EB8">
        <w:t>.</w:t>
      </w:r>
    </w:p>
    <w:p w14:paraId="0E09262D" w14:textId="128D188B" w:rsidR="00CB72A2" w:rsidRDefault="00C31EB8" w:rsidP="00CB72A2">
      <w:pPr>
        <w:pStyle w:val="LI-BodyTextParaa"/>
        <w:ind w:left="567" w:firstLine="0"/>
      </w:pPr>
      <w:r>
        <w:t xml:space="preserve"> </w:t>
      </w:r>
      <w:r w:rsidR="00CB72A2" w:rsidRPr="005710EB">
        <w:rPr>
          <w:b/>
          <w:bCs/>
        </w:rPr>
        <w:t xml:space="preserve">Table </w:t>
      </w:r>
      <w:r w:rsidR="00CB72A2">
        <w:rPr>
          <w:b/>
          <w:bCs/>
        </w:rPr>
        <w:t>2</w:t>
      </w:r>
      <w:r w:rsidR="00CB72A2" w:rsidRPr="005710EB">
        <w:rPr>
          <w:b/>
          <w:bCs/>
        </w:rPr>
        <w:t>:</w:t>
      </w:r>
      <w:r w:rsidR="00CB72A2">
        <w:t xml:space="preserve"> Relevant </w:t>
      </w:r>
      <w:r w:rsidR="00DC6F53">
        <w:t xml:space="preserve">financial services </w:t>
      </w:r>
      <w:r w:rsidR="00CB72A2">
        <w:t>disclosures</w:t>
      </w:r>
    </w:p>
    <w:tbl>
      <w:tblPr>
        <w:tblStyle w:val="TableGrid"/>
        <w:tblW w:w="0" w:type="auto"/>
        <w:tblInd w:w="567" w:type="dxa"/>
        <w:tblLayout w:type="fixed"/>
        <w:tblLook w:val="04A0" w:firstRow="1" w:lastRow="0" w:firstColumn="1" w:lastColumn="0" w:noHBand="0" w:noVBand="1"/>
      </w:tblPr>
      <w:tblGrid>
        <w:gridCol w:w="5098"/>
        <w:gridCol w:w="2638"/>
      </w:tblGrid>
      <w:tr w:rsidR="000C20A6" w14:paraId="02D6548E" w14:textId="77777777" w:rsidTr="0071046E">
        <w:tc>
          <w:tcPr>
            <w:tcW w:w="5098" w:type="dxa"/>
          </w:tcPr>
          <w:p w14:paraId="100A5302" w14:textId="77777777" w:rsidR="00CB72A2" w:rsidRPr="005710EB" w:rsidRDefault="00CB72A2" w:rsidP="00B16EDC">
            <w:pPr>
              <w:pStyle w:val="LI-BodyTextParaa"/>
              <w:ind w:left="0" w:firstLine="0"/>
              <w:rPr>
                <w:b/>
                <w:bCs/>
              </w:rPr>
            </w:pPr>
            <w:r w:rsidRPr="005710EB">
              <w:rPr>
                <w:b/>
                <w:bCs/>
              </w:rPr>
              <w:t>Disclosure</w:t>
            </w:r>
          </w:p>
        </w:tc>
        <w:tc>
          <w:tcPr>
            <w:tcW w:w="2638" w:type="dxa"/>
          </w:tcPr>
          <w:p w14:paraId="771F3237" w14:textId="4045CB39" w:rsidR="00CB72A2" w:rsidRPr="005710EB" w:rsidRDefault="00473759" w:rsidP="00D30C1A">
            <w:pPr>
              <w:pStyle w:val="LI-BodyTextParaa"/>
              <w:ind w:left="0" w:firstLine="0"/>
              <w:jc w:val="center"/>
              <w:rPr>
                <w:b/>
                <w:bCs/>
              </w:rPr>
            </w:pPr>
            <w:r>
              <w:rPr>
                <w:b/>
                <w:bCs/>
              </w:rPr>
              <w:t>Modified provisions</w:t>
            </w:r>
          </w:p>
        </w:tc>
      </w:tr>
      <w:tr w:rsidR="000C20A6" w14:paraId="4F3701E4" w14:textId="77777777" w:rsidTr="0071046E">
        <w:tc>
          <w:tcPr>
            <w:tcW w:w="5098" w:type="dxa"/>
          </w:tcPr>
          <w:p w14:paraId="4CB477D2" w14:textId="50921C5A" w:rsidR="00CB72A2" w:rsidRDefault="00B974D5" w:rsidP="00B16EDC">
            <w:pPr>
              <w:pStyle w:val="LI-BodyTextParaa"/>
              <w:ind w:left="0" w:firstLine="0"/>
            </w:pPr>
            <w:r w:rsidRPr="00B974D5">
              <w:t>F</w:t>
            </w:r>
            <w:r w:rsidR="0085025E">
              <w:t>SG</w:t>
            </w:r>
            <w:r w:rsidR="00475A06">
              <w:t>s</w:t>
            </w:r>
          </w:p>
        </w:tc>
        <w:tc>
          <w:tcPr>
            <w:tcW w:w="2638" w:type="dxa"/>
          </w:tcPr>
          <w:p w14:paraId="42659CA3" w14:textId="2C27CE5D" w:rsidR="00CB72A2" w:rsidRDefault="00764BA3" w:rsidP="00B16EDC">
            <w:pPr>
              <w:pStyle w:val="LI-BodyTextParaa"/>
              <w:ind w:left="0" w:firstLine="0"/>
              <w:jc w:val="center"/>
            </w:pPr>
            <w:r>
              <w:t>s</w:t>
            </w:r>
            <w:r w:rsidR="004C62D1">
              <w:t>94</w:t>
            </w:r>
            <w:r w:rsidR="0085150B">
              <w:t>2</w:t>
            </w:r>
            <w:r w:rsidR="004C62D1">
              <w:t>A(1)</w:t>
            </w:r>
            <w:r>
              <w:t xml:space="preserve">; </w:t>
            </w:r>
            <w:r w:rsidR="007D59E4">
              <w:br/>
            </w:r>
            <w:r w:rsidR="00274690">
              <w:t>reg 7.7.03(6)(a) and 7.7.06(6)(a)</w:t>
            </w:r>
          </w:p>
        </w:tc>
      </w:tr>
      <w:tr w:rsidR="00D264BB" w14:paraId="27A6A6AF" w14:textId="77777777" w:rsidTr="0071046E">
        <w:tc>
          <w:tcPr>
            <w:tcW w:w="5098" w:type="dxa"/>
          </w:tcPr>
          <w:p w14:paraId="0C505828" w14:textId="63DD1C4A" w:rsidR="00CB72A2" w:rsidRDefault="00475A06" w:rsidP="00B16EDC">
            <w:pPr>
              <w:pStyle w:val="LI-BodyTextParaa"/>
              <w:ind w:left="0" w:firstLine="0"/>
            </w:pPr>
            <w:r w:rsidRPr="00475A06">
              <w:t>F</w:t>
            </w:r>
            <w:r w:rsidR="0085025E">
              <w:t>SGs</w:t>
            </w:r>
            <w:r w:rsidR="00B231C3">
              <w:t xml:space="preserve"> made up of 2 or more separate documents</w:t>
            </w:r>
          </w:p>
        </w:tc>
        <w:tc>
          <w:tcPr>
            <w:tcW w:w="2638" w:type="dxa"/>
          </w:tcPr>
          <w:p w14:paraId="01529F39" w14:textId="4CBD8B2E" w:rsidR="00CB72A2" w:rsidRDefault="00274690" w:rsidP="00B16EDC">
            <w:pPr>
              <w:pStyle w:val="LI-BodyTextParaa"/>
              <w:ind w:left="0" w:firstLine="0"/>
              <w:jc w:val="center"/>
            </w:pPr>
            <w:r>
              <w:t>s</w:t>
            </w:r>
            <w:r w:rsidR="004C62D1">
              <w:t>942D(2)</w:t>
            </w:r>
            <w:r w:rsidR="002518DF">
              <w:t xml:space="preserve"> and 942D(4)</w:t>
            </w:r>
          </w:p>
        </w:tc>
      </w:tr>
      <w:tr w:rsidR="00D264BB" w14:paraId="49352307" w14:textId="77777777" w:rsidTr="0071046E">
        <w:tc>
          <w:tcPr>
            <w:tcW w:w="5098" w:type="dxa"/>
          </w:tcPr>
          <w:p w14:paraId="09A8779B" w14:textId="0F1FE493" w:rsidR="00CB72A2" w:rsidRDefault="000C74F3" w:rsidP="00B16EDC">
            <w:pPr>
              <w:pStyle w:val="LI-BodyTextParaa"/>
              <w:ind w:left="0" w:firstLine="0"/>
            </w:pPr>
            <w:r w:rsidRPr="000C74F3">
              <w:t>Supplementary F</w:t>
            </w:r>
            <w:r w:rsidR="0085025E">
              <w:t>SGs</w:t>
            </w:r>
          </w:p>
        </w:tc>
        <w:tc>
          <w:tcPr>
            <w:tcW w:w="2638" w:type="dxa"/>
          </w:tcPr>
          <w:p w14:paraId="1F011B3A" w14:textId="6DBFAA03" w:rsidR="00CB72A2" w:rsidRDefault="00274690" w:rsidP="00B16EDC">
            <w:pPr>
              <w:pStyle w:val="LI-BodyTextParaa"/>
              <w:ind w:left="0" w:firstLine="0"/>
              <w:jc w:val="center"/>
            </w:pPr>
            <w:r>
              <w:t>s</w:t>
            </w:r>
            <w:r w:rsidR="004C62D1">
              <w:t>943B(1)</w:t>
            </w:r>
          </w:p>
        </w:tc>
      </w:tr>
      <w:tr w:rsidR="00D264BB" w14:paraId="75D0EBF7" w14:textId="77777777" w:rsidTr="0071046E">
        <w:tc>
          <w:tcPr>
            <w:tcW w:w="5098" w:type="dxa"/>
          </w:tcPr>
          <w:p w14:paraId="6C08197A" w14:textId="1B047346" w:rsidR="00CB72A2" w:rsidRDefault="004D7F26" w:rsidP="00B16EDC">
            <w:pPr>
              <w:pStyle w:val="LI-BodyTextParaa"/>
              <w:ind w:left="0" w:firstLine="0"/>
            </w:pPr>
            <w:r w:rsidRPr="004D7F26">
              <w:t>S</w:t>
            </w:r>
            <w:r w:rsidR="00621428">
              <w:t>O</w:t>
            </w:r>
            <w:r w:rsidR="0085025E">
              <w:t>As</w:t>
            </w:r>
          </w:p>
        </w:tc>
        <w:tc>
          <w:tcPr>
            <w:tcW w:w="2638" w:type="dxa"/>
          </w:tcPr>
          <w:p w14:paraId="0DC65AD4" w14:textId="3E96DAD0" w:rsidR="00CB72A2" w:rsidRDefault="00274690" w:rsidP="00B16EDC">
            <w:pPr>
              <w:pStyle w:val="LI-BodyTextParaa"/>
              <w:ind w:left="0" w:firstLine="0"/>
              <w:jc w:val="center"/>
            </w:pPr>
            <w:r>
              <w:t>s</w:t>
            </w:r>
            <w:r w:rsidR="004C62D1">
              <w:t>947A(1)</w:t>
            </w:r>
          </w:p>
        </w:tc>
      </w:tr>
      <w:tr w:rsidR="00DF2B07" w14:paraId="2416EC26" w14:textId="77777777" w:rsidTr="0071046E">
        <w:tc>
          <w:tcPr>
            <w:tcW w:w="5098" w:type="dxa"/>
          </w:tcPr>
          <w:p w14:paraId="196C1728" w14:textId="3C110F6B" w:rsidR="00DF2B07" w:rsidRPr="0057508B" w:rsidRDefault="00DF2B07" w:rsidP="00B16EDC">
            <w:pPr>
              <w:pStyle w:val="LI-BodyTextParaa"/>
              <w:ind w:left="0" w:firstLine="0"/>
            </w:pPr>
            <w:r>
              <w:t>Cash Settlement Fact Sheets</w:t>
            </w:r>
          </w:p>
        </w:tc>
        <w:tc>
          <w:tcPr>
            <w:tcW w:w="2638" w:type="dxa"/>
          </w:tcPr>
          <w:p w14:paraId="62C11386" w14:textId="69EEDEA1" w:rsidR="00DF2B07" w:rsidRDefault="00DF2B07" w:rsidP="00B16EDC">
            <w:pPr>
              <w:pStyle w:val="LI-BodyTextParaa"/>
              <w:ind w:left="0" w:firstLine="0"/>
              <w:jc w:val="center"/>
            </w:pPr>
            <w:r>
              <w:t>s948E(1)</w:t>
            </w:r>
          </w:p>
        </w:tc>
      </w:tr>
      <w:tr w:rsidR="00D264BB" w14:paraId="34262020" w14:textId="77777777" w:rsidTr="0071046E">
        <w:tc>
          <w:tcPr>
            <w:tcW w:w="5098" w:type="dxa"/>
          </w:tcPr>
          <w:p w14:paraId="7CB5E4E3" w14:textId="342C2266" w:rsidR="00CB72A2" w:rsidRDefault="0057508B" w:rsidP="00B16EDC">
            <w:pPr>
              <w:pStyle w:val="LI-BodyTextParaa"/>
              <w:ind w:left="0" w:firstLine="0"/>
            </w:pPr>
            <w:r w:rsidRPr="0057508B">
              <w:t>P</w:t>
            </w:r>
            <w:r w:rsidR="0085025E">
              <w:t>DSs</w:t>
            </w:r>
          </w:p>
        </w:tc>
        <w:tc>
          <w:tcPr>
            <w:tcW w:w="2638" w:type="dxa"/>
          </w:tcPr>
          <w:p w14:paraId="691AE1CE" w14:textId="2667F23C" w:rsidR="00CB72A2" w:rsidRDefault="00274690" w:rsidP="00B16EDC">
            <w:pPr>
              <w:pStyle w:val="LI-BodyTextParaa"/>
              <w:ind w:left="0" w:firstLine="0"/>
              <w:jc w:val="center"/>
            </w:pPr>
            <w:r>
              <w:t>s</w:t>
            </w:r>
            <w:r w:rsidR="004C62D1">
              <w:t>1013B(1)</w:t>
            </w:r>
            <w:r>
              <w:t xml:space="preserve">; </w:t>
            </w:r>
            <w:r w:rsidR="00593546">
              <w:br/>
            </w:r>
            <w:r>
              <w:t xml:space="preserve">reg </w:t>
            </w:r>
            <w:r w:rsidRPr="002543F4">
              <w:t>7.9.11E(3)(c)(ii), 7.9.11P(3)(c)(ii), 7.9.11X(3)(c)(ii) and 7.9.11.ZF(3)(c)(ii)</w:t>
            </w:r>
          </w:p>
        </w:tc>
      </w:tr>
      <w:tr w:rsidR="003F2E86" w14:paraId="5F5385FB" w14:textId="77777777" w:rsidTr="0071046E">
        <w:tc>
          <w:tcPr>
            <w:tcW w:w="5098" w:type="dxa"/>
          </w:tcPr>
          <w:p w14:paraId="56907CD9" w14:textId="07461C22" w:rsidR="003F2E86" w:rsidRDefault="00B822E0" w:rsidP="00B16EDC">
            <w:pPr>
              <w:pStyle w:val="LI-BodyTextParaa"/>
              <w:ind w:left="0" w:firstLine="0"/>
            </w:pPr>
            <w:r w:rsidRPr="0057508B">
              <w:t>P</w:t>
            </w:r>
            <w:r w:rsidR="0085025E">
              <w:t>DSs</w:t>
            </w:r>
            <w:r>
              <w:t xml:space="preserve"> made up of 2 or more separate documents</w:t>
            </w:r>
          </w:p>
        </w:tc>
        <w:tc>
          <w:tcPr>
            <w:tcW w:w="2638" w:type="dxa"/>
          </w:tcPr>
          <w:p w14:paraId="0012765D" w14:textId="0E0E6DE4" w:rsidR="003F2E86" w:rsidRDefault="00274690" w:rsidP="00B16EDC">
            <w:pPr>
              <w:pStyle w:val="LI-BodyTextParaa"/>
              <w:ind w:left="0" w:firstLine="0"/>
              <w:jc w:val="center"/>
            </w:pPr>
            <w:r>
              <w:t>s</w:t>
            </w:r>
            <w:r w:rsidR="004C62D1">
              <w:t>1013L(2)</w:t>
            </w:r>
            <w:r w:rsidR="002518DF">
              <w:t xml:space="preserve"> and 1013L(4)</w:t>
            </w:r>
          </w:p>
        </w:tc>
      </w:tr>
      <w:tr w:rsidR="003F2E86" w14:paraId="60447EAD" w14:textId="77777777" w:rsidTr="0071046E">
        <w:tc>
          <w:tcPr>
            <w:tcW w:w="5098" w:type="dxa"/>
          </w:tcPr>
          <w:p w14:paraId="260713BF" w14:textId="6F1BED1A" w:rsidR="003F2E86" w:rsidRDefault="00766261" w:rsidP="00B16EDC">
            <w:pPr>
              <w:pStyle w:val="LI-BodyTextParaa"/>
              <w:ind w:left="0" w:firstLine="0"/>
            </w:pPr>
            <w:r w:rsidRPr="00766261">
              <w:t>Supplementary P</w:t>
            </w:r>
            <w:r w:rsidR="0085025E">
              <w:t>DSs</w:t>
            </w:r>
          </w:p>
        </w:tc>
        <w:tc>
          <w:tcPr>
            <w:tcW w:w="2638" w:type="dxa"/>
          </w:tcPr>
          <w:p w14:paraId="788D500A" w14:textId="73D84CE5" w:rsidR="003F2E86" w:rsidRDefault="00274690" w:rsidP="00B16EDC">
            <w:pPr>
              <w:pStyle w:val="LI-BodyTextParaa"/>
              <w:ind w:left="0" w:firstLine="0"/>
              <w:jc w:val="center"/>
            </w:pPr>
            <w:r>
              <w:t>s</w:t>
            </w:r>
            <w:r w:rsidR="003049FA">
              <w:t>1014B(1)</w:t>
            </w:r>
          </w:p>
        </w:tc>
      </w:tr>
      <w:tr w:rsidR="004C62D1" w14:paraId="6A7C4370" w14:textId="77777777" w:rsidTr="0071046E">
        <w:tc>
          <w:tcPr>
            <w:tcW w:w="5098" w:type="dxa"/>
          </w:tcPr>
          <w:p w14:paraId="344CB21A" w14:textId="6AA6746B" w:rsidR="004C62D1" w:rsidRDefault="00766261" w:rsidP="00B16EDC">
            <w:pPr>
              <w:pStyle w:val="LI-BodyTextParaa"/>
              <w:ind w:left="0" w:firstLine="0"/>
            </w:pPr>
            <w:r w:rsidRPr="00766261">
              <w:lastRenderedPageBreak/>
              <w:t>Replacement P</w:t>
            </w:r>
            <w:r w:rsidR="0085025E">
              <w:t>DSs</w:t>
            </w:r>
          </w:p>
        </w:tc>
        <w:tc>
          <w:tcPr>
            <w:tcW w:w="2638" w:type="dxa"/>
          </w:tcPr>
          <w:p w14:paraId="7D596B74" w14:textId="1D456062" w:rsidR="004C62D1" w:rsidRDefault="00274690" w:rsidP="00B16EDC">
            <w:pPr>
              <w:pStyle w:val="LI-BodyTextParaa"/>
              <w:ind w:left="0" w:firstLine="0"/>
              <w:jc w:val="center"/>
            </w:pPr>
            <w:r>
              <w:t>s</w:t>
            </w:r>
            <w:r w:rsidR="003049FA">
              <w:t>1014K(2)</w:t>
            </w:r>
          </w:p>
        </w:tc>
      </w:tr>
      <w:tr w:rsidR="004C62D1" w14:paraId="43CE71E3" w14:textId="77777777" w:rsidTr="0071046E">
        <w:tc>
          <w:tcPr>
            <w:tcW w:w="5098" w:type="dxa"/>
          </w:tcPr>
          <w:p w14:paraId="3C341B18" w14:textId="6CD1AB67" w:rsidR="004C62D1" w:rsidRDefault="00063E83" w:rsidP="00B16EDC">
            <w:pPr>
              <w:pStyle w:val="LI-BodyTextParaa"/>
              <w:ind w:left="0" w:firstLine="0"/>
            </w:pPr>
            <w:r>
              <w:t xml:space="preserve">Short-Form </w:t>
            </w:r>
            <w:r w:rsidRPr="00766261">
              <w:t>P</w:t>
            </w:r>
            <w:r w:rsidR="0085025E">
              <w:t>DSs</w:t>
            </w:r>
          </w:p>
        </w:tc>
        <w:tc>
          <w:tcPr>
            <w:tcW w:w="2638" w:type="dxa"/>
          </w:tcPr>
          <w:p w14:paraId="360047C7" w14:textId="12E8AF5D" w:rsidR="004C62D1" w:rsidRDefault="00D30C1A" w:rsidP="00B16EDC">
            <w:pPr>
              <w:pStyle w:val="LI-BodyTextParaa"/>
              <w:ind w:left="0" w:firstLine="0"/>
              <w:jc w:val="center"/>
            </w:pPr>
            <w:r>
              <w:t>n</w:t>
            </w:r>
            <w:r w:rsidR="00D264BB">
              <w:t>otional 1017J(1)</w:t>
            </w:r>
            <w:r w:rsidR="00EC4F8B">
              <w:t>,</w:t>
            </w:r>
            <w:r w:rsidR="00D264BB">
              <w:t xml:space="preserve"> </w:t>
            </w:r>
            <w:r w:rsidR="00160E4E">
              <w:t>reg i</w:t>
            </w:r>
            <w:r w:rsidR="003049FA">
              <w:t>tem 3.1, Pt</w:t>
            </w:r>
            <w:r w:rsidR="0087705B">
              <w:t> </w:t>
            </w:r>
            <w:r w:rsidR="003049FA">
              <w:t>3, Sch 10BA</w:t>
            </w:r>
          </w:p>
        </w:tc>
      </w:tr>
      <w:tr w:rsidR="007D4DD1" w14:paraId="1675C265" w14:textId="77777777" w:rsidTr="0071046E">
        <w:tc>
          <w:tcPr>
            <w:tcW w:w="5098" w:type="dxa"/>
          </w:tcPr>
          <w:p w14:paraId="2643F600" w14:textId="7E3E7697" w:rsidR="007D4DD1" w:rsidRDefault="00EC4F8B" w:rsidP="007D4DD1">
            <w:pPr>
              <w:pStyle w:val="LI-BodyTextParaa"/>
              <w:ind w:left="0" w:firstLine="0"/>
            </w:pPr>
            <w:r w:rsidRPr="00766261">
              <w:t>Supplementary</w:t>
            </w:r>
            <w:r>
              <w:t xml:space="preserve"> Short-Form </w:t>
            </w:r>
            <w:r w:rsidRPr="00766261">
              <w:t>P</w:t>
            </w:r>
            <w:r w:rsidR="0085025E">
              <w:t>DSs</w:t>
            </w:r>
          </w:p>
        </w:tc>
        <w:tc>
          <w:tcPr>
            <w:tcW w:w="2638" w:type="dxa"/>
          </w:tcPr>
          <w:p w14:paraId="184126AF" w14:textId="040AF4E6" w:rsidR="007D4DD1" w:rsidRDefault="007D4DD1" w:rsidP="007D4DD1">
            <w:pPr>
              <w:pStyle w:val="LI-BodyTextParaa"/>
              <w:ind w:left="0" w:firstLine="0"/>
              <w:jc w:val="center"/>
            </w:pPr>
            <w:r>
              <w:t xml:space="preserve">notional 1017M(1), </w:t>
            </w:r>
            <w:r w:rsidR="00160E4E">
              <w:t>reg i</w:t>
            </w:r>
            <w:r>
              <w:t>tem 3.1, Pt 3, Sch 10BA</w:t>
            </w:r>
          </w:p>
        </w:tc>
      </w:tr>
      <w:tr w:rsidR="007D4DD1" w14:paraId="6E3A1D92" w14:textId="77777777" w:rsidTr="0071046E">
        <w:tc>
          <w:tcPr>
            <w:tcW w:w="5098" w:type="dxa"/>
          </w:tcPr>
          <w:p w14:paraId="17A3207A" w14:textId="4FAFFFBB" w:rsidR="007D4DD1" w:rsidRDefault="003B1325" w:rsidP="007D4DD1">
            <w:pPr>
              <w:pStyle w:val="LI-BodyTextParaa"/>
              <w:ind w:left="0" w:firstLine="0"/>
            </w:pPr>
            <w:r w:rsidRPr="003B1325">
              <w:t>Combined F</w:t>
            </w:r>
            <w:r w:rsidR="0085025E">
              <w:t>SG</w:t>
            </w:r>
            <w:r w:rsidRPr="003B1325">
              <w:t xml:space="preserve"> and P</w:t>
            </w:r>
            <w:r w:rsidR="0085025E">
              <w:t>DSs</w:t>
            </w:r>
          </w:p>
        </w:tc>
        <w:tc>
          <w:tcPr>
            <w:tcW w:w="2638" w:type="dxa"/>
          </w:tcPr>
          <w:p w14:paraId="6821A815" w14:textId="77E92A4D" w:rsidR="007D4DD1" w:rsidRDefault="007D4DD1" w:rsidP="007D4DD1">
            <w:pPr>
              <w:pStyle w:val="LI-BodyTextParaa"/>
              <w:ind w:left="0" w:firstLine="0"/>
              <w:jc w:val="center"/>
            </w:pPr>
            <w:r>
              <w:t>reg 7.7.08A(2)(c)</w:t>
            </w:r>
            <w:r w:rsidR="00BF7248">
              <w:t xml:space="preserve"> and 7.7.08A(3)(d)</w:t>
            </w:r>
          </w:p>
        </w:tc>
      </w:tr>
    </w:tbl>
    <w:p w14:paraId="090C11B2" w14:textId="4916A689" w:rsidR="00551B04" w:rsidRDefault="00F64C8B" w:rsidP="00470768">
      <w:pPr>
        <w:pStyle w:val="LI-BodyTextParaa"/>
        <w:ind w:left="567"/>
      </w:pPr>
      <w:r>
        <w:t>5</w:t>
      </w:r>
      <w:r w:rsidR="00346F7A">
        <w:t>.</w:t>
      </w:r>
      <w:r w:rsidR="00346F7A">
        <w:tab/>
      </w:r>
      <w:r w:rsidR="004E2611">
        <w:t xml:space="preserve">The </w:t>
      </w:r>
      <w:r w:rsidR="009968DD">
        <w:t xml:space="preserve">Electronic Disclosure </w:t>
      </w:r>
      <w:r w:rsidR="00346F7A">
        <w:t>I</w:t>
      </w:r>
      <w:r w:rsidR="00873650">
        <w:t xml:space="preserve">nstrument continues relief formerly </w:t>
      </w:r>
      <w:r w:rsidR="00346F7A">
        <w:t>provided in</w:t>
      </w:r>
      <w:r w:rsidR="00470768">
        <w:t xml:space="preserve"> </w:t>
      </w:r>
      <w:r w:rsidR="00470768" w:rsidRPr="008E3ED2">
        <w:rPr>
          <w:i/>
          <w:iCs/>
        </w:rPr>
        <w:t>ASIC Corporations (Facilitating Electronic Delivery of Financial Services Disclosure) Instrument 2015/647</w:t>
      </w:r>
      <w:r w:rsidR="00470768">
        <w:t xml:space="preserve"> (</w:t>
      </w:r>
      <w:r w:rsidR="00470768" w:rsidRPr="0005269C">
        <w:rPr>
          <w:b/>
          <w:bCs/>
          <w:i/>
          <w:iCs/>
        </w:rPr>
        <w:t>LI 2015/647</w:t>
      </w:r>
      <w:r w:rsidR="00470768">
        <w:t xml:space="preserve">) and </w:t>
      </w:r>
      <w:r w:rsidR="00470768" w:rsidRPr="008E3ED2">
        <w:rPr>
          <w:i/>
          <w:iCs/>
        </w:rPr>
        <w:t xml:space="preserve">ASIC </w:t>
      </w:r>
      <w:r w:rsidR="00160ABC" w:rsidRPr="008E3ED2">
        <w:rPr>
          <w:i/>
          <w:iCs/>
        </w:rPr>
        <w:t>Corporations (Removing Barriers to Electronic Disclosure) Instrument 2015/649</w:t>
      </w:r>
      <w:r w:rsidR="00160ABC" w:rsidRPr="00160ABC">
        <w:t xml:space="preserve"> </w:t>
      </w:r>
      <w:r w:rsidR="00470768">
        <w:t>(</w:t>
      </w:r>
      <w:r w:rsidR="00470768" w:rsidRPr="0005269C">
        <w:rPr>
          <w:b/>
          <w:bCs/>
          <w:i/>
          <w:iCs/>
        </w:rPr>
        <w:t>LI 20</w:t>
      </w:r>
      <w:r w:rsidR="00160ABC" w:rsidRPr="0005269C">
        <w:rPr>
          <w:b/>
          <w:bCs/>
          <w:i/>
          <w:iCs/>
        </w:rPr>
        <w:t>15</w:t>
      </w:r>
      <w:r w:rsidR="00470768" w:rsidRPr="0005269C">
        <w:rPr>
          <w:b/>
          <w:bCs/>
          <w:i/>
          <w:iCs/>
        </w:rPr>
        <w:t>/</w:t>
      </w:r>
      <w:r w:rsidR="008C696F" w:rsidRPr="0005269C">
        <w:rPr>
          <w:b/>
          <w:bCs/>
          <w:i/>
          <w:iCs/>
        </w:rPr>
        <w:t>649</w:t>
      </w:r>
      <w:r w:rsidR="00470768">
        <w:t xml:space="preserve">) </w:t>
      </w:r>
      <w:r w:rsidR="00707138">
        <w:t xml:space="preserve">which </w:t>
      </w:r>
      <w:r w:rsidR="00627215">
        <w:t xml:space="preserve">would </w:t>
      </w:r>
      <w:r w:rsidR="00467C96">
        <w:t xml:space="preserve">have </w:t>
      </w:r>
      <w:r w:rsidR="00627215">
        <w:t xml:space="preserve">otherwise </w:t>
      </w:r>
      <w:r w:rsidR="00707138">
        <w:t>sunset</w:t>
      </w:r>
      <w:r w:rsidR="001004E2">
        <w:t>ted</w:t>
      </w:r>
      <w:r w:rsidR="00707138">
        <w:t xml:space="preserve"> under section 50 of the </w:t>
      </w:r>
      <w:r w:rsidR="00707138">
        <w:rPr>
          <w:i/>
          <w:iCs/>
        </w:rPr>
        <w:t xml:space="preserve">Legislation Act 2003 </w:t>
      </w:r>
      <w:r w:rsidR="00EC15AE">
        <w:t>on 1 October 2025.</w:t>
      </w:r>
      <w:r w:rsidR="00BC6064">
        <w:t xml:space="preserve"> </w:t>
      </w:r>
    </w:p>
    <w:p w14:paraId="2822E7FB" w14:textId="37F29F8C" w:rsidR="00613C5B" w:rsidRDefault="00F64C8B" w:rsidP="00613C5B">
      <w:pPr>
        <w:pStyle w:val="LI-BodyTextParaa"/>
        <w:ind w:left="567"/>
        <w:rPr>
          <w:iCs/>
        </w:rPr>
      </w:pPr>
      <w:r>
        <w:t>6</w:t>
      </w:r>
      <w:r w:rsidR="00551B04">
        <w:t>.</w:t>
      </w:r>
      <w:r w:rsidR="00551B04">
        <w:tab/>
      </w:r>
      <w:r w:rsidR="00613C5B">
        <w:rPr>
          <w:bCs/>
        </w:rPr>
        <w:t xml:space="preserve">The Amendment and Repeal Instrument </w:t>
      </w:r>
      <w:r w:rsidR="00613C5B">
        <w:rPr>
          <w:iCs/>
        </w:rPr>
        <w:t xml:space="preserve">inserts references to </w:t>
      </w:r>
      <w:r w:rsidR="009F401D">
        <w:rPr>
          <w:iCs/>
        </w:rPr>
        <w:t xml:space="preserve">the Electronic Disclosure Instrument in place of </w:t>
      </w:r>
      <w:r w:rsidR="00274E8E" w:rsidRPr="00274E8E">
        <w:rPr>
          <w:iCs/>
        </w:rPr>
        <w:t>LI 2015/647</w:t>
      </w:r>
      <w:r w:rsidR="00613C5B">
        <w:rPr>
          <w:iCs/>
        </w:rPr>
        <w:t xml:space="preserve"> in the following instruments:</w:t>
      </w:r>
    </w:p>
    <w:p w14:paraId="5E2A40AE" w14:textId="77777777" w:rsidR="00613C5B" w:rsidRDefault="00613C5B" w:rsidP="00613C5B">
      <w:pPr>
        <w:pStyle w:val="LI-BodyTextParaa"/>
        <w:ind w:left="1134"/>
        <w:rPr>
          <w:i/>
        </w:rPr>
      </w:pPr>
      <w:r>
        <w:rPr>
          <w:iCs/>
        </w:rPr>
        <w:t>(a)</w:t>
      </w:r>
      <w:r>
        <w:rPr>
          <w:iCs/>
        </w:rPr>
        <w:tab/>
      </w:r>
      <w:r w:rsidRPr="00807EBF">
        <w:rPr>
          <w:i/>
        </w:rPr>
        <w:t>ASIC Corporations (31-day Notice Term Deposits) Instrument 2025/172</w:t>
      </w:r>
    </w:p>
    <w:p w14:paraId="16004268" w14:textId="1DE60B75" w:rsidR="00613C5B" w:rsidRDefault="00613C5B" w:rsidP="00613C5B">
      <w:pPr>
        <w:pStyle w:val="LI-BodyTextParaa"/>
        <w:ind w:left="1134"/>
        <w:rPr>
          <w:i/>
        </w:rPr>
      </w:pPr>
      <w:r>
        <w:rPr>
          <w:iCs/>
        </w:rPr>
        <w:t>(b)</w:t>
      </w:r>
      <w:r>
        <w:rPr>
          <w:iCs/>
        </w:rPr>
        <w:tab/>
      </w:r>
      <w:r w:rsidRPr="00807EBF">
        <w:rPr>
          <w:i/>
        </w:rPr>
        <w:t>ASIC Corporations (Application Form Requirements) Instrument 2017/241</w:t>
      </w:r>
    </w:p>
    <w:p w14:paraId="2300588A" w14:textId="77777777" w:rsidR="00613C5B" w:rsidRPr="00807EBF" w:rsidRDefault="00613C5B" w:rsidP="00613C5B">
      <w:pPr>
        <w:pStyle w:val="LI-BodyTextParaa"/>
        <w:ind w:left="1134"/>
        <w:rPr>
          <w:i/>
        </w:rPr>
      </w:pPr>
      <w:r>
        <w:rPr>
          <w:iCs/>
        </w:rPr>
        <w:t>(c)</w:t>
      </w:r>
      <w:r>
        <w:rPr>
          <w:iCs/>
        </w:rPr>
        <w:tab/>
      </w:r>
      <w:r w:rsidRPr="00807EBF">
        <w:rPr>
          <w:i/>
        </w:rPr>
        <w:t>ASIC Corporations (Share and Interest Sale Facilities) Instrument 2018/99</w:t>
      </w:r>
    </w:p>
    <w:p w14:paraId="510C8EA4" w14:textId="41C2AA7C" w:rsidR="00613C5B" w:rsidRDefault="001B4F53" w:rsidP="00613C5B">
      <w:pPr>
        <w:pStyle w:val="LI-BodyTextParaa"/>
        <w:ind w:left="567"/>
      </w:pPr>
      <w:r>
        <w:t>7</w:t>
      </w:r>
      <w:r w:rsidR="00613C5B">
        <w:t>.</w:t>
      </w:r>
      <w:r w:rsidR="00613C5B">
        <w:tab/>
        <w:t xml:space="preserve">The Amendment and Repeal Instrument replaces references to section 761A of the </w:t>
      </w:r>
      <w:r w:rsidR="00D050B4">
        <w:t xml:space="preserve">Corporations Act with section 9 </w:t>
      </w:r>
      <w:r w:rsidR="00613C5B">
        <w:t xml:space="preserve">as the location for the notional ‘nominated electronic means’ definition that </w:t>
      </w:r>
      <w:r w:rsidR="00EB244A">
        <w:t xml:space="preserve">the </w:t>
      </w:r>
      <w:r w:rsidR="00EB244A" w:rsidRPr="00595E37">
        <w:t xml:space="preserve">Electronic Disclosure Instrument </w:t>
      </w:r>
      <w:r w:rsidR="00613C5B">
        <w:t xml:space="preserve">inserts. This is because </w:t>
      </w:r>
      <w:r w:rsidR="00595E37">
        <w:t xml:space="preserve">the </w:t>
      </w:r>
      <w:r w:rsidR="00595E37" w:rsidRPr="00595E37">
        <w:t xml:space="preserve">Electronic Disclosure Instrument </w:t>
      </w:r>
      <w:r w:rsidR="00613C5B">
        <w:t xml:space="preserve">inserts the </w:t>
      </w:r>
      <w:r w:rsidR="006F1507">
        <w:t xml:space="preserve">notional </w:t>
      </w:r>
      <w:r w:rsidR="00613C5B">
        <w:t>definition into section 9 rather than section 761A.</w:t>
      </w:r>
    </w:p>
    <w:p w14:paraId="59A63C44" w14:textId="7D6BB4F0" w:rsidR="005D1FEA" w:rsidRDefault="005D1FEA" w:rsidP="00C002BA">
      <w:pPr>
        <w:pStyle w:val="LI-BodyTextParaa"/>
        <w:ind w:left="567"/>
        <w:rPr>
          <w:b/>
        </w:rPr>
      </w:pPr>
      <w:r>
        <w:rPr>
          <w:b/>
        </w:rPr>
        <w:t>Purpose of the instrument</w:t>
      </w:r>
      <w:r w:rsidR="005461CF">
        <w:rPr>
          <w:b/>
        </w:rPr>
        <w:t>s</w:t>
      </w:r>
    </w:p>
    <w:p w14:paraId="20CF4673" w14:textId="44CBE812" w:rsidR="004145AE" w:rsidRDefault="005C7362" w:rsidP="00263B14">
      <w:pPr>
        <w:pStyle w:val="LI-BodyTextParaa"/>
        <w:ind w:left="567"/>
      </w:pPr>
      <w:r>
        <w:t>8</w:t>
      </w:r>
      <w:r w:rsidR="00F03BB5">
        <w:t>.</w:t>
      </w:r>
      <w:r w:rsidR="005D1FEA">
        <w:tab/>
      </w:r>
      <w:r w:rsidR="00730208">
        <w:t xml:space="preserve">The purpose of the </w:t>
      </w:r>
      <w:r w:rsidR="00B7660C">
        <w:t xml:space="preserve">Electronic Disclosure </w:t>
      </w:r>
      <w:r w:rsidR="00125C5C" w:rsidRPr="00125C5C">
        <w:t xml:space="preserve">Instrument </w:t>
      </w:r>
      <w:r w:rsidR="00730208">
        <w:t>is to</w:t>
      </w:r>
      <w:r w:rsidR="00F00D28">
        <w:t xml:space="preserve"> </w:t>
      </w:r>
      <w:r w:rsidR="00ED364F">
        <w:t xml:space="preserve">modify the </w:t>
      </w:r>
      <w:r w:rsidR="00B7660C" w:rsidRPr="00B7660C">
        <w:t>Corporations Act</w:t>
      </w:r>
      <w:r w:rsidR="00B7660C" w:rsidRPr="00B7660C" w:rsidDel="00B7660C">
        <w:t xml:space="preserve"> </w:t>
      </w:r>
      <w:r w:rsidR="009E2DF7">
        <w:t xml:space="preserve">and </w:t>
      </w:r>
      <w:r>
        <w:t xml:space="preserve">Corporations Regulations </w:t>
      </w:r>
      <w:r w:rsidR="00F16A9C">
        <w:t xml:space="preserve">to include </w:t>
      </w:r>
      <w:r w:rsidR="00BC08E5">
        <w:t xml:space="preserve">further circumstances in which </w:t>
      </w:r>
      <w:r w:rsidR="00791DD0">
        <w:t xml:space="preserve">electronic </w:t>
      </w:r>
      <w:r w:rsidR="009B689B">
        <w:t xml:space="preserve">financial services </w:t>
      </w:r>
      <w:r w:rsidR="00791DD0">
        <w:t>disclosure</w:t>
      </w:r>
      <w:r w:rsidR="009B689B">
        <w:t>s can be provided. Affected disclosures include</w:t>
      </w:r>
      <w:r w:rsidR="00791DD0">
        <w:t xml:space="preserve"> PDSs, </w:t>
      </w:r>
      <w:r w:rsidR="00683F3F">
        <w:t>FSGs</w:t>
      </w:r>
      <w:r w:rsidR="00791DD0">
        <w:t xml:space="preserve">, </w:t>
      </w:r>
      <w:r w:rsidR="00BC08E5">
        <w:t>S</w:t>
      </w:r>
      <w:r w:rsidR="002219B8">
        <w:t>O</w:t>
      </w:r>
      <w:r w:rsidR="003476C3">
        <w:t>As</w:t>
      </w:r>
      <w:r w:rsidR="004145AE">
        <w:t xml:space="preserve">, </w:t>
      </w:r>
      <w:r w:rsidR="00007AE7">
        <w:t xml:space="preserve">Cash Settlement Fact Sheets, </w:t>
      </w:r>
      <w:r w:rsidR="00794B68">
        <w:t>P</w:t>
      </w:r>
      <w:r w:rsidR="00F009A4">
        <w:t xml:space="preserve">eriodic statements, </w:t>
      </w:r>
      <w:r w:rsidR="00794B68">
        <w:t xml:space="preserve">Significant </w:t>
      </w:r>
      <w:r w:rsidR="008546FE">
        <w:t>E</w:t>
      </w:r>
      <w:r w:rsidR="00794B68">
        <w:t xml:space="preserve">vent </w:t>
      </w:r>
      <w:r w:rsidR="008546FE">
        <w:t>N</w:t>
      </w:r>
      <w:r w:rsidR="00794B68">
        <w:t>otice</w:t>
      </w:r>
      <w:r w:rsidR="00B52158">
        <w:t>s</w:t>
      </w:r>
      <w:r w:rsidR="00FC4ABE">
        <w:t xml:space="preserve">, </w:t>
      </w:r>
      <w:r w:rsidR="00007AE7">
        <w:t xml:space="preserve">Fund </w:t>
      </w:r>
      <w:r w:rsidR="008546FE">
        <w:t>I</w:t>
      </w:r>
      <w:r w:rsidR="00007AE7">
        <w:t xml:space="preserve">nformation </w:t>
      </w:r>
      <w:r w:rsidR="00F924A0">
        <w:t xml:space="preserve">and </w:t>
      </w:r>
      <w:r w:rsidR="008546FE">
        <w:t>A</w:t>
      </w:r>
      <w:r w:rsidR="00F924A0">
        <w:t xml:space="preserve">dditional </w:t>
      </w:r>
      <w:r w:rsidR="008546FE">
        <w:t>I</w:t>
      </w:r>
      <w:r w:rsidR="00F924A0">
        <w:t>nformation</w:t>
      </w:r>
      <w:r w:rsidR="00234CB9">
        <w:t xml:space="preserve">. </w:t>
      </w:r>
    </w:p>
    <w:p w14:paraId="7195FF28" w14:textId="627D7AD8" w:rsidR="004A57FB" w:rsidRDefault="00F407E6" w:rsidP="00263B14">
      <w:pPr>
        <w:pStyle w:val="LI-BodyTextParaa"/>
        <w:ind w:left="567"/>
      </w:pPr>
      <w:r>
        <w:t>9</w:t>
      </w:r>
      <w:r w:rsidR="004145AE">
        <w:t>.</w:t>
      </w:r>
      <w:r w:rsidR="004145AE">
        <w:tab/>
        <w:t xml:space="preserve">The </w:t>
      </w:r>
      <w:r w:rsidR="00B94BBC">
        <w:t xml:space="preserve">Electronic Disclosure </w:t>
      </w:r>
      <w:r w:rsidR="004145AE">
        <w:t xml:space="preserve">Instrument </w:t>
      </w:r>
      <w:r w:rsidR="00AD3519">
        <w:t xml:space="preserve">permits affected financial services disclosures to be made available to a person, or the person’s agent, by a </w:t>
      </w:r>
      <w:r w:rsidR="00334161">
        <w:t>‘</w:t>
      </w:r>
      <w:r w:rsidR="00AD3519">
        <w:t>nominated electronic means</w:t>
      </w:r>
      <w:r w:rsidR="00334161">
        <w:t xml:space="preserve">’ and </w:t>
      </w:r>
      <w:r w:rsidR="007E5586">
        <w:t xml:space="preserve">inserts a </w:t>
      </w:r>
      <w:r w:rsidR="00D3607E">
        <w:t xml:space="preserve">notional </w:t>
      </w:r>
      <w:r w:rsidR="007E5586">
        <w:t>‘nominated electronic means’ definition into section 9 of the Corporations Act</w:t>
      </w:r>
      <w:r w:rsidR="00334161">
        <w:t xml:space="preserve">. </w:t>
      </w:r>
    </w:p>
    <w:p w14:paraId="158376CC" w14:textId="51AAD3A4" w:rsidR="00D7279E" w:rsidRDefault="00F74B8D" w:rsidP="00263B14">
      <w:pPr>
        <w:pStyle w:val="LI-BodyTextParaa"/>
        <w:ind w:left="567"/>
      </w:pPr>
      <w:r>
        <w:lastRenderedPageBreak/>
        <w:t>1</w:t>
      </w:r>
      <w:r w:rsidR="00EA053C">
        <w:t>0</w:t>
      </w:r>
      <w:r w:rsidR="004A57FB">
        <w:t>.</w:t>
      </w:r>
      <w:r w:rsidR="004A57FB">
        <w:tab/>
      </w:r>
      <w:r w:rsidR="00334161">
        <w:t xml:space="preserve">This definition </w:t>
      </w:r>
      <w:r w:rsidR="00415E39">
        <w:t xml:space="preserve">includes conditions that must be met before a disclosure will be considered to have been made available by nominated electronic means. </w:t>
      </w:r>
      <w:r w:rsidR="000C5118">
        <w:t>Th</w:t>
      </w:r>
      <w:r w:rsidR="004A57FB">
        <w:t xml:space="preserve">ese conditions are safeguards designed to ensure investors and consumers do not miss the opportunity to choose an alternative method of delivery. </w:t>
      </w:r>
      <w:r w:rsidR="00A76175" w:rsidRPr="00A76175">
        <w:t xml:space="preserve"> </w:t>
      </w:r>
    </w:p>
    <w:p w14:paraId="30BB1E5D" w14:textId="01954DCB" w:rsidR="00AB0603" w:rsidRDefault="00F74B8D" w:rsidP="00263B14">
      <w:pPr>
        <w:pStyle w:val="LI-BodyTextParaa"/>
        <w:ind w:left="567"/>
      </w:pPr>
      <w:r>
        <w:t>1</w:t>
      </w:r>
      <w:r w:rsidR="00EA053C">
        <w:t>1</w:t>
      </w:r>
      <w:r w:rsidR="00D7279E">
        <w:t>.</w:t>
      </w:r>
      <w:r w:rsidR="00D7279E">
        <w:tab/>
      </w:r>
      <w:r w:rsidR="00263B14">
        <w:t xml:space="preserve">The </w:t>
      </w:r>
      <w:r w:rsidR="00B94BBC">
        <w:t xml:space="preserve">Electronic Disclosure </w:t>
      </w:r>
      <w:r w:rsidR="00263B14">
        <w:t>Instrument</w:t>
      </w:r>
      <w:r w:rsidR="00011EF9" w:rsidRPr="00EF1573">
        <w:t xml:space="preserve"> </w:t>
      </w:r>
      <w:r w:rsidR="00EA31A5">
        <w:t xml:space="preserve">also </w:t>
      </w:r>
      <w:r w:rsidR="0067091B">
        <w:t xml:space="preserve">modifies the Corporations Act </w:t>
      </w:r>
      <w:r w:rsidR="00D3607E">
        <w:t xml:space="preserve">and Corporations Regulations to </w:t>
      </w:r>
      <w:r w:rsidR="00167823">
        <w:t xml:space="preserve">provide relief </w:t>
      </w:r>
      <w:r w:rsidR="005F21D5">
        <w:t xml:space="preserve">for electronic disclosures </w:t>
      </w:r>
      <w:r w:rsidR="00167823">
        <w:t xml:space="preserve">from </w:t>
      </w:r>
      <w:r w:rsidR="003751AB">
        <w:t>requirements</w:t>
      </w:r>
      <w:r w:rsidR="005F21D5">
        <w:t xml:space="preserve"> that would otherwise apply</w:t>
      </w:r>
      <w:r w:rsidR="00227E16">
        <w:t xml:space="preserve"> but be impractica</w:t>
      </w:r>
      <w:r w:rsidR="00FD36B2">
        <w:t>l</w:t>
      </w:r>
      <w:r w:rsidR="00BB07F3">
        <w:t xml:space="preserve">. </w:t>
      </w:r>
      <w:r w:rsidR="00AB0603">
        <w:t xml:space="preserve">These requirements relate to page length of </w:t>
      </w:r>
      <w:r w:rsidR="003F048B">
        <w:t>S</w:t>
      </w:r>
      <w:r w:rsidR="00AB0603">
        <w:t xml:space="preserve">horter PDSs, </w:t>
      </w:r>
      <w:r w:rsidR="00163126">
        <w:t xml:space="preserve">a requirement to provide </w:t>
      </w:r>
      <w:r w:rsidR="00AB0603">
        <w:t xml:space="preserve">copies of electronic disclosure documents on request and </w:t>
      </w:r>
      <w:r w:rsidR="00210B03">
        <w:t xml:space="preserve">requirements to place particular words on the cover, or at or near the front, </w:t>
      </w:r>
      <w:r w:rsidR="00AB0603">
        <w:t xml:space="preserve">of disclosure documents. </w:t>
      </w:r>
    </w:p>
    <w:p w14:paraId="29969B4A" w14:textId="1D86E6F0" w:rsidR="002535B3" w:rsidRDefault="0087705B" w:rsidP="00263B14">
      <w:pPr>
        <w:pStyle w:val="LI-BodyTextParaa"/>
        <w:ind w:left="567"/>
      </w:pPr>
      <w:r>
        <w:t>1</w:t>
      </w:r>
      <w:r w:rsidR="00EA053C">
        <w:t>2</w:t>
      </w:r>
      <w:r w:rsidR="00AB0603">
        <w:t>.</w:t>
      </w:r>
      <w:r w:rsidR="00AB0603">
        <w:tab/>
      </w:r>
      <w:r w:rsidR="00BB07F3">
        <w:t>The</w:t>
      </w:r>
      <w:r w:rsidR="00F24CEB">
        <w:t xml:space="preserve"> Corporations Act and Corporations Regulations do not require</w:t>
      </w:r>
      <w:r w:rsidR="00D83EA9">
        <w:t xml:space="preserve"> all products to have a disclosure document that is able to be print</w:t>
      </w:r>
      <w:r w:rsidR="00AB0603">
        <w:t>ed. This is a decision that each provider will have to make in the context of their clients’ preferences and their overr</w:t>
      </w:r>
      <w:r w:rsidR="00C41EE5">
        <w:t>iding obligations to provide clear, concise and effective disclosure.</w:t>
      </w:r>
      <w:r w:rsidR="00F24CEB">
        <w:t xml:space="preserve"> </w:t>
      </w:r>
    </w:p>
    <w:p w14:paraId="2886259F" w14:textId="18FBDE93" w:rsidR="0008013A" w:rsidRDefault="0008013A" w:rsidP="0008013A">
      <w:pPr>
        <w:pStyle w:val="LI-BodyTextParaa"/>
        <w:ind w:left="567"/>
      </w:pPr>
      <w:r>
        <w:rPr>
          <w:iCs/>
        </w:rPr>
        <w:t>1</w:t>
      </w:r>
      <w:r w:rsidR="00EA053C">
        <w:rPr>
          <w:iCs/>
        </w:rPr>
        <w:t>3</w:t>
      </w:r>
      <w:r>
        <w:rPr>
          <w:iCs/>
        </w:rPr>
        <w:t>.</w:t>
      </w:r>
      <w:r>
        <w:rPr>
          <w:iCs/>
        </w:rPr>
        <w:tab/>
        <w:t xml:space="preserve">The Electronic Disclosure Instrument maintains the policy settings under </w:t>
      </w:r>
      <w:r>
        <w:t>LI 2015/647 and LI 2015/649</w:t>
      </w:r>
      <w:r w:rsidR="00CF53B6">
        <w:t xml:space="preserve">. It extends </w:t>
      </w:r>
      <w:r w:rsidR="004D111B">
        <w:t xml:space="preserve">the </w:t>
      </w:r>
      <w:r w:rsidR="00CF53B6">
        <w:t xml:space="preserve">relief </w:t>
      </w:r>
      <w:r w:rsidR="004D111B">
        <w:t xml:space="preserve">formerly in LI 2015/649 </w:t>
      </w:r>
      <w:r w:rsidR="00CF53B6">
        <w:t>from the requirement</w:t>
      </w:r>
      <w:r w:rsidR="00F4149D">
        <w:t>s</w:t>
      </w:r>
      <w:r w:rsidR="00323CB2">
        <w:t xml:space="preserve"> for titles </w:t>
      </w:r>
      <w:r w:rsidR="00ED5DC6">
        <w:t>to appear on the cover</w:t>
      </w:r>
      <w:r w:rsidR="00C32F6F">
        <w:t xml:space="preserve"> of</w:t>
      </w:r>
      <w:r w:rsidR="00ED5DC6">
        <w:t>, or at or near the front</w:t>
      </w:r>
      <w:r w:rsidR="004D111B">
        <w:t xml:space="preserve"> of, relevant disclosures to </w:t>
      </w:r>
      <w:r w:rsidRPr="00A27495">
        <w:t>Cash Settlement Fact Sheets</w:t>
      </w:r>
      <w:r>
        <w:t>.</w:t>
      </w:r>
    </w:p>
    <w:p w14:paraId="7325253A" w14:textId="533470B5" w:rsidR="000D1673" w:rsidRDefault="000D1673" w:rsidP="00263B14">
      <w:pPr>
        <w:pStyle w:val="LI-BodyTextParaa"/>
        <w:ind w:left="567"/>
        <w:rPr>
          <w:iCs/>
        </w:rPr>
      </w:pPr>
      <w:r>
        <w:t>1</w:t>
      </w:r>
      <w:r w:rsidR="00EA053C">
        <w:t>4</w:t>
      </w:r>
      <w:r>
        <w:t>.</w:t>
      </w:r>
      <w:r>
        <w:tab/>
      </w:r>
      <w:r>
        <w:rPr>
          <w:iCs/>
        </w:rPr>
        <w:t xml:space="preserve">The purpose of the Amendment and Repeal Instrument is to make consequential amendments to ASIC </w:t>
      </w:r>
      <w:r w:rsidRPr="00D56336">
        <w:rPr>
          <w:iCs/>
        </w:rPr>
        <w:t xml:space="preserve">instruments </w:t>
      </w:r>
      <w:r w:rsidR="004670E5">
        <w:rPr>
          <w:iCs/>
        </w:rPr>
        <w:t xml:space="preserve">that cite </w:t>
      </w:r>
      <w:r w:rsidR="00363DBB">
        <w:rPr>
          <w:iCs/>
        </w:rPr>
        <w:t xml:space="preserve">LI </w:t>
      </w:r>
      <w:r w:rsidR="00144517">
        <w:rPr>
          <w:iCs/>
        </w:rPr>
        <w:t>2015/547</w:t>
      </w:r>
      <w:r w:rsidRPr="00D56336">
        <w:rPr>
          <w:iCs/>
        </w:rPr>
        <w:t xml:space="preserve"> </w:t>
      </w:r>
      <w:r w:rsidR="00FC0459">
        <w:rPr>
          <w:iCs/>
        </w:rPr>
        <w:t xml:space="preserve">so that the Electronic Disclosure Instrument is referenced, </w:t>
      </w:r>
      <w:r w:rsidRPr="00D56336">
        <w:rPr>
          <w:iCs/>
        </w:rPr>
        <w:t xml:space="preserve">and to repeal </w:t>
      </w:r>
      <w:r w:rsidR="00492388">
        <w:rPr>
          <w:iCs/>
        </w:rPr>
        <w:t>LI 2015/547 and LI 2015/549</w:t>
      </w:r>
      <w:r w:rsidRPr="00D56336">
        <w:rPr>
          <w:iCs/>
        </w:rPr>
        <w:t>.</w:t>
      </w:r>
    </w:p>
    <w:p w14:paraId="3FEFE29E" w14:textId="77777777" w:rsidR="009A3F74" w:rsidRDefault="009A3F74" w:rsidP="006D6079">
      <w:pPr>
        <w:pStyle w:val="LI-BodyTextNumbered"/>
        <w:keepNext/>
        <w:ind w:left="0" w:firstLine="0"/>
        <w:rPr>
          <w:b/>
        </w:rPr>
      </w:pPr>
      <w:r>
        <w:rPr>
          <w:b/>
        </w:rPr>
        <w:t>Consultation</w:t>
      </w:r>
    </w:p>
    <w:p w14:paraId="20AFC9E1" w14:textId="052FBEBA" w:rsidR="0048724A" w:rsidRDefault="0087705B" w:rsidP="004716EF">
      <w:pPr>
        <w:pStyle w:val="LI-BodyTextParaa"/>
        <w:ind w:left="720" w:hanging="720"/>
      </w:pPr>
      <w:r>
        <w:t>1</w:t>
      </w:r>
      <w:r w:rsidR="00EA053C">
        <w:t>5</w:t>
      </w:r>
      <w:r w:rsidR="003271DE">
        <w:t>.</w:t>
      </w:r>
      <w:r w:rsidR="0065301E">
        <w:tab/>
      </w:r>
      <w:r w:rsidR="00410F7B">
        <w:t xml:space="preserve">ASIC </w:t>
      </w:r>
      <w:r w:rsidR="00EA3C08">
        <w:t xml:space="preserve">consulted on its proposal to remake the relief formerly </w:t>
      </w:r>
      <w:r w:rsidR="0007735A">
        <w:t xml:space="preserve">in </w:t>
      </w:r>
      <w:r w:rsidR="00245EAB" w:rsidRPr="00245EAB">
        <w:t>LI 2015/647</w:t>
      </w:r>
      <w:r w:rsidR="00245EAB">
        <w:t xml:space="preserve"> </w:t>
      </w:r>
      <w:r w:rsidR="00900E35">
        <w:t xml:space="preserve">and </w:t>
      </w:r>
      <w:r w:rsidR="00900E35" w:rsidRPr="003271DE">
        <w:t xml:space="preserve">LI 2015/649 </w:t>
      </w:r>
      <w:r w:rsidR="00245EAB" w:rsidRPr="00245EAB">
        <w:t>for a period of five years.</w:t>
      </w:r>
      <w:r w:rsidR="00EA32C9">
        <w:t xml:space="preserve"> </w:t>
      </w:r>
      <w:r w:rsidR="00EF6503">
        <w:t xml:space="preserve">On </w:t>
      </w:r>
      <w:r w:rsidR="00126704">
        <w:t>9 July 2025, ASIC issued a news item announcing its proposal to remake the relief</w:t>
      </w:r>
      <w:r w:rsidR="006D41FC">
        <w:t xml:space="preserve"> and seeking comment</w:t>
      </w:r>
      <w:r w:rsidR="00EA7306">
        <w:t xml:space="preserve">. ASIC noted </w:t>
      </w:r>
      <w:r w:rsidR="00C012EB">
        <w:t xml:space="preserve">that it had assessed that the instruments </w:t>
      </w:r>
      <w:r w:rsidR="00EA7306">
        <w:t>we</w:t>
      </w:r>
      <w:r w:rsidR="00C012EB">
        <w:t xml:space="preserve">re operating effectively and efficiently and continued to form a necessary and useful part of the legislative framework. </w:t>
      </w:r>
    </w:p>
    <w:p w14:paraId="6C267D3F" w14:textId="12F2CC70" w:rsidR="00CB70CE" w:rsidRDefault="0048724A" w:rsidP="004716EF">
      <w:pPr>
        <w:pStyle w:val="LI-BodyTextParaa"/>
        <w:ind w:left="720" w:hanging="720"/>
      </w:pPr>
      <w:r>
        <w:t>1</w:t>
      </w:r>
      <w:r w:rsidR="00EA053C">
        <w:t>6</w:t>
      </w:r>
      <w:r>
        <w:t>.</w:t>
      </w:r>
      <w:r>
        <w:tab/>
      </w:r>
      <w:r w:rsidR="00C012EB">
        <w:t xml:space="preserve">ASIC received </w:t>
      </w:r>
      <w:r>
        <w:t>five</w:t>
      </w:r>
      <w:r w:rsidR="00633801">
        <w:t xml:space="preserve"> </w:t>
      </w:r>
      <w:r w:rsidR="00CF7438">
        <w:t>submissions</w:t>
      </w:r>
      <w:r w:rsidR="004D5866">
        <w:t xml:space="preserve"> </w:t>
      </w:r>
      <w:r w:rsidR="00B45A3D">
        <w:t xml:space="preserve">that provided feedback on our proposal to remake the </w:t>
      </w:r>
      <w:r w:rsidR="00CB0854">
        <w:t>relief</w:t>
      </w:r>
      <w:r w:rsidR="000C7C4E">
        <w:t xml:space="preserve"> and none opposed our proposal</w:t>
      </w:r>
      <w:r w:rsidR="00FC2795">
        <w:t xml:space="preserve">. </w:t>
      </w:r>
      <w:r w:rsidR="004A3679">
        <w:t xml:space="preserve">Submissions called for incorporation of the relief into the primary law and </w:t>
      </w:r>
      <w:r w:rsidR="000C7C4E">
        <w:t xml:space="preserve">for </w:t>
      </w:r>
      <w:r w:rsidR="004A3679">
        <w:t xml:space="preserve">like relief from obligations under the </w:t>
      </w:r>
      <w:r w:rsidR="004A3679">
        <w:rPr>
          <w:i/>
          <w:iCs/>
        </w:rPr>
        <w:t>Insurance Contracts Act 1984</w:t>
      </w:r>
      <w:r w:rsidR="0077687F">
        <w:t xml:space="preserve">. There was also feedback </w:t>
      </w:r>
      <w:r w:rsidR="009C7E26">
        <w:t xml:space="preserve">advocating </w:t>
      </w:r>
      <w:r w:rsidR="00831F69">
        <w:t xml:space="preserve">for simpler relief and further guidance </w:t>
      </w:r>
      <w:r w:rsidR="0094642A">
        <w:t xml:space="preserve">about which products or services the relief applies to and </w:t>
      </w:r>
      <w:r w:rsidR="00BC4AEE">
        <w:t>its interactions. In response, we have included further guidance about those topics in this explanatory statement</w:t>
      </w:r>
      <w:r w:rsidR="0079717F">
        <w:t xml:space="preserve"> (see</w:t>
      </w:r>
      <w:r w:rsidR="005F2E57">
        <w:t xml:space="preserve"> in</w:t>
      </w:r>
      <w:r w:rsidR="0079717F">
        <w:t xml:space="preserve"> the Summary above)</w:t>
      </w:r>
      <w:r w:rsidR="00531BF8">
        <w:t xml:space="preserve">. </w:t>
      </w:r>
      <w:r w:rsidR="007405A5" w:rsidRPr="007405A5">
        <w:t>The suggestions for further reform have been raised with the Treasury.</w:t>
      </w:r>
    </w:p>
    <w:p w14:paraId="19EC7D38" w14:textId="2D5D932D" w:rsidR="00EA474D" w:rsidRPr="00EA474D" w:rsidRDefault="00CB70CE" w:rsidP="004716EF">
      <w:pPr>
        <w:pStyle w:val="LI-BodyTextParaa"/>
        <w:ind w:left="720" w:hanging="720"/>
      </w:pPr>
      <w:r w:rsidRPr="00CB70CE">
        <w:t xml:space="preserve"> </w:t>
      </w:r>
      <w:r>
        <w:t>1</w:t>
      </w:r>
      <w:r w:rsidR="00EA053C">
        <w:t>7</w:t>
      </w:r>
      <w:r>
        <w:t>.</w:t>
      </w:r>
      <w:r>
        <w:tab/>
        <w:t xml:space="preserve">ASIC </w:t>
      </w:r>
      <w:r w:rsidR="004D111B">
        <w:t>did not consult</w:t>
      </w:r>
      <w:r>
        <w:t xml:space="preserve"> on the Amendment and Repeal Instrument on the basis that it only makes simple consequential amendments to ASIC instruments and repeals ASIC instruments that were due to expire.</w:t>
      </w:r>
    </w:p>
    <w:p w14:paraId="4CDCC6BF" w14:textId="77777777" w:rsidR="005D1FEA" w:rsidRDefault="005D1FEA" w:rsidP="006D6079">
      <w:pPr>
        <w:pStyle w:val="LI-BodyTextNumbered"/>
        <w:keepNext/>
        <w:ind w:left="0" w:firstLine="0"/>
        <w:rPr>
          <w:b/>
        </w:rPr>
      </w:pPr>
      <w:r>
        <w:rPr>
          <w:b/>
        </w:rPr>
        <w:lastRenderedPageBreak/>
        <w:t>Operation of the instrument</w:t>
      </w:r>
    </w:p>
    <w:p w14:paraId="4E24D33D" w14:textId="3E331195" w:rsidR="009D27DB" w:rsidRPr="00797BEE" w:rsidRDefault="009D27DB" w:rsidP="006D6079">
      <w:pPr>
        <w:pStyle w:val="LI-BodyTextNumbered"/>
        <w:keepNext/>
        <w:ind w:left="0" w:firstLine="0"/>
        <w:rPr>
          <w:b/>
          <w:i/>
          <w:iCs/>
        </w:rPr>
      </w:pPr>
      <w:r w:rsidRPr="00797BEE">
        <w:rPr>
          <w:b/>
          <w:i/>
          <w:iCs/>
        </w:rPr>
        <w:t>Electronic Disclosure Instrument</w:t>
      </w:r>
    </w:p>
    <w:p w14:paraId="67CB36B8" w14:textId="0570AC74" w:rsidR="00D91D7F" w:rsidRPr="00D91D7F" w:rsidRDefault="00D91D7F" w:rsidP="00D91D7F">
      <w:pPr>
        <w:pStyle w:val="LI-BodyTextParaa"/>
        <w:ind w:left="567"/>
      </w:pPr>
      <w:r w:rsidRPr="00D91D7F">
        <w:rPr>
          <w:u w:val="single"/>
        </w:rPr>
        <w:t>Part 1 – Preliminary </w:t>
      </w:r>
      <w:r w:rsidRPr="00D91D7F">
        <w:t> </w:t>
      </w:r>
    </w:p>
    <w:p w14:paraId="4DA4CF8F" w14:textId="058603D7" w:rsidR="00D91D7F" w:rsidRPr="00D91D7F" w:rsidRDefault="00EA053C" w:rsidP="00D91D7F">
      <w:pPr>
        <w:pStyle w:val="LI-BodyTextParaa"/>
        <w:ind w:left="567"/>
      </w:pPr>
      <w:r>
        <w:t>1</w:t>
      </w:r>
      <w:r w:rsidR="001122A2">
        <w:t>8</w:t>
      </w:r>
      <w:r w:rsidR="00D91D7F" w:rsidRPr="00D91D7F">
        <w:t>.</w:t>
      </w:r>
      <w:r w:rsidR="00F64C8B">
        <w:tab/>
      </w:r>
      <w:r w:rsidR="00D91D7F" w:rsidRPr="00D91D7F">
        <w:t xml:space="preserve">Section </w:t>
      </w:r>
      <w:r w:rsidR="001122A2">
        <w:t>1</w:t>
      </w:r>
      <w:r w:rsidR="00D91D7F" w:rsidRPr="00D91D7F">
        <w:t xml:space="preserve"> </w:t>
      </w:r>
      <w:r w:rsidR="0016129A">
        <w:t xml:space="preserve">of the </w:t>
      </w:r>
      <w:r w:rsidR="0091629E" w:rsidRPr="0091629E">
        <w:t xml:space="preserve">Electronic Disclosure </w:t>
      </w:r>
      <w:r w:rsidR="0016129A">
        <w:t>Instrument specifies its name</w:t>
      </w:r>
      <w:r w:rsidR="00D91D7F" w:rsidRPr="00D91D7F">
        <w:t>.  </w:t>
      </w:r>
    </w:p>
    <w:p w14:paraId="48F5DEB4" w14:textId="4A84EC2F" w:rsidR="00A94F4F" w:rsidRDefault="001122A2" w:rsidP="00D91D7F">
      <w:pPr>
        <w:pStyle w:val="LI-BodyTextParaa"/>
        <w:ind w:left="567"/>
      </w:pPr>
      <w:r>
        <w:t>19</w:t>
      </w:r>
      <w:r w:rsidR="00D91D7F" w:rsidRPr="00D91D7F">
        <w:t>.</w:t>
      </w:r>
      <w:r w:rsidR="00D91D7F" w:rsidRPr="00D91D7F">
        <w:tab/>
        <w:t xml:space="preserve">Section </w:t>
      </w:r>
      <w:r>
        <w:t>2</w:t>
      </w:r>
      <w:r w:rsidR="00D91D7F" w:rsidRPr="00D91D7F">
        <w:t xml:space="preserve"> </w:t>
      </w:r>
      <w:r w:rsidR="0016129A">
        <w:t xml:space="preserve">of the </w:t>
      </w:r>
      <w:r w:rsidR="0091629E" w:rsidRPr="0091629E">
        <w:t xml:space="preserve">Electronic Disclosure </w:t>
      </w:r>
      <w:r w:rsidR="0016129A">
        <w:t xml:space="preserve">Instrument </w:t>
      </w:r>
      <w:r w:rsidR="00D91D7F" w:rsidRPr="00D91D7F">
        <w:t xml:space="preserve">provides that </w:t>
      </w:r>
      <w:r w:rsidR="0016129A">
        <w:t xml:space="preserve">it </w:t>
      </w:r>
      <w:r w:rsidR="00A94F4F" w:rsidRPr="00D91D7F">
        <w:t>commences on the day after it is registered on the Federal Register of Legislation</w:t>
      </w:r>
      <w:r w:rsidR="00200D8D">
        <w:t xml:space="preserve">. The </w:t>
      </w:r>
      <w:r w:rsidR="0091629E" w:rsidRPr="0091629E">
        <w:t xml:space="preserve">Electronic Disclosure </w:t>
      </w:r>
      <w:r w:rsidR="00200D8D">
        <w:t>Instrument does not have retrospective application.</w:t>
      </w:r>
      <w:r w:rsidR="00A94F4F" w:rsidRPr="00D91D7F">
        <w:t xml:space="preserve"> </w:t>
      </w:r>
    </w:p>
    <w:p w14:paraId="46BB7133" w14:textId="1E638C94" w:rsidR="00D91D7F" w:rsidRPr="00D91D7F" w:rsidRDefault="00674297" w:rsidP="00D91D7F">
      <w:pPr>
        <w:pStyle w:val="LI-BodyTextParaa"/>
        <w:ind w:left="567"/>
      </w:pPr>
      <w:r>
        <w:t>2</w:t>
      </w:r>
      <w:r w:rsidR="001122A2">
        <w:t>0</w:t>
      </w:r>
      <w:r w:rsidR="00CB4A47">
        <w:t>.</w:t>
      </w:r>
      <w:r w:rsidR="00CB4A47">
        <w:tab/>
        <w:t xml:space="preserve">Section </w:t>
      </w:r>
      <w:r w:rsidR="001122A2">
        <w:t>3</w:t>
      </w:r>
      <w:r w:rsidR="00CB4A47">
        <w:t xml:space="preserve"> </w:t>
      </w:r>
      <w:r w:rsidR="0016129A">
        <w:t xml:space="preserve">of the </w:t>
      </w:r>
      <w:r w:rsidR="0091629E" w:rsidRPr="0091629E">
        <w:t xml:space="preserve">Electronic Disclosure </w:t>
      </w:r>
      <w:r w:rsidR="0016129A">
        <w:t xml:space="preserve">Instrument </w:t>
      </w:r>
      <w:r w:rsidR="006E3E8C">
        <w:t xml:space="preserve">provides that </w:t>
      </w:r>
      <w:r w:rsidR="0016129A">
        <w:t xml:space="preserve">it </w:t>
      </w:r>
      <w:r w:rsidR="00D91D7F" w:rsidRPr="00D91D7F">
        <w:t xml:space="preserve">is made under </w:t>
      </w:r>
      <w:r w:rsidR="00E81DB5" w:rsidRPr="00E81DB5">
        <w:t xml:space="preserve">paragraphs 951B(1)(c) and 1020F(1)(c) of the </w:t>
      </w:r>
      <w:r w:rsidR="006E3E8C">
        <w:t>Corporations Act</w:t>
      </w:r>
      <w:r w:rsidR="00D91D7F" w:rsidRPr="00D91D7F">
        <w:rPr>
          <w:i/>
          <w:iCs/>
        </w:rPr>
        <w:t>. </w:t>
      </w:r>
      <w:r w:rsidR="00D91D7F" w:rsidRPr="00D91D7F">
        <w:t>  </w:t>
      </w:r>
    </w:p>
    <w:p w14:paraId="719776E2" w14:textId="728A46BF" w:rsidR="00C01D8B" w:rsidRPr="00D91D7F" w:rsidRDefault="001122A2" w:rsidP="00C01D8B">
      <w:pPr>
        <w:pStyle w:val="LI-BodyTextParaa"/>
        <w:ind w:left="567"/>
      </w:pPr>
      <w:r>
        <w:t>2</w:t>
      </w:r>
      <w:r w:rsidR="00C01D8B">
        <w:t>1</w:t>
      </w:r>
      <w:r w:rsidR="00C01D8B" w:rsidRPr="00D91D7F">
        <w:t>.</w:t>
      </w:r>
      <w:r w:rsidR="00C01D8B" w:rsidRPr="00D91D7F">
        <w:tab/>
        <w:t xml:space="preserve">Section </w:t>
      </w:r>
      <w:r>
        <w:t>4</w:t>
      </w:r>
      <w:r w:rsidR="00C01D8B">
        <w:t xml:space="preserve"> of the </w:t>
      </w:r>
      <w:r w:rsidR="00C01D8B" w:rsidRPr="0091629E">
        <w:t xml:space="preserve">Electronic Disclosure </w:t>
      </w:r>
      <w:r w:rsidR="00C01D8B">
        <w:t xml:space="preserve">Instrument provides a simplified outline for the </w:t>
      </w:r>
      <w:r w:rsidR="00C01D8B" w:rsidRPr="0091629E">
        <w:t xml:space="preserve">Electronic Disclosure </w:t>
      </w:r>
      <w:r w:rsidR="00C01D8B">
        <w:t>Instrument to aid understanding.</w:t>
      </w:r>
      <w:r w:rsidR="00C01D8B" w:rsidRPr="00D91D7F">
        <w:t> </w:t>
      </w:r>
      <w:r w:rsidR="00C01D8B">
        <w:t>However, the outline is not intended to be comprehensive, and readers should rely on the substantive provisions of the Electronic Disclosure Instrument when considering its effect.</w:t>
      </w:r>
    </w:p>
    <w:p w14:paraId="1FF2799C" w14:textId="723AB9BC" w:rsidR="00D91D7F" w:rsidRPr="00D91D7F" w:rsidRDefault="00674297" w:rsidP="00D91D7F">
      <w:pPr>
        <w:pStyle w:val="LI-BodyTextParaa"/>
        <w:ind w:left="567"/>
      </w:pPr>
      <w:r>
        <w:t>22</w:t>
      </w:r>
      <w:r w:rsidR="00D91D7F" w:rsidRPr="00D91D7F">
        <w:t>.</w:t>
      </w:r>
      <w:r w:rsidR="00D91D7F" w:rsidRPr="00D91D7F">
        <w:tab/>
        <w:t xml:space="preserve">Section </w:t>
      </w:r>
      <w:r w:rsidR="005B213A">
        <w:t>5</w:t>
      </w:r>
      <w:r w:rsidR="00D91D7F" w:rsidRPr="00D91D7F">
        <w:t xml:space="preserve"> </w:t>
      </w:r>
      <w:r w:rsidR="0016129A">
        <w:t xml:space="preserve">of the </w:t>
      </w:r>
      <w:r w:rsidR="0091629E" w:rsidRPr="0091629E">
        <w:t xml:space="preserve">Electronic Disclosure </w:t>
      </w:r>
      <w:r w:rsidR="0016129A">
        <w:t xml:space="preserve">Instrument </w:t>
      </w:r>
      <w:r w:rsidR="001D74E6">
        <w:t xml:space="preserve">sets out </w:t>
      </w:r>
      <w:r w:rsidR="00E1690B">
        <w:t xml:space="preserve">its </w:t>
      </w:r>
      <w:r w:rsidR="001D74E6">
        <w:t>definitions</w:t>
      </w:r>
      <w:r w:rsidR="00F408BC">
        <w:t xml:space="preserve">. </w:t>
      </w:r>
    </w:p>
    <w:p w14:paraId="1E02F32E" w14:textId="51F445DA" w:rsidR="00214C85" w:rsidRDefault="00DD3B3C" w:rsidP="00214C85">
      <w:pPr>
        <w:pStyle w:val="LI-BodyTextParaa"/>
        <w:ind w:left="567"/>
      </w:pPr>
      <w:r>
        <w:rPr>
          <w:u w:val="single"/>
        </w:rPr>
        <w:t xml:space="preserve">Part </w:t>
      </w:r>
      <w:r w:rsidR="0076687E">
        <w:rPr>
          <w:u w:val="single"/>
        </w:rPr>
        <w:t>2</w:t>
      </w:r>
      <w:r>
        <w:rPr>
          <w:u w:val="single"/>
        </w:rPr>
        <w:t xml:space="preserve"> </w:t>
      </w:r>
      <w:r w:rsidR="00411847">
        <w:rPr>
          <w:u w:val="single"/>
        </w:rPr>
        <w:t>–</w:t>
      </w:r>
      <w:r>
        <w:rPr>
          <w:u w:val="single"/>
        </w:rPr>
        <w:t xml:space="preserve"> Declaration</w:t>
      </w:r>
      <w:r w:rsidR="00411847">
        <w:rPr>
          <w:u w:val="single"/>
        </w:rPr>
        <w:t>s facilitating electronic delivery</w:t>
      </w:r>
      <w:r w:rsidR="00214C85" w:rsidRPr="00214C85">
        <w:rPr>
          <w:u w:val="single"/>
        </w:rPr>
        <w:t> </w:t>
      </w:r>
      <w:r w:rsidR="00214C85" w:rsidRPr="00214C85">
        <w:t> </w:t>
      </w:r>
    </w:p>
    <w:p w14:paraId="2000A252" w14:textId="23288D0C" w:rsidR="008546FE" w:rsidRDefault="00674297" w:rsidP="00214C85">
      <w:pPr>
        <w:pStyle w:val="LI-BodyTextParaa"/>
        <w:ind w:left="567"/>
      </w:pPr>
      <w:r>
        <w:t>23</w:t>
      </w:r>
      <w:r w:rsidR="00214C85" w:rsidRPr="00214C85">
        <w:t>.</w:t>
      </w:r>
      <w:r w:rsidR="00214C85" w:rsidRPr="00214C85">
        <w:tab/>
      </w:r>
      <w:r w:rsidR="008546FE">
        <w:t xml:space="preserve">Section 6 of the Electronic Disclosure Instrument </w:t>
      </w:r>
      <w:r w:rsidR="00411847">
        <w:t>contains</w:t>
      </w:r>
      <w:r w:rsidR="008546FE">
        <w:t xml:space="preserve"> a simplified outline for Part 2 of the instrument which provides relief formerly in LI 2015/647.</w:t>
      </w:r>
    </w:p>
    <w:p w14:paraId="7237F19E" w14:textId="0B4C1A91" w:rsidR="00214C85" w:rsidRDefault="008546FE" w:rsidP="00214C85">
      <w:pPr>
        <w:pStyle w:val="LI-BodyTextParaa"/>
        <w:ind w:left="567"/>
      </w:pPr>
      <w:r>
        <w:t>24.</w:t>
      </w:r>
      <w:r>
        <w:tab/>
      </w:r>
      <w:r w:rsidR="008E1B77">
        <w:t xml:space="preserve">Section </w:t>
      </w:r>
      <w:r>
        <w:t>7</w:t>
      </w:r>
      <w:r w:rsidR="00214C85" w:rsidRPr="003F1A6B">
        <w:t> </w:t>
      </w:r>
      <w:r w:rsidR="00E1690B">
        <w:t xml:space="preserve">of the </w:t>
      </w:r>
      <w:r w:rsidR="0091629E" w:rsidRPr="0091629E">
        <w:t xml:space="preserve">Electronic Disclosure </w:t>
      </w:r>
      <w:r w:rsidR="00E1690B">
        <w:t xml:space="preserve">Instrument </w:t>
      </w:r>
      <w:r w:rsidR="00A129E2">
        <w:t xml:space="preserve">modifies the </w:t>
      </w:r>
      <w:r w:rsidR="00E1690B">
        <w:t xml:space="preserve">Corporations </w:t>
      </w:r>
      <w:r w:rsidR="00A129E2">
        <w:t xml:space="preserve">Act and </w:t>
      </w:r>
      <w:r w:rsidR="00E1690B">
        <w:t xml:space="preserve">Corporations </w:t>
      </w:r>
      <w:r w:rsidR="00A129E2">
        <w:t xml:space="preserve">Regulations to </w:t>
      </w:r>
      <w:r w:rsidR="00ED43EC">
        <w:t xml:space="preserve">permit </w:t>
      </w:r>
      <w:r w:rsidR="00ED43EC" w:rsidRPr="00ED43EC">
        <w:t>electronic delivery of financial services disclosures</w:t>
      </w:r>
      <w:r w:rsidR="00A129E2">
        <w:t xml:space="preserve"> in more circumstances</w:t>
      </w:r>
      <w:r w:rsidR="00842303">
        <w:t xml:space="preserve"> if conditions are met. These conditions are part of a </w:t>
      </w:r>
      <w:r w:rsidR="00A31FAD">
        <w:t xml:space="preserve">‘nominated electronic means’ definition </w:t>
      </w:r>
      <w:r w:rsidR="00EE4C61">
        <w:t xml:space="preserve">that subsection 6(1) </w:t>
      </w:r>
      <w:r w:rsidR="000D1F65">
        <w:t xml:space="preserve">of the </w:t>
      </w:r>
      <w:r w:rsidR="0077605A">
        <w:t xml:space="preserve">Electronic Disclosure </w:t>
      </w:r>
      <w:r w:rsidR="000D1F65">
        <w:t xml:space="preserve">Instrument </w:t>
      </w:r>
      <w:r w:rsidR="00EE4C61">
        <w:t xml:space="preserve">inserts </w:t>
      </w:r>
      <w:r w:rsidR="00A31FAD">
        <w:t xml:space="preserve">into section 9 of the </w:t>
      </w:r>
      <w:r w:rsidR="0077605A">
        <w:t xml:space="preserve">Corporations </w:t>
      </w:r>
      <w:r w:rsidR="00A31FAD">
        <w:t>Act</w:t>
      </w:r>
      <w:r w:rsidR="00ED43EC">
        <w:t>.</w:t>
      </w:r>
      <w:r w:rsidR="007E73EE">
        <w:t xml:space="preserve"> Subsection 6(1) </w:t>
      </w:r>
      <w:r w:rsidR="000D1F65">
        <w:t>a</w:t>
      </w:r>
      <w:r w:rsidR="007E73EE">
        <w:t>lso inserts an ‘ETF’ definition</w:t>
      </w:r>
      <w:r w:rsidR="00F066D7">
        <w:t xml:space="preserve"> into section 9</w:t>
      </w:r>
      <w:r w:rsidR="00360A31">
        <w:t>,</w:t>
      </w:r>
      <w:r w:rsidR="00F066D7">
        <w:t xml:space="preserve"> </w:t>
      </w:r>
      <w:r w:rsidR="006879A7">
        <w:t xml:space="preserve">which is </w:t>
      </w:r>
      <w:r w:rsidR="00F066D7">
        <w:t xml:space="preserve">relevant to understanding the </w:t>
      </w:r>
      <w:r w:rsidR="00141D2B">
        <w:t>‘nominated electronic means’ definition</w:t>
      </w:r>
      <w:r w:rsidR="00F066D7">
        <w:t xml:space="preserve"> as ‘ETF’ is a term that it uses</w:t>
      </w:r>
      <w:r w:rsidR="00141D2B">
        <w:t xml:space="preserve">. </w:t>
      </w:r>
    </w:p>
    <w:p w14:paraId="13AE6F2A" w14:textId="08B83460" w:rsidR="00F62872" w:rsidRPr="00214C85" w:rsidRDefault="00674297" w:rsidP="00214C85">
      <w:pPr>
        <w:pStyle w:val="LI-BodyTextParaa"/>
        <w:ind w:left="567"/>
        <w:rPr>
          <w:highlight w:val="yellow"/>
        </w:rPr>
      </w:pPr>
      <w:r>
        <w:t>2</w:t>
      </w:r>
      <w:r w:rsidR="008546FE">
        <w:t>5</w:t>
      </w:r>
      <w:r w:rsidR="00486992">
        <w:t>.</w:t>
      </w:r>
      <w:r w:rsidR="00486992">
        <w:tab/>
      </w:r>
      <w:r w:rsidR="00F62872">
        <w:t xml:space="preserve">The conditions </w:t>
      </w:r>
      <w:r w:rsidR="00311BE4">
        <w:t xml:space="preserve">in the ‘nominated electronic means’ definition that must be </w:t>
      </w:r>
      <w:r w:rsidR="008C2F21">
        <w:t>met</w:t>
      </w:r>
      <w:r w:rsidR="006879A7">
        <w:t xml:space="preserve"> </w:t>
      </w:r>
      <w:r w:rsidR="00F62872">
        <w:t xml:space="preserve">include a requirement to notify </w:t>
      </w:r>
      <w:r w:rsidR="00441C43">
        <w:t xml:space="preserve">clients </w:t>
      </w:r>
      <w:r w:rsidR="00F62872">
        <w:t xml:space="preserve">of an intention to make a disclosure available by </w:t>
      </w:r>
      <w:r w:rsidR="00745DCE">
        <w:t>th</w:t>
      </w:r>
      <w:r w:rsidR="00CE11C1">
        <w:t>e nominated electronic</w:t>
      </w:r>
      <w:r w:rsidR="00BF66D8">
        <w:t xml:space="preserve"> </w:t>
      </w:r>
      <w:r w:rsidR="00F62872">
        <w:t xml:space="preserve">means </w:t>
      </w:r>
      <w:r w:rsidR="007A48C1">
        <w:t xml:space="preserve">if the investor has not agreed </w:t>
      </w:r>
      <w:r w:rsidR="00A702F3">
        <w:t xml:space="preserve">that relevant disclosures can be made available </w:t>
      </w:r>
      <w:r w:rsidR="00745DCE">
        <w:t>in this way</w:t>
      </w:r>
      <w:r w:rsidR="00A702F3">
        <w:t xml:space="preserve">. The </w:t>
      </w:r>
      <w:r w:rsidR="00DD1632">
        <w:t xml:space="preserve">definition </w:t>
      </w:r>
      <w:r w:rsidR="001E4B8D">
        <w:t xml:space="preserve">provides a period must have </w:t>
      </w:r>
      <w:r w:rsidR="00011855">
        <w:t xml:space="preserve">elapsed before an investor is taken to have elected to receive disclosures by nominated electronic means </w:t>
      </w:r>
      <w:r w:rsidR="001E4B8D">
        <w:t xml:space="preserve">and </w:t>
      </w:r>
      <w:r w:rsidR="000D1F65">
        <w:t xml:space="preserve">specifies </w:t>
      </w:r>
      <w:r w:rsidR="00DD1632">
        <w:t>ways that notification must be given</w:t>
      </w:r>
      <w:r w:rsidR="00B73275">
        <w:t>.</w:t>
      </w:r>
    </w:p>
    <w:p w14:paraId="27C33318" w14:textId="74B2E2F0" w:rsidR="00E70FBE" w:rsidRDefault="00674297" w:rsidP="00E70FBE">
      <w:pPr>
        <w:pStyle w:val="LI-BodyTextParaa"/>
        <w:ind w:left="567"/>
      </w:pPr>
      <w:r>
        <w:t>2</w:t>
      </w:r>
      <w:r w:rsidR="008546FE">
        <w:t>6</w:t>
      </w:r>
      <w:r w:rsidR="00214C85" w:rsidRPr="000014F2">
        <w:t>.</w:t>
      </w:r>
      <w:r w:rsidR="00214C85" w:rsidRPr="000014F2">
        <w:tab/>
      </w:r>
      <w:r w:rsidR="00E70FBE">
        <w:t xml:space="preserve">Subsection </w:t>
      </w:r>
      <w:r w:rsidR="008546FE">
        <w:t>7</w:t>
      </w:r>
      <w:r w:rsidR="00E70FBE">
        <w:t xml:space="preserve">(2) of the </w:t>
      </w:r>
      <w:r w:rsidR="00AC6B0D" w:rsidRPr="00AC6B0D">
        <w:t xml:space="preserve">Electronic Disclosure </w:t>
      </w:r>
      <w:r w:rsidR="007A42F7">
        <w:t>I</w:t>
      </w:r>
      <w:r w:rsidR="00E70FBE">
        <w:t>nstrument modifies section 940C of the Corporations Act to provide that a provider may make available an FSG, Supplementary FSG or SOA to a client, or a client’s agent, by a nominated electronic means, as an additional option for delivery.</w:t>
      </w:r>
    </w:p>
    <w:p w14:paraId="41650678" w14:textId="4E7BFA7A" w:rsidR="00E70FBE" w:rsidRDefault="0087705B" w:rsidP="00E70FBE">
      <w:pPr>
        <w:pStyle w:val="LI-BodyTextParaa"/>
        <w:ind w:left="567"/>
      </w:pPr>
      <w:r>
        <w:lastRenderedPageBreak/>
        <w:t>2</w:t>
      </w:r>
      <w:r w:rsidR="008546FE">
        <w:t>7</w:t>
      </w:r>
      <w:r w:rsidR="007A42F7">
        <w:t>.</w:t>
      </w:r>
      <w:r w:rsidR="007A42F7">
        <w:tab/>
      </w:r>
      <w:r w:rsidR="00E70FBE">
        <w:t xml:space="preserve">Subsection </w:t>
      </w:r>
      <w:r w:rsidR="008546FE">
        <w:t>7</w:t>
      </w:r>
      <w:r w:rsidR="00E70FBE">
        <w:t xml:space="preserve">(3) of the </w:t>
      </w:r>
      <w:r w:rsidR="00AC6B0D" w:rsidRPr="00AC6B0D">
        <w:t xml:space="preserve">Electronic Disclosure </w:t>
      </w:r>
      <w:r w:rsidR="007A42F7">
        <w:t>I</w:t>
      </w:r>
      <w:r w:rsidR="00E70FBE">
        <w:t xml:space="preserve">nstrument modifies regulation 7.7.01 of the </w:t>
      </w:r>
      <w:r w:rsidR="007A42F7">
        <w:t xml:space="preserve">Corporations </w:t>
      </w:r>
      <w:r w:rsidR="00E70FBE">
        <w:t>Regulations to include a Supplementary FSG in addition to an FSG.</w:t>
      </w:r>
      <w:r w:rsidR="00E154D7">
        <w:t xml:space="preserve"> It also provides that </w:t>
      </w:r>
      <w:r w:rsidR="0017357D">
        <w:t>sub-regulation 7.7.01(2) does not apply if an FSG</w:t>
      </w:r>
      <w:r w:rsidR="00B47284">
        <w:t xml:space="preserve">, </w:t>
      </w:r>
      <w:r w:rsidR="0017357D">
        <w:t xml:space="preserve">Supplementary FSG </w:t>
      </w:r>
      <w:r w:rsidR="00B47284">
        <w:t>or S</w:t>
      </w:r>
      <w:r w:rsidR="008546FE">
        <w:t>O</w:t>
      </w:r>
      <w:r w:rsidR="00B47284">
        <w:t xml:space="preserve">A </w:t>
      </w:r>
      <w:r w:rsidR="0017357D">
        <w:t>is made available to a person by a nominated electronic means.</w:t>
      </w:r>
    </w:p>
    <w:p w14:paraId="227E6622" w14:textId="3C917CCD" w:rsidR="008546FE" w:rsidRDefault="0087705B" w:rsidP="00E70FBE">
      <w:pPr>
        <w:pStyle w:val="LI-BodyTextParaa"/>
        <w:ind w:left="567"/>
      </w:pPr>
      <w:r>
        <w:t>2</w:t>
      </w:r>
      <w:r w:rsidR="00BE446E">
        <w:t>8</w:t>
      </w:r>
      <w:r w:rsidR="007A42F7">
        <w:t>.</w:t>
      </w:r>
      <w:r w:rsidR="007A42F7">
        <w:tab/>
      </w:r>
      <w:r w:rsidR="00E70FBE">
        <w:t xml:space="preserve">Subsection </w:t>
      </w:r>
      <w:r w:rsidR="008546FE">
        <w:t>7</w:t>
      </w:r>
      <w:r w:rsidR="00E70FBE">
        <w:t xml:space="preserve">(4) of the </w:t>
      </w:r>
      <w:r w:rsidR="00AC6B0D" w:rsidRPr="00AC6B0D">
        <w:t xml:space="preserve">Electronic Disclosure </w:t>
      </w:r>
      <w:r w:rsidR="007A42F7">
        <w:t>I</w:t>
      </w:r>
      <w:r w:rsidR="00E70FBE">
        <w:t xml:space="preserve">nstrument modifies subsection 1015C(1) of the </w:t>
      </w:r>
      <w:r w:rsidR="007A42F7">
        <w:t xml:space="preserve">Corporations </w:t>
      </w:r>
      <w:r w:rsidR="00E70FBE">
        <w:t>Act to provide that a provider may make available a PDS</w:t>
      </w:r>
      <w:r w:rsidR="00100C21">
        <w:t>, Supplementary PDS or Replacement PDS</w:t>
      </w:r>
      <w:r w:rsidR="00E70FBE">
        <w:t xml:space="preserve"> to a client, or a client’s agent, by a nominated electronic means.</w:t>
      </w:r>
      <w:r w:rsidR="00063998">
        <w:t xml:space="preserve"> </w:t>
      </w:r>
    </w:p>
    <w:p w14:paraId="6F9A9769" w14:textId="68ECBC6F" w:rsidR="00E70FBE" w:rsidRDefault="008546FE" w:rsidP="00E70FBE">
      <w:pPr>
        <w:pStyle w:val="LI-BodyTextParaa"/>
        <w:ind w:left="567"/>
      </w:pPr>
      <w:r>
        <w:t>2</w:t>
      </w:r>
      <w:r w:rsidR="00BE446E">
        <w:t>9</w:t>
      </w:r>
      <w:r>
        <w:t>.</w:t>
      </w:r>
      <w:r>
        <w:tab/>
      </w:r>
      <w:r w:rsidR="00063998">
        <w:t xml:space="preserve">Subsection </w:t>
      </w:r>
      <w:r>
        <w:t>7</w:t>
      </w:r>
      <w:r w:rsidR="00063998">
        <w:t xml:space="preserve">(5) </w:t>
      </w:r>
      <w:r>
        <w:t xml:space="preserve">of the Electronic Disclosure Instrument </w:t>
      </w:r>
      <w:r w:rsidR="004E6AA3">
        <w:t>provides that sub-regulation 7.9.02A(1)</w:t>
      </w:r>
      <w:r w:rsidR="00A85A35">
        <w:t xml:space="preserve">, which </w:t>
      </w:r>
      <w:r w:rsidR="005737C9">
        <w:t xml:space="preserve">specifies </w:t>
      </w:r>
      <w:r w:rsidR="00A85A35">
        <w:t xml:space="preserve">how </w:t>
      </w:r>
      <w:r w:rsidR="00FD01CE">
        <w:t>PDS</w:t>
      </w:r>
      <w:r w:rsidR="00A85A35">
        <w:t>s</w:t>
      </w:r>
      <w:r w:rsidR="00FD01CE">
        <w:t>, Supplementary PDS</w:t>
      </w:r>
      <w:r w:rsidR="00A85A35">
        <w:t>s</w:t>
      </w:r>
      <w:r w:rsidR="00FD01CE">
        <w:t xml:space="preserve"> </w:t>
      </w:r>
      <w:r w:rsidR="00A85A35">
        <w:t>and</w:t>
      </w:r>
      <w:r w:rsidR="00FD01CE">
        <w:t xml:space="preserve"> Replacement PDS</w:t>
      </w:r>
      <w:r w:rsidR="00A85A35">
        <w:t>s may be given, does not apply to such disclosures</w:t>
      </w:r>
      <w:r w:rsidR="00FD01CE">
        <w:t xml:space="preserve"> made available to a person, or their agent, by a nominated electronic means.</w:t>
      </w:r>
    </w:p>
    <w:p w14:paraId="1F48F161" w14:textId="7ED808C9" w:rsidR="00E70FBE" w:rsidRDefault="00BE446E" w:rsidP="00E70FBE">
      <w:pPr>
        <w:pStyle w:val="LI-BodyTextParaa"/>
        <w:ind w:left="567"/>
      </w:pPr>
      <w:r>
        <w:t>30</w:t>
      </w:r>
      <w:r w:rsidR="007A42F7">
        <w:t>.</w:t>
      </w:r>
      <w:r w:rsidR="007A42F7">
        <w:tab/>
      </w:r>
      <w:r w:rsidR="00E70FBE">
        <w:t xml:space="preserve">Subsection </w:t>
      </w:r>
      <w:r w:rsidR="008546FE">
        <w:t>7</w:t>
      </w:r>
      <w:r w:rsidR="00E70FBE">
        <w:t xml:space="preserve">(6) of the </w:t>
      </w:r>
      <w:r w:rsidR="00AC6B0D" w:rsidRPr="00AC6B0D">
        <w:t xml:space="preserve">Electronic Disclosure </w:t>
      </w:r>
      <w:r w:rsidR="00F13962">
        <w:t>I</w:t>
      </w:r>
      <w:r w:rsidR="00E70FBE">
        <w:t xml:space="preserve">nstrument modifies subsection 1020AK(1) of the </w:t>
      </w:r>
      <w:r w:rsidR="00F13962">
        <w:t xml:space="preserve">Corporations </w:t>
      </w:r>
      <w:r w:rsidR="00E70FBE">
        <w:t xml:space="preserve">Act to provide that a provider may make available a CGS </w:t>
      </w:r>
      <w:r w:rsidR="00E77DB8">
        <w:t>D</w:t>
      </w:r>
      <w:r w:rsidR="00E70FBE">
        <w:t xml:space="preserve">epository </w:t>
      </w:r>
      <w:r w:rsidR="00E77DB8">
        <w:t>I</w:t>
      </w:r>
      <w:r w:rsidR="00E70FBE">
        <w:t xml:space="preserve">nterest </w:t>
      </w:r>
      <w:r w:rsidR="00E77DB8">
        <w:t>I</w:t>
      </w:r>
      <w:r w:rsidR="00E70FBE">
        <w:t xml:space="preserve">nformation </w:t>
      </w:r>
      <w:r w:rsidR="00E77DB8">
        <w:t>S</w:t>
      </w:r>
      <w:r w:rsidR="00E70FBE">
        <w:t xml:space="preserve">tatement to a client, or </w:t>
      </w:r>
      <w:r w:rsidR="00C75685">
        <w:t>their</w:t>
      </w:r>
      <w:r w:rsidR="00E70FBE">
        <w:t xml:space="preserve"> agent, by nominated electronic means. </w:t>
      </w:r>
      <w:r w:rsidR="00C75685">
        <w:t xml:space="preserve">Subsection </w:t>
      </w:r>
      <w:r w:rsidR="008546FE">
        <w:t>7</w:t>
      </w:r>
      <w:r w:rsidR="00C75685">
        <w:t xml:space="preserve">(6) </w:t>
      </w:r>
      <w:r w:rsidR="00E70FBE">
        <w:t xml:space="preserve">also allows the </w:t>
      </w:r>
      <w:r w:rsidR="002925F2">
        <w:t>S</w:t>
      </w:r>
      <w:r w:rsidR="00E70FBE">
        <w:t xml:space="preserve">tatement to be given by any way that is agreed that allows the regulated person to be satisfied on reasonable grounds that the </w:t>
      </w:r>
      <w:r w:rsidR="002925F2">
        <w:t>S</w:t>
      </w:r>
      <w:r w:rsidR="00E70FBE">
        <w:t>tatement has been received</w:t>
      </w:r>
      <w:r w:rsidR="00974C28">
        <w:t xml:space="preserve">. This </w:t>
      </w:r>
      <w:r w:rsidR="00E70FBE">
        <w:t>align</w:t>
      </w:r>
      <w:r w:rsidR="00974C28">
        <w:t>s</w:t>
      </w:r>
      <w:r w:rsidR="00E70FBE">
        <w:t xml:space="preserve"> the treatment of CGS Depository Interest Information Statements with other disclosures</w:t>
      </w:r>
      <w:r w:rsidR="005E1EF3">
        <w:t xml:space="preserve">. </w:t>
      </w:r>
    </w:p>
    <w:p w14:paraId="3BC1F9A4" w14:textId="130ABFB9" w:rsidR="00E70FBE" w:rsidRDefault="00BE446E" w:rsidP="00E70FBE">
      <w:pPr>
        <w:pStyle w:val="LI-BodyTextParaa"/>
        <w:ind w:left="567"/>
      </w:pPr>
      <w:r>
        <w:t>31</w:t>
      </w:r>
      <w:r w:rsidR="00E77DB8">
        <w:t>.</w:t>
      </w:r>
      <w:r w:rsidR="00E77DB8">
        <w:tab/>
      </w:r>
      <w:r w:rsidR="00E70FBE">
        <w:t xml:space="preserve">Subsection </w:t>
      </w:r>
      <w:r w:rsidR="008546FE">
        <w:t>7</w:t>
      </w:r>
      <w:r w:rsidR="00E70FBE">
        <w:t xml:space="preserve">(7) of the </w:t>
      </w:r>
      <w:r w:rsidR="00AC6B0D" w:rsidRPr="00AC6B0D">
        <w:t xml:space="preserve">Electronic Disclosure </w:t>
      </w:r>
      <w:r w:rsidR="003B775B">
        <w:t>I</w:t>
      </w:r>
      <w:r w:rsidR="00E70FBE">
        <w:t xml:space="preserve">nstrument modifies subsection 1017A(4) of the </w:t>
      </w:r>
      <w:r w:rsidR="00151887">
        <w:t xml:space="preserve">Corporations </w:t>
      </w:r>
      <w:r w:rsidR="00E70FBE">
        <w:t xml:space="preserve">Act to provide that a provider may make available further information about </w:t>
      </w:r>
      <w:r w:rsidR="00821489">
        <w:t>a</w:t>
      </w:r>
      <w:r w:rsidR="00E70FBE">
        <w:t xml:space="preserve"> product on request by nominated electronic means.</w:t>
      </w:r>
    </w:p>
    <w:p w14:paraId="5F940E2C" w14:textId="5BE6E308" w:rsidR="009B1617" w:rsidRDefault="00674297" w:rsidP="00E70FBE">
      <w:pPr>
        <w:pStyle w:val="LI-BodyTextParaa"/>
        <w:ind w:left="567"/>
      </w:pPr>
      <w:r>
        <w:t>3</w:t>
      </w:r>
      <w:r w:rsidR="00BE446E">
        <w:t>2</w:t>
      </w:r>
      <w:r w:rsidR="00E77DB8">
        <w:t>.</w:t>
      </w:r>
      <w:r w:rsidR="00E77DB8">
        <w:tab/>
      </w:r>
      <w:r w:rsidR="00E70FBE">
        <w:t xml:space="preserve">Subsection </w:t>
      </w:r>
      <w:r w:rsidR="008546FE">
        <w:t>7</w:t>
      </w:r>
      <w:r w:rsidR="00E70FBE">
        <w:t xml:space="preserve">(8) of the </w:t>
      </w:r>
      <w:r w:rsidR="00AC6B0D" w:rsidRPr="00AC6B0D">
        <w:t xml:space="preserve">Electronic Disclosure </w:t>
      </w:r>
      <w:r w:rsidR="003B775B">
        <w:t>I</w:t>
      </w:r>
      <w:r w:rsidR="00E70FBE">
        <w:t xml:space="preserve">nstrument modifies regulation 7.9.75A of the </w:t>
      </w:r>
      <w:r w:rsidR="00B96DEC">
        <w:t xml:space="preserve">Corporations </w:t>
      </w:r>
      <w:r w:rsidR="00E70FBE">
        <w:t xml:space="preserve">Regulations to provide that a product issuer may make ongoing disclosure of material changes and significant events in relation to </w:t>
      </w:r>
      <w:r w:rsidR="00821489">
        <w:t>a</w:t>
      </w:r>
      <w:r w:rsidR="00E70FBE">
        <w:t xml:space="preserve"> product by nominated electronic means. Periodic Statements and </w:t>
      </w:r>
      <w:r w:rsidR="008546FE">
        <w:t>Fund Information</w:t>
      </w:r>
      <w:r w:rsidR="00E70FBE">
        <w:t xml:space="preserve"> may also be made available to a client or a client’s agent by nominated electronic means.</w:t>
      </w:r>
    </w:p>
    <w:p w14:paraId="00B4FC65" w14:textId="7FB46A83" w:rsidR="00E70FBE" w:rsidRDefault="00674297" w:rsidP="00E70FBE">
      <w:pPr>
        <w:pStyle w:val="LI-BodyTextParaa"/>
        <w:ind w:left="567"/>
      </w:pPr>
      <w:r>
        <w:t>3</w:t>
      </w:r>
      <w:r w:rsidR="00BE446E">
        <w:t>3</w:t>
      </w:r>
      <w:r w:rsidR="009D0E96">
        <w:t>.</w:t>
      </w:r>
      <w:r w:rsidR="009D0E96">
        <w:tab/>
      </w:r>
      <w:r w:rsidR="00E70FBE">
        <w:t xml:space="preserve">Subsection </w:t>
      </w:r>
      <w:r w:rsidR="008546FE">
        <w:t>7</w:t>
      </w:r>
      <w:r w:rsidR="00E70FBE">
        <w:t xml:space="preserve">(9) of the </w:t>
      </w:r>
      <w:r w:rsidR="009B1617" w:rsidRPr="009B1617">
        <w:t xml:space="preserve">Electronic Disclosure </w:t>
      </w:r>
      <w:r w:rsidR="009D0E96">
        <w:t>I</w:t>
      </w:r>
      <w:r w:rsidR="00E70FBE">
        <w:t xml:space="preserve">nstrument modifies </w:t>
      </w:r>
      <w:r w:rsidR="009D0E96">
        <w:t>sections 1015C</w:t>
      </w:r>
      <w:r w:rsidR="007626B7">
        <w:t xml:space="preserve">, 1017B and 1017D of the Corporations Act, and </w:t>
      </w:r>
      <w:r w:rsidR="004C281E">
        <w:t>inserts notional subsection</w:t>
      </w:r>
      <w:r w:rsidR="00CE0886">
        <w:t>s</w:t>
      </w:r>
      <w:r w:rsidR="004C281E">
        <w:t xml:space="preserve"> 1017DA(3D)-</w:t>
      </w:r>
      <w:r w:rsidR="00F52D62">
        <w:t>(</w:t>
      </w:r>
      <w:r w:rsidR="004C281E">
        <w:t>3</w:t>
      </w:r>
      <w:r w:rsidR="00F52D62">
        <w:t>E) into Part 14</w:t>
      </w:r>
      <w:r w:rsidR="004C50FE">
        <w:t>.4</w:t>
      </w:r>
      <w:r w:rsidR="00F52D62">
        <w:t xml:space="preserve"> of Schedule 10A of the Corporations Regulations</w:t>
      </w:r>
      <w:r w:rsidR="00CE0886">
        <w:t>,</w:t>
      </w:r>
      <w:r w:rsidR="00F52D62">
        <w:t xml:space="preserve"> </w:t>
      </w:r>
      <w:r w:rsidR="00E70FBE">
        <w:t xml:space="preserve">to provide that a trustee of a standard employee sponsored superannuation fund may send disclosures to an electronic address provided by </w:t>
      </w:r>
      <w:r w:rsidR="008546FE">
        <w:t xml:space="preserve">a fund member’s (client’s) </w:t>
      </w:r>
      <w:r w:rsidR="00E70FBE">
        <w:t>employer, provided all of the following are satisfied:</w:t>
      </w:r>
    </w:p>
    <w:p w14:paraId="454AE69B" w14:textId="77777777" w:rsidR="00E70FBE" w:rsidRDefault="00E70FBE" w:rsidP="009A599E">
      <w:pPr>
        <w:pStyle w:val="LI-BodyTextParaa"/>
        <w:ind w:left="1134"/>
      </w:pPr>
      <w:r>
        <w:t>(a)    the employer provided the electronic address to the trustee as part of providing contact details for the client in relation to membership of the superannuation fund;</w:t>
      </w:r>
    </w:p>
    <w:p w14:paraId="1FE1FC0E" w14:textId="07FB59A6" w:rsidR="00E70FBE" w:rsidRDefault="00E70FBE" w:rsidP="009A599E">
      <w:pPr>
        <w:pStyle w:val="LI-BodyTextParaa"/>
        <w:ind w:left="1134"/>
      </w:pPr>
      <w:r>
        <w:t>(b)   the trustee gives the client reasonable opportunity to request an alternative method of receiving the PDS; and</w:t>
      </w:r>
    </w:p>
    <w:p w14:paraId="77FF1059" w14:textId="09F24381" w:rsidR="0092330E" w:rsidRDefault="00E70FBE" w:rsidP="009A599E">
      <w:pPr>
        <w:pStyle w:val="LI-BodyTextParaa"/>
        <w:ind w:left="1134"/>
      </w:pPr>
      <w:r>
        <w:lastRenderedPageBreak/>
        <w:t>(c)    the trustee has no reasonable grounds to believe that the address is not a current address and has no reason to form that such a view within 14 days of sending the notice</w:t>
      </w:r>
      <w:r w:rsidR="005E1EF3">
        <w:t xml:space="preserve">. </w:t>
      </w:r>
    </w:p>
    <w:p w14:paraId="39CE74BF" w14:textId="494DA857" w:rsidR="0050539C" w:rsidRPr="00797BEE" w:rsidRDefault="0050539C" w:rsidP="000E3A83">
      <w:pPr>
        <w:pStyle w:val="LI-BodyTextParaa"/>
        <w:ind w:left="567"/>
        <w:rPr>
          <w:u w:val="single"/>
        </w:rPr>
      </w:pPr>
      <w:r w:rsidRPr="00797BEE">
        <w:rPr>
          <w:u w:val="single"/>
        </w:rPr>
        <w:t>Part 3 – Declarations removing barriers to electronic disclosure</w:t>
      </w:r>
    </w:p>
    <w:p w14:paraId="2342C5A3" w14:textId="5B0012A0" w:rsidR="0050539C" w:rsidRDefault="00674297" w:rsidP="000E3A83">
      <w:pPr>
        <w:pStyle w:val="LI-BodyTextParaa"/>
        <w:ind w:left="567"/>
      </w:pPr>
      <w:r>
        <w:t>3</w:t>
      </w:r>
      <w:r w:rsidR="00BE446E">
        <w:t>4</w:t>
      </w:r>
      <w:r w:rsidR="0089300C">
        <w:t>.</w:t>
      </w:r>
      <w:r w:rsidR="0089300C">
        <w:tab/>
      </w:r>
      <w:r w:rsidR="00411847">
        <w:t xml:space="preserve">Section 8 of the Electronic Disclosure Instrument contains </w:t>
      </w:r>
      <w:r w:rsidR="00411847" w:rsidRPr="00411847">
        <w:t xml:space="preserve">a simplified outline for Part </w:t>
      </w:r>
      <w:r w:rsidR="00411847">
        <w:t>3</w:t>
      </w:r>
      <w:r w:rsidR="00411847" w:rsidRPr="00411847">
        <w:t xml:space="preserve"> of the instrument which provides relief formerly in LI 2015/64</w:t>
      </w:r>
      <w:r w:rsidR="00411847">
        <w:t>9</w:t>
      </w:r>
      <w:r w:rsidR="00411847" w:rsidRPr="00411847">
        <w:t>.</w:t>
      </w:r>
    </w:p>
    <w:p w14:paraId="377705BE" w14:textId="71EDBC0D" w:rsidR="00830A10" w:rsidRDefault="00411847" w:rsidP="000E3A83">
      <w:pPr>
        <w:pStyle w:val="LI-BodyTextParaa"/>
        <w:ind w:left="567"/>
      </w:pPr>
      <w:r>
        <w:t>3</w:t>
      </w:r>
      <w:r w:rsidR="00BE446E">
        <w:t>5</w:t>
      </w:r>
      <w:r>
        <w:t>.</w:t>
      </w:r>
      <w:r>
        <w:tab/>
      </w:r>
      <w:r w:rsidR="000E3A83" w:rsidRPr="000014F2">
        <w:t xml:space="preserve">Section </w:t>
      </w:r>
      <w:r>
        <w:t>9</w:t>
      </w:r>
      <w:r w:rsidR="00DD150F">
        <w:t xml:space="preserve"> </w:t>
      </w:r>
      <w:r w:rsidR="0089300C">
        <w:t xml:space="preserve">of the </w:t>
      </w:r>
      <w:r w:rsidR="009B1617" w:rsidRPr="009B1617">
        <w:t xml:space="preserve">Electronic Disclosure </w:t>
      </w:r>
      <w:r w:rsidR="0089300C">
        <w:t xml:space="preserve">Instrument </w:t>
      </w:r>
      <w:r w:rsidR="000E2D6A">
        <w:t xml:space="preserve">modifies subsections of the Corporations Act, </w:t>
      </w:r>
      <w:r w:rsidR="000A16D1">
        <w:t xml:space="preserve">notional subsections of the Corporations Act inserted by item 3.1 of Part 3 of Schedule 10BA of the Corporations Regulations </w:t>
      </w:r>
      <w:r w:rsidR="008C03A6">
        <w:t>and paragraphs</w:t>
      </w:r>
      <w:r w:rsidR="008546FE">
        <w:t xml:space="preserve"> and sub-</w:t>
      </w:r>
      <w:r w:rsidR="00B57567">
        <w:t>paragraphs</w:t>
      </w:r>
      <w:r w:rsidR="008546FE">
        <w:t xml:space="preserve"> </w:t>
      </w:r>
      <w:r w:rsidR="008C03A6">
        <w:t xml:space="preserve">of the Corporations Regulations so that </w:t>
      </w:r>
      <w:r w:rsidR="00F4149D">
        <w:t>titles</w:t>
      </w:r>
      <w:r w:rsidR="00C70F4D">
        <w:t xml:space="preserve"> required </w:t>
      </w:r>
      <w:r w:rsidR="00EB0C9C" w:rsidRPr="00EB0C9C">
        <w:t xml:space="preserve">to be used on the cover of, or at or near the front of, </w:t>
      </w:r>
      <w:r w:rsidR="00C70F4D">
        <w:t>relevant</w:t>
      </w:r>
      <w:r w:rsidR="00EB0C9C" w:rsidRPr="00EB0C9C">
        <w:t xml:space="preserve"> disclosure</w:t>
      </w:r>
      <w:r w:rsidR="00C70F4D">
        <w:t xml:space="preserve">s can be </w:t>
      </w:r>
      <w:r w:rsidR="00CF08C1">
        <w:t>at the ‘beginning’ of the disclosure</w:t>
      </w:r>
      <w:r w:rsidR="001F60ED" w:rsidRPr="001F60ED">
        <w:t>.</w:t>
      </w:r>
    </w:p>
    <w:p w14:paraId="7F30AC49" w14:textId="605AC645" w:rsidR="0035536F" w:rsidRDefault="008132E6" w:rsidP="000E3A83">
      <w:pPr>
        <w:pStyle w:val="LI-BodyTextParaa"/>
        <w:ind w:left="567"/>
      </w:pPr>
      <w:r>
        <w:t>3</w:t>
      </w:r>
      <w:r w:rsidR="00BE446E">
        <w:t>6</w:t>
      </w:r>
      <w:r w:rsidR="0035536F">
        <w:t>.</w:t>
      </w:r>
      <w:r w:rsidR="0035536F">
        <w:tab/>
        <w:t xml:space="preserve">The </w:t>
      </w:r>
      <w:r w:rsidR="00AF30D7">
        <w:t>modifications include a modification of s</w:t>
      </w:r>
      <w:r w:rsidR="009A0CCE">
        <w:t xml:space="preserve">ubsection 948E(1) of the Corporations Act </w:t>
      </w:r>
      <w:r w:rsidR="00704143">
        <w:t xml:space="preserve">so that </w:t>
      </w:r>
      <w:r w:rsidR="00F24221">
        <w:t xml:space="preserve">the </w:t>
      </w:r>
      <w:r w:rsidR="00F1570F">
        <w:t xml:space="preserve">title of a Cash Settlement Fact Sheet, which would otherwise have to be on </w:t>
      </w:r>
      <w:r w:rsidR="00704143">
        <w:t xml:space="preserve">the cover of, or at or near the front of, </w:t>
      </w:r>
      <w:r w:rsidR="004963FA">
        <w:t xml:space="preserve">the Sheet can be in its </w:t>
      </w:r>
      <w:r w:rsidR="00704143">
        <w:t>‘beginning</w:t>
      </w:r>
      <w:r w:rsidR="00DC7C56">
        <w:t>’</w:t>
      </w:r>
      <w:r w:rsidR="00704143">
        <w:t xml:space="preserve">. This modification was not in </w:t>
      </w:r>
      <w:r w:rsidR="00E93470">
        <w:t xml:space="preserve">the </w:t>
      </w:r>
      <w:r w:rsidR="0038587E">
        <w:t xml:space="preserve">relief in former </w:t>
      </w:r>
      <w:r w:rsidR="00F276E8">
        <w:t>section 7</w:t>
      </w:r>
      <w:r w:rsidR="00704143">
        <w:t xml:space="preserve"> </w:t>
      </w:r>
      <w:r w:rsidR="004642FF">
        <w:t xml:space="preserve">of </w:t>
      </w:r>
      <w:r w:rsidR="0038587E">
        <w:t>LI 20</w:t>
      </w:r>
      <w:r w:rsidR="00555D93">
        <w:t>15/</w:t>
      </w:r>
      <w:r w:rsidR="00706D39">
        <w:t xml:space="preserve">649 and has been included </w:t>
      </w:r>
      <w:r w:rsidR="00506C0F">
        <w:t xml:space="preserve">so that </w:t>
      </w:r>
      <w:r w:rsidR="00466A96">
        <w:t>th</w:t>
      </w:r>
      <w:r w:rsidR="00897811">
        <w:t xml:space="preserve">e relief in section </w:t>
      </w:r>
      <w:r w:rsidR="006666B5">
        <w:t>9</w:t>
      </w:r>
      <w:r w:rsidR="00897811">
        <w:t xml:space="preserve"> </w:t>
      </w:r>
      <w:r w:rsidR="00A12237">
        <w:t xml:space="preserve">of the Electronic Disclosure Instrument </w:t>
      </w:r>
      <w:r w:rsidR="00897811">
        <w:t xml:space="preserve">applies consistently to Cash Settlement Fact Sheets and other </w:t>
      </w:r>
      <w:r w:rsidR="00AE4984">
        <w:t xml:space="preserve">financial services disclosures. </w:t>
      </w:r>
      <w:r w:rsidR="004642FF">
        <w:t xml:space="preserve"> </w:t>
      </w:r>
      <w:r w:rsidR="00704143">
        <w:t xml:space="preserve"> </w:t>
      </w:r>
    </w:p>
    <w:p w14:paraId="64F7E07B" w14:textId="0B569677" w:rsidR="007C0394" w:rsidRDefault="00BE446E" w:rsidP="00DD150F">
      <w:pPr>
        <w:pStyle w:val="LI-BodyTextParaa"/>
        <w:ind w:left="567"/>
      </w:pPr>
      <w:r>
        <w:t>37</w:t>
      </w:r>
      <w:r w:rsidR="007C0394" w:rsidRPr="000014F2">
        <w:t>.</w:t>
      </w:r>
      <w:r w:rsidR="007C0394" w:rsidRPr="000014F2">
        <w:tab/>
        <w:t xml:space="preserve">Section </w:t>
      </w:r>
      <w:r w:rsidR="00DB261C">
        <w:t>10</w:t>
      </w:r>
      <w:r w:rsidR="00DD150F">
        <w:t xml:space="preserve"> </w:t>
      </w:r>
      <w:r w:rsidR="00DF403F">
        <w:t xml:space="preserve">of the </w:t>
      </w:r>
      <w:r w:rsidR="009B1617" w:rsidRPr="009B1617">
        <w:t xml:space="preserve">Electronic Disclosure </w:t>
      </w:r>
      <w:r w:rsidR="00DF403F">
        <w:t xml:space="preserve">Instrument </w:t>
      </w:r>
      <w:r w:rsidR="008604B6">
        <w:t xml:space="preserve">amends </w:t>
      </w:r>
      <w:r w:rsidR="003F2A16">
        <w:t xml:space="preserve">Schedules </w:t>
      </w:r>
      <w:r w:rsidR="0016729A">
        <w:t xml:space="preserve">10C, 10D, 10E and 10F of the Corporations Regulations </w:t>
      </w:r>
      <w:r w:rsidR="008D2AF4">
        <w:t xml:space="preserve">to provide </w:t>
      </w:r>
      <w:r w:rsidR="0064787C">
        <w:t xml:space="preserve">that their </w:t>
      </w:r>
      <w:r w:rsidR="006F5328" w:rsidRPr="006F5328">
        <w:t>Shorter PDS page length limit</w:t>
      </w:r>
      <w:r w:rsidR="008D2AF4">
        <w:t>s</w:t>
      </w:r>
      <w:r w:rsidR="006F5328" w:rsidRPr="006F5328">
        <w:t xml:space="preserve"> </w:t>
      </w:r>
      <w:r w:rsidR="00682839">
        <w:t xml:space="preserve">they impose </w:t>
      </w:r>
      <w:r w:rsidR="0064787C">
        <w:t xml:space="preserve">only apply to the extent that material in a </w:t>
      </w:r>
      <w:r w:rsidR="00682839">
        <w:t>S</w:t>
      </w:r>
      <w:r w:rsidR="0064787C">
        <w:t>horter</w:t>
      </w:r>
      <w:r w:rsidR="00682839">
        <w:t> </w:t>
      </w:r>
      <w:r w:rsidR="0064787C">
        <w:t xml:space="preserve">PDS </w:t>
      </w:r>
      <w:r w:rsidR="00682839">
        <w:t>can</w:t>
      </w:r>
      <w:r w:rsidR="00FF5737">
        <w:t xml:space="preserve"> be printed. </w:t>
      </w:r>
    </w:p>
    <w:p w14:paraId="22E5CD0B" w14:textId="3C7C502A" w:rsidR="007C0394" w:rsidRDefault="0062287F" w:rsidP="00DD150F">
      <w:pPr>
        <w:pStyle w:val="LI-BodyTextParaa"/>
        <w:ind w:left="567"/>
      </w:pPr>
      <w:r>
        <w:t>3</w:t>
      </w:r>
      <w:r w:rsidR="00BE446E">
        <w:t>8</w:t>
      </w:r>
      <w:r w:rsidR="007C0394" w:rsidRPr="000014F2">
        <w:t>.</w:t>
      </w:r>
      <w:r w:rsidR="007C0394" w:rsidRPr="000014F2">
        <w:tab/>
        <w:t xml:space="preserve">Section </w:t>
      </w:r>
      <w:r w:rsidR="00682839">
        <w:t>11</w:t>
      </w:r>
      <w:r w:rsidR="00DD150F">
        <w:t xml:space="preserve"> </w:t>
      </w:r>
      <w:r w:rsidR="00FF5737">
        <w:t xml:space="preserve">of the </w:t>
      </w:r>
      <w:r w:rsidR="009B1617" w:rsidRPr="009B1617">
        <w:t xml:space="preserve">Electronic Disclosure </w:t>
      </w:r>
      <w:r w:rsidR="00FF5737">
        <w:t xml:space="preserve">Instrument </w:t>
      </w:r>
      <w:r w:rsidR="008604B6">
        <w:t xml:space="preserve">amends </w:t>
      </w:r>
      <w:r w:rsidR="005C6345">
        <w:t xml:space="preserve">section 1015C </w:t>
      </w:r>
      <w:r w:rsidR="00DE12E0">
        <w:t xml:space="preserve">of the Corporations Act </w:t>
      </w:r>
      <w:r w:rsidR="004E7E21">
        <w:t>and Schedules 10C, 10D, 10E</w:t>
      </w:r>
      <w:r w:rsidR="004355F0">
        <w:t xml:space="preserve"> </w:t>
      </w:r>
      <w:r w:rsidR="004E7E21">
        <w:t xml:space="preserve">and 10F of the Corporations Regulations </w:t>
      </w:r>
      <w:r w:rsidR="00A43306">
        <w:t xml:space="preserve">to relieve providers from </w:t>
      </w:r>
      <w:r w:rsidR="004E7E21">
        <w:t xml:space="preserve">requirements to provide a copy of </w:t>
      </w:r>
      <w:r w:rsidR="00D81452">
        <w:t>a</w:t>
      </w:r>
      <w:r w:rsidR="004E7E21">
        <w:t xml:space="preserve"> PDS </w:t>
      </w:r>
      <w:r w:rsidR="00FA5A4A">
        <w:t xml:space="preserve">upon request </w:t>
      </w:r>
      <w:r w:rsidR="004E7E21">
        <w:t xml:space="preserve">that would </w:t>
      </w:r>
      <w:r w:rsidR="009C1F25">
        <w:t xml:space="preserve">otherwise </w:t>
      </w:r>
      <w:r w:rsidR="004355F0">
        <w:t xml:space="preserve">apply if </w:t>
      </w:r>
      <w:r w:rsidR="0053129C">
        <w:t xml:space="preserve">some or all of </w:t>
      </w:r>
      <w:r w:rsidR="004355F0">
        <w:t xml:space="preserve">the PDS </w:t>
      </w:r>
      <w:r w:rsidR="0053129C">
        <w:t>is in an electronic form and not able to be printed</w:t>
      </w:r>
      <w:r w:rsidR="008A453A">
        <w:t>,</w:t>
      </w:r>
      <w:r w:rsidR="009C1F25">
        <w:t xml:space="preserve"> and the provider meets conditions</w:t>
      </w:r>
      <w:r w:rsidR="00F57235">
        <w:t>.</w:t>
      </w:r>
    </w:p>
    <w:p w14:paraId="43B6CCF8" w14:textId="10A52376" w:rsidR="00A84741" w:rsidRPr="00214C85" w:rsidRDefault="00A84741" w:rsidP="00A84741">
      <w:pPr>
        <w:pStyle w:val="LI-BodyTextParaa"/>
        <w:ind w:left="567"/>
      </w:pPr>
      <w:r>
        <w:rPr>
          <w:u w:val="single"/>
        </w:rPr>
        <w:t xml:space="preserve">Part </w:t>
      </w:r>
      <w:r w:rsidR="0076687E">
        <w:rPr>
          <w:u w:val="single"/>
        </w:rPr>
        <w:t>3</w:t>
      </w:r>
      <w:r>
        <w:rPr>
          <w:u w:val="single"/>
        </w:rPr>
        <w:t xml:space="preserve"> - </w:t>
      </w:r>
      <w:r w:rsidR="00E351AB">
        <w:rPr>
          <w:u w:val="single"/>
        </w:rPr>
        <w:t>Repeal</w:t>
      </w:r>
      <w:r w:rsidRPr="00214C85">
        <w:rPr>
          <w:u w:val="single"/>
        </w:rPr>
        <w:t> </w:t>
      </w:r>
      <w:r w:rsidRPr="00214C85">
        <w:t> </w:t>
      </w:r>
    </w:p>
    <w:p w14:paraId="7658B223" w14:textId="3EF9BD10" w:rsidR="00A84741" w:rsidRDefault="00AE4984" w:rsidP="00830A10">
      <w:pPr>
        <w:pStyle w:val="LI-BodyTextParaa"/>
        <w:ind w:left="567"/>
        <w:rPr>
          <w:bCs/>
        </w:rPr>
      </w:pPr>
      <w:r>
        <w:rPr>
          <w:bCs/>
        </w:rPr>
        <w:t>3</w:t>
      </w:r>
      <w:r w:rsidR="00BE446E">
        <w:rPr>
          <w:bCs/>
        </w:rPr>
        <w:t>9</w:t>
      </w:r>
      <w:r w:rsidR="00E351AB">
        <w:rPr>
          <w:bCs/>
        </w:rPr>
        <w:t>.</w:t>
      </w:r>
      <w:r w:rsidR="00E351AB">
        <w:rPr>
          <w:bCs/>
        </w:rPr>
        <w:tab/>
      </w:r>
      <w:r w:rsidR="008A453A">
        <w:rPr>
          <w:bCs/>
        </w:rPr>
        <w:t xml:space="preserve">Section </w:t>
      </w:r>
      <w:r w:rsidR="00B25380">
        <w:rPr>
          <w:bCs/>
        </w:rPr>
        <w:t>1</w:t>
      </w:r>
      <w:r w:rsidR="00063598">
        <w:rPr>
          <w:bCs/>
        </w:rPr>
        <w:t>2</w:t>
      </w:r>
      <w:r w:rsidR="00B25380">
        <w:rPr>
          <w:bCs/>
        </w:rPr>
        <w:t xml:space="preserve"> </w:t>
      </w:r>
      <w:r w:rsidR="008A453A">
        <w:rPr>
          <w:bCs/>
        </w:rPr>
        <w:t xml:space="preserve">of the </w:t>
      </w:r>
      <w:r w:rsidR="00600E7B" w:rsidRPr="00600E7B">
        <w:rPr>
          <w:bCs/>
        </w:rPr>
        <w:t xml:space="preserve">Electronic Disclosure </w:t>
      </w:r>
      <w:r w:rsidR="008A453A">
        <w:rPr>
          <w:bCs/>
        </w:rPr>
        <w:t xml:space="preserve">Instrument </w:t>
      </w:r>
      <w:r w:rsidR="00D678FB">
        <w:rPr>
          <w:bCs/>
        </w:rPr>
        <w:t>it</w:t>
      </w:r>
      <w:r w:rsidR="00B25380">
        <w:rPr>
          <w:bCs/>
        </w:rPr>
        <w:t xml:space="preserve"> at the start of 1 October 2030.</w:t>
      </w:r>
      <w:r w:rsidR="00E351AB">
        <w:rPr>
          <w:bCs/>
        </w:rPr>
        <w:t xml:space="preserve"> </w:t>
      </w:r>
    </w:p>
    <w:p w14:paraId="06651C0E" w14:textId="5CC757C8" w:rsidR="006B58C5" w:rsidRPr="003F3046" w:rsidRDefault="00811348" w:rsidP="00830A10">
      <w:pPr>
        <w:pStyle w:val="LI-BodyTextParaa"/>
        <w:ind w:left="567"/>
        <w:rPr>
          <w:b/>
          <w:i/>
        </w:rPr>
      </w:pPr>
      <w:r>
        <w:rPr>
          <w:b/>
          <w:i/>
        </w:rPr>
        <w:t>Amendment and Repeal Instrument</w:t>
      </w:r>
    </w:p>
    <w:p w14:paraId="410469A5" w14:textId="77777777" w:rsidR="002D518D" w:rsidRPr="007F50AC" w:rsidRDefault="002D518D" w:rsidP="002D518D">
      <w:pPr>
        <w:pStyle w:val="LI-BodyTextNumbered"/>
        <w:keepNext/>
        <w:ind w:left="0" w:firstLine="0"/>
        <w:rPr>
          <w:bCs/>
          <w:u w:val="single"/>
        </w:rPr>
      </w:pPr>
      <w:r w:rsidRPr="007F50AC">
        <w:rPr>
          <w:bCs/>
          <w:u w:val="single"/>
        </w:rPr>
        <w:t xml:space="preserve">Part 1 – Preliminary </w:t>
      </w:r>
    </w:p>
    <w:p w14:paraId="6155C897" w14:textId="0EC988D1" w:rsidR="002D518D" w:rsidRPr="007F50AC" w:rsidRDefault="00BE446E" w:rsidP="002D518D">
      <w:pPr>
        <w:pStyle w:val="LI-BodyTextParaa"/>
        <w:ind w:left="567"/>
        <w:rPr>
          <w:i/>
          <w:iCs/>
        </w:rPr>
      </w:pPr>
      <w:r>
        <w:t>40</w:t>
      </w:r>
      <w:r w:rsidR="002D518D">
        <w:t>.</w:t>
      </w:r>
      <w:r w:rsidR="002D518D">
        <w:tab/>
        <w:t xml:space="preserve">Section 1 </w:t>
      </w:r>
      <w:r w:rsidR="00811348">
        <w:t xml:space="preserve">of the Amendment and Repeal Instrument </w:t>
      </w:r>
      <w:r w:rsidR="002D518D">
        <w:t xml:space="preserve">provides that </w:t>
      </w:r>
      <w:r w:rsidR="00811348">
        <w:t xml:space="preserve">its name is </w:t>
      </w:r>
      <w:r w:rsidR="002D518D" w:rsidRPr="007F50AC">
        <w:rPr>
          <w:i/>
          <w:iCs/>
        </w:rPr>
        <w:t>ASIC Corporations (Amendment and Repeal) Instrument 2025/</w:t>
      </w:r>
      <w:r w:rsidR="002D518D">
        <w:rPr>
          <w:i/>
          <w:iCs/>
        </w:rPr>
        <w:t>448</w:t>
      </w:r>
      <w:r w:rsidR="002D518D" w:rsidRPr="00D56336">
        <w:t>.</w:t>
      </w:r>
    </w:p>
    <w:p w14:paraId="32FD270B" w14:textId="4450101B" w:rsidR="002D518D" w:rsidRDefault="00BE446E" w:rsidP="002D518D">
      <w:pPr>
        <w:pStyle w:val="LI-BodyTextParaa"/>
        <w:ind w:left="567"/>
        <w:rPr>
          <w:i/>
        </w:rPr>
      </w:pPr>
      <w:r>
        <w:rPr>
          <w:iCs/>
        </w:rPr>
        <w:t>41</w:t>
      </w:r>
      <w:r w:rsidR="002D518D" w:rsidRPr="00D56336">
        <w:rPr>
          <w:iCs/>
        </w:rPr>
        <w:t>.</w:t>
      </w:r>
      <w:r w:rsidR="002D518D" w:rsidRPr="007873E2">
        <w:rPr>
          <w:i/>
        </w:rPr>
        <w:t xml:space="preserve"> </w:t>
      </w:r>
      <w:r w:rsidR="002D518D">
        <w:rPr>
          <w:i/>
        </w:rPr>
        <w:tab/>
      </w:r>
      <w:r w:rsidR="002D518D">
        <w:rPr>
          <w:iCs/>
        </w:rPr>
        <w:t xml:space="preserve">Section 2 </w:t>
      </w:r>
      <w:r w:rsidR="00811348">
        <w:rPr>
          <w:iCs/>
        </w:rPr>
        <w:t xml:space="preserve">of the Amendment and Repeal Instrument </w:t>
      </w:r>
      <w:r w:rsidR="002D518D">
        <w:rPr>
          <w:iCs/>
        </w:rPr>
        <w:t xml:space="preserve">provides that </w:t>
      </w:r>
      <w:r w:rsidR="00811348">
        <w:rPr>
          <w:iCs/>
        </w:rPr>
        <w:t xml:space="preserve">it </w:t>
      </w:r>
      <w:r w:rsidR="002D518D">
        <w:rPr>
          <w:iCs/>
        </w:rPr>
        <w:t xml:space="preserve">commences on the day after it is registered on the Federal Register of Legislation. </w:t>
      </w:r>
    </w:p>
    <w:p w14:paraId="34CF90D6" w14:textId="7069F563" w:rsidR="002D518D" w:rsidRDefault="00BE446E" w:rsidP="002D518D">
      <w:pPr>
        <w:pStyle w:val="LI-BodyTextParaa"/>
        <w:ind w:left="567"/>
        <w:rPr>
          <w:iCs/>
        </w:rPr>
      </w:pPr>
      <w:r>
        <w:lastRenderedPageBreak/>
        <w:t>42</w:t>
      </w:r>
      <w:r w:rsidR="002D518D" w:rsidRPr="00474B52">
        <w:t>.</w:t>
      </w:r>
      <w:r w:rsidR="002D518D">
        <w:rPr>
          <w:i/>
        </w:rPr>
        <w:tab/>
      </w:r>
      <w:r w:rsidR="002D518D">
        <w:rPr>
          <w:iCs/>
        </w:rPr>
        <w:t xml:space="preserve">Section 3 </w:t>
      </w:r>
      <w:r w:rsidR="00811348">
        <w:rPr>
          <w:iCs/>
        </w:rPr>
        <w:t xml:space="preserve">of the Amendment and Repeal Instrument </w:t>
      </w:r>
      <w:r w:rsidR="002D518D">
        <w:rPr>
          <w:iCs/>
        </w:rPr>
        <w:t xml:space="preserve">provides </w:t>
      </w:r>
      <w:r w:rsidR="00811348">
        <w:rPr>
          <w:iCs/>
        </w:rPr>
        <w:t xml:space="preserve">the instrument </w:t>
      </w:r>
      <w:r w:rsidR="002D518D">
        <w:rPr>
          <w:iCs/>
        </w:rPr>
        <w:t>is made under subsection</w:t>
      </w:r>
      <w:r w:rsidR="00DA2534">
        <w:rPr>
          <w:iCs/>
        </w:rPr>
        <w:t>s 601QA(1), 741(</w:t>
      </w:r>
      <w:r w:rsidR="009B42A4">
        <w:rPr>
          <w:iCs/>
        </w:rPr>
        <w:t>1</w:t>
      </w:r>
      <w:r w:rsidR="00DA2534">
        <w:rPr>
          <w:iCs/>
        </w:rPr>
        <w:t>),</w:t>
      </w:r>
      <w:r w:rsidR="002D518D">
        <w:rPr>
          <w:iCs/>
        </w:rPr>
        <w:t xml:space="preserve"> 926A(2)</w:t>
      </w:r>
      <w:r w:rsidR="00B43267">
        <w:rPr>
          <w:iCs/>
        </w:rPr>
        <w:t xml:space="preserve">, </w:t>
      </w:r>
      <w:r w:rsidR="002D518D">
        <w:t xml:space="preserve"> 951B</w:t>
      </w:r>
      <w:r w:rsidR="00AB3140">
        <w:t>(1)</w:t>
      </w:r>
      <w:r w:rsidR="005D1E5C">
        <w:t xml:space="preserve"> </w:t>
      </w:r>
      <w:r w:rsidR="00AB3140">
        <w:t xml:space="preserve">and </w:t>
      </w:r>
      <w:r w:rsidR="001F4315">
        <w:t>1020F(2) of the Corporations Act</w:t>
      </w:r>
      <w:r w:rsidR="002D518D">
        <w:rPr>
          <w:i/>
          <w:iCs/>
        </w:rPr>
        <w:t xml:space="preserve">. </w:t>
      </w:r>
      <w:r w:rsidR="002D518D" w:rsidDel="000A7DFC">
        <w:t xml:space="preserve"> </w:t>
      </w:r>
    </w:p>
    <w:p w14:paraId="19F4324B" w14:textId="5DF23F32" w:rsidR="002D518D" w:rsidRDefault="0062287F" w:rsidP="002D518D">
      <w:pPr>
        <w:pStyle w:val="LI-BodyTextParaa"/>
        <w:ind w:left="567"/>
        <w:rPr>
          <w:iCs/>
        </w:rPr>
      </w:pPr>
      <w:r>
        <w:t>4</w:t>
      </w:r>
      <w:r w:rsidR="00BE446E">
        <w:t>3</w:t>
      </w:r>
      <w:r w:rsidR="002D518D">
        <w:t>.</w:t>
      </w:r>
      <w:r w:rsidR="002D518D">
        <w:tab/>
      </w:r>
      <w:r w:rsidR="002D518D">
        <w:rPr>
          <w:iCs/>
        </w:rPr>
        <w:t xml:space="preserve">Section 4 </w:t>
      </w:r>
      <w:r w:rsidR="00943CBA">
        <w:rPr>
          <w:iCs/>
        </w:rPr>
        <w:t xml:space="preserve">of the </w:t>
      </w:r>
      <w:r w:rsidR="00F5170E">
        <w:rPr>
          <w:iCs/>
        </w:rPr>
        <w:t xml:space="preserve">Amendment and Repeal Instrument </w:t>
      </w:r>
      <w:r w:rsidR="002D518D">
        <w:rPr>
          <w:iCs/>
        </w:rPr>
        <w:t xml:space="preserve">sets out that each instrument specified in the Schedule is amended, repealed, or has effect according to the applicable items in the Schedule. </w:t>
      </w:r>
    </w:p>
    <w:p w14:paraId="483A24D6" w14:textId="37456240" w:rsidR="002D518D" w:rsidRPr="007A3553" w:rsidRDefault="002D518D" w:rsidP="002D518D">
      <w:pPr>
        <w:pStyle w:val="LI-BodyTextParaa"/>
        <w:ind w:left="567"/>
        <w:rPr>
          <w:iCs/>
          <w:u w:val="single"/>
        </w:rPr>
      </w:pPr>
      <w:r w:rsidRPr="007A3553">
        <w:rPr>
          <w:iCs/>
          <w:u w:val="single"/>
        </w:rPr>
        <w:t xml:space="preserve">Schedule 1 – Amendments </w:t>
      </w:r>
    </w:p>
    <w:p w14:paraId="79A40B6B" w14:textId="1778D606" w:rsidR="002D518D" w:rsidRDefault="0062287F" w:rsidP="002D518D">
      <w:pPr>
        <w:pStyle w:val="LI-BodyTextParaa"/>
        <w:ind w:left="567"/>
        <w:rPr>
          <w:iCs/>
        </w:rPr>
      </w:pPr>
      <w:r>
        <w:rPr>
          <w:iCs/>
        </w:rPr>
        <w:t>4</w:t>
      </w:r>
      <w:r w:rsidR="00BE446E">
        <w:rPr>
          <w:iCs/>
        </w:rPr>
        <w:t>4</w:t>
      </w:r>
      <w:r w:rsidR="002D518D">
        <w:rPr>
          <w:iCs/>
        </w:rPr>
        <w:t>.</w:t>
      </w:r>
      <w:r w:rsidR="002D518D">
        <w:rPr>
          <w:iCs/>
        </w:rPr>
        <w:tab/>
        <w:t>Item 1 of Schedule 1</w:t>
      </w:r>
      <w:r w:rsidR="00442BA2">
        <w:rPr>
          <w:iCs/>
        </w:rPr>
        <w:t xml:space="preserve"> of the Amendment and Repeal Instrument</w:t>
      </w:r>
      <w:r w:rsidR="002D518D">
        <w:rPr>
          <w:iCs/>
        </w:rPr>
        <w:t xml:space="preserve"> amends </w:t>
      </w:r>
      <w:r w:rsidR="00BB0BED">
        <w:rPr>
          <w:iCs/>
        </w:rPr>
        <w:t xml:space="preserve">the note to notional subsection 1012D(7AJ)(b) of the Corporations Act that </w:t>
      </w:r>
      <w:r w:rsidR="0005228B">
        <w:rPr>
          <w:iCs/>
        </w:rPr>
        <w:t>section </w:t>
      </w:r>
      <w:r w:rsidR="002D518D">
        <w:rPr>
          <w:iCs/>
        </w:rPr>
        <w:t xml:space="preserve">6 </w:t>
      </w:r>
      <w:r w:rsidR="00BB0BED">
        <w:rPr>
          <w:iCs/>
        </w:rPr>
        <w:t xml:space="preserve">of </w:t>
      </w:r>
      <w:r w:rsidR="002D518D">
        <w:rPr>
          <w:iCs/>
        </w:rPr>
        <w:t xml:space="preserve"> </w:t>
      </w:r>
      <w:r w:rsidR="002D518D" w:rsidRPr="007A3553">
        <w:rPr>
          <w:i/>
        </w:rPr>
        <w:t xml:space="preserve">ASIC Corporations (31-day Notice </w:t>
      </w:r>
      <w:r w:rsidR="002D518D">
        <w:rPr>
          <w:i/>
        </w:rPr>
        <w:t>T</w:t>
      </w:r>
      <w:r w:rsidR="002D518D" w:rsidRPr="007A3553">
        <w:rPr>
          <w:i/>
        </w:rPr>
        <w:t>erm Deposits) Instrument 2025/172</w:t>
      </w:r>
      <w:r w:rsidR="002D518D">
        <w:rPr>
          <w:iCs/>
        </w:rPr>
        <w:t xml:space="preserve"> </w:t>
      </w:r>
      <w:r w:rsidR="00BB0BED">
        <w:rPr>
          <w:iCs/>
        </w:rPr>
        <w:t xml:space="preserve">inserts to replace a </w:t>
      </w:r>
      <w:r w:rsidR="00963CB7">
        <w:rPr>
          <w:iCs/>
        </w:rPr>
        <w:t>reference to LI 201</w:t>
      </w:r>
      <w:r w:rsidR="00944B5D">
        <w:rPr>
          <w:iCs/>
        </w:rPr>
        <w:t xml:space="preserve">5/647 and section 761A with a reference to the Electronic Disclosure Instrument and section </w:t>
      </w:r>
      <w:r w:rsidR="005051CF">
        <w:rPr>
          <w:iCs/>
        </w:rPr>
        <w:t xml:space="preserve">9. </w:t>
      </w:r>
    </w:p>
    <w:p w14:paraId="2556F45F" w14:textId="433FE778" w:rsidR="002D518D" w:rsidRDefault="0062287F" w:rsidP="002D518D">
      <w:pPr>
        <w:pStyle w:val="LI-BodyTextParaa"/>
        <w:ind w:left="567"/>
        <w:rPr>
          <w:iCs/>
        </w:rPr>
      </w:pPr>
      <w:r>
        <w:rPr>
          <w:iCs/>
        </w:rPr>
        <w:t>4</w:t>
      </w:r>
      <w:r w:rsidR="00BE446E">
        <w:rPr>
          <w:iCs/>
        </w:rPr>
        <w:t>5</w:t>
      </w:r>
      <w:r w:rsidR="002D518D">
        <w:rPr>
          <w:iCs/>
        </w:rPr>
        <w:t>.</w:t>
      </w:r>
      <w:r w:rsidR="002D518D">
        <w:rPr>
          <w:iCs/>
        </w:rPr>
        <w:tab/>
        <w:t xml:space="preserve">Item 2 of Schedule 1 </w:t>
      </w:r>
      <w:r w:rsidR="005051CF">
        <w:rPr>
          <w:iCs/>
        </w:rPr>
        <w:t xml:space="preserve">of the Amendment and Repeal Instrument </w:t>
      </w:r>
      <w:r w:rsidR="002D518D">
        <w:rPr>
          <w:iCs/>
        </w:rPr>
        <w:t xml:space="preserve">amends </w:t>
      </w:r>
      <w:r w:rsidR="00334810">
        <w:rPr>
          <w:iCs/>
        </w:rPr>
        <w:t xml:space="preserve">the definition </w:t>
      </w:r>
      <w:r w:rsidR="001F4123">
        <w:rPr>
          <w:iCs/>
        </w:rPr>
        <w:t xml:space="preserve">of ‘nominated electronic means’ </w:t>
      </w:r>
      <w:r w:rsidR="00972622">
        <w:rPr>
          <w:iCs/>
        </w:rPr>
        <w:t xml:space="preserve">in section </w:t>
      </w:r>
      <w:r w:rsidR="00784267">
        <w:rPr>
          <w:iCs/>
        </w:rPr>
        <w:t xml:space="preserve">4 of </w:t>
      </w:r>
      <w:r w:rsidR="002D518D" w:rsidRPr="007A3553">
        <w:rPr>
          <w:bCs/>
          <w:i/>
          <w:iCs/>
        </w:rPr>
        <w:t>ASIC Corporations (Application Form Requirements) Instrument 2017/241</w:t>
      </w:r>
      <w:r w:rsidR="002D518D">
        <w:rPr>
          <w:bCs/>
          <w:i/>
          <w:iCs/>
        </w:rPr>
        <w:t xml:space="preserve"> </w:t>
      </w:r>
      <w:r w:rsidR="002D518D">
        <w:rPr>
          <w:iCs/>
        </w:rPr>
        <w:t xml:space="preserve">to </w:t>
      </w:r>
      <w:r w:rsidR="009229FE">
        <w:rPr>
          <w:iCs/>
        </w:rPr>
        <w:t xml:space="preserve">replace a reference to LI 2015/647 and section 761A with a reference to the Electronic Disclosure Instrument and section 9. Item 3 of Schedule 1 of the Amendment and Repeal Instrument makes a like amendment to </w:t>
      </w:r>
      <w:r w:rsidR="00680C78">
        <w:rPr>
          <w:iCs/>
        </w:rPr>
        <w:t xml:space="preserve">the note to notional paragraph </w:t>
      </w:r>
      <w:r w:rsidR="00C57728">
        <w:rPr>
          <w:iCs/>
        </w:rPr>
        <w:t xml:space="preserve">1016A(2B)(a) of the Corporations Act </w:t>
      </w:r>
      <w:r w:rsidR="002558E7">
        <w:rPr>
          <w:iCs/>
        </w:rPr>
        <w:t xml:space="preserve">in </w:t>
      </w:r>
      <w:r w:rsidR="006448CE">
        <w:rPr>
          <w:iCs/>
        </w:rPr>
        <w:t xml:space="preserve">section 9 </w:t>
      </w:r>
      <w:r w:rsidR="002558E7">
        <w:rPr>
          <w:iCs/>
        </w:rPr>
        <w:t xml:space="preserve">of </w:t>
      </w:r>
      <w:r w:rsidR="002558E7" w:rsidRPr="007A3553">
        <w:rPr>
          <w:bCs/>
          <w:i/>
          <w:iCs/>
        </w:rPr>
        <w:t>ASIC Corporations (Application Form Requirements) Instrument 2017/241</w:t>
      </w:r>
      <w:r w:rsidR="002D518D">
        <w:rPr>
          <w:iCs/>
        </w:rPr>
        <w:t xml:space="preserve">. </w:t>
      </w:r>
    </w:p>
    <w:p w14:paraId="02F6218D" w14:textId="5BBD5E78" w:rsidR="002D518D" w:rsidRPr="00B17DD2" w:rsidRDefault="0062287F" w:rsidP="002D518D">
      <w:pPr>
        <w:pStyle w:val="LI-BodyTextParaa"/>
        <w:ind w:left="567"/>
      </w:pPr>
      <w:r>
        <w:rPr>
          <w:iCs/>
        </w:rPr>
        <w:t>4</w:t>
      </w:r>
      <w:r w:rsidR="00BE446E">
        <w:rPr>
          <w:iCs/>
        </w:rPr>
        <w:t>6</w:t>
      </w:r>
      <w:r w:rsidR="002D518D">
        <w:rPr>
          <w:iCs/>
        </w:rPr>
        <w:t>.</w:t>
      </w:r>
      <w:r w:rsidR="002D518D">
        <w:rPr>
          <w:iCs/>
        </w:rPr>
        <w:tab/>
        <w:t xml:space="preserve">Item 4 of Schedule 1 </w:t>
      </w:r>
      <w:r w:rsidR="002558E7">
        <w:rPr>
          <w:iCs/>
        </w:rPr>
        <w:t xml:space="preserve">of the Amendment and Repeal Instrument </w:t>
      </w:r>
      <w:r w:rsidR="002D518D">
        <w:rPr>
          <w:iCs/>
        </w:rPr>
        <w:t xml:space="preserve">amends </w:t>
      </w:r>
      <w:r w:rsidR="00EF35C8">
        <w:rPr>
          <w:iCs/>
        </w:rPr>
        <w:t xml:space="preserve">the ‘nominated electronic means’ definition in section 4 of </w:t>
      </w:r>
      <w:r w:rsidR="002D518D" w:rsidRPr="007A3553">
        <w:rPr>
          <w:bCs/>
          <w:i/>
          <w:iCs/>
        </w:rPr>
        <w:t>ASIC Corporations (Share and Interest Sale Facilities) Instrument 2018/99</w:t>
      </w:r>
      <w:r w:rsidR="002D518D">
        <w:rPr>
          <w:bCs/>
        </w:rPr>
        <w:t xml:space="preserve"> </w:t>
      </w:r>
      <w:r w:rsidR="002D518D">
        <w:rPr>
          <w:iCs/>
        </w:rPr>
        <w:t>to</w:t>
      </w:r>
      <w:r w:rsidR="007515F6">
        <w:rPr>
          <w:iCs/>
        </w:rPr>
        <w:t xml:space="preserve"> </w:t>
      </w:r>
      <w:r w:rsidR="00EF35C8">
        <w:rPr>
          <w:iCs/>
        </w:rPr>
        <w:t>replace reference</w:t>
      </w:r>
      <w:r w:rsidR="00F8588E">
        <w:rPr>
          <w:iCs/>
        </w:rPr>
        <w:t>s</w:t>
      </w:r>
      <w:r w:rsidR="00EF35C8">
        <w:rPr>
          <w:iCs/>
        </w:rPr>
        <w:t xml:space="preserve"> to LI </w:t>
      </w:r>
      <w:r w:rsidR="003C51AE">
        <w:rPr>
          <w:iCs/>
        </w:rPr>
        <w:t>2015/647</w:t>
      </w:r>
      <w:r w:rsidR="00570ABA">
        <w:rPr>
          <w:iCs/>
        </w:rPr>
        <w:t xml:space="preserve"> </w:t>
      </w:r>
      <w:r w:rsidR="00F8588E">
        <w:rPr>
          <w:iCs/>
        </w:rPr>
        <w:t>and section 761A with reference</w:t>
      </w:r>
      <w:r w:rsidR="00EB6E96">
        <w:rPr>
          <w:iCs/>
        </w:rPr>
        <w:t xml:space="preserve">s to the Electronic Disclosure Instrument and section 9. </w:t>
      </w:r>
      <w:r w:rsidR="00F8588E">
        <w:rPr>
          <w:iCs/>
        </w:rPr>
        <w:t xml:space="preserve"> </w:t>
      </w:r>
    </w:p>
    <w:p w14:paraId="3771D6A5" w14:textId="77777777" w:rsidR="002D518D" w:rsidRPr="007A3553" w:rsidRDefault="002D518D" w:rsidP="002D518D">
      <w:pPr>
        <w:pStyle w:val="LI-BodyTextParaa"/>
        <w:ind w:left="567"/>
        <w:rPr>
          <w:iCs/>
          <w:u w:val="single"/>
        </w:rPr>
      </w:pPr>
      <w:r w:rsidRPr="007A3553">
        <w:rPr>
          <w:iCs/>
          <w:u w:val="single"/>
        </w:rPr>
        <w:t>Schedule 2 – Repeals</w:t>
      </w:r>
    </w:p>
    <w:p w14:paraId="47B7BD34" w14:textId="04FA5559" w:rsidR="002D518D" w:rsidRDefault="0062287F" w:rsidP="002D518D">
      <w:pPr>
        <w:pStyle w:val="LI-BodyTextParaa"/>
        <w:ind w:left="567"/>
      </w:pPr>
      <w:r>
        <w:t>4</w:t>
      </w:r>
      <w:r w:rsidR="00BE446E">
        <w:t>7</w:t>
      </w:r>
      <w:r w:rsidR="002D518D">
        <w:t>.</w:t>
      </w:r>
      <w:r w:rsidR="002D518D">
        <w:tab/>
        <w:t xml:space="preserve">Item 1 of Schedule 2 </w:t>
      </w:r>
      <w:r w:rsidR="00EB6E96">
        <w:t xml:space="preserve">of the Amendment and Repeal Instrument </w:t>
      </w:r>
      <w:r w:rsidR="002D518D">
        <w:t xml:space="preserve">repeals </w:t>
      </w:r>
      <w:r w:rsidR="00CD2E05">
        <w:t>LI</w:t>
      </w:r>
      <w:r w:rsidR="005B2375">
        <w:t> </w:t>
      </w:r>
      <w:r w:rsidR="00CD2E05">
        <w:t>2015/647</w:t>
      </w:r>
      <w:r w:rsidR="002D518D" w:rsidRPr="007A3553">
        <w:rPr>
          <w:i/>
          <w:iCs/>
        </w:rPr>
        <w:t>.</w:t>
      </w:r>
      <w:r w:rsidR="0036223A">
        <w:t xml:space="preserve"> </w:t>
      </w:r>
      <w:r w:rsidR="002D518D">
        <w:t xml:space="preserve">Item 2 of Schedule 2 repeals </w:t>
      </w:r>
      <w:r w:rsidR="00CD2E05">
        <w:t>LI 2015/649</w:t>
      </w:r>
      <w:r w:rsidR="002D518D" w:rsidRPr="007A3553">
        <w:rPr>
          <w:i/>
          <w:iCs/>
        </w:rPr>
        <w:t>.</w:t>
      </w:r>
    </w:p>
    <w:p w14:paraId="57A93CEC" w14:textId="431890D1" w:rsidR="00C52E7C" w:rsidRPr="006D6079" w:rsidRDefault="00C52E7C" w:rsidP="006D6079">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5C58C463" w14:textId="2C710E5F" w:rsidR="0032443D" w:rsidRPr="0032443D" w:rsidRDefault="0062287F" w:rsidP="0032443D">
      <w:pPr>
        <w:pStyle w:val="LI-BodyTextParaa"/>
        <w:ind w:left="567"/>
        <w:rPr>
          <w:color w:val="000000"/>
        </w:rPr>
      </w:pPr>
      <w:r>
        <w:rPr>
          <w:color w:val="000000"/>
        </w:rPr>
        <w:t>48</w:t>
      </w:r>
      <w:r w:rsidR="0032443D">
        <w:rPr>
          <w:color w:val="000000"/>
        </w:rPr>
        <w:tab/>
      </w:r>
      <w:r w:rsidR="0032443D" w:rsidRPr="0032443D">
        <w:rPr>
          <w:color w:val="000000"/>
        </w:rPr>
        <w:t xml:space="preserve">The subject matter and policy implemented by the Instrument is more appropriate for a legislative instrument, rather than primary legislation. This is because the Instrument provides relief where strict compliance with the primary legislation would produce anomalous outcomes inconsistent with the intent of the primary law. </w:t>
      </w:r>
    </w:p>
    <w:p w14:paraId="112D52EB" w14:textId="5366D670" w:rsidR="0032443D" w:rsidRDefault="00BE446E" w:rsidP="0032443D">
      <w:pPr>
        <w:pStyle w:val="LI-BodyTextParaa"/>
        <w:ind w:left="567"/>
        <w:rPr>
          <w:color w:val="000000"/>
        </w:rPr>
      </w:pPr>
      <w:r>
        <w:rPr>
          <w:color w:val="000000"/>
        </w:rPr>
        <w:t>49</w:t>
      </w:r>
      <w:r w:rsidR="0032443D" w:rsidRPr="0032443D">
        <w:rPr>
          <w:color w:val="000000"/>
        </w:rPr>
        <w:t>.</w:t>
      </w:r>
      <w:r w:rsidR="0032443D" w:rsidRPr="0032443D">
        <w:rPr>
          <w:color w:val="000000"/>
        </w:rPr>
        <w:tab/>
        <w:t>The Instrument is made under powers specifically delegated to ASIC to modify or affect the operation of the Corporations Act to provide a tailored and flexible regulatory environment that is fit for purpose.</w:t>
      </w:r>
    </w:p>
    <w:p w14:paraId="4828665D" w14:textId="50E9CAE6" w:rsidR="009A2319" w:rsidRPr="006D6079" w:rsidRDefault="00BE446E" w:rsidP="006D6079">
      <w:pPr>
        <w:pStyle w:val="LI-BodyTextParaa"/>
        <w:ind w:left="567"/>
        <w:rPr>
          <w:color w:val="000000"/>
          <w:shd w:val="clear" w:color="auto" w:fill="FFFFFF"/>
        </w:rPr>
      </w:pPr>
      <w:r>
        <w:rPr>
          <w:color w:val="000000"/>
        </w:rPr>
        <w:t>50.</w:t>
      </w:r>
      <w:r>
        <w:rPr>
          <w:color w:val="000000"/>
        </w:rPr>
        <w:tab/>
      </w:r>
      <w:r w:rsidR="005D1770">
        <w:rPr>
          <w:color w:val="000000"/>
        </w:rPr>
        <w:t xml:space="preserve">It will be a matter for the Government and for Parliament as to whether the </w:t>
      </w:r>
      <w:r w:rsidR="006A1332">
        <w:rPr>
          <w:color w:val="000000"/>
        </w:rPr>
        <w:t xml:space="preserve">Corporations </w:t>
      </w:r>
      <w:r w:rsidR="005D1770">
        <w:rPr>
          <w:color w:val="000000"/>
        </w:rPr>
        <w:t xml:space="preserve">Act or </w:t>
      </w:r>
      <w:r w:rsidR="006A1332">
        <w:rPr>
          <w:color w:val="000000"/>
        </w:rPr>
        <w:t xml:space="preserve">Corporations </w:t>
      </w:r>
      <w:r w:rsidR="005D1770">
        <w:rPr>
          <w:color w:val="000000"/>
        </w:rPr>
        <w:t xml:space="preserve">Regulations may be amended in future to include the relief in the </w:t>
      </w:r>
      <w:r w:rsidR="00583391" w:rsidRPr="009B1617">
        <w:t xml:space="preserve">Electronic Disclosure </w:t>
      </w:r>
      <w:r w:rsidR="005D1770">
        <w:rPr>
          <w:color w:val="000000"/>
        </w:rPr>
        <w:t>Instrument.</w:t>
      </w:r>
    </w:p>
    <w:p w14:paraId="50EBD214" w14:textId="77777777" w:rsidR="005D1770" w:rsidRDefault="00F61A66" w:rsidP="00F61A66">
      <w:pPr>
        <w:pStyle w:val="LI-BodyTextParaa"/>
        <w:keepNext/>
        <w:ind w:left="567"/>
        <w:rPr>
          <w:u w:val="single"/>
        </w:rPr>
      </w:pPr>
      <w:r w:rsidRPr="006D6079">
        <w:rPr>
          <w:b/>
          <w:bCs/>
        </w:rPr>
        <w:lastRenderedPageBreak/>
        <w:t>Duration</w:t>
      </w:r>
      <w:r w:rsidR="009A2319" w:rsidRPr="006D6079">
        <w:rPr>
          <w:b/>
          <w:bCs/>
        </w:rPr>
        <w:t xml:space="preserve"> of the instrument</w:t>
      </w:r>
      <w:r>
        <w:rPr>
          <w:u w:val="single"/>
        </w:rPr>
        <w:t xml:space="preserve"> </w:t>
      </w:r>
    </w:p>
    <w:p w14:paraId="23CAEE8A" w14:textId="77AB4AB5" w:rsidR="00113849" w:rsidRDefault="00BE446E" w:rsidP="00113849">
      <w:pPr>
        <w:pStyle w:val="NormalWeb"/>
        <w:spacing w:before="240" w:beforeAutospacing="0" w:after="0" w:afterAutospacing="0"/>
        <w:ind w:left="567" w:hanging="567"/>
        <w:rPr>
          <w:rFonts w:ascii="Calibri" w:hAnsi="Calibri" w:cs="Calibri"/>
          <w:color w:val="000000"/>
        </w:rPr>
      </w:pPr>
      <w:r>
        <w:t>51</w:t>
      </w:r>
      <w:r w:rsidR="00F61A66" w:rsidRPr="006D6079">
        <w:t>.</w:t>
      </w:r>
      <w:r w:rsidR="00113849">
        <w:tab/>
      </w:r>
      <w:r w:rsidR="0089645A">
        <w:t xml:space="preserve">The </w:t>
      </w:r>
      <w:r w:rsidR="00583391" w:rsidRPr="009B1617">
        <w:t xml:space="preserve">Electronic Disclosure </w:t>
      </w:r>
      <w:r w:rsidR="00B40EC2">
        <w:rPr>
          <w:color w:val="000000"/>
          <w:shd w:val="clear" w:color="auto" w:fill="FFFFFF"/>
        </w:rPr>
        <w:t xml:space="preserve">Instrument </w:t>
      </w:r>
      <w:r w:rsidR="006B4C62">
        <w:rPr>
          <w:color w:val="000000"/>
          <w:shd w:val="clear" w:color="auto" w:fill="FFFFFF"/>
        </w:rPr>
        <w:t xml:space="preserve">is </w:t>
      </w:r>
      <w:r w:rsidR="007576B7">
        <w:rPr>
          <w:color w:val="000000"/>
          <w:shd w:val="clear" w:color="auto" w:fill="FFFFFF"/>
        </w:rPr>
        <w:t xml:space="preserve">repealed at the start of </w:t>
      </w:r>
      <w:r w:rsidR="00B40EC2" w:rsidRPr="00B40EC2">
        <w:rPr>
          <w:color w:val="000000"/>
          <w:shd w:val="clear" w:color="auto" w:fill="FFFFFF"/>
        </w:rPr>
        <w:t>1 October 2030</w:t>
      </w:r>
      <w:r w:rsidR="00FC4882">
        <w:rPr>
          <w:color w:val="000000"/>
          <w:shd w:val="clear" w:color="auto" w:fill="FFFFFF"/>
        </w:rPr>
        <w:t>.</w:t>
      </w:r>
      <w:r w:rsidR="007F2132">
        <w:rPr>
          <w:color w:val="000000"/>
          <w:shd w:val="clear" w:color="auto" w:fill="FFFFFF"/>
        </w:rPr>
        <w:t xml:space="preserve"> </w:t>
      </w:r>
      <w:r w:rsidR="0072683C">
        <w:rPr>
          <w:color w:val="000000"/>
          <w:shd w:val="clear" w:color="auto" w:fill="FFFFFF"/>
        </w:rPr>
        <w:t>This period is appropriate to provide certainty for industry while the Government decides whether to amend the primary legislation.</w:t>
      </w:r>
      <w:r w:rsidR="007F2132">
        <w:rPr>
          <w:color w:val="000000"/>
          <w:shd w:val="clear" w:color="auto" w:fill="FFFFFF"/>
        </w:rPr>
        <w:t xml:space="preserve"> </w:t>
      </w:r>
    </w:p>
    <w:p w14:paraId="6E228E05" w14:textId="153EF1A5" w:rsidR="00F03BB5" w:rsidRDefault="00474B52" w:rsidP="006D6079">
      <w:pPr>
        <w:pStyle w:val="LI-BodyTextNumbered"/>
        <w:keepNext/>
        <w:ind w:left="0" w:firstLine="0"/>
        <w:rPr>
          <w:b/>
        </w:rPr>
      </w:pPr>
      <w:r>
        <w:rPr>
          <w:b/>
        </w:rPr>
        <w:t>Legislative authority</w:t>
      </w:r>
    </w:p>
    <w:p w14:paraId="246B922F" w14:textId="0F32FDAE" w:rsidR="007168EE" w:rsidRDefault="0062287F" w:rsidP="00F03BB5">
      <w:pPr>
        <w:pStyle w:val="LI-BodyTextParaa"/>
        <w:ind w:left="567"/>
      </w:pPr>
      <w:r>
        <w:t>5</w:t>
      </w:r>
      <w:r w:rsidR="00BE446E">
        <w:t>2</w:t>
      </w:r>
      <w:r w:rsidR="00F03BB5">
        <w:t>.</w:t>
      </w:r>
      <w:r w:rsidR="00F03BB5">
        <w:tab/>
      </w:r>
      <w:r w:rsidR="00B53A5F" w:rsidRPr="00B53F87">
        <w:rPr>
          <w:iCs/>
        </w:rPr>
        <w:t>Th</w:t>
      </w:r>
      <w:r w:rsidR="00E200B3">
        <w:rPr>
          <w:iCs/>
        </w:rPr>
        <w:t>e</w:t>
      </w:r>
      <w:r w:rsidR="00B53A5F" w:rsidRPr="00B53F87">
        <w:rPr>
          <w:iCs/>
        </w:rPr>
        <w:t xml:space="preserve"> </w:t>
      </w:r>
      <w:r w:rsidR="00E200B3" w:rsidRPr="009B1617">
        <w:t xml:space="preserve">Electronic Disclosure </w:t>
      </w:r>
      <w:r w:rsidR="00E200B3">
        <w:t xml:space="preserve">Instrument </w:t>
      </w:r>
      <w:r w:rsidR="007168EE">
        <w:t xml:space="preserve">is made under </w:t>
      </w:r>
      <w:r w:rsidR="00C83C30">
        <w:t>paragraphs 951B(1)(c) and 1020F(1)(c) of the Corporations Act.</w:t>
      </w:r>
    </w:p>
    <w:p w14:paraId="629E87F3" w14:textId="13CE4972" w:rsidR="009A3F74" w:rsidRDefault="00C83C30" w:rsidP="00F03BB5">
      <w:pPr>
        <w:pStyle w:val="LI-BodyTextParaa"/>
        <w:ind w:left="567"/>
        <w:rPr>
          <w:iCs/>
        </w:rPr>
      </w:pPr>
      <w:r>
        <w:t>5</w:t>
      </w:r>
      <w:r w:rsidR="00BE446E">
        <w:t>3</w:t>
      </w:r>
      <w:r>
        <w:t>.</w:t>
      </w:r>
      <w:r>
        <w:tab/>
        <w:t xml:space="preserve">The </w:t>
      </w:r>
      <w:r w:rsidR="00520266" w:rsidRPr="00520266">
        <w:t xml:space="preserve">Amendment and Repeal Instrument </w:t>
      </w:r>
      <w:r w:rsidR="007A374C">
        <w:t xml:space="preserve">is made </w:t>
      </w:r>
      <w:r w:rsidR="00B53A5F" w:rsidRPr="00B53F87">
        <w:rPr>
          <w:iCs/>
        </w:rPr>
        <w:t xml:space="preserve">under </w:t>
      </w:r>
      <w:r w:rsidR="00615C24" w:rsidRPr="00615C24">
        <w:rPr>
          <w:iCs/>
        </w:rPr>
        <w:t xml:space="preserve">subsections 601QA(1), 741(1), 926A(2), 951B(1) and 1020F(1) </w:t>
      </w:r>
      <w:r w:rsidR="00B53A5F" w:rsidRPr="00B53F87">
        <w:rPr>
          <w:iCs/>
        </w:rPr>
        <w:t>of the</w:t>
      </w:r>
      <w:r w:rsidR="00B53A5F" w:rsidRPr="00B53A5F">
        <w:rPr>
          <w:i/>
        </w:rPr>
        <w:t xml:space="preserve"> </w:t>
      </w:r>
      <w:r w:rsidR="008729D5">
        <w:t>Corporations Act</w:t>
      </w:r>
      <w:r w:rsidR="00B561DC">
        <w:rPr>
          <w:iCs/>
        </w:rPr>
        <w:t>.</w:t>
      </w:r>
    </w:p>
    <w:p w14:paraId="7D1CC67A" w14:textId="44844E1F" w:rsidR="00DC0B75" w:rsidRPr="00DC0B75" w:rsidRDefault="0062287F" w:rsidP="00F03BB5">
      <w:pPr>
        <w:pStyle w:val="LI-BodyTextParaa"/>
        <w:ind w:left="567"/>
        <w:rPr>
          <w:iCs/>
        </w:rPr>
      </w:pPr>
      <w:r>
        <w:rPr>
          <w:iCs/>
        </w:rPr>
        <w:t>5</w:t>
      </w:r>
      <w:r w:rsidR="00472023">
        <w:rPr>
          <w:iCs/>
        </w:rPr>
        <w:t>4</w:t>
      </w:r>
      <w:r w:rsidR="00DC0B75">
        <w:rPr>
          <w:iCs/>
        </w:rPr>
        <w:t>.</w:t>
      </w:r>
      <w:r w:rsidR="00DC0B75">
        <w:rPr>
          <w:iCs/>
        </w:rPr>
        <w:tab/>
      </w:r>
      <w:r w:rsidR="00DC0B75" w:rsidRPr="00F92BA3">
        <w:t>Under subsection 33(3) of the </w:t>
      </w:r>
      <w:r w:rsidR="00DC0B75" w:rsidRPr="00F92BA3">
        <w:rPr>
          <w:i/>
          <w:iCs/>
        </w:rPr>
        <w:t>Acts Interpretation Act 1901</w:t>
      </w:r>
      <w:r w:rsidR="00DC0B75" w:rsidRPr="00F92BA3">
        <w:t xml:space="preserve">, where an Act confers a power to make any instrument, the power is to be construed as including a power exercisable in the like manner and subject to the like conditions (if any) to </w:t>
      </w:r>
      <w:r w:rsidR="00DC0B75" w:rsidRPr="00BA44EE">
        <w:t xml:space="preserve">repeal, rescind, revoke, </w:t>
      </w:r>
      <w:r w:rsidR="00DC0B75" w:rsidRPr="00F92BA3">
        <w:t xml:space="preserve">amend </w:t>
      </w:r>
      <w:r w:rsidR="00DC0B75" w:rsidRPr="00BA44EE">
        <w:t xml:space="preserve">or vary </w:t>
      </w:r>
      <w:r w:rsidR="00DC0B75" w:rsidRPr="00F92BA3">
        <w:t>any such instrument.</w:t>
      </w:r>
      <w:r w:rsidR="00DC0B75" w:rsidRPr="00F92BA3" w:rsidDel="00F92BA3">
        <w:t xml:space="preserve"> </w:t>
      </w:r>
      <w:r w:rsidR="00DC0B75" w:rsidRPr="009A3F74">
        <w:rPr>
          <w:i/>
        </w:rPr>
        <w:t xml:space="preserve"> </w:t>
      </w:r>
    </w:p>
    <w:p w14:paraId="7D3AA32E" w14:textId="69589295" w:rsidR="00435EEF" w:rsidRDefault="0062287F" w:rsidP="00435EEF">
      <w:pPr>
        <w:pStyle w:val="LI-BodyTextParaa"/>
        <w:ind w:left="567"/>
      </w:pPr>
      <w:r>
        <w:t>5</w:t>
      </w:r>
      <w:r w:rsidR="00472023">
        <w:t>5</w:t>
      </w:r>
      <w:r w:rsidR="00946759">
        <w:t>.</w:t>
      </w:r>
      <w:r w:rsidR="00946759">
        <w:tab/>
      </w:r>
      <w:r w:rsidR="008A7179">
        <w:t>T</w:t>
      </w:r>
      <w:r w:rsidR="00CB5A1C" w:rsidRPr="00CB5A1C">
        <w:t xml:space="preserve">he </w:t>
      </w:r>
      <w:r w:rsidR="002F1D7C" w:rsidRPr="009B1617">
        <w:t xml:space="preserve">Electronic Disclosure </w:t>
      </w:r>
      <w:r w:rsidR="00CB5A1C" w:rsidRPr="00CB5A1C">
        <w:t xml:space="preserve">Instrument </w:t>
      </w:r>
      <w:r w:rsidR="00217D88">
        <w:t>and</w:t>
      </w:r>
      <w:r w:rsidR="00217D88" w:rsidRPr="00217D88">
        <w:t xml:space="preserve"> </w:t>
      </w:r>
      <w:r w:rsidR="00217D88" w:rsidRPr="00520266">
        <w:t>Amendment and Repeal Instrument</w:t>
      </w:r>
      <w:r w:rsidR="00217D88">
        <w:t xml:space="preserve"> are</w:t>
      </w:r>
      <w:r w:rsidR="00CB5A1C" w:rsidRPr="00CB5A1C">
        <w:t xml:space="preserve"> disallowable </w:t>
      </w:r>
      <w:r w:rsidR="008A7179">
        <w:t xml:space="preserve">legislative instruments </w:t>
      </w:r>
      <w:r w:rsidR="002D4A6E">
        <w:t xml:space="preserve">under the </w:t>
      </w:r>
      <w:r w:rsidR="002D4A6E">
        <w:rPr>
          <w:i/>
          <w:iCs/>
        </w:rPr>
        <w:t>Legislation Act 2003</w:t>
      </w:r>
      <w:r w:rsidR="00223DCF">
        <w:t>.</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6747817F" w:rsidR="00223DCF" w:rsidRPr="00EA17A6" w:rsidRDefault="0062287F" w:rsidP="00435EEF">
      <w:pPr>
        <w:pStyle w:val="LI-BodyTextParaa"/>
        <w:ind w:left="567"/>
      </w:pPr>
      <w:r>
        <w:t>5</w:t>
      </w:r>
      <w:r w:rsidR="00472023">
        <w:t>6</w:t>
      </w:r>
      <w:r w:rsidR="00223DCF" w:rsidRPr="00EA17A6">
        <w:t>.</w:t>
      </w:r>
      <w:r w:rsidR="00223DCF" w:rsidRPr="00EA17A6">
        <w:tab/>
        <w:t xml:space="preserve">The Explanatory Statement for a disallowable legislative instrument must contain a Statement of Compatibility with Human Rights under subsection 9(1) of the </w:t>
      </w:r>
      <w:r w:rsidR="00223DCF" w:rsidRPr="00EA17A6">
        <w:rPr>
          <w:i/>
          <w:iCs/>
        </w:rPr>
        <w:t>Human Rights (Parliamentary Scrutiny) Act 2011.</w:t>
      </w:r>
      <w:r w:rsidR="00223DCF" w:rsidRPr="00EA17A6">
        <w:rPr>
          <w:iCs/>
        </w:rPr>
        <w:t xml:space="preserve"> </w:t>
      </w:r>
      <w:r w:rsidR="00223DCF" w:rsidRPr="00EA17A6">
        <w:t xml:space="preserve">A Statement of Compatibility with Human Rights is in the </w:t>
      </w:r>
      <w:r w:rsidR="00223DCF" w:rsidRPr="00EA17A6">
        <w:rPr>
          <w:u w:val="single"/>
        </w:rPr>
        <w:t>Attachment</w:t>
      </w:r>
      <w:r w:rsidR="00223DCF"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1" w:name="_Hlk534286677"/>
    </w:p>
    <w:p w14:paraId="0CD10E11" w14:textId="5360E82F"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2" w:name="_Hlk4054932"/>
      <w:r w:rsidRPr="00EA17A6">
        <w:rPr>
          <w:iCs/>
        </w:rPr>
        <w:t xml:space="preserve">the </w:t>
      </w:r>
      <w:r w:rsidRPr="00EA17A6">
        <w:rPr>
          <w:i/>
          <w:iCs/>
        </w:rPr>
        <w:t>Human Rights (Parliamentary Scrutiny) Act 2011</w:t>
      </w:r>
      <w:bookmarkEnd w:id="2"/>
      <w:r w:rsidR="005E1EF3" w:rsidRPr="00EA17A6">
        <w:rPr>
          <w:iCs/>
        </w:rPr>
        <w:t xml:space="preserve">. </w:t>
      </w:r>
    </w:p>
    <w:p w14:paraId="4B154A7D" w14:textId="0E993CB8" w:rsidR="00223DCF" w:rsidRPr="00EA17A6" w:rsidRDefault="00AC4894" w:rsidP="00223DCF">
      <w:pPr>
        <w:pStyle w:val="LI-BodyTextNumbered"/>
        <w:ind w:left="0" w:firstLine="0"/>
        <w:rPr>
          <w:b/>
          <w:i/>
        </w:rPr>
      </w:pPr>
      <w:r w:rsidRPr="00AC4894">
        <w:rPr>
          <w:b/>
          <w:i/>
        </w:rPr>
        <w:t>ASIC Corporations (Electronic Disclosure) Instrument 2025/447</w:t>
      </w:r>
      <w:r w:rsidR="007A3EA6">
        <w:rPr>
          <w:b/>
          <w:i/>
        </w:rPr>
        <w:t xml:space="preserve"> </w:t>
      </w:r>
      <w:r w:rsidR="007A3EA6" w:rsidRPr="00797BEE">
        <w:rPr>
          <w:bCs/>
          <w:iCs/>
        </w:rPr>
        <w:t>and</w:t>
      </w:r>
      <w:r w:rsidR="007A3EA6">
        <w:rPr>
          <w:b/>
          <w:i/>
        </w:rPr>
        <w:t xml:space="preserve"> </w:t>
      </w:r>
      <w:r w:rsidR="007A3EA6" w:rsidRPr="007A3553">
        <w:rPr>
          <w:b/>
          <w:bCs/>
          <w:i/>
          <w:iCs/>
        </w:rPr>
        <w:t>ASIC Corporations (Amendment and Repeal) Instrument 2025/</w:t>
      </w:r>
      <w:r w:rsidR="007A3EA6">
        <w:rPr>
          <w:b/>
          <w:bCs/>
          <w:i/>
          <w:iCs/>
        </w:rPr>
        <w:t>448</w:t>
      </w:r>
      <w:r w:rsidR="007A3EA6">
        <w:rPr>
          <w:i/>
          <w:iCs/>
        </w:rPr>
        <w:t xml:space="preserve"> </w:t>
      </w:r>
      <w:r w:rsidR="007A3EA6" w:rsidRPr="00EA17A6" w:rsidDel="00783521">
        <w:rPr>
          <w:b/>
          <w:i/>
        </w:rPr>
        <w:t xml:space="preserve"> </w:t>
      </w:r>
    </w:p>
    <w:p w14:paraId="0AD76C9D" w14:textId="77777777" w:rsidR="00223DCF" w:rsidRPr="00EA17A6" w:rsidRDefault="00223DCF" w:rsidP="001872DC">
      <w:pPr>
        <w:pStyle w:val="LI-BodyTextNumbered"/>
        <w:ind w:left="567"/>
        <w:rPr>
          <w:u w:val="single"/>
        </w:rPr>
      </w:pPr>
      <w:r w:rsidRPr="00EA17A6">
        <w:rPr>
          <w:u w:val="single"/>
        </w:rPr>
        <w:t>Overview</w:t>
      </w:r>
    </w:p>
    <w:p w14:paraId="056E764A" w14:textId="289443B2" w:rsidR="00CB2D96" w:rsidRPr="007D1188" w:rsidRDefault="00CB2D96" w:rsidP="00CB2D96">
      <w:pPr>
        <w:spacing w:before="240" w:line="240" w:lineRule="auto"/>
        <w:ind w:left="567" w:hanging="567"/>
        <w:rPr>
          <w:sz w:val="24"/>
          <w:szCs w:val="24"/>
        </w:rPr>
      </w:pPr>
      <w:r w:rsidRPr="00EA17A6">
        <w:rPr>
          <w:rFonts w:eastAsia="Times New Roman"/>
          <w:sz w:val="24"/>
          <w:szCs w:val="24"/>
          <w:lang w:eastAsia="en-AU"/>
        </w:rPr>
        <w:t>1.</w:t>
      </w:r>
      <w:r w:rsidRPr="00EA17A6">
        <w:rPr>
          <w:rFonts w:eastAsia="Times New Roman"/>
          <w:sz w:val="24"/>
          <w:szCs w:val="24"/>
          <w:lang w:eastAsia="en-AU"/>
        </w:rPr>
        <w:tab/>
      </w:r>
      <w:r w:rsidR="004E09E3" w:rsidRPr="007D1188">
        <w:rPr>
          <w:sz w:val="24"/>
          <w:szCs w:val="24"/>
        </w:rPr>
        <w:t xml:space="preserve">The </w:t>
      </w:r>
      <w:r w:rsidR="004E09E3" w:rsidRPr="007D1188">
        <w:rPr>
          <w:i/>
          <w:iCs/>
          <w:sz w:val="24"/>
          <w:szCs w:val="24"/>
        </w:rPr>
        <w:t>ASIC Corporations (</w:t>
      </w:r>
      <w:r w:rsidR="00D52C06" w:rsidRPr="007D1188">
        <w:rPr>
          <w:i/>
          <w:iCs/>
          <w:sz w:val="24"/>
          <w:szCs w:val="24"/>
        </w:rPr>
        <w:t>Electronic Disclosures</w:t>
      </w:r>
      <w:r w:rsidR="004E09E3" w:rsidRPr="007D1188">
        <w:rPr>
          <w:i/>
          <w:iCs/>
          <w:sz w:val="24"/>
          <w:szCs w:val="24"/>
        </w:rPr>
        <w:t>) Instrument 202</w:t>
      </w:r>
      <w:r w:rsidR="00D52C06" w:rsidRPr="007D1188">
        <w:rPr>
          <w:i/>
          <w:iCs/>
          <w:sz w:val="24"/>
          <w:szCs w:val="24"/>
        </w:rPr>
        <w:t>5</w:t>
      </w:r>
      <w:r w:rsidR="004E09E3" w:rsidRPr="007D1188">
        <w:rPr>
          <w:i/>
          <w:iCs/>
          <w:sz w:val="24"/>
          <w:szCs w:val="24"/>
        </w:rPr>
        <w:t>/447</w:t>
      </w:r>
      <w:r w:rsidR="004E09E3" w:rsidRPr="007D1188">
        <w:rPr>
          <w:sz w:val="24"/>
          <w:szCs w:val="24"/>
        </w:rPr>
        <w:t xml:space="preserve"> (</w:t>
      </w:r>
      <w:r w:rsidR="00590135" w:rsidRPr="00797BEE">
        <w:rPr>
          <w:b/>
          <w:bCs/>
          <w:i/>
          <w:iCs/>
          <w:sz w:val="24"/>
          <w:szCs w:val="24"/>
        </w:rPr>
        <w:t xml:space="preserve">Electronic Disclosure </w:t>
      </w:r>
      <w:r w:rsidR="004E09E3" w:rsidRPr="00797BEE">
        <w:rPr>
          <w:b/>
          <w:bCs/>
          <w:i/>
          <w:iCs/>
          <w:sz w:val="24"/>
          <w:szCs w:val="24"/>
        </w:rPr>
        <w:t>Instrument</w:t>
      </w:r>
      <w:r w:rsidR="004E09E3" w:rsidRPr="007D1188">
        <w:rPr>
          <w:sz w:val="24"/>
          <w:szCs w:val="24"/>
        </w:rPr>
        <w:t xml:space="preserve">) </w:t>
      </w:r>
      <w:r w:rsidR="00D52C06" w:rsidRPr="007D1188">
        <w:rPr>
          <w:sz w:val="24"/>
          <w:szCs w:val="24"/>
        </w:rPr>
        <w:t xml:space="preserve">modifies the </w:t>
      </w:r>
      <w:r w:rsidR="00D52C06" w:rsidRPr="007D1188">
        <w:rPr>
          <w:i/>
          <w:iCs/>
          <w:sz w:val="24"/>
          <w:szCs w:val="24"/>
        </w:rPr>
        <w:t xml:space="preserve">Corporations Act 2001 </w:t>
      </w:r>
      <w:r w:rsidR="00D52C06" w:rsidRPr="007D1188">
        <w:rPr>
          <w:sz w:val="24"/>
          <w:szCs w:val="24"/>
        </w:rPr>
        <w:t xml:space="preserve">and </w:t>
      </w:r>
      <w:r w:rsidR="00D52C06" w:rsidRPr="007D1188">
        <w:rPr>
          <w:i/>
          <w:iCs/>
          <w:sz w:val="24"/>
          <w:szCs w:val="24"/>
        </w:rPr>
        <w:t xml:space="preserve">Corporations Regulations 2001 </w:t>
      </w:r>
      <w:r w:rsidR="00734398" w:rsidRPr="007D1188">
        <w:rPr>
          <w:sz w:val="24"/>
          <w:szCs w:val="24"/>
        </w:rPr>
        <w:t>to facilitate electronic delivery of financial services disclosures</w:t>
      </w:r>
      <w:r w:rsidR="00734398" w:rsidRPr="007D1188">
        <w:rPr>
          <w:i/>
          <w:iCs/>
          <w:sz w:val="24"/>
          <w:szCs w:val="24"/>
        </w:rPr>
        <w:t xml:space="preserve">. </w:t>
      </w:r>
      <w:r w:rsidR="00734398" w:rsidRPr="007D1188">
        <w:rPr>
          <w:sz w:val="24"/>
          <w:szCs w:val="24"/>
        </w:rPr>
        <w:t>This is done by enabling financial services disclosures to be delivered electronically in more circumstances if conditions are met, modifying shorter product disclosure statement (</w:t>
      </w:r>
      <w:r w:rsidR="00214CD0" w:rsidRPr="00797BEE">
        <w:rPr>
          <w:b/>
          <w:bCs/>
          <w:i/>
          <w:iCs/>
          <w:sz w:val="24"/>
          <w:szCs w:val="24"/>
        </w:rPr>
        <w:t>S</w:t>
      </w:r>
      <w:r w:rsidR="00734398" w:rsidRPr="00797BEE">
        <w:rPr>
          <w:b/>
          <w:bCs/>
          <w:i/>
          <w:iCs/>
          <w:sz w:val="24"/>
          <w:szCs w:val="24"/>
        </w:rPr>
        <w:t>horter PDS</w:t>
      </w:r>
      <w:r w:rsidR="00734398" w:rsidRPr="007D1188">
        <w:rPr>
          <w:sz w:val="24"/>
          <w:szCs w:val="24"/>
        </w:rPr>
        <w:t>) requirements</w:t>
      </w:r>
      <w:r w:rsidR="00C01464" w:rsidRPr="007D1188">
        <w:rPr>
          <w:sz w:val="24"/>
          <w:szCs w:val="24"/>
        </w:rPr>
        <w:t xml:space="preserve"> for electronic </w:t>
      </w:r>
      <w:r w:rsidR="00214CD0">
        <w:rPr>
          <w:sz w:val="24"/>
          <w:szCs w:val="24"/>
        </w:rPr>
        <w:t>S</w:t>
      </w:r>
      <w:r w:rsidR="00C01464" w:rsidRPr="007D1188">
        <w:rPr>
          <w:sz w:val="24"/>
          <w:szCs w:val="24"/>
        </w:rPr>
        <w:t>horter PDSs</w:t>
      </w:r>
      <w:r w:rsidR="00734398" w:rsidRPr="007D1188">
        <w:rPr>
          <w:sz w:val="24"/>
          <w:szCs w:val="24"/>
        </w:rPr>
        <w:t xml:space="preserve">, and modifying requirements for titles of disclosure documents to be on the cover of, or at or near the front of, </w:t>
      </w:r>
      <w:r w:rsidR="00890F36">
        <w:rPr>
          <w:sz w:val="24"/>
          <w:szCs w:val="24"/>
        </w:rPr>
        <w:t xml:space="preserve">the </w:t>
      </w:r>
      <w:r w:rsidR="00734398" w:rsidRPr="007D1188">
        <w:rPr>
          <w:sz w:val="24"/>
          <w:szCs w:val="24"/>
        </w:rPr>
        <w:t xml:space="preserve">disclosure. </w:t>
      </w:r>
    </w:p>
    <w:p w14:paraId="6DA091FF" w14:textId="3EED7A8E" w:rsidR="00663B7B" w:rsidRDefault="00CD20B1" w:rsidP="00007067">
      <w:pPr>
        <w:pStyle w:val="LI-BodyTextParaa"/>
        <w:ind w:left="567"/>
      </w:pPr>
      <w:r>
        <w:t>2.</w:t>
      </w:r>
      <w:r>
        <w:tab/>
      </w:r>
      <w:r w:rsidR="00663B7B">
        <w:t xml:space="preserve">The </w:t>
      </w:r>
      <w:r w:rsidR="00663B7B" w:rsidRPr="009B1617">
        <w:t xml:space="preserve">Electronic Disclosure </w:t>
      </w:r>
      <w:r w:rsidR="00663B7B" w:rsidRPr="00CB5A1C">
        <w:t>Instrument</w:t>
      </w:r>
      <w:r w:rsidR="00663B7B" w:rsidDel="00281092">
        <w:t xml:space="preserve"> </w:t>
      </w:r>
      <w:r w:rsidR="00663B7B" w:rsidRPr="00F26E13">
        <w:t xml:space="preserve">consolidates relief formerly in </w:t>
      </w:r>
      <w:r w:rsidR="00663B7B">
        <w:rPr>
          <w:i/>
          <w:iCs/>
        </w:rPr>
        <w:t xml:space="preserve">ASIC Corporations (Facilitating Electronic Delivery of Financial Services Disclosure) Instrument 2015/647 </w:t>
      </w:r>
      <w:r w:rsidR="006B7162">
        <w:t>(</w:t>
      </w:r>
      <w:r w:rsidR="006B7162" w:rsidRPr="00797BEE">
        <w:rPr>
          <w:b/>
          <w:bCs/>
          <w:i/>
          <w:iCs/>
        </w:rPr>
        <w:t>LI 2015/647</w:t>
      </w:r>
      <w:r w:rsidR="006B7162">
        <w:t xml:space="preserve">) </w:t>
      </w:r>
      <w:r w:rsidR="00663B7B">
        <w:t xml:space="preserve">and </w:t>
      </w:r>
      <w:r w:rsidR="00663B7B">
        <w:rPr>
          <w:i/>
          <w:iCs/>
        </w:rPr>
        <w:t xml:space="preserve">ASIC Corporations (Removing Barriers to Electronic Disclosure) Instrument 2015/649 </w:t>
      </w:r>
      <w:r w:rsidR="006B7162">
        <w:t>(</w:t>
      </w:r>
      <w:r w:rsidR="006B7162" w:rsidRPr="00797BEE">
        <w:rPr>
          <w:b/>
          <w:bCs/>
          <w:i/>
          <w:iCs/>
        </w:rPr>
        <w:t>LI 2015/649</w:t>
      </w:r>
      <w:r w:rsidR="006B7162">
        <w:t xml:space="preserve">) </w:t>
      </w:r>
      <w:r w:rsidR="00A81222">
        <w:t>into a single instrument</w:t>
      </w:r>
      <w:r w:rsidR="001303BB">
        <w:t xml:space="preserve">. It </w:t>
      </w:r>
      <w:r w:rsidR="00663B7B">
        <w:t xml:space="preserve">remakes </w:t>
      </w:r>
      <w:r w:rsidR="00B1084A">
        <w:t xml:space="preserve">the relief </w:t>
      </w:r>
      <w:r w:rsidR="00663B7B">
        <w:t>until 1 October 2030</w:t>
      </w:r>
      <w:r w:rsidR="001303BB">
        <w:t xml:space="preserve"> </w:t>
      </w:r>
      <w:r w:rsidR="004817CA">
        <w:t xml:space="preserve">and extends the relief from including words on the cover </w:t>
      </w:r>
      <w:r w:rsidR="001C65A5">
        <w:t xml:space="preserve">of, </w:t>
      </w:r>
      <w:r w:rsidR="004817CA">
        <w:t xml:space="preserve">or at </w:t>
      </w:r>
      <w:r w:rsidR="001C65A5">
        <w:t xml:space="preserve">or near </w:t>
      </w:r>
      <w:r w:rsidR="004817CA">
        <w:t>the front of</w:t>
      </w:r>
      <w:r w:rsidR="001C65A5">
        <w:t>,</w:t>
      </w:r>
      <w:r w:rsidR="004817CA">
        <w:t xml:space="preserve"> disclosures to </w:t>
      </w:r>
      <w:r w:rsidR="001303BB">
        <w:t>Cash Settlement Fact Sheets</w:t>
      </w:r>
      <w:r w:rsidR="00663B7B">
        <w:t xml:space="preserve">. </w:t>
      </w:r>
    </w:p>
    <w:p w14:paraId="76C7B36D" w14:textId="628DEB5C" w:rsidR="00CD20B1" w:rsidRDefault="00663B7B" w:rsidP="00007067">
      <w:pPr>
        <w:pStyle w:val="LI-BodyTextParaa"/>
        <w:ind w:left="567"/>
      </w:pPr>
      <w:r>
        <w:t>3.</w:t>
      </w:r>
      <w:r>
        <w:rPr>
          <w:bCs/>
          <w:i/>
          <w:iCs/>
        </w:rPr>
        <w:tab/>
      </w:r>
      <w:r w:rsidR="00CD20B1">
        <w:rPr>
          <w:bCs/>
          <w:i/>
          <w:iCs/>
        </w:rPr>
        <w:t>ASIC Corporations (Amendment and Repeal) Instrument 20</w:t>
      </w:r>
      <w:r w:rsidR="004D63A6">
        <w:rPr>
          <w:bCs/>
          <w:i/>
          <w:iCs/>
        </w:rPr>
        <w:t>2</w:t>
      </w:r>
      <w:r w:rsidR="00CD20B1">
        <w:rPr>
          <w:bCs/>
          <w:i/>
          <w:iCs/>
        </w:rPr>
        <w:t xml:space="preserve">5/448 </w:t>
      </w:r>
      <w:r w:rsidR="00CD20B1" w:rsidRPr="000929DD">
        <w:t>(</w:t>
      </w:r>
      <w:r w:rsidR="00CD20B1" w:rsidRPr="00797BEE">
        <w:rPr>
          <w:b/>
          <w:bCs/>
          <w:i/>
          <w:iCs/>
        </w:rPr>
        <w:t>Amendment and Repeal Instrument</w:t>
      </w:r>
      <w:r w:rsidR="00CD20B1" w:rsidRPr="000929DD">
        <w:t>)</w:t>
      </w:r>
      <w:r w:rsidR="00CD20B1">
        <w:t xml:space="preserve"> </w:t>
      </w:r>
      <w:r w:rsidR="00CD20B1">
        <w:rPr>
          <w:bCs/>
        </w:rPr>
        <w:t xml:space="preserve">repeals </w:t>
      </w:r>
      <w:r w:rsidR="002C0B49">
        <w:rPr>
          <w:bCs/>
        </w:rPr>
        <w:t>LI 2015/647 and LI 2015/649</w:t>
      </w:r>
      <w:r w:rsidR="00F17DEC">
        <w:rPr>
          <w:bCs/>
        </w:rPr>
        <w:t>, which were</w:t>
      </w:r>
      <w:r w:rsidR="00CD20B1">
        <w:rPr>
          <w:bCs/>
        </w:rPr>
        <w:t xml:space="preserve"> due to expire on 1 October 2025. It amends three legislative instruments to replace references to </w:t>
      </w:r>
      <w:r w:rsidR="00F17DEC">
        <w:rPr>
          <w:bCs/>
        </w:rPr>
        <w:t xml:space="preserve">LI 2015/647 </w:t>
      </w:r>
      <w:r w:rsidR="008543C8">
        <w:rPr>
          <w:bCs/>
        </w:rPr>
        <w:t xml:space="preserve">and </w:t>
      </w:r>
      <w:r w:rsidR="003740D0">
        <w:rPr>
          <w:bCs/>
        </w:rPr>
        <w:t xml:space="preserve">updates section 761A references as the location for the ‘nominated economic means’ definition that the Electronic Disclosure Instrument inserts to </w:t>
      </w:r>
      <w:r w:rsidR="00797FDF">
        <w:rPr>
          <w:bCs/>
        </w:rPr>
        <w:t>section 9</w:t>
      </w:r>
      <w:r w:rsidR="00CD20B1">
        <w:rPr>
          <w:bCs/>
        </w:rPr>
        <w:t>.</w:t>
      </w:r>
    </w:p>
    <w:p w14:paraId="79BCB1A5" w14:textId="77777777" w:rsidR="001872DC" w:rsidRPr="00EA17A6" w:rsidRDefault="001872DC" w:rsidP="00797BEE">
      <w:pPr>
        <w:pStyle w:val="LI-BodyTextParaa"/>
        <w:ind w:left="567"/>
        <w:rPr>
          <w:u w:val="single"/>
        </w:rPr>
      </w:pPr>
      <w:bookmarkStart w:id="3" w:name="_Hlk534286807"/>
      <w:bookmarkEnd w:id="1"/>
      <w:r w:rsidRPr="00EA17A6">
        <w:rPr>
          <w:u w:val="single"/>
        </w:rPr>
        <w:t>Assessment of human rights implications</w:t>
      </w:r>
    </w:p>
    <w:p w14:paraId="56F8130E" w14:textId="26EE6523" w:rsidR="00946759" w:rsidRPr="00EA17A6" w:rsidRDefault="00782E92" w:rsidP="00D306F8">
      <w:pPr>
        <w:pStyle w:val="LI-BodyTextNumbered"/>
        <w:ind w:left="567"/>
      </w:pPr>
      <w:r>
        <w:t>4</w:t>
      </w:r>
      <w:r w:rsidR="001872DC" w:rsidRPr="00EA17A6">
        <w:t>.</w:t>
      </w:r>
      <w:r w:rsidR="001872DC" w:rsidRPr="00EA17A6">
        <w:tab/>
      </w:r>
      <w:bookmarkEnd w:id="3"/>
      <w:r w:rsidR="001872DC" w:rsidRPr="00EA17A6">
        <w:t>Th</w:t>
      </w:r>
      <w:r w:rsidR="005B228B">
        <w:t xml:space="preserve">e </w:t>
      </w:r>
      <w:r w:rsidR="00281092" w:rsidRPr="009B1617">
        <w:t xml:space="preserve">Electronic Disclosure </w:t>
      </w:r>
      <w:r w:rsidR="00281092" w:rsidRPr="00CB5A1C">
        <w:t xml:space="preserve">Instrument </w:t>
      </w:r>
      <w:r w:rsidR="00281092">
        <w:t>and</w:t>
      </w:r>
      <w:r w:rsidR="00281092" w:rsidRPr="00217D88">
        <w:t xml:space="preserve"> </w:t>
      </w:r>
      <w:r w:rsidR="00281092" w:rsidRPr="00520266">
        <w:t>Amendment and Repeal Instrument</w:t>
      </w:r>
      <w:r w:rsidR="00281092" w:rsidDel="00281092">
        <w:t xml:space="preserve"> </w:t>
      </w:r>
      <w:r w:rsidR="00D306F8" w:rsidRPr="00EA17A6">
        <w:t>do not engage any of the applicable rights or freedoms</w:t>
      </w:r>
      <w:r w:rsidR="005E1EF3">
        <w:t>.</w:t>
      </w:r>
      <w:r w:rsidR="005E1EF3" w:rsidRPr="00EA17A6">
        <w:t xml:space="preserve"> </w:t>
      </w:r>
    </w:p>
    <w:p w14:paraId="05FFF3B4" w14:textId="77777777" w:rsidR="00CB2D96" w:rsidRPr="00EA17A6" w:rsidRDefault="00CB2D96" w:rsidP="00D306F8">
      <w:pPr>
        <w:pStyle w:val="LI-BodyTextNumbered"/>
        <w:ind w:left="567"/>
        <w:rPr>
          <w:u w:val="single"/>
        </w:rPr>
      </w:pPr>
      <w:r w:rsidRPr="00EA17A6">
        <w:rPr>
          <w:u w:val="single"/>
        </w:rPr>
        <w:t>Conclusion</w:t>
      </w:r>
    </w:p>
    <w:p w14:paraId="570BEB58" w14:textId="3D4526E1" w:rsidR="00CB2D96" w:rsidRPr="00EA17A6" w:rsidRDefault="00782E92" w:rsidP="00D306F8">
      <w:pPr>
        <w:pStyle w:val="LI-BodyTextNumbered"/>
        <w:ind w:left="567"/>
      </w:pPr>
      <w:r>
        <w:t>5</w:t>
      </w:r>
      <w:r w:rsidR="00CB2D96" w:rsidRPr="00EA17A6">
        <w:t>.</w:t>
      </w:r>
      <w:r w:rsidR="00CB2D96" w:rsidRPr="00EA17A6">
        <w:tab/>
        <w:t>Th</w:t>
      </w:r>
      <w:r w:rsidR="005B228B">
        <w:t xml:space="preserve">e </w:t>
      </w:r>
      <w:r w:rsidR="00281092" w:rsidRPr="009B1617">
        <w:t xml:space="preserve">Electronic Disclosure </w:t>
      </w:r>
      <w:r w:rsidR="00281092" w:rsidRPr="00CB5A1C">
        <w:t xml:space="preserve">Instrument </w:t>
      </w:r>
      <w:r w:rsidR="00281092">
        <w:t>and</w:t>
      </w:r>
      <w:r w:rsidR="00281092" w:rsidRPr="00217D88">
        <w:t xml:space="preserve"> </w:t>
      </w:r>
      <w:r w:rsidR="00281092" w:rsidRPr="00520266">
        <w:t>Amendment and Repeal Instrument</w:t>
      </w:r>
      <w:r w:rsidR="00281092" w:rsidDel="00281092">
        <w:t xml:space="preserve"> </w:t>
      </w:r>
      <w:r w:rsidR="005E4C39">
        <w:t>are</w:t>
      </w:r>
      <w:r w:rsidR="00CB2D96" w:rsidRPr="00EA17A6">
        <w:t xml:space="preserve">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3068" w14:textId="77777777" w:rsidR="00400780" w:rsidRDefault="00400780" w:rsidP="00715914">
      <w:pPr>
        <w:spacing w:line="240" w:lineRule="auto"/>
      </w:pPr>
      <w:r>
        <w:separator/>
      </w:r>
    </w:p>
  </w:endnote>
  <w:endnote w:type="continuationSeparator" w:id="0">
    <w:p w14:paraId="718A8E74" w14:textId="77777777" w:rsidR="00400780" w:rsidRDefault="00400780" w:rsidP="00715914">
      <w:pPr>
        <w:spacing w:line="240" w:lineRule="auto"/>
      </w:pPr>
      <w:r>
        <w:continuationSeparator/>
      </w:r>
    </w:p>
  </w:endnote>
  <w:endnote w:type="continuationNotice" w:id="1">
    <w:p w14:paraId="57D6B62B" w14:textId="77777777" w:rsidR="00400780" w:rsidRDefault="00400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BC68" w14:textId="77777777" w:rsidR="00400780" w:rsidRDefault="00400780" w:rsidP="00715914">
      <w:pPr>
        <w:spacing w:line="240" w:lineRule="auto"/>
      </w:pPr>
      <w:r>
        <w:separator/>
      </w:r>
    </w:p>
  </w:footnote>
  <w:footnote w:type="continuationSeparator" w:id="0">
    <w:p w14:paraId="0E5F43DD" w14:textId="77777777" w:rsidR="00400780" w:rsidRDefault="00400780" w:rsidP="00715914">
      <w:pPr>
        <w:spacing w:line="240" w:lineRule="auto"/>
      </w:pPr>
      <w:r>
        <w:continuationSeparator/>
      </w:r>
    </w:p>
  </w:footnote>
  <w:footnote w:type="continuationNotice" w:id="1">
    <w:p w14:paraId="6142DC15" w14:textId="77777777" w:rsidR="00400780" w:rsidRDefault="00400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55DF6"/>
    <w:multiLevelType w:val="multilevel"/>
    <w:tmpl w:val="C85627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695031"/>
    <w:multiLevelType w:val="hybridMultilevel"/>
    <w:tmpl w:val="0D861B18"/>
    <w:lvl w:ilvl="0" w:tplc="E52419EC">
      <w:start w:val="1"/>
      <w:numFmt w:val="lowerLetter"/>
      <w:lvlText w:val="(%1)"/>
      <w:lvlJc w:val="left"/>
      <w:pPr>
        <w:ind w:left="927" w:hanging="360"/>
      </w:pPr>
      <w:rPr>
        <w:rFonts w:ascii="Times New Roman" w:eastAsia="Times New Roman" w:hAnsi="Times New Roman" w:cs="Times New Roman"/>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1A473CBA"/>
    <w:multiLevelType w:val="multilevel"/>
    <w:tmpl w:val="B56A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CDC7138"/>
    <w:multiLevelType w:val="multilevel"/>
    <w:tmpl w:val="8BF8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C32387"/>
    <w:multiLevelType w:val="multilevel"/>
    <w:tmpl w:val="7B8C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835229"/>
    <w:multiLevelType w:val="multilevel"/>
    <w:tmpl w:val="6CCC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A4080"/>
    <w:multiLevelType w:val="multilevel"/>
    <w:tmpl w:val="1A8AA328"/>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616F3"/>
    <w:multiLevelType w:val="multilevel"/>
    <w:tmpl w:val="223C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872A2B"/>
    <w:multiLevelType w:val="multilevel"/>
    <w:tmpl w:val="DA8E35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191FFC"/>
    <w:multiLevelType w:val="multilevel"/>
    <w:tmpl w:val="6A94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5"/>
  </w:num>
  <w:num w:numId="12" w16cid:durableId="1380130046">
    <w:abstractNumId w:val="10"/>
  </w:num>
  <w:num w:numId="13" w16cid:durableId="1614940614">
    <w:abstractNumId w:val="12"/>
  </w:num>
  <w:num w:numId="14" w16cid:durableId="1573616542">
    <w:abstractNumId w:val="21"/>
  </w:num>
  <w:num w:numId="15" w16cid:durableId="1565338677">
    <w:abstractNumId w:val="19"/>
  </w:num>
  <w:num w:numId="16" w16cid:durableId="381634671">
    <w:abstractNumId w:val="14"/>
  </w:num>
  <w:num w:numId="17" w16cid:durableId="997656825">
    <w:abstractNumId w:val="11"/>
  </w:num>
  <w:num w:numId="18" w16cid:durableId="1492286941">
    <w:abstractNumId w:val="22"/>
  </w:num>
  <w:num w:numId="19" w16cid:durableId="763300497">
    <w:abstractNumId w:val="20"/>
  </w:num>
  <w:num w:numId="20" w16cid:durableId="1745293962">
    <w:abstractNumId w:val="17"/>
  </w:num>
  <w:num w:numId="21" w16cid:durableId="1939676135">
    <w:abstractNumId w:val="23"/>
  </w:num>
  <w:num w:numId="22" w16cid:durableId="693309309">
    <w:abstractNumId w:val="18"/>
  </w:num>
  <w:num w:numId="23" w16cid:durableId="305941908">
    <w:abstractNumId w:val="16"/>
  </w:num>
  <w:num w:numId="24" w16cid:durableId="1660111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4F2"/>
    <w:rsid w:val="00002C74"/>
    <w:rsid w:val="00004470"/>
    <w:rsid w:val="00004957"/>
    <w:rsid w:val="00005446"/>
    <w:rsid w:val="00007067"/>
    <w:rsid w:val="00007AC4"/>
    <w:rsid w:val="00007AE7"/>
    <w:rsid w:val="00010A4F"/>
    <w:rsid w:val="00011855"/>
    <w:rsid w:val="00011EF9"/>
    <w:rsid w:val="000136AF"/>
    <w:rsid w:val="00013B8D"/>
    <w:rsid w:val="00014F07"/>
    <w:rsid w:val="00015719"/>
    <w:rsid w:val="000164C2"/>
    <w:rsid w:val="00023745"/>
    <w:rsid w:val="00023D53"/>
    <w:rsid w:val="000256A5"/>
    <w:rsid w:val="000256F3"/>
    <w:rsid w:val="00026D42"/>
    <w:rsid w:val="000312C1"/>
    <w:rsid w:val="0003228B"/>
    <w:rsid w:val="0003335B"/>
    <w:rsid w:val="000338DD"/>
    <w:rsid w:val="00033F60"/>
    <w:rsid w:val="000351AF"/>
    <w:rsid w:val="000419EB"/>
    <w:rsid w:val="000437C1"/>
    <w:rsid w:val="000446F3"/>
    <w:rsid w:val="00046AAC"/>
    <w:rsid w:val="00047879"/>
    <w:rsid w:val="0005076E"/>
    <w:rsid w:val="00051A9F"/>
    <w:rsid w:val="0005228B"/>
    <w:rsid w:val="0005269C"/>
    <w:rsid w:val="00052CAB"/>
    <w:rsid w:val="0005365D"/>
    <w:rsid w:val="00053705"/>
    <w:rsid w:val="00054A41"/>
    <w:rsid w:val="00054C92"/>
    <w:rsid w:val="0005523F"/>
    <w:rsid w:val="00057450"/>
    <w:rsid w:val="000614BF"/>
    <w:rsid w:val="00061A02"/>
    <w:rsid w:val="00061C56"/>
    <w:rsid w:val="0006250C"/>
    <w:rsid w:val="00063598"/>
    <w:rsid w:val="00063998"/>
    <w:rsid w:val="00063E83"/>
    <w:rsid w:val="00065F98"/>
    <w:rsid w:val="00067967"/>
    <w:rsid w:val="0007104E"/>
    <w:rsid w:val="00071804"/>
    <w:rsid w:val="00071E5E"/>
    <w:rsid w:val="000733D0"/>
    <w:rsid w:val="000745CF"/>
    <w:rsid w:val="00075755"/>
    <w:rsid w:val="00075C8F"/>
    <w:rsid w:val="0007735A"/>
    <w:rsid w:val="00080023"/>
    <w:rsid w:val="0008013A"/>
    <w:rsid w:val="0008041E"/>
    <w:rsid w:val="00081794"/>
    <w:rsid w:val="0008283D"/>
    <w:rsid w:val="000832E4"/>
    <w:rsid w:val="000836CB"/>
    <w:rsid w:val="00084654"/>
    <w:rsid w:val="00084FF4"/>
    <w:rsid w:val="0008603A"/>
    <w:rsid w:val="00086EB4"/>
    <w:rsid w:val="00091420"/>
    <w:rsid w:val="0009165F"/>
    <w:rsid w:val="000917E8"/>
    <w:rsid w:val="000929DD"/>
    <w:rsid w:val="00092C84"/>
    <w:rsid w:val="00093056"/>
    <w:rsid w:val="00093711"/>
    <w:rsid w:val="00093F69"/>
    <w:rsid w:val="00094DC3"/>
    <w:rsid w:val="000A0D0E"/>
    <w:rsid w:val="000A142F"/>
    <w:rsid w:val="000A16D1"/>
    <w:rsid w:val="000A530F"/>
    <w:rsid w:val="000A597C"/>
    <w:rsid w:val="000A6C39"/>
    <w:rsid w:val="000A7820"/>
    <w:rsid w:val="000A7F3E"/>
    <w:rsid w:val="000B040B"/>
    <w:rsid w:val="000B31CA"/>
    <w:rsid w:val="000B52AA"/>
    <w:rsid w:val="000B58FA"/>
    <w:rsid w:val="000B708A"/>
    <w:rsid w:val="000B7109"/>
    <w:rsid w:val="000C1BEA"/>
    <w:rsid w:val="000C1C29"/>
    <w:rsid w:val="000C20A6"/>
    <w:rsid w:val="000C3C0E"/>
    <w:rsid w:val="000C3CEA"/>
    <w:rsid w:val="000C5118"/>
    <w:rsid w:val="000C55A0"/>
    <w:rsid w:val="000C5F10"/>
    <w:rsid w:val="000C63E8"/>
    <w:rsid w:val="000C664E"/>
    <w:rsid w:val="000C684A"/>
    <w:rsid w:val="000C746D"/>
    <w:rsid w:val="000C74F3"/>
    <w:rsid w:val="000C7C4E"/>
    <w:rsid w:val="000D041F"/>
    <w:rsid w:val="000D05EF"/>
    <w:rsid w:val="000D0C31"/>
    <w:rsid w:val="000D1673"/>
    <w:rsid w:val="000D1C0F"/>
    <w:rsid w:val="000D1F65"/>
    <w:rsid w:val="000D3AE0"/>
    <w:rsid w:val="000D453B"/>
    <w:rsid w:val="000D5D32"/>
    <w:rsid w:val="000D6DA3"/>
    <w:rsid w:val="000E1146"/>
    <w:rsid w:val="000E2261"/>
    <w:rsid w:val="000E2D6A"/>
    <w:rsid w:val="000E3A83"/>
    <w:rsid w:val="000E3C2E"/>
    <w:rsid w:val="000E461D"/>
    <w:rsid w:val="000F0BE1"/>
    <w:rsid w:val="000F0F5B"/>
    <w:rsid w:val="000F1443"/>
    <w:rsid w:val="000F1B82"/>
    <w:rsid w:val="000F21C1"/>
    <w:rsid w:val="000F240F"/>
    <w:rsid w:val="000F7007"/>
    <w:rsid w:val="000F7346"/>
    <w:rsid w:val="000F7975"/>
    <w:rsid w:val="000F79B9"/>
    <w:rsid w:val="001004E2"/>
    <w:rsid w:val="00100C21"/>
    <w:rsid w:val="0010233B"/>
    <w:rsid w:val="00102CA6"/>
    <w:rsid w:val="00102DDF"/>
    <w:rsid w:val="00102FE2"/>
    <w:rsid w:val="00103D72"/>
    <w:rsid w:val="001047E0"/>
    <w:rsid w:val="001052F6"/>
    <w:rsid w:val="0010629E"/>
    <w:rsid w:val="0010723F"/>
    <w:rsid w:val="0010745C"/>
    <w:rsid w:val="0011008D"/>
    <w:rsid w:val="001112F7"/>
    <w:rsid w:val="001115A7"/>
    <w:rsid w:val="001122A2"/>
    <w:rsid w:val="00112F23"/>
    <w:rsid w:val="0011374F"/>
    <w:rsid w:val="00113849"/>
    <w:rsid w:val="001138CA"/>
    <w:rsid w:val="00116A89"/>
    <w:rsid w:val="001176CD"/>
    <w:rsid w:val="00121767"/>
    <w:rsid w:val="00125141"/>
    <w:rsid w:val="0012565A"/>
    <w:rsid w:val="00125A38"/>
    <w:rsid w:val="00125C5C"/>
    <w:rsid w:val="00126704"/>
    <w:rsid w:val="00126F45"/>
    <w:rsid w:val="001300AD"/>
    <w:rsid w:val="00130251"/>
    <w:rsid w:val="001303BB"/>
    <w:rsid w:val="00132CEB"/>
    <w:rsid w:val="00133314"/>
    <w:rsid w:val="00133334"/>
    <w:rsid w:val="001343DA"/>
    <w:rsid w:val="00134E06"/>
    <w:rsid w:val="00137155"/>
    <w:rsid w:val="00137F38"/>
    <w:rsid w:val="0014025C"/>
    <w:rsid w:val="0014061B"/>
    <w:rsid w:val="00141261"/>
    <w:rsid w:val="00141D2B"/>
    <w:rsid w:val="00142382"/>
    <w:rsid w:val="00142B62"/>
    <w:rsid w:val="00144245"/>
    <w:rsid w:val="00144248"/>
    <w:rsid w:val="00144347"/>
    <w:rsid w:val="00144517"/>
    <w:rsid w:val="001455C4"/>
    <w:rsid w:val="001466D7"/>
    <w:rsid w:val="00147CDE"/>
    <w:rsid w:val="00150F67"/>
    <w:rsid w:val="0015103D"/>
    <w:rsid w:val="00151887"/>
    <w:rsid w:val="00151CAB"/>
    <w:rsid w:val="00153884"/>
    <w:rsid w:val="00153B32"/>
    <w:rsid w:val="001549E9"/>
    <w:rsid w:val="0015702C"/>
    <w:rsid w:val="00157B8B"/>
    <w:rsid w:val="00160ABC"/>
    <w:rsid w:val="00160B29"/>
    <w:rsid w:val="00160E4E"/>
    <w:rsid w:val="0016129A"/>
    <w:rsid w:val="00161CAF"/>
    <w:rsid w:val="0016211D"/>
    <w:rsid w:val="001624E1"/>
    <w:rsid w:val="00163126"/>
    <w:rsid w:val="00166C2F"/>
    <w:rsid w:val="00166C3F"/>
    <w:rsid w:val="0016729A"/>
    <w:rsid w:val="00167823"/>
    <w:rsid w:val="00170B51"/>
    <w:rsid w:val="00170EF3"/>
    <w:rsid w:val="00171A6E"/>
    <w:rsid w:val="0017357D"/>
    <w:rsid w:val="00174963"/>
    <w:rsid w:val="00175EF5"/>
    <w:rsid w:val="001800E0"/>
    <w:rsid w:val="00180240"/>
    <w:rsid w:val="001809D7"/>
    <w:rsid w:val="0018549A"/>
    <w:rsid w:val="001858B4"/>
    <w:rsid w:val="001863C3"/>
    <w:rsid w:val="0018659E"/>
    <w:rsid w:val="00186CDC"/>
    <w:rsid w:val="001872DC"/>
    <w:rsid w:val="00187A7C"/>
    <w:rsid w:val="00193342"/>
    <w:rsid w:val="001939E1"/>
    <w:rsid w:val="00194C3E"/>
    <w:rsid w:val="00195382"/>
    <w:rsid w:val="00195BD4"/>
    <w:rsid w:val="00197DFB"/>
    <w:rsid w:val="001A0A01"/>
    <w:rsid w:val="001A0B08"/>
    <w:rsid w:val="001A35D0"/>
    <w:rsid w:val="001A45FD"/>
    <w:rsid w:val="001A589B"/>
    <w:rsid w:val="001A6FEF"/>
    <w:rsid w:val="001B0063"/>
    <w:rsid w:val="001B112E"/>
    <w:rsid w:val="001B1D22"/>
    <w:rsid w:val="001B281F"/>
    <w:rsid w:val="001B3A23"/>
    <w:rsid w:val="001B3F2F"/>
    <w:rsid w:val="001B4F53"/>
    <w:rsid w:val="001B4FD9"/>
    <w:rsid w:val="001B6864"/>
    <w:rsid w:val="001B6DA6"/>
    <w:rsid w:val="001C4758"/>
    <w:rsid w:val="001C47CC"/>
    <w:rsid w:val="001C61C5"/>
    <w:rsid w:val="001C65A5"/>
    <w:rsid w:val="001C69C4"/>
    <w:rsid w:val="001D08BD"/>
    <w:rsid w:val="001D0AB6"/>
    <w:rsid w:val="001D17D8"/>
    <w:rsid w:val="001D1CC5"/>
    <w:rsid w:val="001D22E2"/>
    <w:rsid w:val="001D37EF"/>
    <w:rsid w:val="001D45F3"/>
    <w:rsid w:val="001D4B2B"/>
    <w:rsid w:val="001D4C17"/>
    <w:rsid w:val="001D6D6B"/>
    <w:rsid w:val="001D7407"/>
    <w:rsid w:val="001D74E6"/>
    <w:rsid w:val="001D7EBF"/>
    <w:rsid w:val="001E027F"/>
    <w:rsid w:val="001E2DD4"/>
    <w:rsid w:val="001E3590"/>
    <w:rsid w:val="001E4B8D"/>
    <w:rsid w:val="001E7407"/>
    <w:rsid w:val="001E77ED"/>
    <w:rsid w:val="001E7E2B"/>
    <w:rsid w:val="001F003B"/>
    <w:rsid w:val="001F02B1"/>
    <w:rsid w:val="001F16FF"/>
    <w:rsid w:val="001F17F8"/>
    <w:rsid w:val="001F2737"/>
    <w:rsid w:val="001F2CAE"/>
    <w:rsid w:val="001F4123"/>
    <w:rsid w:val="001F4315"/>
    <w:rsid w:val="001F5D5E"/>
    <w:rsid w:val="001F60ED"/>
    <w:rsid w:val="001F6219"/>
    <w:rsid w:val="001F6CD4"/>
    <w:rsid w:val="001F6D29"/>
    <w:rsid w:val="001F7297"/>
    <w:rsid w:val="00200D8D"/>
    <w:rsid w:val="00201D25"/>
    <w:rsid w:val="0020367A"/>
    <w:rsid w:val="00203BA3"/>
    <w:rsid w:val="00204DAC"/>
    <w:rsid w:val="00206C4D"/>
    <w:rsid w:val="0021053C"/>
    <w:rsid w:val="00210B03"/>
    <w:rsid w:val="00210B9E"/>
    <w:rsid w:val="00214C85"/>
    <w:rsid w:val="00214CD0"/>
    <w:rsid w:val="00214D1A"/>
    <w:rsid w:val="00215AF1"/>
    <w:rsid w:val="00217823"/>
    <w:rsid w:val="00217CB4"/>
    <w:rsid w:val="00217D88"/>
    <w:rsid w:val="00217E2A"/>
    <w:rsid w:val="0022087F"/>
    <w:rsid w:val="00220A36"/>
    <w:rsid w:val="00220F77"/>
    <w:rsid w:val="002213FB"/>
    <w:rsid w:val="002219B8"/>
    <w:rsid w:val="002227CE"/>
    <w:rsid w:val="00223DCF"/>
    <w:rsid w:val="00225AC2"/>
    <w:rsid w:val="00227E16"/>
    <w:rsid w:val="002321E8"/>
    <w:rsid w:val="00232F8C"/>
    <w:rsid w:val="002331B7"/>
    <w:rsid w:val="0023324E"/>
    <w:rsid w:val="00233319"/>
    <w:rsid w:val="00233CE2"/>
    <w:rsid w:val="00234CB9"/>
    <w:rsid w:val="00236EEC"/>
    <w:rsid w:val="0024010F"/>
    <w:rsid w:val="00240749"/>
    <w:rsid w:val="00241455"/>
    <w:rsid w:val="00242404"/>
    <w:rsid w:val="00243018"/>
    <w:rsid w:val="002430EC"/>
    <w:rsid w:val="00243EC0"/>
    <w:rsid w:val="00244742"/>
    <w:rsid w:val="00245EAB"/>
    <w:rsid w:val="002468BF"/>
    <w:rsid w:val="00246E33"/>
    <w:rsid w:val="002502A7"/>
    <w:rsid w:val="002518DF"/>
    <w:rsid w:val="002535B3"/>
    <w:rsid w:val="00253B0E"/>
    <w:rsid w:val="00253CF0"/>
    <w:rsid w:val="002543F4"/>
    <w:rsid w:val="002558E7"/>
    <w:rsid w:val="002564A4"/>
    <w:rsid w:val="00256626"/>
    <w:rsid w:val="002567B5"/>
    <w:rsid w:val="002612DF"/>
    <w:rsid w:val="00262201"/>
    <w:rsid w:val="00262C45"/>
    <w:rsid w:val="00263B14"/>
    <w:rsid w:val="00265054"/>
    <w:rsid w:val="00266FE5"/>
    <w:rsid w:val="00266FF1"/>
    <w:rsid w:val="0026736C"/>
    <w:rsid w:val="0027456C"/>
    <w:rsid w:val="00274690"/>
    <w:rsid w:val="00274E8E"/>
    <w:rsid w:val="00275240"/>
    <w:rsid w:val="00280611"/>
    <w:rsid w:val="00281092"/>
    <w:rsid w:val="00281308"/>
    <w:rsid w:val="00281813"/>
    <w:rsid w:val="002827CB"/>
    <w:rsid w:val="002835FD"/>
    <w:rsid w:val="00283D3E"/>
    <w:rsid w:val="00284719"/>
    <w:rsid w:val="00284A9D"/>
    <w:rsid w:val="00284B47"/>
    <w:rsid w:val="0028550A"/>
    <w:rsid w:val="0028738F"/>
    <w:rsid w:val="002912F4"/>
    <w:rsid w:val="002925F2"/>
    <w:rsid w:val="0029642A"/>
    <w:rsid w:val="00296BE4"/>
    <w:rsid w:val="00297E3D"/>
    <w:rsid w:val="00297ECB"/>
    <w:rsid w:val="00297EF5"/>
    <w:rsid w:val="002A094A"/>
    <w:rsid w:val="002A11E2"/>
    <w:rsid w:val="002A245B"/>
    <w:rsid w:val="002A461A"/>
    <w:rsid w:val="002A5929"/>
    <w:rsid w:val="002A5B8B"/>
    <w:rsid w:val="002A7328"/>
    <w:rsid w:val="002A7452"/>
    <w:rsid w:val="002A7BCF"/>
    <w:rsid w:val="002B05F3"/>
    <w:rsid w:val="002B19F3"/>
    <w:rsid w:val="002B1A91"/>
    <w:rsid w:val="002B249E"/>
    <w:rsid w:val="002B4A0D"/>
    <w:rsid w:val="002B5E81"/>
    <w:rsid w:val="002B764E"/>
    <w:rsid w:val="002B76BF"/>
    <w:rsid w:val="002B7D0A"/>
    <w:rsid w:val="002C0AF3"/>
    <w:rsid w:val="002C0B49"/>
    <w:rsid w:val="002C196F"/>
    <w:rsid w:val="002C26F7"/>
    <w:rsid w:val="002C2F9B"/>
    <w:rsid w:val="002C3535"/>
    <w:rsid w:val="002C41F9"/>
    <w:rsid w:val="002C4518"/>
    <w:rsid w:val="002C70A0"/>
    <w:rsid w:val="002C7AD2"/>
    <w:rsid w:val="002C7B6F"/>
    <w:rsid w:val="002C7B89"/>
    <w:rsid w:val="002D00B6"/>
    <w:rsid w:val="002D043A"/>
    <w:rsid w:val="002D0C18"/>
    <w:rsid w:val="002D1304"/>
    <w:rsid w:val="002D2FCD"/>
    <w:rsid w:val="002D3FD0"/>
    <w:rsid w:val="002D4A6E"/>
    <w:rsid w:val="002D518D"/>
    <w:rsid w:val="002D5E14"/>
    <w:rsid w:val="002D6224"/>
    <w:rsid w:val="002D7299"/>
    <w:rsid w:val="002D7D90"/>
    <w:rsid w:val="002D7DFB"/>
    <w:rsid w:val="002E1317"/>
    <w:rsid w:val="002E266A"/>
    <w:rsid w:val="002E3249"/>
    <w:rsid w:val="002E34E1"/>
    <w:rsid w:val="002E3F4B"/>
    <w:rsid w:val="002E67D4"/>
    <w:rsid w:val="002E6CC9"/>
    <w:rsid w:val="002E779E"/>
    <w:rsid w:val="002E793C"/>
    <w:rsid w:val="002F050D"/>
    <w:rsid w:val="002F1D7C"/>
    <w:rsid w:val="002F1FBE"/>
    <w:rsid w:val="002F454A"/>
    <w:rsid w:val="002F5272"/>
    <w:rsid w:val="002F6370"/>
    <w:rsid w:val="002F7698"/>
    <w:rsid w:val="002F7B8E"/>
    <w:rsid w:val="00300572"/>
    <w:rsid w:val="00303A7C"/>
    <w:rsid w:val="003049FA"/>
    <w:rsid w:val="00304F8B"/>
    <w:rsid w:val="00311BE4"/>
    <w:rsid w:val="00311D1A"/>
    <w:rsid w:val="00314217"/>
    <w:rsid w:val="00314B96"/>
    <w:rsid w:val="003153D7"/>
    <w:rsid w:val="00315D76"/>
    <w:rsid w:val="00316406"/>
    <w:rsid w:val="003175B9"/>
    <w:rsid w:val="003179C0"/>
    <w:rsid w:val="003204B6"/>
    <w:rsid w:val="003211EC"/>
    <w:rsid w:val="003229E6"/>
    <w:rsid w:val="00323A13"/>
    <w:rsid w:val="00323CB2"/>
    <w:rsid w:val="0032443D"/>
    <w:rsid w:val="00325D3F"/>
    <w:rsid w:val="003271DE"/>
    <w:rsid w:val="00327DDF"/>
    <w:rsid w:val="00331092"/>
    <w:rsid w:val="00331399"/>
    <w:rsid w:val="00331F39"/>
    <w:rsid w:val="00332CEB"/>
    <w:rsid w:val="00334161"/>
    <w:rsid w:val="00334810"/>
    <w:rsid w:val="00334FCF"/>
    <w:rsid w:val="003354D2"/>
    <w:rsid w:val="00335BC6"/>
    <w:rsid w:val="00336EDE"/>
    <w:rsid w:val="003415D3"/>
    <w:rsid w:val="00342E63"/>
    <w:rsid w:val="0034330C"/>
    <w:rsid w:val="00343EF7"/>
    <w:rsid w:val="00344165"/>
    <w:rsid w:val="00344701"/>
    <w:rsid w:val="00346488"/>
    <w:rsid w:val="003466F4"/>
    <w:rsid w:val="00346F7A"/>
    <w:rsid w:val="003471E0"/>
    <w:rsid w:val="00347669"/>
    <w:rsid w:val="003476C3"/>
    <w:rsid w:val="003528DA"/>
    <w:rsid w:val="00352B0F"/>
    <w:rsid w:val="00354F92"/>
    <w:rsid w:val="0035536F"/>
    <w:rsid w:val="00356690"/>
    <w:rsid w:val="00356EC7"/>
    <w:rsid w:val="00357DD0"/>
    <w:rsid w:val="00360459"/>
    <w:rsid w:val="00360A31"/>
    <w:rsid w:val="00360FF8"/>
    <w:rsid w:val="003610CD"/>
    <w:rsid w:val="00361160"/>
    <w:rsid w:val="003612C7"/>
    <w:rsid w:val="0036223A"/>
    <w:rsid w:val="003622C5"/>
    <w:rsid w:val="003637E1"/>
    <w:rsid w:val="00363DBB"/>
    <w:rsid w:val="00363EC9"/>
    <w:rsid w:val="00364DA9"/>
    <w:rsid w:val="00365497"/>
    <w:rsid w:val="003655B2"/>
    <w:rsid w:val="003657A0"/>
    <w:rsid w:val="003663A1"/>
    <w:rsid w:val="00367EFA"/>
    <w:rsid w:val="00370C39"/>
    <w:rsid w:val="00372918"/>
    <w:rsid w:val="00373EA6"/>
    <w:rsid w:val="003740D0"/>
    <w:rsid w:val="00374B4C"/>
    <w:rsid w:val="003751AB"/>
    <w:rsid w:val="00380B08"/>
    <w:rsid w:val="0038181B"/>
    <w:rsid w:val="00381C08"/>
    <w:rsid w:val="0038229E"/>
    <w:rsid w:val="00382DB3"/>
    <w:rsid w:val="00383A29"/>
    <w:rsid w:val="0038587E"/>
    <w:rsid w:val="003862E1"/>
    <w:rsid w:val="00387A0E"/>
    <w:rsid w:val="00387A96"/>
    <w:rsid w:val="0039272F"/>
    <w:rsid w:val="00393E24"/>
    <w:rsid w:val="0039427F"/>
    <w:rsid w:val="003A058F"/>
    <w:rsid w:val="003A08B9"/>
    <w:rsid w:val="003A1552"/>
    <w:rsid w:val="003A1AF2"/>
    <w:rsid w:val="003A1B5F"/>
    <w:rsid w:val="003A2178"/>
    <w:rsid w:val="003A2A48"/>
    <w:rsid w:val="003A34C6"/>
    <w:rsid w:val="003A36D6"/>
    <w:rsid w:val="003A3742"/>
    <w:rsid w:val="003B1325"/>
    <w:rsid w:val="003B137F"/>
    <w:rsid w:val="003B28C3"/>
    <w:rsid w:val="003B2FFD"/>
    <w:rsid w:val="003B3090"/>
    <w:rsid w:val="003B321D"/>
    <w:rsid w:val="003B5F72"/>
    <w:rsid w:val="003B6045"/>
    <w:rsid w:val="003B6EA0"/>
    <w:rsid w:val="003B732F"/>
    <w:rsid w:val="003B7448"/>
    <w:rsid w:val="003B775B"/>
    <w:rsid w:val="003B7C33"/>
    <w:rsid w:val="003C0B2D"/>
    <w:rsid w:val="003C2C7F"/>
    <w:rsid w:val="003C51AE"/>
    <w:rsid w:val="003C599D"/>
    <w:rsid w:val="003C6231"/>
    <w:rsid w:val="003C7702"/>
    <w:rsid w:val="003C7E33"/>
    <w:rsid w:val="003D0BFE"/>
    <w:rsid w:val="003D190E"/>
    <w:rsid w:val="003D2F81"/>
    <w:rsid w:val="003D4BCD"/>
    <w:rsid w:val="003D5241"/>
    <w:rsid w:val="003D5700"/>
    <w:rsid w:val="003D58EA"/>
    <w:rsid w:val="003D5984"/>
    <w:rsid w:val="003D7322"/>
    <w:rsid w:val="003D780A"/>
    <w:rsid w:val="003E0F99"/>
    <w:rsid w:val="003E33C5"/>
    <w:rsid w:val="003E341B"/>
    <w:rsid w:val="003E4685"/>
    <w:rsid w:val="003E645F"/>
    <w:rsid w:val="003E6C3D"/>
    <w:rsid w:val="003E7223"/>
    <w:rsid w:val="003E7DED"/>
    <w:rsid w:val="003F0429"/>
    <w:rsid w:val="003F048B"/>
    <w:rsid w:val="003F1A6B"/>
    <w:rsid w:val="003F1E10"/>
    <w:rsid w:val="003F2A16"/>
    <w:rsid w:val="003F2E86"/>
    <w:rsid w:val="003F3046"/>
    <w:rsid w:val="003F3EFD"/>
    <w:rsid w:val="003F4D2B"/>
    <w:rsid w:val="003F4EE8"/>
    <w:rsid w:val="003F7C0C"/>
    <w:rsid w:val="0040053F"/>
    <w:rsid w:val="00400780"/>
    <w:rsid w:val="0040138F"/>
    <w:rsid w:val="004035FA"/>
    <w:rsid w:val="0040442E"/>
    <w:rsid w:val="00404818"/>
    <w:rsid w:val="00410A51"/>
    <w:rsid w:val="00410F7B"/>
    <w:rsid w:val="0041146D"/>
    <w:rsid w:val="004116CD"/>
    <w:rsid w:val="00411847"/>
    <w:rsid w:val="004139C8"/>
    <w:rsid w:val="004144EC"/>
    <w:rsid w:val="004145AE"/>
    <w:rsid w:val="00415B8E"/>
    <w:rsid w:val="00415E39"/>
    <w:rsid w:val="00417EB9"/>
    <w:rsid w:val="00420599"/>
    <w:rsid w:val="004229CB"/>
    <w:rsid w:val="00422A93"/>
    <w:rsid w:val="00423C24"/>
    <w:rsid w:val="0042478E"/>
    <w:rsid w:val="00424CA9"/>
    <w:rsid w:val="00426AB0"/>
    <w:rsid w:val="00426EC7"/>
    <w:rsid w:val="004312D0"/>
    <w:rsid w:val="00431E9B"/>
    <w:rsid w:val="00432824"/>
    <w:rsid w:val="004340BD"/>
    <w:rsid w:val="004353D2"/>
    <w:rsid w:val="004355F0"/>
    <w:rsid w:val="00435EEF"/>
    <w:rsid w:val="00436624"/>
    <w:rsid w:val="004379E3"/>
    <w:rsid w:val="0044015E"/>
    <w:rsid w:val="004409EB"/>
    <w:rsid w:val="00440B64"/>
    <w:rsid w:val="00441146"/>
    <w:rsid w:val="00441C43"/>
    <w:rsid w:val="0044291A"/>
    <w:rsid w:val="00442BA2"/>
    <w:rsid w:val="00442E0C"/>
    <w:rsid w:val="00443856"/>
    <w:rsid w:val="0044492D"/>
    <w:rsid w:val="00444ABD"/>
    <w:rsid w:val="00444ACF"/>
    <w:rsid w:val="00445D65"/>
    <w:rsid w:val="004472F8"/>
    <w:rsid w:val="00447C0F"/>
    <w:rsid w:val="00447C83"/>
    <w:rsid w:val="00447DB4"/>
    <w:rsid w:val="0045007F"/>
    <w:rsid w:val="00451FA7"/>
    <w:rsid w:val="00452D13"/>
    <w:rsid w:val="00453153"/>
    <w:rsid w:val="00454789"/>
    <w:rsid w:val="004609E1"/>
    <w:rsid w:val="00460F1D"/>
    <w:rsid w:val="00461FCF"/>
    <w:rsid w:val="004642FF"/>
    <w:rsid w:val="00465115"/>
    <w:rsid w:val="00465DC1"/>
    <w:rsid w:val="00466A96"/>
    <w:rsid w:val="004670E5"/>
    <w:rsid w:val="00467661"/>
    <w:rsid w:val="00467C96"/>
    <w:rsid w:val="004705B7"/>
    <w:rsid w:val="00470768"/>
    <w:rsid w:val="004716EF"/>
    <w:rsid w:val="00471E79"/>
    <w:rsid w:val="00472023"/>
    <w:rsid w:val="00472DBE"/>
    <w:rsid w:val="00473759"/>
    <w:rsid w:val="00474A19"/>
    <w:rsid w:val="00474B52"/>
    <w:rsid w:val="004752CA"/>
    <w:rsid w:val="00475A06"/>
    <w:rsid w:val="00480158"/>
    <w:rsid w:val="004811FA"/>
    <w:rsid w:val="004817CA"/>
    <w:rsid w:val="00481C24"/>
    <w:rsid w:val="00481C27"/>
    <w:rsid w:val="00481F6A"/>
    <w:rsid w:val="004821A5"/>
    <w:rsid w:val="004823C0"/>
    <w:rsid w:val="0048276B"/>
    <w:rsid w:val="004837D8"/>
    <w:rsid w:val="00483A9B"/>
    <w:rsid w:val="004845D9"/>
    <w:rsid w:val="00485D98"/>
    <w:rsid w:val="004866AF"/>
    <w:rsid w:val="00486992"/>
    <w:rsid w:val="0048724A"/>
    <w:rsid w:val="004909ED"/>
    <w:rsid w:val="00492388"/>
    <w:rsid w:val="0049269C"/>
    <w:rsid w:val="00495D4D"/>
    <w:rsid w:val="004963FA"/>
    <w:rsid w:val="00496B5F"/>
    <w:rsid w:val="00496F97"/>
    <w:rsid w:val="004A0DB3"/>
    <w:rsid w:val="004A16A4"/>
    <w:rsid w:val="004A3477"/>
    <w:rsid w:val="004A3679"/>
    <w:rsid w:val="004A431F"/>
    <w:rsid w:val="004A44FC"/>
    <w:rsid w:val="004A57FB"/>
    <w:rsid w:val="004A5C7C"/>
    <w:rsid w:val="004A6EB9"/>
    <w:rsid w:val="004A6FB7"/>
    <w:rsid w:val="004A73B3"/>
    <w:rsid w:val="004A77FD"/>
    <w:rsid w:val="004B4EEE"/>
    <w:rsid w:val="004B5B44"/>
    <w:rsid w:val="004C05A5"/>
    <w:rsid w:val="004C0766"/>
    <w:rsid w:val="004C1CB1"/>
    <w:rsid w:val="004C1F60"/>
    <w:rsid w:val="004C281E"/>
    <w:rsid w:val="004C502D"/>
    <w:rsid w:val="004C50FE"/>
    <w:rsid w:val="004C5B23"/>
    <w:rsid w:val="004C5F15"/>
    <w:rsid w:val="004C62D1"/>
    <w:rsid w:val="004C6B20"/>
    <w:rsid w:val="004D071A"/>
    <w:rsid w:val="004D0EB1"/>
    <w:rsid w:val="004D111B"/>
    <w:rsid w:val="004D15DA"/>
    <w:rsid w:val="004D3F77"/>
    <w:rsid w:val="004D51F1"/>
    <w:rsid w:val="004D5866"/>
    <w:rsid w:val="004D594B"/>
    <w:rsid w:val="004D63A6"/>
    <w:rsid w:val="004D6E45"/>
    <w:rsid w:val="004D7E7F"/>
    <w:rsid w:val="004D7F26"/>
    <w:rsid w:val="004E063A"/>
    <w:rsid w:val="004E09E3"/>
    <w:rsid w:val="004E12CC"/>
    <w:rsid w:val="004E18F8"/>
    <w:rsid w:val="004E1FD5"/>
    <w:rsid w:val="004E2611"/>
    <w:rsid w:val="004E30D9"/>
    <w:rsid w:val="004E5211"/>
    <w:rsid w:val="004E5AD8"/>
    <w:rsid w:val="004E5B1F"/>
    <w:rsid w:val="004E6AA3"/>
    <w:rsid w:val="004E7BEC"/>
    <w:rsid w:val="004E7E21"/>
    <w:rsid w:val="004F04CB"/>
    <w:rsid w:val="004F7FD2"/>
    <w:rsid w:val="0050044F"/>
    <w:rsid w:val="005008A9"/>
    <w:rsid w:val="00501C3D"/>
    <w:rsid w:val="0050471A"/>
    <w:rsid w:val="005051CF"/>
    <w:rsid w:val="0050539C"/>
    <w:rsid w:val="00505D3D"/>
    <w:rsid w:val="00506A4C"/>
    <w:rsid w:val="00506AF6"/>
    <w:rsid w:val="00506C0F"/>
    <w:rsid w:val="00507335"/>
    <w:rsid w:val="005075CE"/>
    <w:rsid w:val="00510A9A"/>
    <w:rsid w:val="00512E8E"/>
    <w:rsid w:val="00514610"/>
    <w:rsid w:val="00516B8D"/>
    <w:rsid w:val="00517DD0"/>
    <w:rsid w:val="00517E56"/>
    <w:rsid w:val="00520266"/>
    <w:rsid w:val="00520334"/>
    <w:rsid w:val="00520957"/>
    <w:rsid w:val="00521621"/>
    <w:rsid w:val="0053129C"/>
    <w:rsid w:val="00531A0B"/>
    <w:rsid w:val="00531BF8"/>
    <w:rsid w:val="00532049"/>
    <w:rsid w:val="0053243D"/>
    <w:rsid w:val="005330FB"/>
    <w:rsid w:val="00534FC2"/>
    <w:rsid w:val="005356A7"/>
    <w:rsid w:val="00536184"/>
    <w:rsid w:val="005368AE"/>
    <w:rsid w:val="00537FBC"/>
    <w:rsid w:val="00541685"/>
    <w:rsid w:val="00543110"/>
    <w:rsid w:val="00543311"/>
    <w:rsid w:val="005455DD"/>
    <w:rsid w:val="005456B5"/>
    <w:rsid w:val="005457ED"/>
    <w:rsid w:val="005461CF"/>
    <w:rsid w:val="00546303"/>
    <w:rsid w:val="00551B04"/>
    <w:rsid w:val="00551BCF"/>
    <w:rsid w:val="00552983"/>
    <w:rsid w:val="00552FC4"/>
    <w:rsid w:val="005559AE"/>
    <w:rsid w:val="00555D93"/>
    <w:rsid w:val="005574D1"/>
    <w:rsid w:val="00557528"/>
    <w:rsid w:val="0056017F"/>
    <w:rsid w:val="0056077C"/>
    <w:rsid w:val="00561AB6"/>
    <w:rsid w:val="00561ABB"/>
    <w:rsid w:val="00562320"/>
    <w:rsid w:val="00562959"/>
    <w:rsid w:val="00562E97"/>
    <w:rsid w:val="0056449F"/>
    <w:rsid w:val="005657FE"/>
    <w:rsid w:val="00565E1F"/>
    <w:rsid w:val="005661DD"/>
    <w:rsid w:val="00567051"/>
    <w:rsid w:val="00570ABA"/>
    <w:rsid w:val="005710EB"/>
    <w:rsid w:val="00571B1E"/>
    <w:rsid w:val="0057297E"/>
    <w:rsid w:val="00572BB1"/>
    <w:rsid w:val="005734C8"/>
    <w:rsid w:val="005735B2"/>
    <w:rsid w:val="005737C9"/>
    <w:rsid w:val="00574401"/>
    <w:rsid w:val="00574C9D"/>
    <w:rsid w:val="0057508B"/>
    <w:rsid w:val="005765A5"/>
    <w:rsid w:val="0057670F"/>
    <w:rsid w:val="00583391"/>
    <w:rsid w:val="00583884"/>
    <w:rsid w:val="005843EB"/>
    <w:rsid w:val="00584811"/>
    <w:rsid w:val="00585784"/>
    <w:rsid w:val="00590135"/>
    <w:rsid w:val="00590555"/>
    <w:rsid w:val="00591AB3"/>
    <w:rsid w:val="00591DD8"/>
    <w:rsid w:val="00592373"/>
    <w:rsid w:val="00593546"/>
    <w:rsid w:val="00593AA6"/>
    <w:rsid w:val="00594161"/>
    <w:rsid w:val="00594749"/>
    <w:rsid w:val="0059484E"/>
    <w:rsid w:val="005949C6"/>
    <w:rsid w:val="0059515A"/>
    <w:rsid w:val="005956D0"/>
    <w:rsid w:val="00595E37"/>
    <w:rsid w:val="0059725D"/>
    <w:rsid w:val="0059764A"/>
    <w:rsid w:val="0059782D"/>
    <w:rsid w:val="005A51FB"/>
    <w:rsid w:val="005A54B0"/>
    <w:rsid w:val="005A741F"/>
    <w:rsid w:val="005A78DE"/>
    <w:rsid w:val="005B0DB6"/>
    <w:rsid w:val="005B213A"/>
    <w:rsid w:val="005B228B"/>
    <w:rsid w:val="005B2375"/>
    <w:rsid w:val="005B24D2"/>
    <w:rsid w:val="005B3C41"/>
    <w:rsid w:val="005B3E95"/>
    <w:rsid w:val="005B4067"/>
    <w:rsid w:val="005B4D0A"/>
    <w:rsid w:val="005B5E33"/>
    <w:rsid w:val="005B780C"/>
    <w:rsid w:val="005B7913"/>
    <w:rsid w:val="005B7CA2"/>
    <w:rsid w:val="005C015F"/>
    <w:rsid w:val="005C0978"/>
    <w:rsid w:val="005C1C51"/>
    <w:rsid w:val="005C30CE"/>
    <w:rsid w:val="005C3F41"/>
    <w:rsid w:val="005C4AAD"/>
    <w:rsid w:val="005C6345"/>
    <w:rsid w:val="005C6D1B"/>
    <w:rsid w:val="005C7128"/>
    <w:rsid w:val="005C7362"/>
    <w:rsid w:val="005D0489"/>
    <w:rsid w:val="005D1770"/>
    <w:rsid w:val="005D17C9"/>
    <w:rsid w:val="005D1E5C"/>
    <w:rsid w:val="005D1FEA"/>
    <w:rsid w:val="005D2376"/>
    <w:rsid w:val="005D2D09"/>
    <w:rsid w:val="005D2EBE"/>
    <w:rsid w:val="005D3D41"/>
    <w:rsid w:val="005D3EF9"/>
    <w:rsid w:val="005D491D"/>
    <w:rsid w:val="005D7C7C"/>
    <w:rsid w:val="005E04B7"/>
    <w:rsid w:val="005E0AD0"/>
    <w:rsid w:val="005E126F"/>
    <w:rsid w:val="005E1E5A"/>
    <w:rsid w:val="005E1EF3"/>
    <w:rsid w:val="005E4810"/>
    <w:rsid w:val="005E4C39"/>
    <w:rsid w:val="005E5048"/>
    <w:rsid w:val="005E5C56"/>
    <w:rsid w:val="005E6831"/>
    <w:rsid w:val="005F1DB6"/>
    <w:rsid w:val="005F21D5"/>
    <w:rsid w:val="005F2B8B"/>
    <w:rsid w:val="005F2E57"/>
    <w:rsid w:val="005F391E"/>
    <w:rsid w:val="005F4140"/>
    <w:rsid w:val="005F494F"/>
    <w:rsid w:val="005F630D"/>
    <w:rsid w:val="005F63D8"/>
    <w:rsid w:val="005F65CD"/>
    <w:rsid w:val="005F6647"/>
    <w:rsid w:val="00600219"/>
    <w:rsid w:val="00600E7B"/>
    <w:rsid w:val="00601955"/>
    <w:rsid w:val="00601DC8"/>
    <w:rsid w:val="006037BC"/>
    <w:rsid w:val="00603DC4"/>
    <w:rsid w:val="00607A71"/>
    <w:rsid w:val="00610151"/>
    <w:rsid w:val="00610709"/>
    <w:rsid w:val="006117CB"/>
    <w:rsid w:val="00611A48"/>
    <w:rsid w:val="00612749"/>
    <w:rsid w:val="00613C5B"/>
    <w:rsid w:val="00614F15"/>
    <w:rsid w:val="00615C24"/>
    <w:rsid w:val="00617BFC"/>
    <w:rsid w:val="00620076"/>
    <w:rsid w:val="00621428"/>
    <w:rsid w:val="0062287F"/>
    <w:rsid w:val="0062560C"/>
    <w:rsid w:val="0062619C"/>
    <w:rsid w:val="00626713"/>
    <w:rsid w:val="00626E6D"/>
    <w:rsid w:val="00626F0E"/>
    <w:rsid w:val="00627215"/>
    <w:rsid w:val="0062742E"/>
    <w:rsid w:val="006302C9"/>
    <w:rsid w:val="0063052E"/>
    <w:rsid w:val="00631234"/>
    <w:rsid w:val="00631275"/>
    <w:rsid w:val="00631652"/>
    <w:rsid w:val="00631777"/>
    <w:rsid w:val="00633347"/>
    <w:rsid w:val="00633801"/>
    <w:rsid w:val="00633A6B"/>
    <w:rsid w:val="00634044"/>
    <w:rsid w:val="006367C2"/>
    <w:rsid w:val="00640161"/>
    <w:rsid w:val="006411A3"/>
    <w:rsid w:val="00643934"/>
    <w:rsid w:val="00644130"/>
    <w:rsid w:val="006448CE"/>
    <w:rsid w:val="00646C86"/>
    <w:rsid w:val="0064787C"/>
    <w:rsid w:val="00652769"/>
    <w:rsid w:val="0065301E"/>
    <w:rsid w:val="00653F28"/>
    <w:rsid w:val="0065542F"/>
    <w:rsid w:val="006554FF"/>
    <w:rsid w:val="006557EA"/>
    <w:rsid w:val="0065670F"/>
    <w:rsid w:val="00657DAB"/>
    <w:rsid w:val="00657F44"/>
    <w:rsid w:val="00661598"/>
    <w:rsid w:val="00662FFE"/>
    <w:rsid w:val="006637E1"/>
    <w:rsid w:val="00663B7B"/>
    <w:rsid w:val="0066477B"/>
    <w:rsid w:val="00666693"/>
    <w:rsid w:val="006666B5"/>
    <w:rsid w:val="0066701C"/>
    <w:rsid w:val="00670752"/>
    <w:rsid w:val="0067091B"/>
    <w:rsid w:val="00670EA1"/>
    <w:rsid w:val="00672E77"/>
    <w:rsid w:val="00674297"/>
    <w:rsid w:val="00674353"/>
    <w:rsid w:val="00674C9F"/>
    <w:rsid w:val="00677717"/>
    <w:rsid w:val="00677CC2"/>
    <w:rsid w:val="00680C78"/>
    <w:rsid w:val="00682839"/>
    <w:rsid w:val="00683F3F"/>
    <w:rsid w:val="006879A7"/>
    <w:rsid w:val="006879DE"/>
    <w:rsid w:val="00687CE9"/>
    <w:rsid w:val="0069011A"/>
    <w:rsid w:val="006905DE"/>
    <w:rsid w:val="00690BAF"/>
    <w:rsid w:val="00691ABA"/>
    <w:rsid w:val="0069207B"/>
    <w:rsid w:val="00692A83"/>
    <w:rsid w:val="00692CF8"/>
    <w:rsid w:val="00693F29"/>
    <w:rsid w:val="0069484A"/>
    <w:rsid w:val="0069653C"/>
    <w:rsid w:val="006A1332"/>
    <w:rsid w:val="006A3FD3"/>
    <w:rsid w:val="006A4294"/>
    <w:rsid w:val="006A5EA7"/>
    <w:rsid w:val="006A69EE"/>
    <w:rsid w:val="006B04D3"/>
    <w:rsid w:val="006B2AE8"/>
    <w:rsid w:val="006B315A"/>
    <w:rsid w:val="006B3235"/>
    <w:rsid w:val="006B35B6"/>
    <w:rsid w:val="006B4299"/>
    <w:rsid w:val="006B4C62"/>
    <w:rsid w:val="006B4CB9"/>
    <w:rsid w:val="006B4DC6"/>
    <w:rsid w:val="006B5789"/>
    <w:rsid w:val="006B58C5"/>
    <w:rsid w:val="006B59D6"/>
    <w:rsid w:val="006B5B78"/>
    <w:rsid w:val="006B7162"/>
    <w:rsid w:val="006B75AF"/>
    <w:rsid w:val="006B7668"/>
    <w:rsid w:val="006C0736"/>
    <w:rsid w:val="006C2702"/>
    <w:rsid w:val="006C30C5"/>
    <w:rsid w:val="006C445E"/>
    <w:rsid w:val="006C48FA"/>
    <w:rsid w:val="006C5401"/>
    <w:rsid w:val="006C5B74"/>
    <w:rsid w:val="006C5ED7"/>
    <w:rsid w:val="006C7F8C"/>
    <w:rsid w:val="006D2414"/>
    <w:rsid w:val="006D41FC"/>
    <w:rsid w:val="006D4B83"/>
    <w:rsid w:val="006D4F49"/>
    <w:rsid w:val="006D6079"/>
    <w:rsid w:val="006D726E"/>
    <w:rsid w:val="006D7288"/>
    <w:rsid w:val="006E07E4"/>
    <w:rsid w:val="006E24A1"/>
    <w:rsid w:val="006E3E8C"/>
    <w:rsid w:val="006E5320"/>
    <w:rsid w:val="006E6246"/>
    <w:rsid w:val="006F1507"/>
    <w:rsid w:val="006F2DBB"/>
    <w:rsid w:val="006F318F"/>
    <w:rsid w:val="006F3E5E"/>
    <w:rsid w:val="006F4226"/>
    <w:rsid w:val="006F42A4"/>
    <w:rsid w:val="006F45EB"/>
    <w:rsid w:val="006F5328"/>
    <w:rsid w:val="006F5E6C"/>
    <w:rsid w:val="006F61DD"/>
    <w:rsid w:val="0070017E"/>
    <w:rsid w:val="00700B2C"/>
    <w:rsid w:val="00702EFD"/>
    <w:rsid w:val="00704143"/>
    <w:rsid w:val="007050A2"/>
    <w:rsid w:val="00705E18"/>
    <w:rsid w:val="00706D39"/>
    <w:rsid w:val="00707138"/>
    <w:rsid w:val="0071046E"/>
    <w:rsid w:val="00710664"/>
    <w:rsid w:val="00711FAA"/>
    <w:rsid w:val="00713084"/>
    <w:rsid w:val="0071399B"/>
    <w:rsid w:val="00713C61"/>
    <w:rsid w:val="00714F20"/>
    <w:rsid w:val="0071590F"/>
    <w:rsid w:val="00715914"/>
    <w:rsid w:val="007168EE"/>
    <w:rsid w:val="00720E0B"/>
    <w:rsid w:val="00722365"/>
    <w:rsid w:val="00723B0A"/>
    <w:rsid w:val="00724119"/>
    <w:rsid w:val="00724502"/>
    <w:rsid w:val="007251A5"/>
    <w:rsid w:val="007258DB"/>
    <w:rsid w:val="0072683C"/>
    <w:rsid w:val="00726C4D"/>
    <w:rsid w:val="00730208"/>
    <w:rsid w:val="00731E00"/>
    <w:rsid w:val="00732F1D"/>
    <w:rsid w:val="00734398"/>
    <w:rsid w:val="00734A72"/>
    <w:rsid w:val="00736A74"/>
    <w:rsid w:val="00736AF2"/>
    <w:rsid w:val="00740595"/>
    <w:rsid w:val="007405A5"/>
    <w:rsid w:val="00740639"/>
    <w:rsid w:val="00740774"/>
    <w:rsid w:val="00741311"/>
    <w:rsid w:val="00741ECE"/>
    <w:rsid w:val="00741EE8"/>
    <w:rsid w:val="007440B7"/>
    <w:rsid w:val="007442A7"/>
    <w:rsid w:val="00744F52"/>
    <w:rsid w:val="0074533B"/>
    <w:rsid w:val="00745DCE"/>
    <w:rsid w:val="00747BAF"/>
    <w:rsid w:val="00747CE9"/>
    <w:rsid w:val="007500C8"/>
    <w:rsid w:val="00751576"/>
    <w:rsid w:val="007515F6"/>
    <w:rsid w:val="007535F6"/>
    <w:rsid w:val="00753C60"/>
    <w:rsid w:val="00756272"/>
    <w:rsid w:val="00756AE9"/>
    <w:rsid w:val="007570EE"/>
    <w:rsid w:val="007576B7"/>
    <w:rsid w:val="007626B7"/>
    <w:rsid w:val="00764BA3"/>
    <w:rsid w:val="00765001"/>
    <w:rsid w:val="00765261"/>
    <w:rsid w:val="00766261"/>
    <w:rsid w:val="007662B5"/>
    <w:rsid w:val="00766787"/>
    <w:rsid w:val="0076681A"/>
    <w:rsid w:val="0076687E"/>
    <w:rsid w:val="00766C6D"/>
    <w:rsid w:val="00767BE5"/>
    <w:rsid w:val="00767D90"/>
    <w:rsid w:val="00770903"/>
    <w:rsid w:val="00770F72"/>
    <w:rsid w:val="007715C9"/>
    <w:rsid w:val="00771613"/>
    <w:rsid w:val="00771811"/>
    <w:rsid w:val="00773A51"/>
    <w:rsid w:val="00774EDD"/>
    <w:rsid w:val="0077506D"/>
    <w:rsid w:val="007757EC"/>
    <w:rsid w:val="00775BA6"/>
    <w:rsid w:val="0077605A"/>
    <w:rsid w:val="0077687F"/>
    <w:rsid w:val="007773C1"/>
    <w:rsid w:val="00780064"/>
    <w:rsid w:val="0078151E"/>
    <w:rsid w:val="007821C4"/>
    <w:rsid w:val="00782E92"/>
    <w:rsid w:val="00783E89"/>
    <w:rsid w:val="00784267"/>
    <w:rsid w:val="007842CE"/>
    <w:rsid w:val="00785A9E"/>
    <w:rsid w:val="00786786"/>
    <w:rsid w:val="007873E2"/>
    <w:rsid w:val="007875D0"/>
    <w:rsid w:val="00791B14"/>
    <w:rsid w:val="00791D35"/>
    <w:rsid w:val="00791DD0"/>
    <w:rsid w:val="00791EE6"/>
    <w:rsid w:val="00792A0B"/>
    <w:rsid w:val="00793915"/>
    <w:rsid w:val="00794B68"/>
    <w:rsid w:val="00795099"/>
    <w:rsid w:val="007961C5"/>
    <w:rsid w:val="0079717F"/>
    <w:rsid w:val="007975CA"/>
    <w:rsid w:val="00797BEE"/>
    <w:rsid w:val="00797FDF"/>
    <w:rsid w:val="007A187F"/>
    <w:rsid w:val="007A3479"/>
    <w:rsid w:val="007A374C"/>
    <w:rsid w:val="007A3EA6"/>
    <w:rsid w:val="007A42F7"/>
    <w:rsid w:val="007A48C1"/>
    <w:rsid w:val="007A5FE3"/>
    <w:rsid w:val="007A6D80"/>
    <w:rsid w:val="007A7CFE"/>
    <w:rsid w:val="007B0371"/>
    <w:rsid w:val="007B090C"/>
    <w:rsid w:val="007B1969"/>
    <w:rsid w:val="007B3CFB"/>
    <w:rsid w:val="007B47C5"/>
    <w:rsid w:val="007B4C4F"/>
    <w:rsid w:val="007B750A"/>
    <w:rsid w:val="007B761D"/>
    <w:rsid w:val="007C0394"/>
    <w:rsid w:val="007C0E96"/>
    <w:rsid w:val="007C2253"/>
    <w:rsid w:val="007C5301"/>
    <w:rsid w:val="007D1188"/>
    <w:rsid w:val="007D230B"/>
    <w:rsid w:val="007D29EA"/>
    <w:rsid w:val="007D4DD1"/>
    <w:rsid w:val="007D59E4"/>
    <w:rsid w:val="007D72C2"/>
    <w:rsid w:val="007E163D"/>
    <w:rsid w:val="007E4E24"/>
    <w:rsid w:val="007E5586"/>
    <w:rsid w:val="007E667A"/>
    <w:rsid w:val="007E6AF6"/>
    <w:rsid w:val="007E73EE"/>
    <w:rsid w:val="007F10AC"/>
    <w:rsid w:val="007F2132"/>
    <w:rsid w:val="007F286E"/>
    <w:rsid w:val="007F28C9"/>
    <w:rsid w:val="007F452A"/>
    <w:rsid w:val="007F4A1E"/>
    <w:rsid w:val="007F6559"/>
    <w:rsid w:val="007F72AA"/>
    <w:rsid w:val="007F7D28"/>
    <w:rsid w:val="0080312D"/>
    <w:rsid w:val="00803587"/>
    <w:rsid w:val="00803B45"/>
    <w:rsid w:val="00804890"/>
    <w:rsid w:val="008048FF"/>
    <w:rsid w:val="00804A64"/>
    <w:rsid w:val="00806B36"/>
    <w:rsid w:val="008111C0"/>
    <w:rsid w:val="00811348"/>
    <w:rsid w:val="008117E9"/>
    <w:rsid w:val="00811D22"/>
    <w:rsid w:val="00811DAD"/>
    <w:rsid w:val="008132E6"/>
    <w:rsid w:val="00813DB2"/>
    <w:rsid w:val="00814503"/>
    <w:rsid w:val="008175A1"/>
    <w:rsid w:val="00821489"/>
    <w:rsid w:val="008230B2"/>
    <w:rsid w:val="00824498"/>
    <w:rsid w:val="00826581"/>
    <w:rsid w:val="00826E5B"/>
    <w:rsid w:val="00830A10"/>
    <w:rsid w:val="00831AB4"/>
    <w:rsid w:val="00831F69"/>
    <w:rsid w:val="008346A0"/>
    <w:rsid w:val="00835179"/>
    <w:rsid w:val="0083522C"/>
    <w:rsid w:val="008356AC"/>
    <w:rsid w:val="008370D0"/>
    <w:rsid w:val="00837C8B"/>
    <w:rsid w:val="00840442"/>
    <w:rsid w:val="008417E3"/>
    <w:rsid w:val="00842303"/>
    <w:rsid w:val="008429AF"/>
    <w:rsid w:val="0084328B"/>
    <w:rsid w:val="00846751"/>
    <w:rsid w:val="0084685B"/>
    <w:rsid w:val="00847FED"/>
    <w:rsid w:val="0085025E"/>
    <w:rsid w:val="00851438"/>
    <w:rsid w:val="0085150B"/>
    <w:rsid w:val="008527C0"/>
    <w:rsid w:val="008533F8"/>
    <w:rsid w:val="008543C8"/>
    <w:rsid w:val="008546FE"/>
    <w:rsid w:val="0085640B"/>
    <w:rsid w:val="0085642C"/>
    <w:rsid w:val="00856646"/>
    <w:rsid w:val="00856A31"/>
    <w:rsid w:val="00857D31"/>
    <w:rsid w:val="008603A6"/>
    <w:rsid w:val="008604B6"/>
    <w:rsid w:val="00860B58"/>
    <w:rsid w:val="008610ED"/>
    <w:rsid w:val="00862F28"/>
    <w:rsid w:val="00862FE4"/>
    <w:rsid w:val="00863657"/>
    <w:rsid w:val="00865DB1"/>
    <w:rsid w:val="00866282"/>
    <w:rsid w:val="00867938"/>
    <w:rsid w:val="00867B37"/>
    <w:rsid w:val="00870867"/>
    <w:rsid w:val="00870DBC"/>
    <w:rsid w:val="008718DD"/>
    <w:rsid w:val="00872110"/>
    <w:rsid w:val="008729D5"/>
    <w:rsid w:val="00873611"/>
    <w:rsid w:val="00873650"/>
    <w:rsid w:val="008754D0"/>
    <w:rsid w:val="0087705B"/>
    <w:rsid w:val="0087770D"/>
    <w:rsid w:val="008822B3"/>
    <w:rsid w:val="0088281A"/>
    <w:rsid w:val="00882D5B"/>
    <w:rsid w:val="008839A8"/>
    <w:rsid w:val="00885039"/>
    <w:rsid w:val="0088541F"/>
    <w:rsid w:val="008855C9"/>
    <w:rsid w:val="00886456"/>
    <w:rsid w:val="00886681"/>
    <w:rsid w:val="008870B4"/>
    <w:rsid w:val="00887128"/>
    <w:rsid w:val="00890F36"/>
    <w:rsid w:val="008915FC"/>
    <w:rsid w:val="008929E3"/>
    <w:rsid w:val="00892DD5"/>
    <w:rsid w:val="00892FC2"/>
    <w:rsid w:val="0089300C"/>
    <w:rsid w:val="008945E0"/>
    <w:rsid w:val="00894FDD"/>
    <w:rsid w:val="0089527F"/>
    <w:rsid w:val="0089555B"/>
    <w:rsid w:val="008957EE"/>
    <w:rsid w:val="0089645A"/>
    <w:rsid w:val="00897811"/>
    <w:rsid w:val="008A06B2"/>
    <w:rsid w:val="008A2DA8"/>
    <w:rsid w:val="008A362B"/>
    <w:rsid w:val="008A453A"/>
    <w:rsid w:val="008A46E1"/>
    <w:rsid w:val="008A4F43"/>
    <w:rsid w:val="008A67E4"/>
    <w:rsid w:val="008A7179"/>
    <w:rsid w:val="008B057F"/>
    <w:rsid w:val="008B1028"/>
    <w:rsid w:val="008B2706"/>
    <w:rsid w:val="008B678E"/>
    <w:rsid w:val="008B6FE0"/>
    <w:rsid w:val="008B7237"/>
    <w:rsid w:val="008C03A6"/>
    <w:rsid w:val="008C040E"/>
    <w:rsid w:val="008C06F0"/>
    <w:rsid w:val="008C0F29"/>
    <w:rsid w:val="008C18EF"/>
    <w:rsid w:val="008C2F21"/>
    <w:rsid w:val="008C46E9"/>
    <w:rsid w:val="008C4B3B"/>
    <w:rsid w:val="008C4E91"/>
    <w:rsid w:val="008C6348"/>
    <w:rsid w:val="008C696F"/>
    <w:rsid w:val="008C7679"/>
    <w:rsid w:val="008C7995"/>
    <w:rsid w:val="008C7FA9"/>
    <w:rsid w:val="008D05E8"/>
    <w:rsid w:val="008D0B74"/>
    <w:rsid w:val="008D0D39"/>
    <w:rsid w:val="008D0EE0"/>
    <w:rsid w:val="008D2714"/>
    <w:rsid w:val="008D2AF4"/>
    <w:rsid w:val="008D3422"/>
    <w:rsid w:val="008D3E29"/>
    <w:rsid w:val="008D72D9"/>
    <w:rsid w:val="008E1480"/>
    <w:rsid w:val="008E1982"/>
    <w:rsid w:val="008E1B77"/>
    <w:rsid w:val="008E32F7"/>
    <w:rsid w:val="008E3ED2"/>
    <w:rsid w:val="008E4085"/>
    <w:rsid w:val="008E475D"/>
    <w:rsid w:val="008E6067"/>
    <w:rsid w:val="008F09E5"/>
    <w:rsid w:val="008F44FE"/>
    <w:rsid w:val="008F49CE"/>
    <w:rsid w:val="008F4B20"/>
    <w:rsid w:val="008F54E7"/>
    <w:rsid w:val="008F6A13"/>
    <w:rsid w:val="00900AA2"/>
    <w:rsid w:val="00900E35"/>
    <w:rsid w:val="00900E92"/>
    <w:rsid w:val="00900FE4"/>
    <w:rsid w:val="00901156"/>
    <w:rsid w:val="00901448"/>
    <w:rsid w:val="009016BE"/>
    <w:rsid w:val="00901DAF"/>
    <w:rsid w:val="009026AF"/>
    <w:rsid w:val="00902727"/>
    <w:rsid w:val="009031D8"/>
    <w:rsid w:val="00903422"/>
    <w:rsid w:val="0090371D"/>
    <w:rsid w:val="00905B20"/>
    <w:rsid w:val="00905DE7"/>
    <w:rsid w:val="009062DF"/>
    <w:rsid w:val="00910763"/>
    <w:rsid w:val="00910F56"/>
    <w:rsid w:val="00911DF7"/>
    <w:rsid w:val="00912A58"/>
    <w:rsid w:val="00913E91"/>
    <w:rsid w:val="00914B1B"/>
    <w:rsid w:val="009157B9"/>
    <w:rsid w:val="00915DF9"/>
    <w:rsid w:val="0091629E"/>
    <w:rsid w:val="009167E4"/>
    <w:rsid w:val="009203CE"/>
    <w:rsid w:val="009229FE"/>
    <w:rsid w:val="00922DD7"/>
    <w:rsid w:val="0092330E"/>
    <w:rsid w:val="009241D4"/>
    <w:rsid w:val="009254C3"/>
    <w:rsid w:val="00926445"/>
    <w:rsid w:val="00926890"/>
    <w:rsid w:val="00926940"/>
    <w:rsid w:val="0092724D"/>
    <w:rsid w:val="0093067B"/>
    <w:rsid w:val="00930A0A"/>
    <w:rsid w:val="00930CEC"/>
    <w:rsid w:val="0093225C"/>
    <w:rsid w:val="00932377"/>
    <w:rsid w:val="0093272E"/>
    <w:rsid w:val="00932F48"/>
    <w:rsid w:val="009352A2"/>
    <w:rsid w:val="00940617"/>
    <w:rsid w:val="009414D9"/>
    <w:rsid w:val="009415CB"/>
    <w:rsid w:val="00941EC9"/>
    <w:rsid w:val="0094371E"/>
    <w:rsid w:val="00943CBA"/>
    <w:rsid w:val="009443D4"/>
    <w:rsid w:val="00944B5D"/>
    <w:rsid w:val="009457DD"/>
    <w:rsid w:val="009460DC"/>
    <w:rsid w:val="0094642A"/>
    <w:rsid w:val="00946759"/>
    <w:rsid w:val="0094739E"/>
    <w:rsid w:val="00947D5A"/>
    <w:rsid w:val="00951A39"/>
    <w:rsid w:val="00951BAF"/>
    <w:rsid w:val="009532A5"/>
    <w:rsid w:val="009544E6"/>
    <w:rsid w:val="00955175"/>
    <w:rsid w:val="0095528E"/>
    <w:rsid w:val="0095544C"/>
    <w:rsid w:val="00955795"/>
    <w:rsid w:val="00956ACC"/>
    <w:rsid w:val="009614C3"/>
    <w:rsid w:val="00961E12"/>
    <w:rsid w:val="00962B17"/>
    <w:rsid w:val="00963CB7"/>
    <w:rsid w:val="00963FCF"/>
    <w:rsid w:val="00964043"/>
    <w:rsid w:val="009642BC"/>
    <w:rsid w:val="00964DE7"/>
    <w:rsid w:val="00965083"/>
    <w:rsid w:val="0096509C"/>
    <w:rsid w:val="00965799"/>
    <w:rsid w:val="0096593D"/>
    <w:rsid w:val="009669DD"/>
    <w:rsid w:val="0096753E"/>
    <w:rsid w:val="00967DE2"/>
    <w:rsid w:val="00972064"/>
    <w:rsid w:val="00972164"/>
    <w:rsid w:val="009724F9"/>
    <w:rsid w:val="00972622"/>
    <w:rsid w:val="0097349F"/>
    <w:rsid w:val="00974C28"/>
    <w:rsid w:val="00975669"/>
    <w:rsid w:val="00976280"/>
    <w:rsid w:val="00976945"/>
    <w:rsid w:val="009772AF"/>
    <w:rsid w:val="00981AB5"/>
    <w:rsid w:val="00982242"/>
    <w:rsid w:val="00983337"/>
    <w:rsid w:val="00985210"/>
    <w:rsid w:val="00985FC8"/>
    <w:rsid w:val="009868E9"/>
    <w:rsid w:val="0099034D"/>
    <w:rsid w:val="009944E6"/>
    <w:rsid w:val="00994B35"/>
    <w:rsid w:val="009968DD"/>
    <w:rsid w:val="00996B33"/>
    <w:rsid w:val="009A04EA"/>
    <w:rsid w:val="009A06CA"/>
    <w:rsid w:val="009A0CCE"/>
    <w:rsid w:val="009A14AA"/>
    <w:rsid w:val="009A16D6"/>
    <w:rsid w:val="009A2319"/>
    <w:rsid w:val="009A3A6F"/>
    <w:rsid w:val="009A3BB6"/>
    <w:rsid w:val="009A3F74"/>
    <w:rsid w:val="009A49C9"/>
    <w:rsid w:val="009A4AB7"/>
    <w:rsid w:val="009A588A"/>
    <w:rsid w:val="009A599E"/>
    <w:rsid w:val="009A5CB5"/>
    <w:rsid w:val="009A5D77"/>
    <w:rsid w:val="009B1617"/>
    <w:rsid w:val="009B42A4"/>
    <w:rsid w:val="009B689B"/>
    <w:rsid w:val="009C0C1D"/>
    <w:rsid w:val="009C0C90"/>
    <w:rsid w:val="009C1F15"/>
    <w:rsid w:val="009C1F25"/>
    <w:rsid w:val="009C2791"/>
    <w:rsid w:val="009C3059"/>
    <w:rsid w:val="009C32D6"/>
    <w:rsid w:val="009C4AD6"/>
    <w:rsid w:val="009C7E26"/>
    <w:rsid w:val="009D0E96"/>
    <w:rsid w:val="009D1818"/>
    <w:rsid w:val="009D195A"/>
    <w:rsid w:val="009D27DB"/>
    <w:rsid w:val="009D3C06"/>
    <w:rsid w:val="009D4598"/>
    <w:rsid w:val="009D45E7"/>
    <w:rsid w:val="009D5E39"/>
    <w:rsid w:val="009D7993"/>
    <w:rsid w:val="009D7A8C"/>
    <w:rsid w:val="009E2DF7"/>
    <w:rsid w:val="009E36DD"/>
    <w:rsid w:val="009E42D4"/>
    <w:rsid w:val="009E48B9"/>
    <w:rsid w:val="009E5CFC"/>
    <w:rsid w:val="009E638E"/>
    <w:rsid w:val="009E75A7"/>
    <w:rsid w:val="009F0C16"/>
    <w:rsid w:val="009F0E4A"/>
    <w:rsid w:val="009F0F97"/>
    <w:rsid w:val="009F14AF"/>
    <w:rsid w:val="009F2F0E"/>
    <w:rsid w:val="009F401D"/>
    <w:rsid w:val="009F450F"/>
    <w:rsid w:val="009F7060"/>
    <w:rsid w:val="00A01C91"/>
    <w:rsid w:val="00A02530"/>
    <w:rsid w:val="00A02E2E"/>
    <w:rsid w:val="00A03319"/>
    <w:rsid w:val="00A03AF1"/>
    <w:rsid w:val="00A06CFB"/>
    <w:rsid w:val="00A079CB"/>
    <w:rsid w:val="00A07EF3"/>
    <w:rsid w:val="00A103DC"/>
    <w:rsid w:val="00A10837"/>
    <w:rsid w:val="00A11A0B"/>
    <w:rsid w:val="00A12128"/>
    <w:rsid w:val="00A12237"/>
    <w:rsid w:val="00A129E2"/>
    <w:rsid w:val="00A12F48"/>
    <w:rsid w:val="00A14C5F"/>
    <w:rsid w:val="00A14F6A"/>
    <w:rsid w:val="00A154A8"/>
    <w:rsid w:val="00A15512"/>
    <w:rsid w:val="00A16FF4"/>
    <w:rsid w:val="00A17305"/>
    <w:rsid w:val="00A1744A"/>
    <w:rsid w:val="00A22C98"/>
    <w:rsid w:val="00A231E2"/>
    <w:rsid w:val="00A24EDC"/>
    <w:rsid w:val="00A2598A"/>
    <w:rsid w:val="00A25FE7"/>
    <w:rsid w:val="00A27495"/>
    <w:rsid w:val="00A31FAD"/>
    <w:rsid w:val="00A33D55"/>
    <w:rsid w:val="00A33E25"/>
    <w:rsid w:val="00A34412"/>
    <w:rsid w:val="00A35822"/>
    <w:rsid w:val="00A35DD6"/>
    <w:rsid w:val="00A37325"/>
    <w:rsid w:val="00A375F3"/>
    <w:rsid w:val="00A40424"/>
    <w:rsid w:val="00A40A94"/>
    <w:rsid w:val="00A40AA5"/>
    <w:rsid w:val="00A42D33"/>
    <w:rsid w:val="00A43306"/>
    <w:rsid w:val="00A44464"/>
    <w:rsid w:val="00A44C99"/>
    <w:rsid w:val="00A46272"/>
    <w:rsid w:val="00A46648"/>
    <w:rsid w:val="00A466C3"/>
    <w:rsid w:val="00A474DD"/>
    <w:rsid w:val="00A50149"/>
    <w:rsid w:val="00A524C5"/>
    <w:rsid w:val="00A52B0F"/>
    <w:rsid w:val="00A559B3"/>
    <w:rsid w:val="00A5632E"/>
    <w:rsid w:val="00A57296"/>
    <w:rsid w:val="00A60535"/>
    <w:rsid w:val="00A605BE"/>
    <w:rsid w:val="00A62795"/>
    <w:rsid w:val="00A64912"/>
    <w:rsid w:val="00A64D55"/>
    <w:rsid w:val="00A64E28"/>
    <w:rsid w:val="00A67F16"/>
    <w:rsid w:val="00A702F3"/>
    <w:rsid w:val="00A703B0"/>
    <w:rsid w:val="00A70A74"/>
    <w:rsid w:val="00A70FAA"/>
    <w:rsid w:val="00A715FA"/>
    <w:rsid w:val="00A72B53"/>
    <w:rsid w:val="00A736D0"/>
    <w:rsid w:val="00A76175"/>
    <w:rsid w:val="00A764E9"/>
    <w:rsid w:val="00A77FF8"/>
    <w:rsid w:val="00A810A1"/>
    <w:rsid w:val="00A81222"/>
    <w:rsid w:val="00A82989"/>
    <w:rsid w:val="00A829C7"/>
    <w:rsid w:val="00A839BC"/>
    <w:rsid w:val="00A84741"/>
    <w:rsid w:val="00A85A35"/>
    <w:rsid w:val="00A9043D"/>
    <w:rsid w:val="00A90F01"/>
    <w:rsid w:val="00A91966"/>
    <w:rsid w:val="00A93042"/>
    <w:rsid w:val="00A9458B"/>
    <w:rsid w:val="00A94D86"/>
    <w:rsid w:val="00A94F4F"/>
    <w:rsid w:val="00A94F8F"/>
    <w:rsid w:val="00A95E6D"/>
    <w:rsid w:val="00A96C61"/>
    <w:rsid w:val="00AA0D0E"/>
    <w:rsid w:val="00AA16F7"/>
    <w:rsid w:val="00AA4C79"/>
    <w:rsid w:val="00AA66AC"/>
    <w:rsid w:val="00AA7162"/>
    <w:rsid w:val="00AA78DD"/>
    <w:rsid w:val="00AA7F44"/>
    <w:rsid w:val="00AB002C"/>
    <w:rsid w:val="00AB0603"/>
    <w:rsid w:val="00AB103E"/>
    <w:rsid w:val="00AB1DE8"/>
    <w:rsid w:val="00AB3140"/>
    <w:rsid w:val="00AB4633"/>
    <w:rsid w:val="00AB5160"/>
    <w:rsid w:val="00AB64D4"/>
    <w:rsid w:val="00AB69D9"/>
    <w:rsid w:val="00AB6F6D"/>
    <w:rsid w:val="00AC01BD"/>
    <w:rsid w:val="00AC0886"/>
    <w:rsid w:val="00AC1DC8"/>
    <w:rsid w:val="00AC4894"/>
    <w:rsid w:val="00AC6929"/>
    <w:rsid w:val="00AC6B0D"/>
    <w:rsid w:val="00AC6B4A"/>
    <w:rsid w:val="00AC6EF5"/>
    <w:rsid w:val="00AD02B8"/>
    <w:rsid w:val="00AD1F73"/>
    <w:rsid w:val="00AD2D37"/>
    <w:rsid w:val="00AD3519"/>
    <w:rsid w:val="00AD4C57"/>
    <w:rsid w:val="00AD5315"/>
    <w:rsid w:val="00AD5346"/>
    <w:rsid w:val="00AD5641"/>
    <w:rsid w:val="00AD57D1"/>
    <w:rsid w:val="00AD62AB"/>
    <w:rsid w:val="00AD6E8F"/>
    <w:rsid w:val="00AD73C1"/>
    <w:rsid w:val="00AD7889"/>
    <w:rsid w:val="00AE1545"/>
    <w:rsid w:val="00AE1C39"/>
    <w:rsid w:val="00AE20C4"/>
    <w:rsid w:val="00AE23F6"/>
    <w:rsid w:val="00AE3302"/>
    <w:rsid w:val="00AE4984"/>
    <w:rsid w:val="00AE7188"/>
    <w:rsid w:val="00AE787B"/>
    <w:rsid w:val="00AF021B"/>
    <w:rsid w:val="00AF05C9"/>
    <w:rsid w:val="00AF06CF"/>
    <w:rsid w:val="00AF12A3"/>
    <w:rsid w:val="00AF1AFA"/>
    <w:rsid w:val="00AF23F3"/>
    <w:rsid w:val="00AF2EE2"/>
    <w:rsid w:val="00AF2EF0"/>
    <w:rsid w:val="00AF30D7"/>
    <w:rsid w:val="00AF3461"/>
    <w:rsid w:val="00AF4B1A"/>
    <w:rsid w:val="00AF59E6"/>
    <w:rsid w:val="00AF6258"/>
    <w:rsid w:val="00AF6471"/>
    <w:rsid w:val="00AF79D4"/>
    <w:rsid w:val="00B011DE"/>
    <w:rsid w:val="00B018D6"/>
    <w:rsid w:val="00B0366D"/>
    <w:rsid w:val="00B03E48"/>
    <w:rsid w:val="00B04305"/>
    <w:rsid w:val="00B05750"/>
    <w:rsid w:val="00B06FA9"/>
    <w:rsid w:val="00B07CDB"/>
    <w:rsid w:val="00B10602"/>
    <w:rsid w:val="00B1084A"/>
    <w:rsid w:val="00B11DEC"/>
    <w:rsid w:val="00B11F76"/>
    <w:rsid w:val="00B15A80"/>
    <w:rsid w:val="00B16A31"/>
    <w:rsid w:val="00B16EDC"/>
    <w:rsid w:val="00B17DFD"/>
    <w:rsid w:val="00B22045"/>
    <w:rsid w:val="00B2305C"/>
    <w:rsid w:val="00B231C3"/>
    <w:rsid w:val="00B2344A"/>
    <w:rsid w:val="00B2381D"/>
    <w:rsid w:val="00B25380"/>
    <w:rsid w:val="00B25D8D"/>
    <w:rsid w:val="00B2799D"/>
    <w:rsid w:val="00B30537"/>
    <w:rsid w:val="00B308FE"/>
    <w:rsid w:val="00B3287B"/>
    <w:rsid w:val="00B32BBD"/>
    <w:rsid w:val="00B33709"/>
    <w:rsid w:val="00B338C4"/>
    <w:rsid w:val="00B33B3C"/>
    <w:rsid w:val="00B33BD1"/>
    <w:rsid w:val="00B37331"/>
    <w:rsid w:val="00B40281"/>
    <w:rsid w:val="00B40EC2"/>
    <w:rsid w:val="00B4123A"/>
    <w:rsid w:val="00B4191C"/>
    <w:rsid w:val="00B43267"/>
    <w:rsid w:val="00B436FB"/>
    <w:rsid w:val="00B45A20"/>
    <w:rsid w:val="00B45A3D"/>
    <w:rsid w:val="00B46F61"/>
    <w:rsid w:val="00B47284"/>
    <w:rsid w:val="00B47A80"/>
    <w:rsid w:val="00B50ADC"/>
    <w:rsid w:val="00B50CF6"/>
    <w:rsid w:val="00B519F5"/>
    <w:rsid w:val="00B52158"/>
    <w:rsid w:val="00B52164"/>
    <w:rsid w:val="00B53A5F"/>
    <w:rsid w:val="00B53F87"/>
    <w:rsid w:val="00B551BA"/>
    <w:rsid w:val="00B561DC"/>
    <w:rsid w:val="00B566B1"/>
    <w:rsid w:val="00B57567"/>
    <w:rsid w:val="00B577C8"/>
    <w:rsid w:val="00B5797F"/>
    <w:rsid w:val="00B601B8"/>
    <w:rsid w:val="00B613E9"/>
    <w:rsid w:val="00B63834"/>
    <w:rsid w:val="00B63D94"/>
    <w:rsid w:val="00B64492"/>
    <w:rsid w:val="00B64C87"/>
    <w:rsid w:val="00B652FC"/>
    <w:rsid w:val="00B66211"/>
    <w:rsid w:val="00B67B72"/>
    <w:rsid w:val="00B70D46"/>
    <w:rsid w:val="00B72734"/>
    <w:rsid w:val="00B73275"/>
    <w:rsid w:val="00B73AF7"/>
    <w:rsid w:val="00B7660C"/>
    <w:rsid w:val="00B7678D"/>
    <w:rsid w:val="00B80199"/>
    <w:rsid w:val="00B807B1"/>
    <w:rsid w:val="00B80977"/>
    <w:rsid w:val="00B822E0"/>
    <w:rsid w:val="00B82D81"/>
    <w:rsid w:val="00B82E9F"/>
    <w:rsid w:val="00B83204"/>
    <w:rsid w:val="00B852CE"/>
    <w:rsid w:val="00B86104"/>
    <w:rsid w:val="00B86FDC"/>
    <w:rsid w:val="00B90512"/>
    <w:rsid w:val="00B90B0E"/>
    <w:rsid w:val="00B90B75"/>
    <w:rsid w:val="00B9126E"/>
    <w:rsid w:val="00B9177F"/>
    <w:rsid w:val="00B9266D"/>
    <w:rsid w:val="00B94090"/>
    <w:rsid w:val="00B94BBC"/>
    <w:rsid w:val="00B95400"/>
    <w:rsid w:val="00B96DEC"/>
    <w:rsid w:val="00B974D5"/>
    <w:rsid w:val="00B97993"/>
    <w:rsid w:val="00BA1AF7"/>
    <w:rsid w:val="00BA220B"/>
    <w:rsid w:val="00BA3A57"/>
    <w:rsid w:val="00BA3EEE"/>
    <w:rsid w:val="00BA7963"/>
    <w:rsid w:val="00BB07F3"/>
    <w:rsid w:val="00BB0BED"/>
    <w:rsid w:val="00BB3493"/>
    <w:rsid w:val="00BB3E97"/>
    <w:rsid w:val="00BB41CC"/>
    <w:rsid w:val="00BB4DB6"/>
    <w:rsid w:val="00BB4E1A"/>
    <w:rsid w:val="00BB5C17"/>
    <w:rsid w:val="00BB667B"/>
    <w:rsid w:val="00BC015E"/>
    <w:rsid w:val="00BC08E5"/>
    <w:rsid w:val="00BC0D88"/>
    <w:rsid w:val="00BC179F"/>
    <w:rsid w:val="00BC3803"/>
    <w:rsid w:val="00BC4AEE"/>
    <w:rsid w:val="00BC4E7E"/>
    <w:rsid w:val="00BC5C55"/>
    <w:rsid w:val="00BC6064"/>
    <w:rsid w:val="00BC6F46"/>
    <w:rsid w:val="00BC7183"/>
    <w:rsid w:val="00BC76AC"/>
    <w:rsid w:val="00BD03A1"/>
    <w:rsid w:val="00BD0416"/>
    <w:rsid w:val="00BD0ECB"/>
    <w:rsid w:val="00BD1011"/>
    <w:rsid w:val="00BD19B1"/>
    <w:rsid w:val="00BD3B4F"/>
    <w:rsid w:val="00BD4179"/>
    <w:rsid w:val="00BD5799"/>
    <w:rsid w:val="00BD7CEE"/>
    <w:rsid w:val="00BD7DD2"/>
    <w:rsid w:val="00BE12BE"/>
    <w:rsid w:val="00BE2155"/>
    <w:rsid w:val="00BE2213"/>
    <w:rsid w:val="00BE29ED"/>
    <w:rsid w:val="00BE30EF"/>
    <w:rsid w:val="00BE4151"/>
    <w:rsid w:val="00BE446E"/>
    <w:rsid w:val="00BE5BC2"/>
    <w:rsid w:val="00BE6EF9"/>
    <w:rsid w:val="00BE719A"/>
    <w:rsid w:val="00BE720A"/>
    <w:rsid w:val="00BE7566"/>
    <w:rsid w:val="00BE7BA3"/>
    <w:rsid w:val="00BF0222"/>
    <w:rsid w:val="00BF0D73"/>
    <w:rsid w:val="00BF2465"/>
    <w:rsid w:val="00BF2757"/>
    <w:rsid w:val="00BF4A7C"/>
    <w:rsid w:val="00BF66D8"/>
    <w:rsid w:val="00BF6CE1"/>
    <w:rsid w:val="00BF7248"/>
    <w:rsid w:val="00BF75C9"/>
    <w:rsid w:val="00C002BA"/>
    <w:rsid w:val="00C00398"/>
    <w:rsid w:val="00C00D68"/>
    <w:rsid w:val="00C012EB"/>
    <w:rsid w:val="00C01464"/>
    <w:rsid w:val="00C01D8B"/>
    <w:rsid w:val="00C03DBA"/>
    <w:rsid w:val="00C0544A"/>
    <w:rsid w:val="00C05A0C"/>
    <w:rsid w:val="00C06AC9"/>
    <w:rsid w:val="00C06C29"/>
    <w:rsid w:val="00C10F7B"/>
    <w:rsid w:val="00C11452"/>
    <w:rsid w:val="00C118FE"/>
    <w:rsid w:val="00C123A2"/>
    <w:rsid w:val="00C12E8A"/>
    <w:rsid w:val="00C14603"/>
    <w:rsid w:val="00C15CF4"/>
    <w:rsid w:val="00C17457"/>
    <w:rsid w:val="00C1774A"/>
    <w:rsid w:val="00C21330"/>
    <w:rsid w:val="00C22968"/>
    <w:rsid w:val="00C23138"/>
    <w:rsid w:val="00C25E7F"/>
    <w:rsid w:val="00C261F7"/>
    <w:rsid w:val="00C272BB"/>
    <w:rsid w:val="00C2746F"/>
    <w:rsid w:val="00C27497"/>
    <w:rsid w:val="00C31B9C"/>
    <w:rsid w:val="00C31EB8"/>
    <w:rsid w:val="00C324A0"/>
    <w:rsid w:val="00C32F6F"/>
    <w:rsid w:val="00C3300F"/>
    <w:rsid w:val="00C33A50"/>
    <w:rsid w:val="00C33AA8"/>
    <w:rsid w:val="00C34E77"/>
    <w:rsid w:val="00C356C2"/>
    <w:rsid w:val="00C35875"/>
    <w:rsid w:val="00C35DAF"/>
    <w:rsid w:val="00C36742"/>
    <w:rsid w:val="00C36A77"/>
    <w:rsid w:val="00C3713E"/>
    <w:rsid w:val="00C4170B"/>
    <w:rsid w:val="00C41EE5"/>
    <w:rsid w:val="00C42BF8"/>
    <w:rsid w:val="00C430B8"/>
    <w:rsid w:val="00C43D42"/>
    <w:rsid w:val="00C45171"/>
    <w:rsid w:val="00C45ABE"/>
    <w:rsid w:val="00C4661A"/>
    <w:rsid w:val="00C47315"/>
    <w:rsid w:val="00C47D01"/>
    <w:rsid w:val="00C50043"/>
    <w:rsid w:val="00C50B97"/>
    <w:rsid w:val="00C52987"/>
    <w:rsid w:val="00C52E7C"/>
    <w:rsid w:val="00C55D7E"/>
    <w:rsid w:val="00C57728"/>
    <w:rsid w:val="00C60219"/>
    <w:rsid w:val="00C60352"/>
    <w:rsid w:val="00C62F86"/>
    <w:rsid w:val="00C6434E"/>
    <w:rsid w:val="00C65BC2"/>
    <w:rsid w:val="00C678BD"/>
    <w:rsid w:val="00C70CA8"/>
    <w:rsid w:val="00C70CBA"/>
    <w:rsid w:val="00C70EF2"/>
    <w:rsid w:val="00C70F4D"/>
    <w:rsid w:val="00C715D5"/>
    <w:rsid w:val="00C71C67"/>
    <w:rsid w:val="00C72FA3"/>
    <w:rsid w:val="00C7513C"/>
    <w:rsid w:val="00C75305"/>
    <w:rsid w:val="00C75685"/>
    <w:rsid w:val="00C7573B"/>
    <w:rsid w:val="00C7761F"/>
    <w:rsid w:val="00C77C87"/>
    <w:rsid w:val="00C81EAE"/>
    <w:rsid w:val="00C8221E"/>
    <w:rsid w:val="00C83C30"/>
    <w:rsid w:val="00C86225"/>
    <w:rsid w:val="00C86B32"/>
    <w:rsid w:val="00C86FD9"/>
    <w:rsid w:val="00C936AF"/>
    <w:rsid w:val="00C93C03"/>
    <w:rsid w:val="00C94CB7"/>
    <w:rsid w:val="00C94E6E"/>
    <w:rsid w:val="00C94F08"/>
    <w:rsid w:val="00C95499"/>
    <w:rsid w:val="00C95675"/>
    <w:rsid w:val="00C97754"/>
    <w:rsid w:val="00C97C64"/>
    <w:rsid w:val="00C97D8E"/>
    <w:rsid w:val="00CA344A"/>
    <w:rsid w:val="00CA3E50"/>
    <w:rsid w:val="00CA4A1C"/>
    <w:rsid w:val="00CA63FC"/>
    <w:rsid w:val="00CA66DC"/>
    <w:rsid w:val="00CB0854"/>
    <w:rsid w:val="00CB15A5"/>
    <w:rsid w:val="00CB2167"/>
    <w:rsid w:val="00CB2C8E"/>
    <w:rsid w:val="00CB2D96"/>
    <w:rsid w:val="00CB412A"/>
    <w:rsid w:val="00CB4A47"/>
    <w:rsid w:val="00CB5A1C"/>
    <w:rsid w:val="00CB602E"/>
    <w:rsid w:val="00CB6615"/>
    <w:rsid w:val="00CB70CE"/>
    <w:rsid w:val="00CB72A2"/>
    <w:rsid w:val="00CB7510"/>
    <w:rsid w:val="00CC03E5"/>
    <w:rsid w:val="00CC0428"/>
    <w:rsid w:val="00CC1CC2"/>
    <w:rsid w:val="00CC268B"/>
    <w:rsid w:val="00CC3275"/>
    <w:rsid w:val="00CC3AEC"/>
    <w:rsid w:val="00CC46C7"/>
    <w:rsid w:val="00CC5CAF"/>
    <w:rsid w:val="00CC78CB"/>
    <w:rsid w:val="00CD1F94"/>
    <w:rsid w:val="00CD20B1"/>
    <w:rsid w:val="00CD2E05"/>
    <w:rsid w:val="00CD2E90"/>
    <w:rsid w:val="00CD3454"/>
    <w:rsid w:val="00CD5B79"/>
    <w:rsid w:val="00CD6967"/>
    <w:rsid w:val="00CE0149"/>
    <w:rsid w:val="00CE051D"/>
    <w:rsid w:val="00CE0886"/>
    <w:rsid w:val="00CE11C1"/>
    <w:rsid w:val="00CE1335"/>
    <w:rsid w:val="00CE1DEA"/>
    <w:rsid w:val="00CE3D2A"/>
    <w:rsid w:val="00CE493D"/>
    <w:rsid w:val="00CE541A"/>
    <w:rsid w:val="00CE5944"/>
    <w:rsid w:val="00CE6D42"/>
    <w:rsid w:val="00CE7C7B"/>
    <w:rsid w:val="00CF07A2"/>
    <w:rsid w:val="00CF07FA"/>
    <w:rsid w:val="00CF08C1"/>
    <w:rsid w:val="00CF0BB2"/>
    <w:rsid w:val="00CF132F"/>
    <w:rsid w:val="00CF21A8"/>
    <w:rsid w:val="00CF33B5"/>
    <w:rsid w:val="00CF34B6"/>
    <w:rsid w:val="00CF3EE8"/>
    <w:rsid w:val="00CF521E"/>
    <w:rsid w:val="00CF5313"/>
    <w:rsid w:val="00CF53B6"/>
    <w:rsid w:val="00CF7438"/>
    <w:rsid w:val="00D01950"/>
    <w:rsid w:val="00D0241A"/>
    <w:rsid w:val="00D02A98"/>
    <w:rsid w:val="00D034A1"/>
    <w:rsid w:val="00D036A7"/>
    <w:rsid w:val="00D050B4"/>
    <w:rsid w:val="00D050E6"/>
    <w:rsid w:val="00D0583C"/>
    <w:rsid w:val="00D061FF"/>
    <w:rsid w:val="00D06230"/>
    <w:rsid w:val="00D06D4E"/>
    <w:rsid w:val="00D112FC"/>
    <w:rsid w:val="00D1207A"/>
    <w:rsid w:val="00D13441"/>
    <w:rsid w:val="00D150E7"/>
    <w:rsid w:val="00D15B18"/>
    <w:rsid w:val="00D15C4A"/>
    <w:rsid w:val="00D165E9"/>
    <w:rsid w:val="00D16C33"/>
    <w:rsid w:val="00D17173"/>
    <w:rsid w:val="00D20A4B"/>
    <w:rsid w:val="00D21197"/>
    <w:rsid w:val="00D23324"/>
    <w:rsid w:val="00D2568E"/>
    <w:rsid w:val="00D26029"/>
    <w:rsid w:val="00D264BB"/>
    <w:rsid w:val="00D306F8"/>
    <w:rsid w:val="00D30C1A"/>
    <w:rsid w:val="00D32F65"/>
    <w:rsid w:val="00D341C4"/>
    <w:rsid w:val="00D3464A"/>
    <w:rsid w:val="00D3607E"/>
    <w:rsid w:val="00D364C7"/>
    <w:rsid w:val="00D36771"/>
    <w:rsid w:val="00D40199"/>
    <w:rsid w:val="00D40BC1"/>
    <w:rsid w:val="00D40D8F"/>
    <w:rsid w:val="00D41489"/>
    <w:rsid w:val="00D41A47"/>
    <w:rsid w:val="00D423D2"/>
    <w:rsid w:val="00D4275F"/>
    <w:rsid w:val="00D42C6E"/>
    <w:rsid w:val="00D4371A"/>
    <w:rsid w:val="00D442A2"/>
    <w:rsid w:val="00D4432A"/>
    <w:rsid w:val="00D466B7"/>
    <w:rsid w:val="00D4777A"/>
    <w:rsid w:val="00D5025C"/>
    <w:rsid w:val="00D51B77"/>
    <w:rsid w:val="00D51DB9"/>
    <w:rsid w:val="00D52C06"/>
    <w:rsid w:val="00D52DC2"/>
    <w:rsid w:val="00D53BCC"/>
    <w:rsid w:val="00D5428A"/>
    <w:rsid w:val="00D553B9"/>
    <w:rsid w:val="00D57341"/>
    <w:rsid w:val="00D6239D"/>
    <w:rsid w:val="00D62AF1"/>
    <w:rsid w:val="00D62EBC"/>
    <w:rsid w:val="00D648BB"/>
    <w:rsid w:val="00D64E21"/>
    <w:rsid w:val="00D653BC"/>
    <w:rsid w:val="00D659E9"/>
    <w:rsid w:val="00D6607F"/>
    <w:rsid w:val="00D66522"/>
    <w:rsid w:val="00D678FB"/>
    <w:rsid w:val="00D702DE"/>
    <w:rsid w:val="00D70DFB"/>
    <w:rsid w:val="00D70E37"/>
    <w:rsid w:val="00D7279E"/>
    <w:rsid w:val="00D732EC"/>
    <w:rsid w:val="00D73C22"/>
    <w:rsid w:val="00D753CC"/>
    <w:rsid w:val="00D756D6"/>
    <w:rsid w:val="00D75C5D"/>
    <w:rsid w:val="00D766DF"/>
    <w:rsid w:val="00D77411"/>
    <w:rsid w:val="00D81452"/>
    <w:rsid w:val="00D818E2"/>
    <w:rsid w:val="00D82DF2"/>
    <w:rsid w:val="00D83EA9"/>
    <w:rsid w:val="00D8673C"/>
    <w:rsid w:val="00D91B83"/>
    <w:rsid w:val="00D91D7F"/>
    <w:rsid w:val="00D941F1"/>
    <w:rsid w:val="00D94D07"/>
    <w:rsid w:val="00D9555B"/>
    <w:rsid w:val="00D95A7E"/>
    <w:rsid w:val="00D971E8"/>
    <w:rsid w:val="00DA0E36"/>
    <w:rsid w:val="00DA186E"/>
    <w:rsid w:val="00DA2534"/>
    <w:rsid w:val="00DA2D16"/>
    <w:rsid w:val="00DA3E84"/>
    <w:rsid w:val="00DA4116"/>
    <w:rsid w:val="00DA5051"/>
    <w:rsid w:val="00DB251C"/>
    <w:rsid w:val="00DB261C"/>
    <w:rsid w:val="00DB38AD"/>
    <w:rsid w:val="00DB45D9"/>
    <w:rsid w:val="00DB4630"/>
    <w:rsid w:val="00DB504B"/>
    <w:rsid w:val="00DB51FD"/>
    <w:rsid w:val="00DB7936"/>
    <w:rsid w:val="00DB79E6"/>
    <w:rsid w:val="00DC0B75"/>
    <w:rsid w:val="00DC1135"/>
    <w:rsid w:val="00DC1F09"/>
    <w:rsid w:val="00DC3FDF"/>
    <w:rsid w:val="00DC4445"/>
    <w:rsid w:val="00DC4F88"/>
    <w:rsid w:val="00DC54CC"/>
    <w:rsid w:val="00DC55DC"/>
    <w:rsid w:val="00DC6F42"/>
    <w:rsid w:val="00DC6F53"/>
    <w:rsid w:val="00DC7C56"/>
    <w:rsid w:val="00DD150F"/>
    <w:rsid w:val="00DD1530"/>
    <w:rsid w:val="00DD1632"/>
    <w:rsid w:val="00DD194B"/>
    <w:rsid w:val="00DD2434"/>
    <w:rsid w:val="00DD36B6"/>
    <w:rsid w:val="00DD3B3C"/>
    <w:rsid w:val="00DD529A"/>
    <w:rsid w:val="00DD7B53"/>
    <w:rsid w:val="00DE0A85"/>
    <w:rsid w:val="00DE12E0"/>
    <w:rsid w:val="00DE26D6"/>
    <w:rsid w:val="00DE2B10"/>
    <w:rsid w:val="00DE2BE0"/>
    <w:rsid w:val="00DE304C"/>
    <w:rsid w:val="00DE3BB1"/>
    <w:rsid w:val="00DE3E72"/>
    <w:rsid w:val="00DE48A2"/>
    <w:rsid w:val="00DE79F9"/>
    <w:rsid w:val="00DE7E3E"/>
    <w:rsid w:val="00DF2B07"/>
    <w:rsid w:val="00DF2F47"/>
    <w:rsid w:val="00DF403F"/>
    <w:rsid w:val="00DF615C"/>
    <w:rsid w:val="00DF6473"/>
    <w:rsid w:val="00E00175"/>
    <w:rsid w:val="00E02CB7"/>
    <w:rsid w:val="00E03186"/>
    <w:rsid w:val="00E04643"/>
    <w:rsid w:val="00E048B7"/>
    <w:rsid w:val="00E05341"/>
    <w:rsid w:val="00E05704"/>
    <w:rsid w:val="00E05A64"/>
    <w:rsid w:val="00E06B46"/>
    <w:rsid w:val="00E06CC3"/>
    <w:rsid w:val="00E07AB2"/>
    <w:rsid w:val="00E10D92"/>
    <w:rsid w:val="00E11E44"/>
    <w:rsid w:val="00E13835"/>
    <w:rsid w:val="00E13A29"/>
    <w:rsid w:val="00E13AFA"/>
    <w:rsid w:val="00E14AF3"/>
    <w:rsid w:val="00E14BD4"/>
    <w:rsid w:val="00E15436"/>
    <w:rsid w:val="00E154D7"/>
    <w:rsid w:val="00E1573D"/>
    <w:rsid w:val="00E164AF"/>
    <w:rsid w:val="00E1690B"/>
    <w:rsid w:val="00E179C4"/>
    <w:rsid w:val="00E17E12"/>
    <w:rsid w:val="00E200B3"/>
    <w:rsid w:val="00E2168B"/>
    <w:rsid w:val="00E21F03"/>
    <w:rsid w:val="00E21F87"/>
    <w:rsid w:val="00E2561B"/>
    <w:rsid w:val="00E2678C"/>
    <w:rsid w:val="00E273FB"/>
    <w:rsid w:val="00E31B46"/>
    <w:rsid w:val="00E338EF"/>
    <w:rsid w:val="00E33B55"/>
    <w:rsid w:val="00E33E70"/>
    <w:rsid w:val="00E34610"/>
    <w:rsid w:val="00E351AB"/>
    <w:rsid w:val="00E358CC"/>
    <w:rsid w:val="00E35C75"/>
    <w:rsid w:val="00E4079A"/>
    <w:rsid w:val="00E40CC0"/>
    <w:rsid w:val="00E40FF8"/>
    <w:rsid w:val="00E4319C"/>
    <w:rsid w:val="00E45A01"/>
    <w:rsid w:val="00E52954"/>
    <w:rsid w:val="00E544BB"/>
    <w:rsid w:val="00E54DA7"/>
    <w:rsid w:val="00E578EC"/>
    <w:rsid w:val="00E60423"/>
    <w:rsid w:val="00E629A7"/>
    <w:rsid w:val="00E63DC5"/>
    <w:rsid w:val="00E649D7"/>
    <w:rsid w:val="00E655BA"/>
    <w:rsid w:val="00E662CB"/>
    <w:rsid w:val="00E70FBE"/>
    <w:rsid w:val="00E71003"/>
    <w:rsid w:val="00E740C0"/>
    <w:rsid w:val="00E74DC7"/>
    <w:rsid w:val="00E75EB6"/>
    <w:rsid w:val="00E768EB"/>
    <w:rsid w:val="00E77DB8"/>
    <w:rsid w:val="00E8075A"/>
    <w:rsid w:val="00E818A6"/>
    <w:rsid w:val="00E81DB5"/>
    <w:rsid w:val="00E82741"/>
    <w:rsid w:val="00E839FE"/>
    <w:rsid w:val="00E85A91"/>
    <w:rsid w:val="00E86372"/>
    <w:rsid w:val="00E8677F"/>
    <w:rsid w:val="00E867E2"/>
    <w:rsid w:val="00E8716E"/>
    <w:rsid w:val="00E87718"/>
    <w:rsid w:val="00E90808"/>
    <w:rsid w:val="00E911EF"/>
    <w:rsid w:val="00E9306F"/>
    <w:rsid w:val="00E93130"/>
    <w:rsid w:val="00E93470"/>
    <w:rsid w:val="00E93BF8"/>
    <w:rsid w:val="00E94D5E"/>
    <w:rsid w:val="00E951CB"/>
    <w:rsid w:val="00E95431"/>
    <w:rsid w:val="00E96981"/>
    <w:rsid w:val="00E973EF"/>
    <w:rsid w:val="00EA053C"/>
    <w:rsid w:val="00EA0BF6"/>
    <w:rsid w:val="00EA17A6"/>
    <w:rsid w:val="00EA2BD6"/>
    <w:rsid w:val="00EA31A5"/>
    <w:rsid w:val="00EA32C9"/>
    <w:rsid w:val="00EA3C08"/>
    <w:rsid w:val="00EA3F74"/>
    <w:rsid w:val="00EA474D"/>
    <w:rsid w:val="00EA64BC"/>
    <w:rsid w:val="00EA6DC6"/>
    <w:rsid w:val="00EA7100"/>
    <w:rsid w:val="00EA7306"/>
    <w:rsid w:val="00EA7F9F"/>
    <w:rsid w:val="00EB062E"/>
    <w:rsid w:val="00EB0C9C"/>
    <w:rsid w:val="00EB0E04"/>
    <w:rsid w:val="00EB0E70"/>
    <w:rsid w:val="00EB1274"/>
    <w:rsid w:val="00EB19DE"/>
    <w:rsid w:val="00EB1E9D"/>
    <w:rsid w:val="00EB244A"/>
    <w:rsid w:val="00EB2AEC"/>
    <w:rsid w:val="00EB4B03"/>
    <w:rsid w:val="00EB5986"/>
    <w:rsid w:val="00EB6E96"/>
    <w:rsid w:val="00EB787D"/>
    <w:rsid w:val="00EB7ABE"/>
    <w:rsid w:val="00EC1012"/>
    <w:rsid w:val="00EC15AE"/>
    <w:rsid w:val="00EC4757"/>
    <w:rsid w:val="00EC4F8B"/>
    <w:rsid w:val="00EC7EDB"/>
    <w:rsid w:val="00ED0D10"/>
    <w:rsid w:val="00ED0FFD"/>
    <w:rsid w:val="00ED14FB"/>
    <w:rsid w:val="00ED29F1"/>
    <w:rsid w:val="00ED2BB6"/>
    <w:rsid w:val="00ED34E1"/>
    <w:rsid w:val="00ED364F"/>
    <w:rsid w:val="00ED3B8D"/>
    <w:rsid w:val="00ED43EC"/>
    <w:rsid w:val="00ED5DC6"/>
    <w:rsid w:val="00ED796D"/>
    <w:rsid w:val="00EE0E1E"/>
    <w:rsid w:val="00EE1015"/>
    <w:rsid w:val="00EE24AC"/>
    <w:rsid w:val="00EE30B3"/>
    <w:rsid w:val="00EE47B0"/>
    <w:rsid w:val="00EE4C61"/>
    <w:rsid w:val="00EE5551"/>
    <w:rsid w:val="00EE6D3C"/>
    <w:rsid w:val="00EE769B"/>
    <w:rsid w:val="00EF06F9"/>
    <w:rsid w:val="00EF1573"/>
    <w:rsid w:val="00EF15D3"/>
    <w:rsid w:val="00EF1CEA"/>
    <w:rsid w:val="00EF2286"/>
    <w:rsid w:val="00EF24EE"/>
    <w:rsid w:val="00EF2B16"/>
    <w:rsid w:val="00EF2E3A"/>
    <w:rsid w:val="00EF35C8"/>
    <w:rsid w:val="00EF3FBF"/>
    <w:rsid w:val="00EF5D45"/>
    <w:rsid w:val="00EF6503"/>
    <w:rsid w:val="00EF79FD"/>
    <w:rsid w:val="00F00703"/>
    <w:rsid w:val="00F007EA"/>
    <w:rsid w:val="00F00842"/>
    <w:rsid w:val="00F009A4"/>
    <w:rsid w:val="00F00B00"/>
    <w:rsid w:val="00F00D28"/>
    <w:rsid w:val="00F01332"/>
    <w:rsid w:val="00F024D3"/>
    <w:rsid w:val="00F02EF9"/>
    <w:rsid w:val="00F032FE"/>
    <w:rsid w:val="00F03964"/>
    <w:rsid w:val="00F03BB5"/>
    <w:rsid w:val="00F03F50"/>
    <w:rsid w:val="00F047D8"/>
    <w:rsid w:val="00F06209"/>
    <w:rsid w:val="00F066D7"/>
    <w:rsid w:val="00F06CE2"/>
    <w:rsid w:val="00F072A7"/>
    <w:rsid w:val="00F078DC"/>
    <w:rsid w:val="00F07C19"/>
    <w:rsid w:val="00F11E2A"/>
    <w:rsid w:val="00F13962"/>
    <w:rsid w:val="00F1458A"/>
    <w:rsid w:val="00F14593"/>
    <w:rsid w:val="00F1570F"/>
    <w:rsid w:val="00F16A9C"/>
    <w:rsid w:val="00F170C5"/>
    <w:rsid w:val="00F171A1"/>
    <w:rsid w:val="00F172CF"/>
    <w:rsid w:val="00F178AB"/>
    <w:rsid w:val="00F17D5F"/>
    <w:rsid w:val="00F17DEC"/>
    <w:rsid w:val="00F202CB"/>
    <w:rsid w:val="00F23ACB"/>
    <w:rsid w:val="00F24221"/>
    <w:rsid w:val="00F24CEB"/>
    <w:rsid w:val="00F26E13"/>
    <w:rsid w:val="00F26F24"/>
    <w:rsid w:val="00F2706D"/>
    <w:rsid w:val="00F276E8"/>
    <w:rsid w:val="00F27BD4"/>
    <w:rsid w:val="00F31289"/>
    <w:rsid w:val="00F316A1"/>
    <w:rsid w:val="00F321C7"/>
    <w:rsid w:val="00F32BA8"/>
    <w:rsid w:val="00F33A96"/>
    <w:rsid w:val="00F349F1"/>
    <w:rsid w:val="00F34CD7"/>
    <w:rsid w:val="00F36CC1"/>
    <w:rsid w:val="00F407E6"/>
    <w:rsid w:val="00F408BC"/>
    <w:rsid w:val="00F409EA"/>
    <w:rsid w:val="00F40DB1"/>
    <w:rsid w:val="00F4149D"/>
    <w:rsid w:val="00F4215A"/>
    <w:rsid w:val="00F42BB5"/>
    <w:rsid w:val="00F4350D"/>
    <w:rsid w:val="00F443EC"/>
    <w:rsid w:val="00F444B2"/>
    <w:rsid w:val="00F456B1"/>
    <w:rsid w:val="00F45C97"/>
    <w:rsid w:val="00F46947"/>
    <w:rsid w:val="00F50061"/>
    <w:rsid w:val="00F50532"/>
    <w:rsid w:val="00F50FE0"/>
    <w:rsid w:val="00F5170E"/>
    <w:rsid w:val="00F52A9B"/>
    <w:rsid w:val="00F52CA6"/>
    <w:rsid w:val="00F52D62"/>
    <w:rsid w:val="00F543C2"/>
    <w:rsid w:val="00F56567"/>
    <w:rsid w:val="00F567F7"/>
    <w:rsid w:val="00F56E29"/>
    <w:rsid w:val="00F57235"/>
    <w:rsid w:val="00F573B2"/>
    <w:rsid w:val="00F61A66"/>
    <w:rsid w:val="00F61B09"/>
    <w:rsid w:val="00F62036"/>
    <w:rsid w:val="00F62872"/>
    <w:rsid w:val="00F630B4"/>
    <w:rsid w:val="00F647FF"/>
    <w:rsid w:val="00F64C8B"/>
    <w:rsid w:val="00F65B52"/>
    <w:rsid w:val="00F6630A"/>
    <w:rsid w:val="00F669CC"/>
    <w:rsid w:val="00F66D4F"/>
    <w:rsid w:val="00F67BCA"/>
    <w:rsid w:val="00F70809"/>
    <w:rsid w:val="00F73BD6"/>
    <w:rsid w:val="00F74A33"/>
    <w:rsid w:val="00F74B8D"/>
    <w:rsid w:val="00F77ABA"/>
    <w:rsid w:val="00F80058"/>
    <w:rsid w:val="00F800C9"/>
    <w:rsid w:val="00F807DB"/>
    <w:rsid w:val="00F817E4"/>
    <w:rsid w:val="00F81B73"/>
    <w:rsid w:val="00F8206F"/>
    <w:rsid w:val="00F8290D"/>
    <w:rsid w:val="00F82E31"/>
    <w:rsid w:val="00F83989"/>
    <w:rsid w:val="00F83AC5"/>
    <w:rsid w:val="00F85099"/>
    <w:rsid w:val="00F8588E"/>
    <w:rsid w:val="00F85A97"/>
    <w:rsid w:val="00F862E7"/>
    <w:rsid w:val="00F86C5E"/>
    <w:rsid w:val="00F87E83"/>
    <w:rsid w:val="00F911C9"/>
    <w:rsid w:val="00F91455"/>
    <w:rsid w:val="00F915DE"/>
    <w:rsid w:val="00F924A0"/>
    <w:rsid w:val="00F92A17"/>
    <w:rsid w:val="00F92D27"/>
    <w:rsid w:val="00F9379C"/>
    <w:rsid w:val="00F93C29"/>
    <w:rsid w:val="00F946CF"/>
    <w:rsid w:val="00F951FE"/>
    <w:rsid w:val="00F9632C"/>
    <w:rsid w:val="00F97C2D"/>
    <w:rsid w:val="00FA043E"/>
    <w:rsid w:val="00FA0F67"/>
    <w:rsid w:val="00FA13A8"/>
    <w:rsid w:val="00FA1E52"/>
    <w:rsid w:val="00FA31DE"/>
    <w:rsid w:val="00FA3461"/>
    <w:rsid w:val="00FA38C8"/>
    <w:rsid w:val="00FA5595"/>
    <w:rsid w:val="00FA5A4A"/>
    <w:rsid w:val="00FA5A57"/>
    <w:rsid w:val="00FA5BEB"/>
    <w:rsid w:val="00FA75F5"/>
    <w:rsid w:val="00FA7D17"/>
    <w:rsid w:val="00FB1301"/>
    <w:rsid w:val="00FB19DE"/>
    <w:rsid w:val="00FC044F"/>
    <w:rsid w:val="00FC0459"/>
    <w:rsid w:val="00FC0565"/>
    <w:rsid w:val="00FC1DA9"/>
    <w:rsid w:val="00FC1FE9"/>
    <w:rsid w:val="00FC2795"/>
    <w:rsid w:val="00FC31E5"/>
    <w:rsid w:val="00FC31EC"/>
    <w:rsid w:val="00FC36EE"/>
    <w:rsid w:val="00FC3EB8"/>
    <w:rsid w:val="00FC4495"/>
    <w:rsid w:val="00FC4882"/>
    <w:rsid w:val="00FC4ABE"/>
    <w:rsid w:val="00FC5094"/>
    <w:rsid w:val="00FC6D88"/>
    <w:rsid w:val="00FC7D25"/>
    <w:rsid w:val="00FC7F2F"/>
    <w:rsid w:val="00FD01CE"/>
    <w:rsid w:val="00FD04ED"/>
    <w:rsid w:val="00FD0BE6"/>
    <w:rsid w:val="00FD13CC"/>
    <w:rsid w:val="00FD18C6"/>
    <w:rsid w:val="00FD2096"/>
    <w:rsid w:val="00FD2E53"/>
    <w:rsid w:val="00FD36B2"/>
    <w:rsid w:val="00FD37DC"/>
    <w:rsid w:val="00FD58DF"/>
    <w:rsid w:val="00FD5EED"/>
    <w:rsid w:val="00FD61DD"/>
    <w:rsid w:val="00FD79D1"/>
    <w:rsid w:val="00FE0681"/>
    <w:rsid w:val="00FE29FD"/>
    <w:rsid w:val="00FE2FB8"/>
    <w:rsid w:val="00FE4688"/>
    <w:rsid w:val="00FE5807"/>
    <w:rsid w:val="00FE6995"/>
    <w:rsid w:val="00FE72D6"/>
    <w:rsid w:val="00FE79D0"/>
    <w:rsid w:val="00FF22FA"/>
    <w:rsid w:val="00FF30E0"/>
    <w:rsid w:val="00FF3362"/>
    <w:rsid w:val="00FF3858"/>
    <w:rsid w:val="00FF3AF4"/>
    <w:rsid w:val="00FF47A3"/>
    <w:rsid w:val="00FF4C6B"/>
    <w:rsid w:val="00FF5737"/>
    <w:rsid w:val="00FF7240"/>
    <w:rsid w:val="00FF7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3D0F80F7-CE24-43C8-B4EA-B823E3B6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NormalWeb">
    <w:name w:val="Normal (Web)"/>
    <w:basedOn w:val="Normal"/>
    <w:uiPriority w:val="99"/>
    <w:semiHidden/>
    <w:unhideWhenUsed/>
    <w:rsid w:val="00113849"/>
    <w:pPr>
      <w:spacing w:before="100" w:beforeAutospacing="1" w:after="100" w:afterAutospacing="1" w:line="240" w:lineRule="auto"/>
    </w:pPr>
    <w:rPr>
      <w:rFonts w:eastAsia="Times New Roman"/>
      <w:sz w:val="24"/>
      <w:szCs w:val="24"/>
      <w:lang w:eastAsia="en-AU"/>
    </w:rPr>
  </w:style>
  <w:style w:type="paragraph" w:styleId="ListParagraph">
    <w:name w:val="List Paragraph"/>
    <w:basedOn w:val="Normal"/>
    <w:uiPriority w:val="34"/>
    <w:qFormat/>
    <w:rsid w:val="00E13835"/>
    <w:pPr>
      <w:ind w:left="720"/>
      <w:contextualSpacing/>
    </w:pPr>
  </w:style>
  <w:style w:type="paragraph" w:styleId="Revision">
    <w:name w:val="Revision"/>
    <w:hidden/>
    <w:uiPriority w:val="99"/>
    <w:semiHidden/>
    <w:rsid w:val="006F2DBB"/>
    <w:rPr>
      <w:sz w:val="22"/>
      <w:lang w:eastAsia="en-US"/>
    </w:rPr>
  </w:style>
  <w:style w:type="character" w:styleId="UnresolvedMention">
    <w:name w:val="Unresolved Mention"/>
    <w:basedOn w:val="DefaultParagraphFont"/>
    <w:uiPriority w:val="99"/>
    <w:semiHidden/>
    <w:unhideWhenUsed/>
    <w:rsid w:val="0095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63">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191037633">
      <w:bodyDiv w:val="1"/>
      <w:marLeft w:val="0"/>
      <w:marRight w:val="0"/>
      <w:marTop w:val="0"/>
      <w:marBottom w:val="0"/>
      <w:divBdr>
        <w:top w:val="none" w:sz="0" w:space="0" w:color="auto"/>
        <w:left w:val="none" w:sz="0" w:space="0" w:color="auto"/>
        <w:bottom w:val="none" w:sz="0" w:space="0" w:color="auto"/>
        <w:right w:val="none" w:sz="0" w:space="0" w:color="auto"/>
      </w:divBdr>
    </w:div>
    <w:div w:id="237793973">
      <w:bodyDiv w:val="1"/>
      <w:marLeft w:val="0"/>
      <w:marRight w:val="0"/>
      <w:marTop w:val="0"/>
      <w:marBottom w:val="0"/>
      <w:divBdr>
        <w:top w:val="none" w:sz="0" w:space="0" w:color="auto"/>
        <w:left w:val="none" w:sz="0" w:space="0" w:color="auto"/>
        <w:bottom w:val="none" w:sz="0" w:space="0" w:color="auto"/>
        <w:right w:val="none" w:sz="0" w:space="0" w:color="auto"/>
      </w:divBdr>
      <w:divsChild>
        <w:div w:id="401758694">
          <w:marLeft w:val="0"/>
          <w:marRight w:val="0"/>
          <w:marTop w:val="0"/>
          <w:marBottom w:val="0"/>
          <w:divBdr>
            <w:top w:val="none" w:sz="0" w:space="0" w:color="auto"/>
            <w:left w:val="none" w:sz="0" w:space="0" w:color="auto"/>
            <w:bottom w:val="none" w:sz="0" w:space="0" w:color="auto"/>
            <w:right w:val="none" w:sz="0" w:space="0" w:color="auto"/>
          </w:divBdr>
        </w:div>
        <w:div w:id="533347104">
          <w:marLeft w:val="0"/>
          <w:marRight w:val="0"/>
          <w:marTop w:val="0"/>
          <w:marBottom w:val="0"/>
          <w:divBdr>
            <w:top w:val="none" w:sz="0" w:space="0" w:color="auto"/>
            <w:left w:val="none" w:sz="0" w:space="0" w:color="auto"/>
            <w:bottom w:val="none" w:sz="0" w:space="0" w:color="auto"/>
            <w:right w:val="none" w:sz="0" w:space="0" w:color="auto"/>
          </w:divBdr>
        </w:div>
        <w:div w:id="555359610">
          <w:marLeft w:val="0"/>
          <w:marRight w:val="0"/>
          <w:marTop w:val="0"/>
          <w:marBottom w:val="0"/>
          <w:divBdr>
            <w:top w:val="none" w:sz="0" w:space="0" w:color="auto"/>
            <w:left w:val="none" w:sz="0" w:space="0" w:color="auto"/>
            <w:bottom w:val="none" w:sz="0" w:space="0" w:color="auto"/>
            <w:right w:val="none" w:sz="0" w:space="0" w:color="auto"/>
          </w:divBdr>
        </w:div>
        <w:div w:id="614213842">
          <w:marLeft w:val="0"/>
          <w:marRight w:val="0"/>
          <w:marTop w:val="0"/>
          <w:marBottom w:val="0"/>
          <w:divBdr>
            <w:top w:val="none" w:sz="0" w:space="0" w:color="auto"/>
            <w:left w:val="none" w:sz="0" w:space="0" w:color="auto"/>
            <w:bottom w:val="none" w:sz="0" w:space="0" w:color="auto"/>
            <w:right w:val="none" w:sz="0" w:space="0" w:color="auto"/>
          </w:divBdr>
        </w:div>
        <w:div w:id="826702317">
          <w:marLeft w:val="0"/>
          <w:marRight w:val="0"/>
          <w:marTop w:val="0"/>
          <w:marBottom w:val="0"/>
          <w:divBdr>
            <w:top w:val="none" w:sz="0" w:space="0" w:color="auto"/>
            <w:left w:val="none" w:sz="0" w:space="0" w:color="auto"/>
            <w:bottom w:val="none" w:sz="0" w:space="0" w:color="auto"/>
            <w:right w:val="none" w:sz="0" w:space="0" w:color="auto"/>
          </w:divBdr>
        </w:div>
        <w:div w:id="972905324">
          <w:marLeft w:val="0"/>
          <w:marRight w:val="0"/>
          <w:marTop w:val="0"/>
          <w:marBottom w:val="0"/>
          <w:divBdr>
            <w:top w:val="none" w:sz="0" w:space="0" w:color="auto"/>
            <w:left w:val="none" w:sz="0" w:space="0" w:color="auto"/>
            <w:bottom w:val="none" w:sz="0" w:space="0" w:color="auto"/>
            <w:right w:val="none" w:sz="0" w:space="0" w:color="auto"/>
          </w:divBdr>
        </w:div>
        <w:div w:id="1063479993">
          <w:marLeft w:val="0"/>
          <w:marRight w:val="0"/>
          <w:marTop w:val="0"/>
          <w:marBottom w:val="0"/>
          <w:divBdr>
            <w:top w:val="none" w:sz="0" w:space="0" w:color="auto"/>
            <w:left w:val="none" w:sz="0" w:space="0" w:color="auto"/>
            <w:bottom w:val="none" w:sz="0" w:space="0" w:color="auto"/>
            <w:right w:val="none" w:sz="0" w:space="0" w:color="auto"/>
          </w:divBdr>
        </w:div>
        <w:div w:id="1345323228">
          <w:marLeft w:val="0"/>
          <w:marRight w:val="0"/>
          <w:marTop w:val="0"/>
          <w:marBottom w:val="0"/>
          <w:divBdr>
            <w:top w:val="none" w:sz="0" w:space="0" w:color="auto"/>
            <w:left w:val="none" w:sz="0" w:space="0" w:color="auto"/>
            <w:bottom w:val="none" w:sz="0" w:space="0" w:color="auto"/>
            <w:right w:val="none" w:sz="0" w:space="0" w:color="auto"/>
          </w:divBdr>
        </w:div>
        <w:div w:id="1512796516">
          <w:marLeft w:val="0"/>
          <w:marRight w:val="0"/>
          <w:marTop w:val="0"/>
          <w:marBottom w:val="0"/>
          <w:divBdr>
            <w:top w:val="none" w:sz="0" w:space="0" w:color="auto"/>
            <w:left w:val="none" w:sz="0" w:space="0" w:color="auto"/>
            <w:bottom w:val="none" w:sz="0" w:space="0" w:color="auto"/>
            <w:right w:val="none" w:sz="0" w:space="0" w:color="auto"/>
          </w:divBdr>
        </w:div>
        <w:div w:id="1602714133">
          <w:marLeft w:val="0"/>
          <w:marRight w:val="0"/>
          <w:marTop w:val="0"/>
          <w:marBottom w:val="0"/>
          <w:divBdr>
            <w:top w:val="none" w:sz="0" w:space="0" w:color="auto"/>
            <w:left w:val="none" w:sz="0" w:space="0" w:color="auto"/>
            <w:bottom w:val="none" w:sz="0" w:space="0" w:color="auto"/>
            <w:right w:val="none" w:sz="0" w:space="0" w:color="auto"/>
          </w:divBdr>
        </w:div>
        <w:div w:id="1789742003">
          <w:marLeft w:val="0"/>
          <w:marRight w:val="0"/>
          <w:marTop w:val="0"/>
          <w:marBottom w:val="0"/>
          <w:divBdr>
            <w:top w:val="none" w:sz="0" w:space="0" w:color="auto"/>
            <w:left w:val="none" w:sz="0" w:space="0" w:color="auto"/>
            <w:bottom w:val="none" w:sz="0" w:space="0" w:color="auto"/>
            <w:right w:val="none" w:sz="0" w:space="0" w:color="auto"/>
          </w:divBdr>
        </w:div>
        <w:div w:id="1985111772">
          <w:marLeft w:val="0"/>
          <w:marRight w:val="0"/>
          <w:marTop w:val="0"/>
          <w:marBottom w:val="0"/>
          <w:divBdr>
            <w:top w:val="none" w:sz="0" w:space="0" w:color="auto"/>
            <w:left w:val="none" w:sz="0" w:space="0" w:color="auto"/>
            <w:bottom w:val="none" w:sz="0" w:space="0" w:color="auto"/>
            <w:right w:val="none" w:sz="0" w:space="0" w:color="auto"/>
          </w:divBdr>
        </w:div>
      </w:divsChild>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697857363">
      <w:bodyDiv w:val="1"/>
      <w:marLeft w:val="0"/>
      <w:marRight w:val="0"/>
      <w:marTop w:val="0"/>
      <w:marBottom w:val="0"/>
      <w:divBdr>
        <w:top w:val="none" w:sz="0" w:space="0" w:color="auto"/>
        <w:left w:val="none" w:sz="0" w:space="0" w:color="auto"/>
        <w:bottom w:val="none" w:sz="0" w:space="0" w:color="auto"/>
        <w:right w:val="none" w:sz="0" w:space="0" w:color="auto"/>
      </w:divBdr>
      <w:divsChild>
        <w:div w:id="366833961">
          <w:marLeft w:val="0"/>
          <w:marRight w:val="0"/>
          <w:marTop w:val="0"/>
          <w:marBottom w:val="0"/>
          <w:divBdr>
            <w:top w:val="none" w:sz="0" w:space="0" w:color="auto"/>
            <w:left w:val="none" w:sz="0" w:space="0" w:color="auto"/>
            <w:bottom w:val="none" w:sz="0" w:space="0" w:color="auto"/>
            <w:right w:val="none" w:sz="0" w:space="0" w:color="auto"/>
          </w:divBdr>
        </w:div>
        <w:div w:id="387412471">
          <w:marLeft w:val="0"/>
          <w:marRight w:val="0"/>
          <w:marTop w:val="0"/>
          <w:marBottom w:val="0"/>
          <w:divBdr>
            <w:top w:val="none" w:sz="0" w:space="0" w:color="auto"/>
            <w:left w:val="none" w:sz="0" w:space="0" w:color="auto"/>
            <w:bottom w:val="none" w:sz="0" w:space="0" w:color="auto"/>
            <w:right w:val="none" w:sz="0" w:space="0" w:color="auto"/>
          </w:divBdr>
        </w:div>
        <w:div w:id="1279869261">
          <w:marLeft w:val="0"/>
          <w:marRight w:val="0"/>
          <w:marTop w:val="0"/>
          <w:marBottom w:val="0"/>
          <w:divBdr>
            <w:top w:val="none" w:sz="0" w:space="0" w:color="auto"/>
            <w:left w:val="none" w:sz="0" w:space="0" w:color="auto"/>
            <w:bottom w:val="none" w:sz="0" w:space="0" w:color="auto"/>
            <w:right w:val="none" w:sz="0" w:space="0" w:color="auto"/>
          </w:divBdr>
        </w:div>
        <w:div w:id="1415858098">
          <w:marLeft w:val="0"/>
          <w:marRight w:val="0"/>
          <w:marTop w:val="0"/>
          <w:marBottom w:val="0"/>
          <w:divBdr>
            <w:top w:val="none" w:sz="0" w:space="0" w:color="auto"/>
            <w:left w:val="none" w:sz="0" w:space="0" w:color="auto"/>
            <w:bottom w:val="none" w:sz="0" w:space="0" w:color="auto"/>
            <w:right w:val="none" w:sz="0" w:space="0" w:color="auto"/>
          </w:divBdr>
        </w:div>
        <w:div w:id="1519348562">
          <w:marLeft w:val="0"/>
          <w:marRight w:val="0"/>
          <w:marTop w:val="0"/>
          <w:marBottom w:val="0"/>
          <w:divBdr>
            <w:top w:val="none" w:sz="0" w:space="0" w:color="auto"/>
            <w:left w:val="none" w:sz="0" w:space="0" w:color="auto"/>
            <w:bottom w:val="none" w:sz="0" w:space="0" w:color="auto"/>
            <w:right w:val="none" w:sz="0" w:space="0" w:color="auto"/>
          </w:divBdr>
        </w:div>
      </w:divsChild>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150369168">
      <w:bodyDiv w:val="1"/>
      <w:marLeft w:val="0"/>
      <w:marRight w:val="0"/>
      <w:marTop w:val="0"/>
      <w:marBottom w:val="0"/>
      <w:divBdr>
        <w:top w:val="none" w:sz="0" w:space="0" w:color="auto"/>
        <w:left w:val="none" w:sz="0" w:space="0" w:color="auto"/>
        <w:bottom w:val="none" w:sz="0" w:space="0" w:color="auto"/>
        <w:right w:val="none" w:sz="0" w:space="0" w:color="auto"/>
      </w:divBdr>
      <w:divsChild>
        <w:div w:id="122892839">
          <w:marLeft w:val="0"/>
          <w:marRight w:val="0"/>
          <w:marTop w:val="0"/>
          <w:marBottom w:val="0"/>
          <w:divBdr>
            <w:top w:val="none" w:sz="0" w:space="0" w:color="auto"/>
            <w:left w:val="none" w:sz="0" w:space="0" w:color="auto"/>
            <w:bottom w:val="none" w:sz="0" w:space="0" w:color="auto"/>
            <w:right w:val="none" w:sz="0" w:space="0" w:color="auto"/>
          </w:divBdr>
        </w:div>
        <w:div w:id="160507564">
          <w:marLeft w:val="0"/>
          <w:marRight w:val="0"/>
          <w:marTop w:val="0"/>
          <w:marBottom w:val="0"/>
          <w:divBdr>
            <w:top w:val="none" w:sz="0" w:space="0" w:color="auto"/>
            <w:left w:val="none" w:sz="0" w:space="0" w:color="auto"/>
            <w:bottom w:val="none" w:sz="0" w:space="0" w:color="auto"/>
            <w:right w:val="none" w:sz="0" w:space="0" w:color="auto"/>
          </w:divBdr>
        </w:div>
        <w:div w:id="412434432">
          <w:marLeft w:val="0"/>
          <w:marRight w:val="0"/>
          <w:marTop w:val="0"/>
          <w:marBottom w:val="0"/>
          <w:divBdr>
            <w:top w:val="none" w:sz="0" w:space="0" w:color="auto"/>
            <w:left w:val="none" w:sz="0" w:space="0" w:color="auto"/>
            <w:bottom w:val="none" w:sz="0" w:space="0" w:color="auto"/>
            <w:right w:val="none" w:sz="0" w:space="0" w:color="auto"/>
          </w:divBdr>
        </w:div>
        <w:div w:id="425423187">
          <w:marLeft w:val="0"/>
          <w:marRight w:val="0"/>
          <w:marTop w:val="0"/>
          <w:marBottom w:val="0"/>
          <w:divBdr>
            <w:top w:val="none" w:sz="0" w:space="0" w:color="auto"/>
            <w:left w:val="none" w:sz="0" w:space="0" w:color="auto"/>
            <w:bottom w:val="none" w:sz="0" w:space="0" w:color="auto"/>
            <w:right w:val="none" w:sz="0" w:space="0" w:color="auto"/>
          </w:divBdr>
        </w:div>
        <w:div w:id="646325758">
          <w:marLeft w:val="0"/>
          <w:marRight w:val="0"/>
          <w:marTop w:val="0"/>
          <w:marBottom w:val="0"/>
          <w:divBdr>
            <w:top w:val="none" w:sz="0" w:space="0" w:color="auto"/>
            <w:left w:val="none" w:sz="0" w:space="0" w:color="auto"/>
            <w:bottom w:val="none" w:sz="0" w:space="0" w:color="auto"/>
            <w:right w:val="none" w:sz="0" w:space="0" w:color="auto"/>
          </w:divBdr>
        </w:div>
        <w:div w:id="697973921">
          <w:marLeft w:val="0"/>
          <w:marRight w:val="0"/>
          <w:marTop w:val="0"/>
          <w:marBottom w:val="0"/>
          <w:divBdr>
            <w:top w:val="none" w:sz="0" w:space="0" w:color="auto"/>
            <w:left w:val="none" w:sz="0" w:space="0" w:color="auto"/>
            <w:bottom w:val="none" w:sz="0" w:space="0" w:color="auto"/>
            <w:right w:val="none" w:sz="0" w:space="0" w:color="auto"/>
          </w:divBdr>
        </w:div>
        <w:div w:id="874732487">
          <w:marLeft w:val="0"/>
          <w:marRight w:val="0"/>
          <w:marTop w:val="0"/>
          <w:marBottom w:val="0"/>
          <w:divBdr>
            <w:top w:val="none" w:sz="0" w:space="0" w:color="auto"/>
            <w:left w:val="none" w:sz="0" w:space="0" w:color="auto"/>
            <w:bottom w:val="none" w:sz="0" w:space="0" w:color="auto"/>
            <w:right w:val="none" w:sz="0" w:space="0" w:color="auto"/>
          </w:divBdr>
        </w:div>
        <w:div w:id="1178957347">
          <w:marLeft w:val="0"/>
          <w:marRight w:val="0"/>
          <w:marTop w:val="0"/>
          <w:marBottom w:val="0"/>
          <w:divBdr>
            <w:top w:val="none" w:sz="0" w:space="0" w:color="auto"/>
            <w:left w:val="none" w:sz="0" w:space="0" w:color="auto"/>
            <w:bottom w:val="none" w:sz="0" w:space="0" w:color="auto"/>
            <w:right w:val="none" w:sz="0" w:space="0" w:color="auto"/>
          </w:divBdr>
        </w:div>
        <w:div w:id="1414859165">
          <w:marLeft w:val="0"/>
          <w:marRight w:val="0"/>
          <w:marTop w:val="0"/>
          <w:marBottom w:val="0"/>
          <w:divBdr>
            <w:top w:val="none" w:sz="0" w:space="0" w:color="auto"/>
            <w:left w:val="none" w:sz="0" w:space="0" w:color="auto"/>
            <w:bottom w:val="none" w:sz="0" w:space="0" w:color="auto"/>
            <w:right w:val="none" w:sz="0" w:space="0" w:color="auto"/>
          </w:divBdr>
        </w:div>
        <w:div w:id="1497116059">
          <w:marLeft w:val="0"/>
          <w:marRight w:val="0"/>
          <w:marTop w:val="0"/>
          <w:marBottom w:val="0"/>
          <w:divBdr>
            <w:top w:val="none" w:sz="0" w:space="0" w:color="auto"/>
            <w:left w:val="none" w:sz="0" w:space="0" w:color="auto"/>
            <w:bottom w:val="none" w:sz="0" w:space="0" w:color="auto"/>
            <w:right w:val="none" w:sz="0" w:space="0" w:color="auto"/>
          </w:divBdr>
        </w:div>
        <w:div w:id="1935237490">
          <w:marLeft w:val="0"/>
          <w:marRight w:val="0"/>
          <w:marTop w:val="0"/>
          <w:marBottom w:val="0"/>
          <w:divBdr>
            <w:top w:val="none" w:sz="0" w:space="0" w:color="auto"/>
            <w:left w:val="none" w:sz="0" w:space="0" w:color="auto"/>
            <w:bottom w:val="none" w:sz="0" w:space="0" w:color="auto"/>
            <w:right w:val="none" w:sz="0" w:space="0" w:color="auto"/>
          </w:divBdr>
        </w:div>
        <w:div w:id="1955162599">
          <w:marLeft w:val="0"/>
          <w:marRight w:val="0"/>
          <w:marTop w:val="0"/>
          <w:marBottom w:val="0"/>
          <w:divBdr>
            <w:top w:val="none" w:sz="0" w:space="0" w:color="auto"/>
            <w:left w:val="none" w:sz="0" w:space="0" w:color="auto"/>
            <w:bottom w:val="none" w:sz="0" w:space="0" w:color="auto"/>
            <w:right w:val="none" w:sz="0" w:space="0" w:color="auto"/>
          </w:divBdr>
        </w:div>
      </w:divsChild>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360934423">
      <w:bodyDiv w:val="1"/>
      <w:marLeft w:val="0"/>
      <w:marRight w:val="0"/>
      <w:marTop w:val="0"/>
      <w:marBottom w:val="0"/>
      <w:divBdr>
        <w:top w:val="none" w:sz="0" w:space="0" w:color="auto"/>
        <w:left w:val="none" w:sz="0" w:space="0" w:color="auto"/>
        <w:bottom w:val="none" w:sz="0" w:space="0" w:color="auto"/>
        <w:right w:val="none" w:sz="0" w:space="0" w:color="auto"/>
      </w:divBdr>
    </w:div>
    <w:div w:id="1422870937">
      <w:bodyDiv w:val="1"/>
      <w:marLeft w:val="0"/>
      <w:marRight w:val="0"/>
      <w:marTop w:val="0"/>
      <w:marBottom w:val="0"/>
      <w:divBdr>
        <w:top w:val="none" w:sz="0" w:space="0" w:color="auto"/>
        <w:left w:val="none" w:sz="0" w:space="0" w:color="auto"/>
        <w:bottom w:val="none" w:sz="0" w:space="0" w:color="auto"/>
        <w:right w:val="none" w:sz="0" w:space="0" w:color="auto"/>
      </w:divBdr>
      <w:divsChild>
        <w:div w:id="105390639">
          <w:marLeft w:val="0"/>
          <w:marRight w:val="0"/>
          <w:marTop w:val="0"/>
          <w:marBottom w:val="0"/>
          <w:divBdr>
            <w:top w:val="none" w:sz="0" w:space="0" w:color="auto"/>
            <w:left w:val="none" w:sz="0" w:space="0" w:color="auto"/>
            <w:bottom w:val="none" w:sz="0" w:space="0" w:color="auto"/>
            <w:right w:val="none" w:sz="0" w:space="0" w:color="auto"/>
          </w:divBdr>
        </w:div>
        <w:div w:id="306281524">
          <w:marLeft w:val="0"/>
          <w:marRight w:val="0"/>
          <w:marTop w:val="0"/>
          <w:marBottom w:val="0"/>
          <w:divBdr>
            <w:top w:val="none" w:sz="0" w:space="0" w:color="auto"/>
            <w:left w:val="none" w:sz="0" w:space="0" w:color="auto"/>
            <w:bottom w:val="none" w:sz="0" w:space="0" w:color="auto"/>
            <w:right w:val="none" w:sz="0" w:space="0" w:color="auto"/>
          </w:divBdr>
        </w:div>
        <w:div w:id="578758389">
          <w:marLeft w:val="0"/>
          <w:marRight w:val="0"/>
          <w:marTop w:val="0"/>
          <w:marBottom w:val="0"/>
          <w:divBdr>
            <w:top w:val="none" w:sz="0" w:space="0" w:color="auto"/>
            <w:left w:val="none" w:sz="0" w:space="0" w:color="auto"/>
            <w:bottom w:val="none" w:sz="0" w:space="0" w:color="auto"/>
            <w:right w:val="none" w:sz="0" w:space="0" w:color="auto"/>
          </w:divBdr>
        </w:div>
        <w:div w:id="1513104605">
          <w:marLeft w:val="0"/>
          <w:marRight w:val="0"/>
          <w:marTop w:val="0"/>
          <w:marBottom w:val="0"/>
          <w:divBdr>
            <w:top w:val="none" w:sz="0" w:space="0" w:color="auto"/>
            <w:left w:val="none" w:sz="0" w:space="0" w:color="auto"/>
            <w:bottom w:val="none" w:sz="0" w:space="0" w:color="auto"/>
            <w:right w:val="none" w:sz="0" w:space="0" w:color="auto"/>
          </w:divBdr>
        </w:div>
        <w:div w:id="1864123192">
          <w:marLeft w:val="0"/>
          <w:marRight w:val="0"/>
          <w:marTop w:val="0"/>
          <w:marBottom w:val="0"/>
          <w:divBdr>
            <w:top w:val="none" w:sz="0" w:space="0" w:color="auto"/>
            <w:left w:val="none" w:sz="0" w:space="0" w:color="auto"/>
            <w:bottom w:val="none" w:sz="0" w:space="0" w:color="auto"/>
            <w:right w:val="none" w:sz="0" w:space="0" w:color="auto"/>
          </w:divBdr>
        </w:div>
      </w:divsChild>
    </w:div>
    <w:div w:id="1471098123">
      <w:bodyDiv w:val="1"/>
      <w:marLeft w:val="0"/>
      <w:marRight w:val="0"/>
      <w:marTop w:val="0"/>
      <w:marBottom w:val="0"/>
      <w:divBdr>
        <w:top w:val="none" w:sz="0" w:space="0" w:color="auto"/>
        <w:left w:val="none" w:sz="0" w:space="0" w:color="auto"/>
        <w:bottom w:val="none" w:sz="0" w:space="0" w:color="auto"/>
        <w:right w:val="none" w:sz="0" w:space="0" w:color="auto"/>
      </w:divBdr>
    </w:div>
    <w:div w:id="1489202085">
      <w:bodyDiv w:val="1"/>
      <w:marLeft w:val="0"/>
      <w:marRight w:val="0"/>
      <w:marTop w:val="0"/>
      <w:marBottom w:val="0"/>
      <w:divBdr>
        <w:top w:val="none" w:sz="0" w:space="0" w:color="auto"/>
        <w:left w:val="none" w:sz="0" w:space="0" w:color="auto"/>
        <w:bottom w:val="none" w:sz="0" w:space="0" w:color="auto"/>
        <w:right w:val="none" w:sz="0" w:space="0" w:color="auto"/>
      </w:divBdr>
    </w:div>
    <w:div w:id="1612515725">
      <w:bodyDiv w:val="1"/>
      <w:marLeft w:val="0"/>
      <w:marRight w:val="0"/>
      <w:marTop w:val="0"/>
      <w:marBottom w:val="0"/>
      <w:divBdr>
        <w:top w:val="none" w:sz="0" w:space="0" w:color="auto"/>
        <w:left w:val="none" w:sz="0" w:space="0" w:color="auto"/>
        <w:bottom w:val="none" w:sz="0" w:space="0" w:color="auto"/>
        <w:right w:val="none" w:sz="0" w:space="0" w:color="auto"/>
      </w:divBdr>
      <w:divsChild>
        <w:div w:id="77406315">
          <w:marLeft w:val="0"/>
          <w:marRight w:val="0"/>
          <w:marTop w:val="0"/>
          <w:marBottom w:val="0"/>
          <w:divBdr>
            <w:top w:val="none" w:sz="0" w:space="0" w:color="auto"/>
            <w:left w:val="none" w:sz="0" w:space="0" w:color="auto"/>
            <w:bottom w:val="none" w:sz="0" w:space="0" w:color="auto"/>
            <w:right w:val="none" w:sz="0" w:space="0" w:color="auto"/>
          </w:divBdr>
        </w:div>
        <w:div w:id="686253191">
          <w:marLeft w:val="0"/>
          <w:marRight w:val="0"/>
          <w:marTop w:val="0"/>
          <w:marBottom w:val="0"/>
          <w:divBdr>
            <w:top w:val="none" w:sz="0" w:space="0" w:color="auto"/>
            <w:left w:val="none" w:sz="0" w:space="0" w:color="auto"/>
            <w:bottom w:val="none" w:sz="0" w:space="0" w:color="auto"/>
            <w:right w:val="none" w:sz="0" w:space="0" w:color="auto"/>
          </w:divBdr>
        </w:div>
        <w:div w:id="732628644">
          <w:marLeft w:val="0"/>
          <w:marRight w:val="0"/>
          <w:marTop w:val="0"/>
          <w:marBottom w:val="0"/>
          <w:divBdr>
            <w:top w:val="none" w:sz="0" w:space="0" w:color="auto"/>
            <w:left w:val="none" w:sz="0" w:space="0" w:color="auto"/>
            <w:bottom w:val="none" w:sz="0" w:space="0" w:color="auto"/>
            <w:right w:val="none" w:sz="0" w:space="0" w:color="auto"/>
          </w:divBdr>
        </w:div>
        <w:div w:id="1837257993">
          <w:marLeft w:val="0"/>
          <w:marRight w:val="0"/>
          <w:marTop w:val="0"/>
          <w:marBottom w:val="0"/>
          <w:divBdr>
            <w:top w:val="none" w:sz="0" w:space="0" w:color="auto"/>
            <w:left w:val="none" w:sz="0" w:space="0" w:color="auto"/>
            <w:bottom w:val="none" w:sz="0" w:space="0" w:color="auto"/>
            <w:right w:val="none" w:sz="0" w:space="0" w:color="auto"/>
          </w:divBdr>
        </w:div>
        <w:div w:id="1845634209">
          <w:marLeft w:val="0"/>
          <w:marRight w:val="0"/>
          <w:marTop w:val="0"/>
          <w:marBottom w:val="0"/>
          <w:divBdr>
            <w:top w:val="none" w:sz="0" w:space="0" w:color="auto"/>
            <w:left w:val="none" w:sz="0" w:space="0" w:color="auto"/>
            <w:bottom w:val="none" w:sz="0" w:space="0" w:color="auto"/>
            <w:right w:val="none" w:sz="0" w:space="0" w:color="auto"/>
          </w:divBdr>
        </w:div>
        <w:div w:id="2116439638">
          <w:marLeft w:val="0"/>
          <w:marRight w:val="0"/>
          <w:marTop w:val="0"/>
          <w:marBottom w:val="0"/>
          <w:divBdr>
            <w:top w:val="none" w:sz="0" w:space="0" w:color="auto"/>
            <w:left w:val="none" w:sz="0" w:space="0" w:color="auto"/>
            <w:bottom w:val="none" w:sz="0" w:space="0" w:color="auto"/>
            <w:right w:val="none" w:sz="0" w:space="0" w:color="auto"/>
          </w:divBdr>
        </w:div>
      </w:divsChild>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73693837">
      <w:bodyDiv w:val="1"/>
      <w:marLeft w:val="0"/>
      <w:marRight w:val="0"/>
      <w:marTop w:val="0"/>
      <w:marBottom w:val="0"/>
      <w:divBdr>
        <w:top w:val="none" w:sz="0" w:space="0" w:color="auto"/>
        <w:left w:val="none" w:sz="0" w:space="0" w:color="auto"/>
        <w:bottom w:val="none" w:sz="0" w:space="0" w:color="auto"/>
        <w:right w:val="none" w:sz="0" w:space="0" w:color="auto"/>
      </w:divBdr>
      <w:divsChild>
        <w:div w:id="62143930">
          <w:marLeft w:val="0"/>
          <w:marRight w:val="0"/>
          <w:marTop w:val="0"/>
          <w:marBottom w:val="0"/>
          <w:divBdr>
            <w:top w:val="none" w:sz="0" w:space="0" w:color="auto"/>
            <w:left w:val="none" w:sz="0" w:space="0" w:color="auto"/>
            <w:bottom w:val="none" w:sz="0" w:space="0" w:color="auto"/>
            <w:right w:val="none" w:sz="0" w:space="0" w:color="auto"/>
          </w:divBdr>
        </w:div>
        <w:div w:id="273481894">
          <w:marLeft w:val="0"/>
          <w:marRight w:val="0"/>
          <w:marTop w:val="0"/>
          <w:marBottom w:val="0"/>
          <w:divBdr>
            <w:top w:val="none" w:sz="0" w:space="0" w:color="auto"/>
            <w:left w:val="none" w:sz="0" w:space="0" w:color="auto"/>
            <w:bottom w:val="none" w:sz="0" w:space="0" w:color="auto"/>
            <w:right w:val="none" w:sz="0" w:space="0" w:color="auto"/>
          </w:divBdr>
        </w:div>
        <w:div w:id="915941062">
          <w:marLeft w:val="0"/>
          <w:marRight w:val="0"/>
          <w:marTop w:val="0"/>
          <w:marBottom w:val="0"/>
          <w:divBdr>
            <w:top w:val="none" w:sz="0" w:space="0" w:color="auto"/>
            <w:left w:val="none" w:sz="0" w:space="0" w:color="auto"/>
            <w:bottom w:val="none" w:sz="0" w:space="0" w:color="auto"/>
            <w:right w:val="none" w:sz="0" w:space="0" w:color="auto"/>
          </w:divBdr>
        </w:div>
        <w:div w:id="1331909439">
          <w:marLeft w:val="0"/>
          <w:marRight w:val="0"/>
          <w:marTop w:val="0"/>
          <w:marBottom w:val="0"/>
          <w:divBdr>
            <w:top w:val="none" w:sz="0" w:space="0" w:color="auto"/>
            <w:left w:val="none" w:sz="0" w:space="0" w:color="auto"/>
            <w:bottom w:val="none" w:sz="0" w:space="0" w:color="auto"/>
            <w:right w:val="none" w:sz="0" w:space="0" w:color="auto"/>
          </w:divBdr>
        </w:div>
        <w:div w:id="1747258926">
          <w:marLeft w:val="0"/>
          <w:marRight w:val="0"/>
          <w:marTop w:val="0"/>
          <w:marBottom w:val="0"/>
          <w:divBdr>
            <w:top w:val="none" w:sz="0" w:space="0" w:color="auto"/>
            <w:left w:val="none" w:sz="0" w:space="0" w:color="auto"/>
            <w:bottom w:val="none" w:sz="0" w:space="0" w:color="auto"/>
            <w:right w:val="none" w:sz="0" w:space="0" w:color="auto"/>
          </w:divBdr>
        </w:div>
        <w:div w:id="1817994928">
          <w:marLeft w:val="0"/>
          <w:marRight w:val="0"/>
          <w:marTop w:val="0"/>
          <w:marBottom w:val="0"/>
          <w:divBdr>
            <w:top w:val="none" w:sz="0" w:space="0" w:color="auto"/>
            <w:left w:val="none" w:sz="0" w:space="0" w:color="auto"/>
            <w:bottom w:val="none" w:sz="0" w:space="0" w:color="auto"/>
            <w:right w:val="none" w:sz="0" w:space="0" w:color="auto"/>
          </w:divBdr>
        </w:div>
      </w:divsChild>
    </w:div>
    <w:div w:id="21375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426599DE28ADE74DA0B90B035B913FB0" ma:contentTypeVersion="25" ma:contentTypeDescription="Create a new document." ma:contentTypeScope="" ma:versionID="8113ade41900a7bc1079cd99dca8ecb4">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6d01ba57-bcb9-4c1f-9f73-80759da4b854">010950-1892519869-1978</_dlc_DocId>
    <_dlc_DocIdUrl xmlns="6d01ba57-bcb9-4c1f-9f73-80759da4b854">
      <Url>https://asiclink.sharepoint.com/teams/010950/_layouts/15/DocIdRedir.aspx?ID=010950-1892519869-1978</Url>
      <Description>010950-1892519869-1978</Description>
    </_dlc_DocIdUrl>
    <TaxCatchAll xmlns="db2b92ca-6ed0-4085-802d-4c686a2e8c3f">
      <Value>5</Value>
    </TaxCatchAl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2.xml><?xml version="1.0" encoding="utf-8"?>
<ds:datastoreItem xmlns:ds="http://schemas.openxmlformats.org/officeDocument/2006/customXml" ds:itemID="{4BFEEF10-08F0-48C3-BEF1-1CE5C8114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4.xml><?xml version="1.0" encoding="utf-8"?>
<ds:datastoreItem xmlns:ds="http://schemas.openxmlformats.org/officeDocument/2006/customXml" ds:itemID="{F72D521A-DAB7-4FB7-B2F4-979DB9280F3E}">
  <ds:schemaRefs>
    <ds:schemaRef ds:uri="Microsoft.SharePoint.Taxonomy.ContentTypeSync"/>
  </ds:schemaRefs>
</ds:datastoreItem>
</file>

<file path=customXml/itemProps5.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6.xml><?xml version="1.0" encoding="utf-8"?>
<ds:datastoreItem xmlns:ds="http://schemas.openxmlformats.org/officeDocument/2006/customXml" ds:itemID="{A954CD4F-4ADE-45EC-8760-0728E2692B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1ba57-bcb9-4c1f-9f73-80759da4b854"/>
    <ds:schemaRef ds:uri="http://purl.org/dc/elements/1.1/"/>
    <ds:schemaRef ds:uri="http://schemas.microsoft.com/office/2006/metadata/properties"/>
    <ds:schemaRef ds:uri="db2b92ca-6ed0-4085-802d-4c686a2e8c3f"/>
    <ds:schemaRef ds:uri="http://www.w3.org/XML/1998/namespace"/>
    <ds:schemaRef ds:uri="http://purl.org/dc/dcmitype/"/>
  </ds:schemaRefs>
</ds:datastoreItem>
</file>

<file path=customXml/itemProps7.xml><?xml version="1.0" encoding="utf-8"?>
<ds:datastoreItem xmlns:ds="http://schemas.openxmlformats.org/officeDocument/2006/customXml" ds:itemID="{E2CA826B-73E7-4F17-9BA1-76589DEFEB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Template>
  <TotalTime>2</TotalTime>
  <Pages>10</Pages>
  <Words>3305</Words>
  <Characters>18844</Characters>
  <Application>Microsoft Office Word</Application>
  <DocSecurity>4</DocSecurity>
  <PresentationFormat/>
  <Lines>157</Lines>
  <Paragraphs>44</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22105</CharactersWithSpaces>
  <SharedDoc>false</SharedDoc>
  <HyperlinkBase/>
  <HLinks>
    <vt:vector size="18" baseType="variant">
      <vt:variant>
        <vt:i4>2097254</vt:i4>
      </vt:variant>
      <vt:variant>
        <vt:i4>6</vt:i4>
      </vt:variant>
      <vt:variant>
        <vt:i4>0</vt:i4>
      </vt:variant>
      <vt:variant>
        <vt:i4>5</vt:i4>
      </vt:variant>
      <vt:variant>
        <vt:lpwstr>https://www.asic.gov.au/about-asic/news-centre/news-items/asic-consults-on-proposals-to-facilitate-digital-disclosure/</vt:lpwstr>
      </vt:variant>
      <vt:variant>
        <vt:lpwstr/>
      </vt:variant>
      <vt:variant>
        <vt:i4>5046339</vt:i4>
      </vt:variant>
      <vt:variant>
        <vt:i4>3</vt:i4>
      </vt:variant>
      <vt:variant>
        <vt:i4>0</vt:i4>
      </vt:variant>
      <vt:variant>
        <vt:i4>5</vt:i4>
      </vt:variant>
      <vt:variant>
        <vt:lpwstr>https://www.legislation.gov.au/F2024L00305/latest/text/explanatory-statement</vt:lpwstr>
      </vt:variant>
      <vt:variant>
        <vt:lpwstr/>
      </vt:variant>
      <vt:variant>
        <vt:i4>4587584</vt:i4>
      </vt:variant>
      <vt:variant>
        <vt:i4>0</vt:i4>
      </vt:variant>
      <vt:variant>
        <vt:i4>0</vt:i4>
      </vt:variant>
      <vt:variant>
        <vt:i4>5</vt:i4>
      </vt:variant>
      <vt:variant>
        <vt:lpwstr>https://www.legislation.gov.au/F2025L00438/latest/text/explanatory-statement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2</cp:revision>
  <cp:lastPrinted>2019-01-03T02:56:00Z</cp:lastPrinted>
  <dcterms:created xsi:type="dcterms:W3CDTF">2025-09-17T01:34:00Z</dcterms:created>
  <dcterms:modified xsi:type="dcterms:W3CDTF">2025-09-17T01:34:00Z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5;#Sensitive|19fd2cb8-3e97-4464-ae71-8c2c2095d028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1b506b7d-29b5-40e7-93d0-1a76d05ca6b6</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0x010100B5F685A1365F544391EF8C813B164F3A00426599DE28ADE74DA0B90B035B913FB0</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y fmtid="{D5CDD505-2E9C-101B-9397-08002B2CF9AE}" pid="72" name="docLang">
    <vt:lpwstr>en</vt:lpwstr>
  </property>
</Properties>
</file>