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7C95" w14:textId="77777777" w:rsidR="003B2EEF" w:rsidRDefault="00FD5DBE" w:rsidP="00FD5DBE">
      <w:pPr>
        <w:pStyle w:val="LDAmendHeading"/>
        <w:ind w:left="0" w:firstLine="0"/>
      </w:pPr>
      <w:r>
        <w:t>Explanatory Statement</w:t>
      </w:r>
    </w:p>
    <w:p w14:paraId="0FF44510" w14:textId="100AC367" w:rsidR="00FD5DBE" w:rsidRDefault="002D6F7B" w:rsidP="00FD5DBE">
      <w:pPr>
        <w:pStyle w:val="LDAmendHeading"/>
        <w:ind w:left="0" w:firstLine="0"/>
      </w:pPr>
      <w:bookmarkStart w:id="0" w:name="_Hlk208304616"/>
      <w:r w:rsidRPr="0AF2841F">
        <w:rPr>
          <w:bCs/>
        </w:rPr>
        <w:t>Australian</w:t>
      </w:r>
      <w:r w:rsidRPr="0AF2841F">
        <w:rPr>
          <w:bCs/>
          <w:spacing w:val="-5"/>
        </w:rPr>
        <w:t xml:space="preserve"> </w:t>
      </w:r>
      <w:r w:rsidRPr="0AF2841F">
        <w:rPr>
          <w:bCs/>
        </w:rPr>
        <w:t>Maritime</w:t>
      </w:r>
      <w:r w:rsidRPr="0AF2841F">
        <w:rPr>
          <w:bCs/>
          <w:spacing w:val="-4"/>
        </w:rPr>
        <w:t xml:space="preserve"> </w:t>
      </w:r>
      <w:r w:rsidRPr="0AF2841F">
        <w:rPr>
          <w:bCs/>
        </w:rPr>
        <w:t>Safety</w:t>
      </w:r>
      <w:r w:rsidRPr="0AF2841F">
        <w:rPr>
          <w:bCs/>
          <w:spacing w:val="-7"/>
        </w:rPr>
        <w:t xml:space="preserve"> </w:t>
      </w:r>
      <w:r w:rsidRPr="0AF2841F">
        <w:rPr>
          <w:bCs/>
        </w:rPr>
        <w:t>Authority</w:t>
      </w:r>
      <w:r w:rsidRPr="0AF2841F">
        <w:rPr>
          <w:bCs/>
          <w:spacing w:val="-9"/>
        </w:rPr>
        <w:t xml:space="preserve"> </w:t>
      </w:r>
      <w:r w:rsidRPr="0AF2841F">
        <w:rPr>
          <w:bCs/>
        </w:rPr>
        <w:t>Fees</w:t>
      </w:r>
      <w:r w:rsidRPr="0AF2841F">
        <w:rPr>
          <w:bCs/>
          <w:spacing w:val="-7"/>
        </w:rPr>
        <w:t xml:space="preserve"> </w:t>
      </w:r>
      <w:r w:rsidRPr="0AF2841F">
        <w:rPr>
          <w:bCs/>
        </w:rPr>
        <w:t>Determination 2025</w:t>
      </w:r>
      <w:bookmarkEnd w:id="0"/>
    </w:p>
    <w:p w14:paraId="290A1DA1" w14:textId="77777777" w:rsidR="009B015D" w:rsidRDefault="009B015D" w:rsidP="009B015D">
      <w:pPr>
        <w:pStyle w:val="LDAmendHeading"/>
        <w:ind w:left="0" w:firstLine="0"/>
      </w:pPr>
      <w:r>
        <w:t>Authority</w:t>
      </w:r>
    </w:p>
    <w:p w14:paraId="0F9D4854" w14:textId="63D1A7E8" w:rsidR="009B015D" w:rsidRPr="00C722FE" w:rsidRDefault="002D6F7B" w:rsidP="00E576E4">
      <w:pPr>
        <w:pStyle w:val="LDMinuteParagraph"/>
      </w:pPr>
      <w:r w:rsidRPr="4E506884">
        <w:rPr>
          <w:szCs w:val="24"/>
        </w:rPr>
        <w:t>This</w:t>
      </w:r>
      <w:r w:rsidRPr="4E506884">
        <w:rPr>
          <w:spacing w:val="-4"/>
          <w:szCs w:val="24"/>
        </w:rPr>
        <w:t xml:space="preserve"> instrument </w:t>
      </w:r>
      <w:r w:rsidRPr="4E506884">
        <w:rPr>
          <w:szCs w:val="24"/>
        </w:rPr>
        <w:t>is</w:t>
      </w:r>
      <w:r w:rsidRPr="4E506884">
        <w:rPr>
          <w:spacing w:val="-3"/>
          <w:szCs w:val="24"/>
        </w:rPr>
        <w:t xml:space="preserve"> </w:t>
      </w:r>
      <w:r w:rsidRPr="4E506884">
        <w:rPr>
          <w:szCs w:val="24"/>
        </w:rPr>
        <w:t>made</w:t>
      </w:r>
      <w:r w:rsidRPr="4E506884">
        <w:rPr>
          <w:spacing w:val="-5"/>
          <w:szCs w:val="24"/>
        </w:rPr>
        <w:t xml:space="preserve"> </w:t>
      </w:r>
      <w:r w:rsidRPr="4E506884">
        <w:rPr>
          <w:szCs w:val="24"/>
        </w:rPr>
        <w:t>under</w:t>
      </w:r>
      <w:r w:rsidRPr="4E506884">
        <w:rPr>
          <w:spacing w:val="-3"/>
          <w:szCs w:val="24"/>
        </w:rPr>
        <w:t xml:space="preserve"> </w:t>
      </w:r>
      <w:r w:rsidRPr="4E506884">
        <w:rPr>
          <w:szCs w:val="24"/>
        </w:rPr>
        <w:t>subsection</w:t>
      </w:r>
      <w:r w:rsidRPr="4E506884">
        <w:rPr>
          <w:spacing w:val="-3"/>
          <w:szCs w:val="24"/>
        </w:rPr>
        <w:t xml:space="preserve"> </w:t>
      </w:r>
      <w:r w:rsidRPr="4E506884">
        <w:rPr>
          <w:szCs w:val="24"/>
        </w:rPr>
        <w:t>47(1)</w:t>
      </w:r>
      <w:r w:rsidRPr="4E506884">
        <w:rPr>
          <w:spacing w:val="-3"/>
          <w:szCs w:val="24"/>
        </w:rPr>
        <w:t xml:space="preserve"> </w:t>
      </w:r>
      <w:r w:rsidRPr="4E506884">
        <w:rPr>
          <w:szCs w:val="24"/>
        </w:rPr>
        <w:t>of</w:t>
      </w:r>
      <w:r w:rsidRPr="4E506884">
        <w:rPr>
          <w:spacing w:val="-3"/>
          <w:szCs w:val="24"/>
        </w:rPr>
        <w:t xml:space="preserve"> </w:t>
      </w:r>
      <w:r w:rsidRPr="4E506884">
        <w:rPr>
          <w:szCs w:val="24"/>
        </w:rPr>
        <w:t>the</w:t>
      </w:r>
      <w:r w:rsidRPr="4E506884">
        <w:rPr>
          <w:spacing w:val="-3"/>
          <w:szCs w:val="24"/>
        </w:rPr>
        <w:t xml:space="preserve"> </w:t>
      </w:r>
      <w:r w:rsidRPr="4E506884">
        <w:rPr>
          <w:i/>
          <w:iCs/>
          <w:szCs w:val="24"/>
        </w:rPr>
        <w:t>Australian</w:t>
      </w:r>
      <w:r w:rsidRPr="4E506884">
        <w:rPr>
          <w:i/>
          <w:iCs/>
          <w:spacing w:val="-3"/>
          <w:szCs w:val="24"/>
        </w:rPr>
        <w:t xml:space="preserve"> </w:t>
      </w:r>
      <w:r w:rsidRPr="4E506884">
        <w:rPr>
          <w:i/>
          <w:iCs/>
          <w:szCs w:val="24"/>
        </w:rPr>
        <w:t>Maritime</w:t>
      </w:r>
      <w:r w:rsidRPr="4E506884">
        <w:rPr>
          <w:i/>
          <w:iCs/>
          <w:spacing w:val="-4"/>
          <w:szCs w:val="24"/>
        </w:rPr>
        <w:t xml:space="preserve"> </w:t>
      </w:r>
      <w:r w:rsidRPr="4E506884">
        <w:rPr>
          <w:i/>
          <w:iCs/>
          <w:szCs w:val="24"/>
        </w:rPr>
        <w:t xml:space="preserve">Safety Authority Act 1990 </w:t>
      </w:r>
      <w:r w:rsidRPr="4E506884">
        <w:rPr>
          <w:szCs w:val="24"/>
        </w:rPr>
        <w:t xml:space="preserve">and is a legislative instrument for the </w:t>
      </w:r>
      <w:r w:rsidRPr="4E506884">
        <w:rPr>
          <w:i/>
          <w:iCs/>
          <w:szCs w:val="24"/>
        </w:rPr>
        <w:t>Legis</w:t>
      </w:r>
      <w:r>
        <w:rPr>
          <w:i/>
          <w:iCs/>
          <w:szCs w:val="24"/>
        </w:rPr>
        <w:t>lation Act 2003</w:t>
      </w:r>
      <w:r w:rsidR="009B015D" w:rsidRPr="00C722FE">
        <w:t>.</w:t>
      </w:r>
    </w:p>
    <w:p w14:paraId="1FEC6F5F" w14:textId="77777777" w:rsidR="00FB71D1" w:rsidRPr="00B4479A" w:rsidRDefault="009B015D" w:rsidP="009B015D">
      <w:pPr>
        <w:pStyle w:val="LDAmendHeading"/>
        <w:ind w:left="0" w:firstLine="0"/>
      </w:pPr>
      <w:r>
        <w:t>Purpose</w:t>
      </w:r>
    </w:p>
    <w:p w14:paraId="5F8A70A0" w14:textId="77777777" w:rsidR="002D6F7B" w:rsidRPr="001A6280" w:rsidRDefault="002D6F7B" w:rsidP="002D6F7B">
      <w:pPr>
        <w:pStyle w:val="LDMinuteParagraph"/>
      </w:pPr>
      <w:r w:rsidRPr="001A6280">
        <w:t>This</w:t>
      </w:r>
      <w:r w:rsidRPr="001A6280">
        <w:rPr>
          <w:spacing w:val="-4"/>
        </w:rPr>
        <w:t xml:space="preserve"> </w:t>
      </w:r>
      <w:r w:rsidRPr="001A6280">
        <w:t xml:space="preserve">instrument </w:t>
      </w:r>
      <w:r w:rsidRPr="001A6280">
        <w:rPr>
          <w:spacing w:val="-1"/>
        </w:rPr>
        <w:t>replaces</w:t>
      </w:r>
      <w:r w:rsidRPr="001A6280">
        <w:t xml:space="preserve"> the </w:t>
      </w:r>
      <w:r w:rsidRPr="002D6F7B">
        <w:rPr>
          <w:i/>
          <w:iCs/>
        </w:rPr>
        <w:t>Australian Maritime Safety Authority Fees Determination 2015</w:t>
      </w:r>
      <w:r w:rsidRPr="001A6280">
        <w:t>.</w:t>
      </w:r>
    </w:p>
    <w:p w14:paraId="65841921" w14:textId="77777777" w:rsidR="009B015D" w:rsidRDefault="009B015D" w:rsidP="00BB6EA6">
      <w:pPr>
        <w:pStyle w:val="LDAmendHeading"/>
      </w:pPr>
      <w:r>
        <w:t>Overview</w:t>
      </w:r>
    </w:p>
    <w:p w14:paraId="717B74A7" w14:textId="77777777" w:rsidR="002D6F7B" w:rsidRDefault="002D6F7B" w:rsidP="002D6F7B">
      <w:pPr>
        <w:pStyle w:val="LDMinuteParagraph"/>
      </w:pPr>
      <w:r w:rsidRPr="12571031">
        <w:t>The</w:t>
      </w:r>
      <w:r w:rsidRPr="081EABF7">
        <w:t xml:space="preserve"> </w:t>
      </w:r>
      <w:r w:rsidRPr="081EABF7" w:rsidDel="00CC535A">
        <w:t>instrument</w:t>
      </w:r>
      <w:r w:rsidRPr="12571031">
        <w:t xml:space="preserve"> sets out the fees that the Australian Maritime Safety Authority (AMSA)</w:t>
      </w:r>
      <w:r w:rsidRPr="12571031">
        <w:rPr>
          <w:spacing w:val="-4"/>
        </w:rPr>
        <w:t xml:space="preserve"> </w:t>
      </w:r>
      <w:r w:rsidRPr="12571031">
        <w:t>charges</w:t>
      </w:r>
      <w:r w:rsidRPr="12571031">
        <w:rPr>
          <w:spacing w:val="-4"/>
        </w:rPr>
        <w:t xml:space="preserve"> </w:t>
      </w:r>
      <w:r w:rsidRPr="12571031">
        <w:t>for</w:t>
      </w:r>
      <w:r w:rsidRPr="12571031">
        <w:rPr>
          <w:spacing w:val="-3"/>
        </w:rPr>
        <w:t xml:space="preserve"> </w:t>
      </w:r>
      <w:r w:rsidRPr="12571031">
        <w:t>its</w:t>
      </w:r>
      <w:r w:rsidRPr="12571031">
        <w:rPr>
          <w:spacing w:val="-4"/>
        </w:rPr>
        <w:t xml:space="preserve"> </w:t>
      </w:r>
      <w:r w:rsidRPr="12571031">
        <w:t>services</w:t>
      </w:r>
      <w:r w:rsidRPr="41BAE370" w:rsidDel="00CC535A">
        <w:t xml:space="preserve">, the way in which the fees are worked out </w:t>
      </w:r>
      <w:r w:rsidRPr="12571031">
        <w:t>and</w:t>
      </w:r>
      <w:r w:rsidRPr="12571031">
        <w:rPr>
          <w:spacing w:val="-3"/>
        </w:rPr>
        <w:t xml:space="preserve"> </w:t>
      </w:r>
      <w:r w:rsidRPr="12571031">
        <w:t>how they are to be paid.</w:t>
      </w:r>
    </w:p>
    <w:p w14:paraId="78FD1F26" w14:textId="77777777" w:rsidR="009B015D" w:rsidRDefault="009B015D" w:rsidP="00BB6EA6">
      <w:pPr>
        <w:pStyle w:val="LDAmendHeading"/>
      </w:pPr>
      <w:r>
        <w:t>Consultation</w:t>
      </w:r>
    </w:p>
    <w:p w14:paraId="7FAB4D7D" w14:textId="7D234B24" w:rsidR="002D6F7B" w:rsidRPr="002D6F7B" w:rsidRDefault="002D6F7B" w:rsidP="002D6F7B">
      <w:pPr>
        <w:pStyle w:val="LDMinuteParagraph"/>
      </w:pPr>
      <w:r w:rsidRPr="002D6F7B">
        <w:t>Consultation has been undertaken with the Department of Infrastructure, Transport, Regional Development, Communication, Sports and the Arts and the Department of Finance.</w:t>
      </w:r>
    </w:p>
    <w:p w14:paraId="69C8A806" w14:textId="6E130456" w:rsidR="002D6F7B" w:rsidRPr="002D6F7B" w:rsidRDefault="002D6F7B" w:rsidP="002D6F7B">
      <w:pPr>
        <w:pStyle w:val="LDMinuteParagraph"/>
      </w:pPr>
      <w:r w:rsidRPr="002D6F7B">
        <w:t>There are no substantive changes in remaking the instrument and the fee amounts for services have remained unchanged. Consequently, there has been no industry stakeholder consultation on the instrument.</w:t>
      </w:r>
    </w:p>
    <w:p w14:paraId="51E2D282" w14:textId="6A9A368C" w:rsidR="002D6F7B" w:rsidRPr="002D6F7B" w:rsidRDefault="002D6F7B" w:rsidP="002D6F7B">
      <w:pPr>
        <w:pStyle w:val="LDMinuteParagraph"/>
      </w:pPr>
      <w:r w:rsidRPr="002D6F7B">
        <w:t>The Determination continued its current fee structure with no alterations to existing charges. Accordingly, no persons have been identified as affected by fee changes due to the absence of any fee adjustments.</w:t>
      </w:r>
    </w:p>
    <w:p w14:paraId="05B2A763" w14:textId="392B9ADC" w:rsidR="002D6F7B" w:rsidRPr="002D6F7B" w:rsidRDefault="002D6F7B" w:rsidP="002D6F7B">
      <w:pPr>
        <w:pStyle w:val="LDMinuteParagraph"/>
      </w:pPr>
      <w:r w:rsidRPr="002D6F7B">
        <w:t>The Determination is of a minor, machinery nature and does not alter existing arrangements.</w:t>
      </w:r>
    </w:p>
    <w:p w14:paraId="31CC327E" w14:textId="77777777" w:rsidR="002D6F7B" w:rsidRPr="002D6F7B" w:rsidRDefault="002D6F7B" w:rsidP="002D6F7B">
      <w:pPr>
        <w:pStyle w:val="LDMinuteParagraph"/>
      </w:pPr>
      <w:r w:rsidRPr="002D6F7B">
        <w:t>The Determination has not been controversial and has had no direct or substantial indirect effect on business.</w:t>
      </w:r>
    </w:p>
    <w:p w14:paraId="01B9E817" w14:textId="77777777" w:rsidR="002D6F7B" w:rsidRPr="002D6F7B" w:rsidRDefault="002D6F7B" w:rsidP="002D6F7B">
      <w:pPr>
        <w:pStyle w:val="LDMinuteParagraph"/>
      </w:pPr>
      <w:r w:rsidRPr="002D6F7B">
        <w:t>AMSA’s Chief Executive Officer, as the rule maker responsible for the Determination under subsection 47(1) of the </w:t>
      </w:r>
      <w:r w:rsidRPr="002D6F7B">
        <w:rPr>
          <w:i/>
          <w:iCs/>
        </w:rPr>
        <w:t>Australian Maritime Safety Authority Act 1990</w:t>
      </w:r>
      <w:r w:rsidRPr="002D6F7B">
        <w:t>, is satisfied that this level of consultation is appropriate for the purpose of subsection 12 of that Act.</w:t>
      </w:r>
    </w:p>
    <w:p w14:paraId="7ECDC421" w14:textId="06529164" w:rsidR="005B2444" w:rsidRPr="002D6F7B" w:rsidRDefault="002D6F7B" w:rsidP="002D6F7B">
      <w:pPr>
        <w:pStyle w:val="LDMinuteParagraph"/>
      </w:pPr>
      <w:r w:rsidRPr="002D6F7B">
        <w:t>The Office of Impact Analysis (OIA) has advised that no Regulatory Impact Statement (RIS) is required to remake the Determination without significant change (</w:t>
      </w:r>
      <w:r w:rsidRPr="002D6F7B">
        <w:rPr>
          <w:rFonts w:eastAsiaTheme="minorEastAsia"/>
        </w:rPr>
        <w:t>OIA24-08650 refers)</w:t>
      </w:r>
      <w:r w:rsidR="005B2444" w:rsidRPr="002D6F7B">
        <w:t>.</w:t>
      </w:r>
    </w:p>
    <w:p w14:paraId="36EA2943" w14:textId="77777777" w:rsidR="009B015D" w:rsidRDefault="009B015D" w:rsidP="009B015D">
      <w:pPr>
        <w:pStyle w:val="LDAmendHeading"/>
      </w:pPr>
      <w:r>
        <w:t>Documents incorporated by reference</w:t>
      </w:r>
    </w:p>
    <w:p w14:paraId="0310C337" w14:textId="77777777" w:rsidR="002D6F7B" w:rsidRPr="002D6F7B" w:rsidRDefault="002D6F7B" w:rsidP="002D6F7B">
      <w:pPr>
        <w:pStyle w:val="LDMinuteParagraph"/>
      </w:pPr>
      <w:r w:rsidRPr="002D6F7B">
        <w:t>There are no documents incorporated by reference. The instrument refers to Acts under which services are provided for which fees are charged.</w:t>
      </w:r>
    </w:p>
    <w:p w14:paraId="351DC2FD" w14:textId="1A98D8B9" w:rsidR="002D6F7B" w:rsidRPr="002D6F7B" w:rsidRDefault="002D6F7B" w:rsidP="002D6F7B">
      <w:pPr>
        <w:pStyle w:val="LDMinuteParagraph"/>
      </w:pPr>
      <w:r w:rsidRPr="002D6F7B">
        <w:t xml:space="preserve">The mention of the Australian Taxation Office charge per kilometer rate mentioned in this </w:t>
      </w:r>
      <w:r>
        <w:t xml:space="preserve">instrument </w:t>
      </w:r>
      <w:r w:rsidRPr="002D6F7B">
        <w:t xml:space="preserve">is a reference to the rate that is published at </w:t>
      </w:r>
      <w:r w:rsidRPr="00F054B3">
        <w:rPr>
          <w:u w:val="single"/>
        </w:rPr>
        <w:t>www.ato.gov.au</w:t>
      </w:r>
      <w:r>
        <w:t>.</w:t>
      </w:r>
    </w:p>
    <w:p w14:paraId="26DEE368" w14:textId="77777777" w:rsidR="00007792" w:rsidRDefault="00007792" w:rsidP="00007792">
      <w:pPr>
        <w:pStyle w:val="LDAmendHeading"/>
      </w:pPr>
      <w:r>
        <w:t>Commencement</w:t>
      </w:r>
    </w:p>
    <w:p w14:paraId="4FC6C341" w14:textId="3B2180B7" w:rsidR="00007792" w:rsidRDefault="002D6F7B" w:rsidP="00007792">
      <w:pPr>
        <w:pStyle w:val="LDMinuteParagraph"/>
      </w:pPr>
      <w:r w:rsidRPr="5E5CF0AB">
        <w:rPr>
          <w:szCs w:val="24"/>
        </w:rPr>
        <w:t>This</w:t>
      </w:r>
      <w:r w:rsidRPr="5E5CF0AB">
        <w:rPr>
          <w:spacing w:val="-2"/>
          <w:szCs w:val="24"/>
        </w:rPr>
        <w:t xml:space="preserve"> </w:t>
      </w:r>
      <w:r w:rsidRPr="5E5CF0AB">
        <w:rPr>
          <w:szCs w:val="24"/>
        </w:rPr>
        <w:t>instrument</w:t>
      </w:r>
      <w:r w:rsidRPr="5E5CF0AB">
        <w:rPr>
          <w:spacing w:val="-1"/>
          <w:szCs w:val="24"/>
        </w:rPr>
        <w:t xml:space="preserve"> </w:t>
      </w:r>
      <w:r w:rsidRPr="5E5CF0AB">
        <w:rPr>
          <w:szCs w:val="24"/>
        </w:rPr>
        <w:t>commence</w:t>
      </w:r>
      <w:r>
        <w:rPr>
          <w:szCs w:val="24"/>
        </w:rPr>
        <w:t>s</w:t>
      </w:r>
      <w:r w:rsidRPr="1B55C461">
        <w:rPr>
          <w:szCs w:val="24"/>
        </w:rPr>
        <w:t xml:space="preserve"> </w:t>
      </w:r>
      <w:r w:rsidRPr="5E5CF0AB">
        <w:rPr>
          <w:szCs w:val="24"/>
        </w:rPr>
        <w:t>on</w:t>
      </w:r>
      <w:r w:rsidRPr="5E5CF0AB">
        <w:rPr>
          <w:spacing w:val="-1"/>
          <w:szCs w:val="24"/>
        </w:rPr>
        <w:t xml:space="preserve"> </w:t>
      </w:r>
      <w:r w:rsidR="00F054B3">
        <w:rPr>
          <w:szCs w:val="24"/>
        </w:rPr>
        <w:t>1</w:t>
      </w:r>
      <w:r w:rsidRPr="5E5CF0AB">
        <w:rPr>
          <w:spacing w:val="-2"/>
          <w:szCs w:val="24"/>
        </w:rPr>
        <w:t xml:space="preserve"> </w:t>
      </w:r>
      <w:r w:rsidRPr="5E5CF0AB">
        <w:rPr>
          <w:szCs w:val="24"/>
        </w:rPr>
        <w:t>October 2025</w:t>
      </w:r>
      <w:r w:rsidR="00007792">
        <w:t>.</w:t>
      </w:r>
    </w:p>
    <w:p w14:paraId="173D707A" w14:textId="77777777" w:rsidR="00007792" w:rsidRDefault="00007792" w:rsidP="00007792">
      <w:pPr>
        <w:pStyle w:val="LDAmendHeading"/>
      </w:pPr>
      <w:r>
        <w:t xml:space="preserve">Contents of this </w:t>
      </w:r>
      <w:r w:rsidR="007005C4">
        <w:t>instrument</w:t>
      </w:r>
    </w:p>
    <w:p w14:paraId="5328CA02" w14:textId="77777777" w:rsidR="002D6F7B" w:rsidRDefault="002D6F7B" w:rsidP="002D6F7B">
      <w:pPr>
        <w:pStyle w:val="LDMinuteParagraph"/>
      </w:pPr>
      <w:r w:rsidRPr="27BC92CE">
        <w:t>Section</w:t>
      </w:r>
      <w:r w:rsidRPr="27BC92CE">
        <w:rPr>
          <w:spacing w:val="-1"/>
        </w:rPr>
        <w:t xml:space="preserve"> </w:t>
      </w:r>
      <w:r w:rsidRPr="27BC92CE">
        <w:t>1</w:t>
      </w:r>
      <w:r w:rsidRPr="27BC92CE">
        <w:rPr>
          <w:spacing w:val="-1"/>
        </w:rPr>
        <w:t xml:space="preserve"> </w:t>
      </w:r>
      <w:r w:rsidRPr="27BC92CE">
        <w:t>sets</w:t>
      </w:r>
      <w:r w:rsidRPr="27BC92CE">
        <w:rPr>
          <w:spacing w:val="-2"/>
        </w:rPr>
        <w:t xml:space="preserve"> </w:t>
      </w:r>
      <w:r w:rsidRPr="27BC92CE">
        <w:t>out the name</w:t>
      </w:r>
      <w:r w:rsidRPr="27BC92CE">
        <w:rPr>
          <w:spacing w:val="-1"/>
        </w:rPr>
        <w:t xml:space="preserve"> </w:t>
      </w:r>
      <w:r w:rsidRPr="27BC92CE">
        <w:t>of</w:t>
      </w:r>
      <w:r w:rsidRPr="27BC92CE">
        <w:rPr>
          <w:spacing w:val="-3"/>
        </w:rPr>
        <w:t xml:space="preserve"> </w:t>
      </w:r>
      <w:r w:rsidRPr="27BC92CE">
        <w:t xml:space="preserve">the </w:t>
      </w:r>
      <w:r w:rsidRPr="33C2ED7B" w:rsidDel="00CC535A">
        <w:t>instrument</w:t>
      </w:r>
      <w:r w:rsidRPr="27BC92CE">
        <w:rPr>
          <w:spacing w:val="-2"/>
        </w:rPr>
        <w:t>.</w:t>
      </w:r>
    </w:p>
    <w:p w14:paraId="5EDA8C03" w14:textId="77777777" w:rsidR="002D6F7B" w:rsidRDefault="002D6F7B" w:rsidP="002D6F7B">
      <w:pPr>
        <w:pStyle w:val="LDMinuteParagraph"/>
      </w:pPr>
      <w:r w:rsidRPr="2B7C0BB9">
        <w:t xml:space="preserve">Section 1A provides the commencement date for the instrument. </w:t>
      </w:r>
    </w:p>
    <w:p w14:paraId="013A2E67" w14:textId="77777777" w:rsidR="002D6F7B" w:rsidRDefault="002D6F7B" w:rsidP="002D6F7B">
      <w:pPr>
        <w:pStyle w:val="LDMinuteParagraph"/>
      </w:pPr>
      <w:r w:rsidRPr="5E5CF0AB">
        <w:lastRenderedPageBreak/>
        <w:t>Section 2 sets</w:t>
      </w:r>
      <w:r w:rsidRPr="5E5CF0AB">
        <w:rPr>
          <w:spacing w:val="-2"/>
        </w:rPr>
        <w:t xml:space="preserve"> </w:t>
      </w:r>
      <w:r w:rsidRPr="5E5CF0AB">
        <w:t>out</w:t>
      </w:r>
      <w:r w:rsidRPr="5E5CF0AB">
        <w:rPr>
          <w:spacing w:val="-1"/>
        </w:rPr>
        <w:t xml:space="preserve"> </w:t>
      </w:r>
      <w:r w:rsidRPr="5E5CF0AB">
        <w:t>definitions</w:t>
      </w:r>
      <w:r w:rsidRPr="5E5CF0AB">
        <w:rPr>
          <w:spacing w:val="-1"/>
        </w:rPr>
        <w:t xml:space="preserve"> </w:t>
      </w:r>
      <w:r w:rsidRPr="5E5CF0AB">
        <w:t>of</w:t>
      </w:r>
      <w:r w:rsidRPr="5E5CF0AB">
        <w:rPr>
          <w:spacing w:val="-1"/>
        </w:rPr>
        <w:t xml:space="preserve"> </w:t>
      </w:r>
      <w:r w:rsidRPr="5E5CF0AB">
        <w:t>terms</w:t>
      </w:r>
      <w:r w:rsidRPr="5E5CF0AB">
        <w:rPr>
          <w:spacing w:val="-2"/>
        </w:rPr>
        <w:t xml:space="preserve"> </w:t>
      </w:r>
      <w:r w:rsidRPr="5E5CF0AB">
        <w:t>used</w:t>
      </w:r>
      <w:r w:rsidRPr="5E5CF0AB">
        <w:rPr>
          <w:spacing w:val="-1"/>
        </w:rPr>
        <w:t xml:space="preserve"> </w:t>
      </w:r>
      <w:r w:rsidRPr="5E5CF0AB">
        <w:t>in</w:t>
      </w:r>
      <w:r w:rsidRPr="5E5CF0AB">
        <w:rPr>
          <w:spacing w:val="-1"/>
        </w:rPr>
        <w:t xml:space="preserve"> </w:t>
      </w:r>
      <w:r w:rsidRPr="5E5CF0AB">
        <w:t>the</w:t>
      </w:r>
      <w:r w:rsidRPr="5E5CF0AB">
        <w:rPr>
          <w:spacing w:val="-1"/>
        </w:rPr>
        <w:t xml:space="preserve"> </w:t>
      </w:r>
      <w:r w:rsidRPr="33C2ED7B" w:rsidDel="00CC535A">
        <w:t>instrument</w:t>
      </w:r>
      <w:r w:rsidRPr="5E5CF0AB">
        <w:rPr>
          <w:spacing w:val="-2"/>
        </w:rPr>
        <w:t>.</w:t>
      </w:r>
    </w:p>
    <w:p w14:paraId="3012DAB1" w14:textId="77777777" w:rsidR="002D6F7B" w:rsidRDefault="002D6F7B" w:rsidP="002D6F7B">
      <w:pPr>
        <w:pStyle w:val="LDMinuteParagraph"/>
      </w:pPr>
      <w:r w:rsidRPr="5A354B13">
        <w:t>Section</w:t>
      </w:r>
      <w:r w:rsidRPr="5A354B13">
        <w:rPr>
          <w:spacing w:val="-3"/>
        </w:rPr>
        <w:t xml:space="preserve"> 3 </w:t>
      </w:r>
      <w:r>
        <w:rPr>
          <w:spacing w:val="-3"/>
        </w:rPr>
        <w:t xml:space="preserve">sets out </w:t>
      </w:r>
      <w:r w:rsidRPr="5A354B13">
        <w:t>the</w:t>
      </w:r>
      <w:r w:rsidRPr="5A354B13">
        <w:rPr>
          <w:spacing w:val="-1"/>
        </w:rPr>
        <w:t xml:space="preserve"> </w:t>
      </w:r>
      <w:r w:rsidRPr="5A354B13">
        <w:t>liability</w:t>
      </w:r>
      <w:r w:rsidRPr="5A354B13">
        <w:rPr>
          <w:spacing w:val="-8"/>
        </w:rPr>
        <w:t xml:space="preserve"> </w:t>
      </w:r>
      <w:r w:rsidRPr="5A354B13">
        <w:t>to pay</w:t>
      </w:r>
      <w:r w:rsidRPr="5A354B13">
        <w:rPr>
          <w:spacing w:val="-5"/>
        </w:rPr>
        <w:t xml:space="preserve"> </w:t>
      </w:r>
      <w:r w:rsidRPr="5A354B13">
        <w:t>for a</w:t>
      </w:r>
      <w:r w:rsidRPr="5A354B13">
        <w:rPr>
          <w:spacing w:val="-1"/>
        </w:rPr>
        <w:t xml:space="preserve"> </w:t>
      </w:r>
      <w:r w:rsidRPr="5A354B13">
        <w:t>charge</w:t>
      </w:r>
      <w:r w:rsidRPr="5A354B13">
        <w:rPr>
          <w:spacing w:val="-1"/>
        </w:rPr>
        <w:t xml:space="preserve"> </w:t>
      </w:r>
      <w:r w:rsidRPr="5A354B13">
        <w:t>for services</w:t>
      </w:r>
      <w:r w:rsidRPr="5A354B13">
        <w:rPr>
          <w:spacing w:val="-1"/>
        </w:rPr>
        <w:t xml:space="preserve"> </w:t>
      </w:r>
      <w:r w:rsidRPr="5A354B13">
        <w:t>provided by</w:t>
      </w:r>
      <w:r w:rsidRPr="5A354B13">
        <w:rPr>
          <w:spacing w:val="-5"/>
        </w:rPr>
        <w:t xml:space="preserve"> </w:t>
      </w:r>
      <w:r w:rsidRPr="5A354B13">
        <w:rPr>
          <w:spacing w:val="-2"/>
        </w:rPr>
        <w:t>AMSA.</w:t>
      </w:r>
    </w:p>
    <w:p w14:paraId="5E5C97C2" w14:textId="77777777" w:rsidR="002D6F7B" w:rsidRDefault="002D6F7B" w:rsidP="002D6F7B">
      <w:pPr>
        <w:pStyle w:val="LDMinuteParagraph"/>
      </w:pPr>
      <w:r w:rsidRPr="5A354B13">
        <w:t>Section</w:t>
      </w:r>
      <w:r w:rsidRPr="5A354B13">
        <w:rPr>
          <w:spacing w:val="-3"/>
        </w:rPr>
        <w:t xml:space="preserve"> 4 </w:t>
      </w:r>
      <w:r w:rsidRPr="5A354B13">
        <w:t>sets</w:t>
      </w:r>
      <w:r w:rsidRPr="5A354B13">
        <w:rPr>
          <w:spacing w:val="-2"/>
        </w:rPr>
        <w:t xml:space="preserve"> </w:t>
      </w:r>
      <w:r w:rsidRPr="5A354B13">
        <w:t>out</w:t>
      </w:r>
      <w:r w:rsidRPr="5A354B13">
        <w:rPr>
          <w:spacing w:val="-3"/>
        </w:rPr>
        <w:t xml:space="preserve"> </w:t>
      </w:r>
      <w:r w:rsidRPr="5A354B13">
        <w:t>the</w:t>
      </w:r>
      <w:r w:rsidRPr="5A354B13">
        <w:rPr>
          <w:spacing w:val="-4"/>
        </w:rPr>
        <w:t xml:space="preserve"> </w:t>
      </w:r>
      <w:r w:rsidRPr="5A354B13">
        <w:t>components</w:t>
      </w:r>
      <w:r w:rsidRPr="5A354B13">
        <w:rPr>
          <w:spacing w:val="-4"/>
        </w:rPr>
        <w:t xml:space="preserve"> </w:t>
      </w:r>
      <w:r w:rsidRPr="5A354B13">
        <w:t>of</w:t>
      </w:r>
      <w:r w:rsidRPr="5A354B13">
        <w:rPr>
          <w:spacing w:val="-3"/>
        </w:rPr>
        <w:t xml:space="preserve"> </w:t>
      </w:r>
      <w:r w:rsidRPr="5A354B13">
        <w:t>a</w:t>
      </w:r>
      <w:r w:rsidRPr="5A354B13">
        <w:rPr>
          <w:spacing w:val="-5"/>
        </w:rPr>
        <w:t xml:space="preserve"> </w:t>
      </w:r>
      <w:r w:rsidRPr="5A354B13">
        <w:t>charge,</w:t>
      </w:r>
      <w:r w:rsidRPr="5A354B13">
        <w:rPr>
          <w:spacing w:val="-3"/>
        </w:rPr>
        <w:t xml:space="preserve"> </w:t>
      </w:r>
      <w:r w:rsidRPr="5A354B13">
        <w:t>which</w:t>
      </w:r>
      <w:r w:rsidRPr="5A354B13">
        <w:rPr>
          <w:spacing w:val="-3"/>
        </w:rPr>
        <w:t xml:space="preserve"> </w:t>
      </w:r>
      <w:r w:rsidRPr="5A354B13">
        <w:t>are</w:t>
      </w:r>
      <w:r w:rsidRPr="5A354B13">
        <w:rPr>
          <w:spacing w:val="-5"/>
        </w:rPr>
        <w:t xml:space="preserve"> </w:t>
      </w:r>
      <w:r w:rsidRPr="5A354B13">
        <w:t>detailed</w:t>
      </w:r>
      <w:r w:rsidRPr="5A354B13">
        <w:rPr>
          <w:spacing w:val="-3"/>
        </w:rPr>
        <w:t xml:space="preserve"> </w:t>
      </w:r>
      <w:r w:rsidRPr="5A354B13">
        <w:t>in</w:t>
      </w:r>
      <w:r w:rsidRPr="5A354B13">
        <w:rPr>
          <w:spacing w:val="-3"/>
        </w:rPr>
        <w:t xml:space="preserve"> </w:t>
      </w:r>
      <w:r w:rsidRPr="5A354B13">
        <w:t>later sections and in Schedule 1.</w:t>
      </w:r>
    </w:p>
    <w:p w14:paraId="2136E28E" w14:textId="77777777" w:rsidR="002D6F7B" w:rsidRDefault="002D6F7B" w:rsidP="002D6F7B">
      <w:pPr>
        <w:pStyle w:val="LDMinuteParagraph"/>
      </w:pPr>
      <w:r w:rsidRPr="5A354B13">
        <w:t>Section</w:t>
      </w:r>
      <w:r w:rsidRPr="5A354B13">
        <w:rPr>
          <w:spacing w:val="-3"/>
        </w:rPr>
        <w:t xml:space="preserve"> 5 </w:t>
      </w:r>
      <w:r>
        <w:t xml:space="preserve">sets out </w:t>
      </w:r>
      <w:r w:rsidRPr="5A354B13">
        <w:t>the</w:t>
      </w:r>
      <w:r w:rsidRPr="5A354B13">
        <w:rPr>
          <w:spacing w:val="-2"/>
        </w:rPr>
        <w:t xml:space="preserve"> </w:t>
      </w:r>
      <w:r w:rsidRPr="5A354B13">
        <w:t>hourly</w:t>
      </w:r>
      <w:r w:rsidRPr="5A354B13">
        <w:rPr>
          <w:spacing w:val="-3"/>
        </w:rPr>
        <w:t xml:space="preserve"> </w:t>
      </w:r>
      <w:r w:rsidRPr="5A354B13">
        <w:t>rate</w:t>
      </w:r>
      <w:r w:rsidRPr="5A354B13">
        <w:rPr>
          <w:spacing w:val="-1"/>
        </w:rPr>
        <w:t xml:space="preserve"> </w:t>
      </w:r>
      <w:r w:rsidRPr="5A354B13">
        <w:t>for</w:t>
      </w:r>
      <w:r w:rsidRPr="5A354B13">
        <w:rPr>
          <w:spacing w:val="-1"/>
        </w:rPr>
        <w:t xml:space="preserve"> </w:t>
      </w:r>
      <w:r w:rsidRPr="5A354B13">
        <w:t>services</w:t>
      </w:r>
      <w:r w:rsidRPr="5A354B13">
        <w:rPr>
          <w:spacing w:val="-2"/>
        </w:rPr>
        <w:t xml:space="preserve"> </w:t>
      </w:r>
      <w:r w:rsidRPr="5A354B13">
        <w:t>for</w:t>
      </w:r>
      <w:r w:rsidRPr="5A354B13">
        <w:rPr>
          <w:spacing w:val="-3"/>
        </w:rPr>
        <w:t xml:space="preserve"> </w:t>
      </w:r>
      <w:r w:rsidRPr="5A354B13">
        <w:t>which there</w:t>
      </w:r>
      <w:r w:rsidRPr="5A354B13">
        <w:rPr>
          <w:spacing w:val="-3"/>
        </w:rPr>
        <w:t xml:space="preserve"> </w:t>
      </w:r>
      <w:r w:rsidRPr="5A354B13">
        <w:t>is</w:t>
      </w:r>
      <w:r w:rsidRPr="5A354B13">
        <w:rPr>
          <w:spacing w:val="-2"/>
        </w:rPr>
        <w:t xml:space="preserve"> </w:t>
      </w:r>
      <w:r w:rsidRPr="5A354B13">
        <w:t>no</w:t>
      </w:r>
      <w:r w:rsidRPr="5A354B13">
        <w:rPr>
          <w:spacing w:val="-1"/>
        </w:rPr>
        <w:t xml:space="preserve"> </w:t>
      </w:r>
      <w:r w:rsidRPr="5A354B13">
        <w:t xml:space="preserve">specified </w:t>
      </w:r>
      <w:r w:rsidRPr="5A354B13">
        <w:rPr>
          <w:spacing w:val="-2"/>
        </w:rPr>
        <w:t>amount.</w:t>
      </w:r>
    </w:p>
    <w:p w14:paraId="519E2120" w14:textId="77777777" w:rsidR="002D6F7B" w:rsidRDefault="002D6F7B" w:rsidP="002D6F7B">
      <w:pPr>
        <w:pStyle w:val="LDMinuteParagraph"/>
      </w:pPr>
      <w:r w:rsidRPr="5A354B13">
        <w:t>Section</w:t>
      </w:r>
      <w:r w:rsidRPr="5A354B13">
        <w:rPr>
          <w:spacing w:val="-2"/>
        </w:rPr>
        <w:t xml:space="preserve"> 6 </w:t>
      </w:r>
      <w:r w:rsidRPr="5A354B13">
        <w:t>provides</w:t>
      </w:r>
      <w:r w:rsidRPr="5A354B13">
        <w:rPr>
          <w:spacing w:val="-3"/>
        </w:rPr>
        <w:t xml:space="preserve"> </w:t>
      </w:r>
      <w:r w:rsidRPr="5A354B13">
        <w:t>for</w:t>
      </w:r>
      <w:r w:rsidRPr="5A354B13">
        <w:rPr>
          <w:spacing w:val="-2"/>
        </w:rPr>
        <w:t xml:space="preserve"> </w:t>
      </w:r>
      <w:r w:rsidRPr="5A354B13">
        <w:t>a</w:t>
      </w:r>
      <w:r w:rsidRPr="5A354B13">
        <w:rPr>
          <w:spacing w:val="-2"/>
        </w:rPr>
        <w:t xml:space="preserve"> </w:t>
      </w:r>
      <w:r w:rsidRPr="5A354B13">
        <w:t>person</w:t>
      </w:r>
      <w:r w:rsidRPr="5A354B13">
        <w:rPr>
          <w:spacing w:val="-2"/>
        </w:rPr>
        <w:t xml:space="preserve"> </w:t>
      </w:r>
      <w:r w:rsidRPr="5A354B13">
        <w:t>to</w:t>
      </w:r>
      <w:r w:rsidRPr="5A354B13">
        <w:rPr>
          <w:spacing w:val="-2"/>
        </w:rPr>
        <w:t xml:space="preserve"> </w:t>
      </w:r>
      <w:r w:rsidRPr="5A354B13">
        <w:t>ask</w:t>
      </w:r>
      <w:r w:rsidRPr="5A354B13">
        <w:rPr>
          <w:spacing w:val="-2"/>
        </w:rPr>
        <w:t xml:space="preserve"> </w:t>
      </w:r>
      <w:r w:rsidRPr="5A354B13">
        <w:t>for</w:t>
      </w:r>
      <w:r w:rsidRPr="5A354B13">
        <w:rPr>
          <w:spacing w:val="-2"/>
        </w:rPr>
        <w:t xml:space="preserve"> </w:t>
      </w:r>
      <w:r w:rsidRPr="5A354B13">
        <w:t>an</w:t>
      </w:r>
      <w:r w:rsidRPr="5A354B13">
        <w:rPr>
          <w:spacing w:val="-2"/>
        </w:rPr>
        <w:t xml:space="preserve"> </w:t>
      </w:r>
      <w:r w:rsidRPr="5A354B13">
        <w:t>estimate</w:t>
      </w:r>
      <w:r w:rsidRPr="5A354B13">
        <w:rPr>
          <w:spacing w:val="-3"/>
        </w:rPr>
        <w:t xml:space="preserve"> </w:t>
      </w:r>
      <w:r w:rsidRPr="5A354B13">
        <w:t>of</w:t>
      </w:r>
      <w:r w:rsidRPr="5A354B13">
        <w:rPr>
          <w:spacing w:val="-2"/>
        </w:rPr>
        <w:t xml:space="preserve"> </w:t>
      </w:r>
      <w:r w:rsidRPr="5A354B13">
        <w:t>the</w:t>
      </w:r>
      <w:r w:rsidRPr="5A354B13">
        <w:rPr>
          <w:spacing w:val="-4"/>
        </w:rPr>
        <w:t xml:space="preserve"> </w:t>
      </w:r>
      <w:r w:rsidRPr="5A354B13">
        <w:t>total</w:t>
      </w:r>
      <w:r w:rsidRPr="5A354B13">
        <w:rPr>
          <w:spacing w:val="-2"/>
        </w:rPr>
        <w:t xml:space="preserve"> </w:t>
      </w:r>
      <w:r w:rsidRPr="5A354B13">
        <w:t>charge if</w:t>
      </w:r>
      <w:r w:rsidRPr="5A354B13">
        <w:rPr>
          <w:spacing w:val="-2"/>
        </w:rPr>
        <w:t xml:space="preserve"> </w:t>
      </w:r>
      <w:r w:rsidRPr="5A354B13">
        <w:t>the hourly rate applies.</w:t>
      </w:r>
    </w:p>
    <w:p w14:paraId="3A69A3AA" w14:textId="77777777" w:rsidR="002D6F7B" w:rsidRDefault="002D6F7B" w:rsidP="002D6F7B">
      <w:pPr>
        <w:pStyle w:val="LDMinuteParagraph"/>
      </w:pPr>
      <w:r w:rsidRPr="5A354B13">
        <w:t>Section</w:t>
      </w:r>
      <w:r w:rsidRPr="5A354B13">
        <w:rPr>
          <w:spacing w:val="-1"/>
        </w:rPr>
        <w:t xml:space="preserve"> 7 </w:t>
      </w:r>
      <w:r w:rsidRPr="5A354B13">
        <w:t>provides</w:t>
      </w:r>
      <w:r w:rsidRPr="5A354B13">
        <w:rPr>
          <w:spacing w:val="-2"/>
        </w:rPr>
        <w:t xml:space="preserve"> </w:t>
      </w:r>
      <w:r w:rsidRPr="5A354B13">
        <w:t>a</w:t>
      </w:r>
      <w:r w:rsidRPr="5A354B13">
        <w:rPr>
          <w:spacing w:val="-2"/>
        </w:rPr>
        <w:t xml:space="preserve"> </w:t>
      </w:r>
      <w:r w:rsidRPr="5A354B13">
        <w:t>charge for</w:t>
      </w:r>
      <w:r w:rsidRPr="5A354B13">
        <w:rPr>
          <w:spacing w:val="-3"/>
        </w:rPr>
        <w:t xml:space="preserve"> </w:t>
      </w:r>
      <w:r w:rsidRPr="5A354B13">
        <w:t>waiting</w:t>
      </w:r>
      <w:r w:rsidRPr="5A354B13">
        <w:rPr>
          <w:spacing w:val="-2"/>
        </w:rPr>
        <w:t xml:space="preserve"> time.</w:t>
      </w:r>
    </w:p>
    <w:p w14:paraId="01B87ED6" w14:textId="77777777" w:rsidR="002D6F7B" w:rsidRDefault="002D6F7B" w:rsidP="002D6F7B">
      <w:pPr>
        <w:pStyle w:val="LDMinuteParagraph"/>
      </w:pPr>
      <w:r w:rsidRPr="1DEFF4AF">
        <w:t>Section</w:t>
      </w:r>
      <w:r w:rsidRPr="1DEFF4AF">
        <w:rPr>
          <w:spacing w:val="-2"/>
        </w:rPr>
        <w:t xml:space="preserve"> 8 </w:t>
      </w:r>
      <w:r w:rsidRPr="1DEFF4AF">
        <w:t>provides</w:t>
      </w:r>
      <w:r w:rsidRPr="1DEFF4AF">
        <w:rPr>
          <w:spacing w:val="-3"/>
        </w:rPr>
        <w:t xml:space="preserve"> </w:t>
      </w:r>
      <w:r w:rsidRPr="1DEFF4AF">
        <w:t>a</w:t>
      </w:r>
      <w:r w:rsidRPr="1DEFF4AF">
        <w:rPr>
          <w:spacing w:val="-3"/>
        </w:rPr>
        <w:t xml:space="preserve"> </w:t>
      </w:r>
      <w:r w:rsidRPr="1DEFF4AF">
        <w:t>charge</w:t>
      </w:r>
      <w:r w:rsidRPr="1DEFF4AF">
        <w:rPr>
          <w:spacing w:val="-3"/>
        </w:rPr>
        <w:t xml:space="preserve"> </w:t>
      </w:r>
      <w:r w:rsidRPr="1DEFF4AF">
        <w:t>for</w:t>
      </w:r>
      <w:r w:rsidRPr="1DEFF4AF">
        <w:rPr>
          <w:spacing w:val="-1"/>
        </w:rPr>
        <w:t xml:space="preserve"> </w:t>
      </w:r>
      <w:r w:rsidRPr="1DEFF4AF">
        <w:t>travelling</w:t>
      </w:r>
      <w:r w:rsidRPr="1DEFF4AF">
        <w:rPr>
          <w:spacing w:val="-3"/>
        </w:rPr>
        <w:t xml:space="preserve"> </w:t>
      </w:r>
      <w:r w:rsidRPr="1DEFF4AF">
        <w:rPr>
          <w:spacing w:val="-2"/>
        </w:rPr>
        <w:t>time.</w:t>
      </w:r>
    </w:p>
    <w:p w14:paraId="1DE6958F" w14:textId="77777777" w:rsidR="002D6F7B" w:rsidRDefault="002D6F7B" w:rsidP="002D6F7B">
      <w:pPr>
        <w:pStyle w:val="LDMinuteParagraph"/>
      </w:pPr>
      <w:r w:rsidRPr="1DEFF4AF">
        <w:t>Section</w:t>
      </w:r>
      <w:r w:rsidRPr="1DEFF4AF">
        <w:rPr>
          <w:spacing w:val="-1"/>
        </w:rPr>
        <w:t xml:space="preserve"> 9 </w:t>
      </w:r>
      <w:r w:rsidRPr="1DEFF4AF">
        <w:t>sets</w:t>
      </w:r>
      <w:r w:rsidRPr="1DEFF4AF">
        <w:rPr>
          <w:spacing w:val="-1"/>
        </w:rPr>
        <w:t xml:space="preserve"> </w:t>
      </w:r>
      <w:r w:rsidRPr="1DEFF4AF">
        <w:t>out</w:t>
      </w:r>
      <w:r w:rsidRPr="1DEFF4AF">
        <w:rPr>
          <w:spacing w:val="-1"/>
        </w:rPr>
        <w:t xml:space="preserve"> </w:t>
      </w:r>
      <w:r w:rsidRPr="1DEFF4AF">
        <w:t>when</w:t>
      </w:r>
      <w:r w:rsidRPr="1DEFF4AF">
        <w:rPr>
          <w:spacing w:val="-1"/>
        </w:rPr>
        <w:t xml:space="preserve"> </w:t>
      </w:r>
      <w:r w:rsidRPr="1DEFF4AF">
        <w:t>a</w:t>
      </w:r>
      <w:r w:rsidRPr="1DEFF4AF">
        <w:rPr>
          <w:spacing w:val="-2"/>
        </w:rPr>
        <w:t xml:space="preserve"> </w:t>
      </w:r>
      <w:r w:rsidRPr="1DEFF4AF">
        <w:t>charge</w:t>
      </w:r>
      <w:r w:rsidRPr="1DEFF4AF">
        <w:rPr>
          <w:spacing w:val="-2"/>
        </w:rPr>
        <w:t xml:space="preserve"> </w:t>
      </w:r>
      <w:r w:rsidRPr="1DEFF4AF">
        <w:t>is</w:t>
      </w:r>
      <w:r w:rsidRPr="1DEFF4AF">
        <w:rPr>
          <w:spacing w:val="-1"/>
        </w:rPr>
        <w:t xml:space="preserve"> </w:t>
      </w:r>
      <w:r w:rsidRPr="1DEFF4AF">
        <w:rPr>
          <w:spacing w:val="-2"/>
        </w:rPr>
        <w:t>payable.</w:t>
      </w:r>
    </w:p>
    <w:p w14:paraId="3204632C" w14:textId="77777777" w:rsidR="002D6F7B" w:rsidRDefault="002D6F7B" w:rsidP="002D6F7B">
      <w:pPr>
        <w:pStyle w:val="LDMinuteParagraph"/>
      </w:pPr>
      <w:r w:rsidRPr="40D1602D">
        <w:t>Section 10 provides for advance payment of a specified charge or, by agreement with the person requesting the service, of progress payments of an hourly rate.</w:t>
      </w:r>
    </w:p>
    <w:p w14:paraId="6D5D5FC1" w14:textId="77777777" w:rsidR="002D6F7B" w:rsidRDefault="002D6F7B" w:rsidP="002D6F7B">
      <w:pPr>
        <w:pStyle w:val="LDMinuteParagraph"/>
      </w:pPr>
      <w:r w:rsidRPr="40D1602D">
        <w:t>Section 11 imposes interest on unpaid balances.</w:t>
      </w:r>
    </w:p>
    <w:p w14:paraId="0B3B7DA7" w14:textId="77777777" w:rsidR="002D6F7B" w:rsidRPr="004D1C4A" w:rsidRDefault="002D6F7B" w:rsidP="002D6F7B">
      <w:pPr>
        <w:pStyle w:val="LDMinuteParagraph"/>
      </w:pPr>
      <w:r w:rsidRPr="1F3FA1D7">
        <w:t>Schedule 1 sets out the charge for each kind of service.</w:t>
      </w:r>
    </w:p>
    <w:p w14:paraId="3629046E" w14:textId="3EF1E220" w:rsidR="00990056" w:rsidRDefault="000A2964" w:rsidP="002D6F7B">
      <w:pPr>
        <w:pStyle w:val="LDAmendHeading"/>
      </w:pPr>
      <w:r>
        <w:t>Statement of c</w:t>
      </w:r>
      <w:r w:rsidR="00990056">
        <w:t>ompatibility with human rights</w:t>
      </w:r>
    </w:p>
    <w:p w14:paraId="7561C9F8" w14:textId="77777777" w:rsidR="002D6F7B" w:rsidRPr="002D6F7B" w:rsidRDefault="002D6F7B" w:rsidP="002D6F7B">
      <w:pPr>
        <w:pStyle w:val="LDMinuteParagraph"/>
      </w:pPr>
      <w:r w:rsidRPr="002D6F7B">
        <w:t xml:space="preserve">The instrument is compatible with the human rights and freedoms recognised and declared in the international instruments listed in Section 3 of the </w:t>
      </w:r>
      <w:r w:rsidRPr="002D6F7B">
        <w:rPr>
          <w:i/>
          <w:iCs/>
        </w:rPr>
        <w:t>Human Rights (Parliamentary Scrutiny) Act 2011</w:t>
      </w:r>
      <w:r w:rsidRPr="002D6F7B">
        <w:t>.</w:t>
      </w:r>
    </w:p>
    <w:p w14:paraId="438E15D2" w14:textId="77777777" w:rsidR="002D6F7B" w:rsidRPr="002D6F7B" w:rsidRDefault="002D6F7B" w:rsidP="002D6F7B">
      <w:pPr>
        <w:widowControl w:val="0"/>
        <w:autoSpaceDE w:val="0"/>
        <w:autoSpaceDN w:val="0"/>
        <w:spacing w:before="124"/>
        <w:ind w:left="140"/>
        <w:jc w:val="both"/>
        <w:rPr>
          <w:rFonts w:ascii="Arial"/>
          <w:lang w:val="en-US"/>
        </w:rPr>
      </w:pPr>
      <w:r w:rsidRPr="002D6F7B">
        <w:rPr>
          <w:rFonts w:ascii="Arial"/>
          <w:lang w:val="en-US"/>
        </w:rPr>
        <w:t>Overview of the legislative instrument</w:t>
      </w:r>
    </w:p>
    <w:p w14:paraId="3CE7F454" w14:textId="77777777" w:rsidR="002D6F7B" w:rsidRPr="002D6F7B" w:rsidRDefault="002D6F7B" w:rsidP="002D6F7B">
      <w:pPr>
        <w:pStyle w:val="LDMinuteParagraph"/>
        <w:rPr>
          <w:lang w:val="en-US"/>
        </w:rPr>
      </w:pPr>
      <w:r w:rsidRPr="002D6F7B">
        <w:rPr>
          <w:lang w:val="en-US"/>
        </w:rPr>
        <w:t>The instrument sets out the fees that the Australian Maritime Safety Authority charges for its services, the way in which the fees are worked out and how they are to be paid.</w:t>
      </w:r>
    </w:p>
    <w:p w14:paraId="29950898" w14:textId="77777777" w:rsidR="002D6F7B" w:rsidRPr="002D6F7B" w:rsidRDefault="002D6F7B" w:rsidP="002D6F7B">
      <w:pPr>
        <w:widowControl w:val="0"/>
        <w:autoSpaceDE w:val="0"/>
        <w:autoSpaceDN w:val="0"/>
        <w:spacing w:before="124"/>
        <w:ind w:left="140"/>
        <w:jc w:val="both"/>
        <w:rPr>
          <w:rFonts w:ascii="Arial"/>
          <w:lang w:val="en-US"/>
        </w:rPr>
      </w:pPr>
      <w:r w:rsidRPr="002D6F7B">
        <w:rPr>
          <w:rFonts w:ascii="Arial"/>
          <w:lang w:val="en-US"/>
        </w:rPr>
        <w:t>Human rights implications</w:t>
      </w:r>
    </w:p>
    <w:p w14:paraId="55776D09" w14:textId="32E15C76" w:rsidR="002D6F7B" w:rsidRPr="002D6F7B" w:rsidRDefault="002D6F7B" w:rsidP="002D6F7B">
      <w:pPr>
        <w:pStyle w:val="LDMinuteParagraph"/>
        <w:rPr>
          <w:lang w:val="en-US"/>
        </w:rPr>
      </w:pPr>
      <w:r w:rsidRPr="002D6F7B">
        <w:rPr>
          <w:lang w:val="en-US"/>
        </w:rPr>
        <w:t xml:space="preserve">The instrument engages the right to the enjoyment of just and </w:t>
      </w:r>
      <w:proofErr w:type="spellStart"/>
      <w:r w:rsidRPr="002D6F7B">
        <w:rPr>
          <w:lang w:val="en-US"/>
        </w:rPr>
        <w:t>favourable</w:t>
      </w:r>
      <w:proofErr w:type="spellEnd"/>
      <w:r w:rsidRPr="002D6F7B">
        <w:rPr>
          <w:lang w:val="en-US"/>
        </w:rPr>
        <w:t xml:space="preserve"> conditions of work</w:t>
      </w:r>
      <w:proofErr w:type="gramStart"/>
      <w:r w:rsidRPr="002D6F7B">
        <w:rPr>
          <w:lang w:val="en-US"/>
        </w:rPr>
        <w:t>, in particular, safe</w:t>
      </w:r>
      <w:proofErr w:type="gramEnd"/>
      <w:r w:rsidRPr="002D6F7B">
        <w:rPr>
          <w:lang w:val="en-US"/>
        </w:rPr>
        <w:t xml:space="preserve"> and healthy working conditions, under </w:t>
      </w:r>
      <w:r>
        <w:rPr>
          <w:lang w:val="en-US"/>
        </w:rPr>
        <w:t>a</w:t>
      </w:r>
      <w:r w:rsidRPr="002D6F7B">
        <w:rPr>
          <w:lang w:val="en-US"/>
        </w:rPr>
        <w:t>rticle</w:t>
      </w:r>
      <w:r>
        <w:rPr>
          <w:lang w:val="en-US"/>
        </w:rPr>
        <w:t> </w:t>
      </w:r>
      <w:r w:rsidRPr="002D6F7B">
        <w:rPr>
          <w:lang w:val="en-US"/>
        </w:rPr>
        <w:t>7(b) of the International Covenant on Economic, Social and Cultural Rights (ICESCR).</w:t>
      </w:r>
    </w:p>
    <w:p w14:paraId="619EC67D" w14:textId="77777777" w:rsidR="002D6F7B" w:rsidRPr="002D6F7B" w:rsidRDefault="002D6F7B" w:rsidP="002D6F7B">
      <w:pPr>
        <w:pStyle w:val="LDMinuteParagraph"/>
        <w:rPr>
          <w:lang w:val="en-US"/>
        </w:rPr>
      </w:pPr>
      <w:r w:rsidRPr="002D6F7B">
        <w:rPr>
          <w:lang w:val="en-US"/>
        </w:rPr>
        <w:t xml:space="preserve">This instrument also </w:t>
      </w:r>
      <w:proofErr w:type="gramStart"/>
      <w:r w:rsidRPr="002D6F7B">
        <w:rPr>
          <w:lang w:val="en-US"/>
        </w:rPr>
        <w:t>engages</w:t>
      </w:r>
      <w:proofErr w:type="gramEnd"/>
      <w:r w:rsidRPr="002D6F7B">
        <w:rPr>
          <w:lang w:val="en-US"/>
        </w:rPr>
        <w:t xml:space="preserve"> the right to work under article 6 of ICESCR.</w:t>
      </w:r>
    </w:p>
    <w:p w14:paraId="2331898C" w14:textId="77777777" w:rsidR="002D6F7B" w:rsidRPr="002D6F7B" w:rsidRDefault="002D6F7B" w:rsidP="002D6F7B">
      <w:pPr>
        <w:widowControl w:val="0"/>
        <w:tabs>
          <w:tab w:val="left" w:pos="499"/>
        </w:tabs>
        <w:autoSpaceDE w:val="0"/>
        <w:autoSpaceDN w:val="0"/>
        <w:spacing w:before="121" w:after="120"/>
        <w:ind w:left="499"/>
        <w:jc w:val="both"/>
        <w:rPr>
          <w:lang w:val="en-US"/>
        </w:rPr>
      </w:pPr>
      <w:r w:rsidRPr="002D6F7B">
        <w:rPr>
          <w:i/>
          <w:iCs/>
          <w:color w:val="0D0D0D"/>
          <w:lang w:eastAsia="en-AU"/>
        </w:rPr>
        <w:t>Article 7: the right to the enjoyment of just and favourable conditions of work</w:t>
      </w:r>
    </w:p>
    <w:p w14:paraId="3E76750F" w14:textId="77777777" w:rsidR="002D6F7B" w:rsidRPr="002D6F7B" w:rsidRDefault="002D6F7B" w:rsidP="002D6F7B">
      <w:pPr>
        <w:pStyle w:val="LDMinuteParagraph"/>
        <w:rPr>
          <w:lang w:val="en-US"/>
        </w:rPr>
      </w:pPr>
      <w:r w:rsidRPr="002D6F7B">
        <w:rPr>
          <w:lang w:val="en-US"/>
        </w:rPr>
        <w:t xml:space="preserve">Article 7(b) provides that State Parties </w:t>
      </w:r>
      <w:proofErr w:type="spellStart"/>
      <w:r w:rsidRPr="002D6F7B">
        <w:rPr>
          <w:lang w:val="en-US"/>
        </w:rPr>
        <w:t>recognise</w:t>
      </w:r>
      <w:proofErr w:type="spellEnd"/>
      <w:r w:rsidRPr="002D6F7B">
        <w:rPr>
          <w:lang w:val="en-US"/>
        </w:rPr>
        <w:t xml:space="preserve"> the right of everyone to the enjoyment of just and </w:t>
      </w:r>
      <w:proofErr w:type="spellStart"/>
      <w:r w:rsidRPr="002D6F7B">
        <w:rPr>
          <w:lang w:val="en-US"/>
        </w:rPr>
        <w:t>favourable</w:t>
      </w:r>
      <w:proofErr w:type="spellEnd"/>
      <w:r w:rsidRPr="002D6F7B">
        <w:rPr>
          <w:lang w:val="en-US"/>
        </w:rPr>
        <w:t xml:space="preserve"> conditions of work, which ensure</w:t>
      </w:r>
      <w:proofErr w:type="gramStart"/>
      <w:r w:rsidRPr="002D6F7B">
        <w:rPr>
          <w:lang w:val="en-US"/>
        </w:rPr>
        <w:t>, in particular, safe</w:t>
      </w:r>
      <w:proofErr w:type="gramEnd"/>
      <w:r w:rsidRPr="002D6F7B">
        <w:rPr>
          <w:lang w:val="en-US"/>
        </w:rPr>
        <w:t xml:space="preserve"> and healthy working conditions.</w:t>
      </w:r>
    </w:p>
    <w:p w14:paraId="617598F0" w14:textId="7E91835A" w:rsidR="002D6F7B" w:rsidRPr="002D6F7B" w:rsidRDefault="002D6F7B" w:rsidP="002D6F7B">
      <w:pPr>
        <w:pStyle w:val="LDMinuteParagraph"/>
        <w:rPr>
          <w:lang w:val="en-US"/>
        </w:rPr>
      </w:pPr>
      <w:r w:rsidRPr="002D6F7B">
        <w:rPr>
          <w:lang w:val="en-US"/>
        </w:rPr>
        <w:t>The instrument engages and promote</w:t>
      </w:r>
      <w:r w:rsidR="00785375">
        <w:rPr>
          <w:lang w:val="en-US"/>
        </w:rPr>
        <w:t>s</w:t>
      </w:r>
      <w:r w:rsidRPr="002D6F7B">
        <w:rPr>
          <w:lang w:val="en-US"/>
        </w:rPr>
        <w:t xml:space="preserve"> this right because it contributes to safe working conditions on and around vessels. By stipulating fees which fund AMSA to deliver safety services and certification to the international shipping industry, the instrument promotes the right to safe working conditions.</w:t>
      </w:r>
    </w:p>
    <w:p w14:paraId="77791CE1" w14:textId="77777777" w:rsidR="002D6F7B" w:rsidRPr="002D6F7B" w:rsidRDefault="002D6F7B" w:rsidP="002D6F7B">
      <w:pPr>
        <w:widowControl w:val="0"/>
        <w:tabs>
          <w:tab w:val="left" w:pos="499"/>
        </w:tabs>
        <w:autoSpaceDE w:val="0"/>
        <w:autoSpaceDN w:val="0"/>
        <w:spacing w:before="121" w:after="120"/>
        <w:ind w:left="499"/>
        <w:jc w:val="both"/>
        <w:rPr>
          <w:i/>
          <w:iCs/>
          <w:color w:val="0D0D0D"/>
          <w:lang w:eastAsia="en-AU"/>
        </w:rPr>
      </w:pPr>
      <w:r w:rsidRPr="002D6F7B">
        <w:rPr>
          <w:i/>
          <w:iCs/>
          <w:color w:val="0D0D0D"/>
          <w:lang w:eastAsia="en-AU"/>
        </w:rPr>
        <w:t>Article 6: the right to work</w:t>
      </w:r>
    </w:p>
    <w:p w14:paraId="7C55E0F1" w14:textId="77777777" w:rsidR="002D6F7B" w:rsidRPr="002D6F7B" w:rsidRDefault="002D6F7B" w:rsidP="002D6F7B">
      <w:pPr>
        <w:pStyle w:val="LDMinuteParagraph"/>
        <w:rPr>
          <w:lang w:val="en-US"/>
        </w:rPr>
      </w:pPr>
      <w:r w:rsidRPr="002D6F7B">
        <w:rPr>
          <w:lang w:val="en-US"/>
        </w:rPr>
        <w:t xml:space="preserve">Article 6 provides that State Parties </w:t>
      </w:r>
      <w:proofErr w:type="spellStart"/>
      <w:r w:rsidRPr="002D6F7B">
        <w:rPr>
          <w:lang w:val="en-US"/>
        </w:rPr>
        <w:t>recognise</w:t>
      </w:r>
      <w:proofErr w:type="spellEnd"/>
      <w:r w:rsidRPr="002D6F7B">
        <w:rPr>
          <w:lang w:val="en-US"/>
        </w:rPr>
        <w:t xml:space="preserve"> the right to work, which includes the right of everyone to the opportunity to gain his living by work which he freely chooses or accepts, and will take appropriate steps to safeguard this right. Article 6 also provides that the steps taken by a State Party to achieve the full </w:t>
      </w:r>
      <w:proofErr w:type="spellStart"/>
      <w:r w:rsidRPr="002D6F7B">
        <w:rPr>
          <w:lang w:val="en-US"/>
        </w:rPr>
        <w:t>realisation</w:t>
      </w:r>
      <w:proofErr w:type="spellEnd"/>
      <w:r w:rsidRPr="002D6F7B">
        <w:rPr>
          <w:lang w:val="en-US"/>
        </w:rPr>
        <w:t xml:space="preserve"> of this right shall include technical and vocational guidance and training </w:t>
      </w:r>
      <w:proofErr w:type="spellStart"/>
      <w:r w:rsidRPr="002D6F7B">
        <w:rPr>
          <w:lang w:val="en-US"/>
        </w:rPr>
        <w:lastRenderedPageBreak/>
        <w:t>programmes</w:t>
      </w:r>
      <w:proofErr w:type="spellEnd"/>
      <w:r w:rsidRPr="002D6F7B">
        <w:rPr>
          <w:lang w:val="en-US"/>
        </w:rPr>
        <w:t>, policies and techniques to achieve steady economic, social and cultural development and full and productive employment under conditions safeguarding fundamental political and economic freedom to the individual.</w:t>
      </w:r>
    </w:p>
    <w:p w14:paraId="05A36B79" w14:textId="77777777" w:rsidR="002D6F7B" w:rsidRPr="002D6F7B" w:rsidRDefault="002D6F7B" w:rsidP="002D6F7B">
      <w:pPr>
        <w:pStyle w:val="LDMinuteParagraph"/>
        <w:rPr>
          <w:lang w:val="en-US"/>
        </w:rPr>
      </w:pPr>
      <w:r w:rsidRPr="002D6F7B">
        <w:rPr>
          <w:lang w:val="en-US"/>
        </w:rPr>
        <w:t>Sections 7.1 and items 8.1.1to 13 of Schedule 1 of the instrument engage this right because they require coastal pilots and seafarers working on regulated Australian vessels and foreign-flagged vessels to pay fees to apply for and manage safety certification, which are required for them to work.</w:t>
      </w:r>
    </w:p>
    <w:p w14:paraId="695EC66A" w14:textId="77777777" w:rsidR="002D6F7B" w:rsidRPr="002D6F7B" w:rsidRDefault="002D6F7B" w:rsidP="002D6F7B">
      <w:pPr>
        <w:pStyle w:val="LDMinuteParagraph"/>
        <w:rPr>
          <w:lang w:val="en-US"/>
        </w:rPr>
      </w:pPr>
      <w:r w:rsidRPr="002D6F7B">
        <w:rPr>
          <w:lang w:val="en-US"/>
        </w:rPr>
        <w:t>On this basis, these fees potentially limit the right to work by requiring payment before coastal pilots and seafarers working on regulated Australian vessels and foreign-flagged vessels can legally work.</w:t>
      </w:r>
    </w:p>
    <w:p w14:paraId="73EEB8F4" w14:textId="77777777" w:rsidR="002D6F7B" w:rsidRPr="002D6F7B" w:rsidRDefault="002D6F7B" w:rsidP="002D6F7B">
      <w:pPr>
        <w:pStyle w:val="LDMinuteParagraph"/>
        <w:rPr>
          <w:lang w:val="en-US"/>
        </w:rPr>
      </w:pPr>
      <w:r w:rsidRPr="002D6F7B">
        <w:rPr>
          <w:lang w:val="en-US"/>
        </w:rPr>
        <w:t>However, the limitations are permissible as they:</w:t>
      </w:r>
    </w:p>
    <w:p w14:paraId="283A70CA" w14:textId="77777777" w:rsidR="002D6F7B" w:rsidRPr="002D6F7B" w:rsidRDefault="002D6F7B" w:rsidP="002D6F7B">
      <w:pPr>
        <w:widowControl w:val="0"/>
        <w:tabs>
          <w:tab w:val="left" w:pos="499"/>
        </w:tabs>
        <w:autoSpaceDE w:val="0"/>
        <w:autoSpaceDN w:val="0"/>
        <w:spacing w:before="121" w:after="120"/>
        <w:ind w:left="499"/>
        <w:jc w:val="both"/>
        <w:rPr>
          <w:i/>
          <w:iCs/>
          <w:color w:val="000000"/>
          <w:sz w:val="27"/>
          <w:szCs w:val="27"/>
          <w:lang w:eastAsia="en-AU"/>
        </w:rPr>
      </w:pPr>
      <w:r w:rsidRPr="002D6F7B">
        <w:rPr>
          <w:i/>
          <w:iCs/>
          <w:lang w:val="en-US"/>
        </w:rPr>
        <w:t>a) pursue a legitimate objective</w:t>
      </w:r>
    </w:p>
    <w:p w14:paraId="6505AA81" w14:textId="77777777" w:rsidR="002D6F7B" w:rsidRPr="002D6F7B" w:rsidRDefault="002D6F7B" w:rsidP="002D6F7B">
      <w:pPr>
        <w:widowControl w:val="0"/>
        <w:tabs>
          <w:tab w:val="left" w:pos="499"/>
        </w:tabs>
        <w:autoSpaceDE w:val="0"/>
        <w:autoSpaceDN w:val="0"/>
        <w:spacing w:before="121" w:after="240"/>
        <w:ind w:left="499"/>
        <w:jc w:val="both"/>
        <w:rPr>
          <w:lang w:val="en-US"/>
        </w:rPr>
      </w:pPr>
      <w:r w:rsidRPr="002D6F7B">
        <w:rPr>
          <w:lang w:val="en-US"/>
        </w:rPr>
        <w:t>Ensuring vessels, their operators, and the seafarers working aboard these vessels comply with Australian standards and laws is another key role of AMSA. Managing vessel registration and vessel inspection as well as other inspections, granting determinations and exemptions, and managing licenses and certificates for seafarers directly contributes to this role.</w:t>
      </w:r>
    </w:p>
    <w:p w14:paraId="256B0EC0" w14:textId="77777777" w:rsidR="002D6F7B" w:rsidRPr="002D6F7B" w:rsidRDefault="002D6F7B" w:rsidP="002D6F7B">
      <w:pPr>
        <w:widowControl w:val="0"/>
        <w:tabs>
          <w:tab w:val="left" w:pos="499"/>
        </w:tabs>
        <w:autoSpaceDE w:val="0"/>
        <w:autoSpaceDN w:val="0"/>
        <w:spacing w:before="121" w:after="120"/>
        <w:ind w:left="499"/>
        <w:jc w:val="both"/>
        <w:rPr>
          <w:i/>
          <w:iCs/>
          <w:lang w:val="en-US"/>
        </w:rPr>
      </w:pPr>
      <w:r w:rsidRPr="002D6F7B">
        <w:rPr>
          <w:i/>
          <w:iCs/>
          <w:lang w:val="en-US"/>
        </w:rPr>
        <w:t>b) have a rational connection to this objective</w:t>
      </w:r>
    </w:p>
    <w:p w14:paraId="1721A735" w14:textId="77777777" w:rsidR="002D6F7B" w:rsidRPr="002D6F7B" w:rsidRDefault="002D6F7B" w:rsidP="002D6F7B">
      <w:pPr>
        <w:widowControl w:val="0"/>
        <w:tabs>
          <w:tab w:val="left" w:pos="499"/>
        </w:tabs>
        <w:autoSpaceDE w:val="0"/>
        <w:autoSpaceDN w:val="0"/>
        <w:spacing w:before="121" w:after="240"/>
        <w:ind w:left="499"/>
        <w:jc w:val="both"/>
        <w:rPr>
          <w:lang w:val="en-US"/>
        </w:rPr>
      </w:pPr>
      <w:r w:rsidRPr="002D6F7B">
        <w:rPr>
          <w:lang w:val="en-US"/>
        </w:rPr>
        <w:t>These fees directly fund AMSA's delivery of specific safety services to individuals.</w:t>
      </w:r>
    </w:p>
    <w:p w14:paraId="01184C5D" w14:textId="77777777" w:rsidR="002D6F7B" w:rsidRPr="002D6F7B" w:rsidRDefault="002D6F7B" w:rsidP="002D6F7B">
      <w:pPr>
        <w:widowControl w:val="0"/>
        <w:tabs>
          <w:tab w:val="left" w:pos="499"/>
        </w:tabs>
        <w:autoSpaceDE w:val="0"/>
        <w:autoSpaceDN w:val="0"/>
        <w:spacing w:before="121" w:after="120"/>
        <w:ind w:left="499"/>
        <w:jc w:val="both"/>
        <w:rPr>
          <w:i/>
          <w:iCs/>
          <w:lang w:val="en-US"/>
        </w:rPr>
      </w:pPr>
      <w:r w:rsidRPr="002D6F7B">
        <w:rPr>
          <w:i/>
          <w:iCs/>
          <w:lang w:val="en-US"/>
        </w:rPr>
        <w:t>c) are reasonable, necessary, and proportionate</w:t>
      </w:r>
    </w:p>
    <w:p w14:paraId="1C36306D" w14:textId="77777777" w:rsidR="002D6F7B" w:rsidRPr="002D6F7B" w:rsidRDefault="002D6F7B" w:rsidP="002D6F7B">
      <w:pPr>
        <w:pStyle w:val="LDMinuteParagraph"/>
        <w:rPr>
          <w:lang w:val="en-US"/>
        </w:rPr>
      </w:pPr>
      <w:r w:rsidRPr="002D6F7B">
        <w:rPr>
          <w:lang w:val="en-US"/>
        </w:rPr>
        <w:t>The fee amounts to be paid to AMSA have not been amended in the remake of the instrument. Overall cost recovery through fees is lower than AMSA's expected service delivery costs and should not in practice restrict coastal pilots and seafarers working on regulated Australian vessels and foreign-flagged vessels from accessing work.</w:t>
      </w:r>
    </w:p>
    <w:p w14:paraId="65EC989E" w14:textId="77777777" w:rsidR="002D6F7B" w:rsidRPr="002D6F7B" w:rsidRDefault="002D6F7B" w:rsidP="002D6F7B">
      <w:pPr>
        <w:widowControl w:val="0"/>
        <w:autoSpaceDE w:val="0"/>
        <w:autoSpaceDN w:val="0"/>
        <w:spacing w:before="123"/>
        <w:ind w:left="140"/>
        <w:jc w:val="both"/>
        <w:rPr>
          <w:rFonts w:ascii="Arial"/>
          <w:lang w:val="en-US"/>
        </w:rPr>
      </w:pPr>
      <w:r w:rsidRPr="002D6F7B">
        <w:rPr>
          <w:rFonts w:ascii="Arial"/>
          <w:lang w:val="en-US"/>
        </w:rPr>
        <w:t>Conclusion</w:t>
      </w:r>
    </w:p>
    <w:p w14:paraId="40A7D4A1" w14:textId="77777777" w:rsidR="002D6F7B" w:rsidRPr="002D6F7B" w:rsidRDefault="002D6F7B" w:rsidP="002D6F7B">
      <w:pPr>
        <w:pStyle w:val="LDMinuteParagraph"/>
        <w:rPr>
          <w:lang w:val="en-US"/>
        </w:rPr>
      </w:pPr>
      <w:r w:rsidRPr="002D6F7B">
        <w:rPr>
          <w:lang w:val="en-US"/>
        </w:rPr>
        <w:t>This instrument is compatible with human rights as, to the extent that it limits human rights, those limitations are reasonable, necessary and proportionate, pursue a legitimate objective, and have a rational connection to this objective.</w:t>
      </w:r>
    </w:p>
    <w:p w14:paraId="019503F3" w14:textId="77777777" w:rsidR="002D6F7B" w:rsidRPr="002D6F7B" w:rsidRDefault="002D6F7B" w:rsidP="002D6F7B">
      <w:pPr>
        <w:pStyle w:val="LDMinuteParagraph"/>
        <w:rPr>
          <w:lang w:val="en-US"/>
        </w:rPr>
      </w:pPr>
      <w:r w:rsidRPr="002D6F7B">
        <w:rPr>
          <w:lang w:val="en-US"/>
        </w:rPr>
        <w:t xml:space="preserve">This instrument also promotes human rights as it supports the right to the enjoyment of just and </w:t>
      </w:r>
      <w:proofErr w:type="spellStart"/>
      <w:r w:rsidRPr="002D6F7B">
        <w:rPr>
          <w:lang w:val="en-US"/>
        </w:rPr>
        <w:t>favourable</w:t>
      </w:r>
      <w:proofErr w:type="spellEnd"/>
      <w:r w:rsidRPr="002D6F7B">
        <w:rPr>
          <w:lang w:val="en-US"/>
        </w:rPr>
        <w:t xml:space="preserve"> conditions of work, in particular, the right to safe and healthy working conditions.</w:t>
      </w:r>
    </w:p>
    <w:p w14:paraId="3BDECACE" w14:textId="6E04C6AD" w:rsidR="00007792" w:rsidRPr="009B015D" w:rsidRDefault="00007792" w:rsidP="00007792">
      <w:pPr>
        <w:pStyle w:val="LDAmendHeading"/>
      </w:pPr>
      <w:r>
        <w:t xml:space="preserve">Making the </w:t>
      </w:r>
      <w:r w:rsidR="007005C4">
        <w:t>instrument</w:t>
      </w:r>
    </w:p>
    <w:p w14:paraId="6D1719A0" w14:textId="77777777" w:rsidR="00506142" w:rsidRPr="00B4479A" w:rsidRDefault="003B2EEF" w:rsidP="002D6F7B">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90DB" w14:textId="77777777" w:rsidR="002D6F7B" w:rsidRDefault="002D6F7B">
      <w:r>
        <w:separator/>
      </w:r>
    </w:p>
  </w:endnote>
  <w:endnote w:type="continuationSeparator" w:id="0">
    <w:p w14:paraId="72E69A6C" w14:textId="77777777" w:rsidR="002D6F7B" w:rsidRDefault="002D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10A3" w14:textId="77777777" w:rsidR="00D60F7F" w:rsidRDefault="00D60F7F" w:rsidP="00760EAE">
    <w:pPr>
      <w:framePr w:wrap="around" w:vAnchor="text" w:hAnchor="margin" w:xAlign="right" w:y="1"/>
    </w:pPr>
    <w:r>
      <w:fldChar w:fldCharType="begin"/>
    </w:r>
    <w:r>
      <w:instrText xml:space="preserve">PAGE  </w:instrText>
    </w:r>
    <w:r>
      <w:fldChar w:fldCharType="end"/>
    </w:r>
  </w:p>
  <w:p w14:paraId="05A0FCFC"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0AEA" w14:textId="6E5122D8" w:rsidR="00D60F7F" w:rsidRPr="00506142" w:rsidRDefault="002D6F7B" w:rsidP="00506142">
    <w:pPr>
      <w:pStyle w:val="Footer"/>
      <w:pBdr>
        <w:top w:val="single" w:sz="4" w:space="1" w:color="auto"/>
      </w:pBdr>
      <w:rPr>
        <w:rFonts w:ascii="Arial" w:hAnsi="Arial" w:cs="Arial"/>
        <w:sz w:val="16"/>
        <w:szCs w:val="16"/>
      </w:rPr>
    </w:pPr>
    <w:r w:rsidRPr="002D6F7B">
      <w:rPr>
        <w:i/>
        <w:iCs/>
        <w:sz w:val="18"/>
        <w:szCs w:val="18"/>
      </w:rPr>
      <w:t>Australian Maritime Safety Authority Fees Determination</w:t>
    </w:r>
    <w:r>
      <w:rPr>
        <w:rFonts w:ascii="Arial" w:hAnsi="Arial" w:cs="Arial"/>
        <w:sz w:val="16"/>
        <w:szCs w:val="16"/>
      </w:rPr>
      <w:t xml:space="preserve"> </w:t>
    </w:r>
    <w:r>
      <w:rPr>
        <w:rFonts w:ascii="Arial" w:hAnsi="Arial" w:cs="Arial"/>
        <w:i/>
        <w:iCs/>
        <w:sz w:val="16"/>
        <w:szCs w:val="16"/>
      </w:rPr>
      <w:t>2025</w:t>
    </w:r>
    <w:r w:rsidR="00506142">
      <w:rPr>
        <w:rFonts w:ascii="Arial" w:hAnsi="Arial" w:cs="Arial"/>
        <w:sz w:val="16"/>
        <w:szCs w:val="16"/>
      </w:rPr>
      <w:tab/>
    </w:r>
    <w:r w:rsidR="00506142" w:rsidRPr="00DE2A5F">
      <w:rPr>
        <w:rStyle w:val="PageNumber"/>
        <w:rFonts w:ascii="Arial" w:hAnsi="Arial" w:cs="Arial"/>
        <w:sz w:val="16"/>
        <w:szCs w:val="16"/>
      </w:rPr>
      <w:fldChar w:fldCharType="begin"/>
    </w:r>
    <w:r w:rsidR="00506142" w:rsidRPr="00DE2A5F">
      <w:rPr>
        <w:rStyle w:val="PageNumber"/>
        <w:rFonts w:ascii="Arial" w:hAnsi="Arial" w:cs="Arial"/>
        <w:sz w:val="16"/>
        <w:szCs w:val="16"/>
      </w:rPr>
      <w:instrText xml:space="preserve"> PAGE </w:instrText>
    </w:r>
    <w:r w:rsidR="00506142"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00506142"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6D3C" w14:textId="77777777" w:rsidR="002D6F7B" w:rsidRDefault="002D6F7B">
      <w:r>
        <w:separator/>
      </w:r>
    </w:p>
  </w:footnote>
  <w:footnote w:type="continuationSeparator" w:id="0">
    <w:p w14:paraId="0340E9C6" w14:textId="77777777" w:rsidR="002D6F7B" w:rsidRDefault="002D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5625" w14:textId="77777777" w:rsidR="00D60F7F" w:rsidRDefault="00D60F7F" w:rsidP="00545B58">
    <w:pPr>
      <w:framePr w:wrap="around" w:vAnchor="text" w:hAnchor="margin" w:xAlign="center" w:y="1"/>
    </w:pPr>
    <w:r>
      <w:fldChar w:fldCharType="begin"/>
    </w:r>
    <w:r>
      <w:instrText xml:space="preserve">PAGE  </w:instrText>
    </w:r>
    <w:r>
      <w:fldChar w:fldCharType="end"/>
    </w:r>
  </w:p>
  <w:p w14:paraId="63E88096"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4805484"/>
    <w:multiLevelType w:val="hybridMultilevel"/>
    <w:tmpl w:val="A642B0B6"/>
    <w:lvl w:ilvl="0" w:tplc="BB041F5A">
      <w:start w:val="1"/>
      <w:numFmt w:val="decimal"/>
      <w:lvlText w:val="%1."/>
      <w:lvlJc w:val="left"/>
      <w:pPr>
        <w:ind w:left="1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0361438">
      <w:numFmt w:val="bullet"/>
      <w:lvlText w:val="•"/>
      <w:lvlJc w:val="left"/>
      <w:pPr>
        <w:ind w:left="984" w:hanging="360"/>
      </w:pPr>
      <w:rPr>
        <w:rFonts w:hint="default"/>
        <w:lang w:val="en-US" w:eastAsia="en-US" w:bidi="ar-SA"/>
      </w:rPr>
    </w:lvl>
    <w:lvl w:ilvl="2" w:tplc="02EC967E">
      <w:numFmt w:val="bullet"/>
      <w:lvlText w:val="•"/>
      <w:lvlJc w:val="left"/>
      <w:pPr>
        <w:ind w:left="1829" w:hanging="360"/>
      </w:pPr>
      <w:rPr>
        <w:rFonts w:hint="default"/>
        <w:lang w:val="en-US" w:eastAsia="en-US" w:bidi="ar-SA"/>
      </w:rPr>
    </w:lvl>
    <w:lvl w:ilvl="3" w:tplc="D3B8E9EE">
      <w:numFmt w:val="bullet"/>
      <w:lvlText w:val="•"/>
      <w:lvlJc w:val="left"/>
      <w:pPr>
        <w:ind w:left="2673" w:hanging="360"/>
      </w:pPr>
      <w:rPr>
        <w:rFonts w:hint="default"/>
        <w:lang w:val="en-US" w:eastAsia="en-US" w:bidi="ar-SA"/>
      </w:rPr>
    </w:lvl>
    <w:lvl w:ilvl="4" w:tplc="E06E8EF0">
      <w:numFmt w:val="bullet"/>
      <w:lvlText w:val="•"/>
      <w:lvlJc w:val="left"/>
      <w:pPr>
        <w:ind w:left="3518" w:hanging="360"/>
      </w:pPr>
      <w:rPr>
        <w:rFonts w:hint="default"/>
        <w:lang w:val="en-US" w:eastAsia="en-US" w:bidi="ar-SA"/>
      </w:rPr>
    </w:lvl>
    <w:lvl w:ilvl="5" w:tplc="19C29F76">
      <w:numFmt w:val="bullet"/>
      <w:lvlText w:val="•"/>
      <w:lvlJc w:val="left"/>
      <w:pPr>
        <w:ind w:left="4363" w:hanging="360"/>
      </w:pPr>
      <w:rPr>
        <w:rFonts w:hint="default"/>
        <w:lang w:val="en-US" w:eastAsia="en-US" w:bidi="ar-SA"/>
      </w:rPr>
    </w:lvl>
    <w:lvl w:ilvl="6" w:tplc="E6749A5C">
      <w:numFmt w:val="bullet"/>
      <w:lvlText w:val="•"/>
      <w:lvlJc w:val="left"/>
      <w:pPr>
        <w:ind w:left="5207" w:hanging="360"/>
      </w:pPr>
      <w:rPr>
        <w:rFonts w:hint="default"/>
        <w:lang w:val="en-US" w:eastAsia="en-US" w:bidi="ar-SA"/>
      </w:rPr>
    </w:lvl>
    <w:lvl w:ilvl="7" w:tplc="50AADCF2">
      <w:numFmt w:val="bullet"/>
      <w:lvlText w:val="•"/>
      <w:lvlJc w:val="left"/>
      <w:pPr>
        <w:ind w:left="6052" w:hanging="360"/>
      </w:pPr>
      <w:rPr>
        <w:rFonts w:hint="default"/>
        <w:lang w:val="en-US" w:eastAsia="en-US" w:bidi="ar-SA"/>
      </w:rPr>
    </w:lvl>
    <w:lvl w:ilvl="8" w:tplc="C8C85438">
      <w:numFmt w:val="bullet"/>
      <w:lvlText w:val="•"/>
      <w:lvlJc w:val="left"/>
      <w:pPr>
        <w:ind w:left="6897" w:hanging="360"/>
      </w:pPr>
      <w:rPr>
        <w:rFonts w:hint="default"/>
        <w:lang w:val="en-US" w:eastAsia="en-US" w:bidi="ar-SA"/>
      </w:rPr>
    </w:lvl>
  </w:abstractNum>
  <w:num w:numId="1" w16cid:durableId="960107810">
    <w:abstractNumId w:val="0"/>
  </w:num>
  <w:num w:numId="2" w16cid:durableId="95249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5228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7B"/>
    <w:rsid w:val="00007792"/>
    <w:rsid w:val="000479EC"/>
    <w:rsid w:val="0006314D"/>
    <w:rsid w:val="00083A6A"/>
    <w:rsid w:val="000A2964"/>
    <w:rsid w:val="001710F5"/>
    <w:rsid w:val="00187967"/>
    <w:rsid w:val="00191B5D"/>
    <w:rsid w:val="00194868"/>
    <w:rsid w:val="001D419C"/>
    <w:rsid w:val="001E60FD"/>
    <w:rsid w:val="001F02B3"/>
    <w:rsid w:val="001F5996"/>
    <w:rsid w:val="00213489"/>
    <w:rsid w:val="00215AA5"/>
    <w:rsid w:val="00255D36"/>
    <w:rsid w:val="00270686"/>
    <w:rsid w:val="002D6F7B"/>
    <w:rsid w:val="002D7C61"/>
    <w:rsid w:val="003141EB"/>
    <w:rsid w:val="00317AE8"/>
    <w:rsid w:val="00321E86"/>
    <w:rsid w:val="0032325C"/>
    <w:rsid w:val="00346D0C"/>
    <w:rsid w:val="003B2EEF"/>
    <w:rsid w:val="003C0D84"/>
    <w:rsid w:val="00411185"/>
    <w:rsid w:val="00413F57"/>
    <w:rsid w:val="00430134"/>
    <w:rsid w:val="00432C95"/>
    <w:rsid w:val="004511D5"/>
    <w:rsid w:val="00481043"/>
    <w:rsid w:val="004E3842"/>
    <w:rsid w:val="00503B92"/>
    <w:rsid w:val="00506142"/>
    <w:rsid w:val="00524E04"/>
    <w:rsid w:val="00545B58"/>
    <w:rsid w:val="0059658F"/>
    <w:rsid w:val="005B2444"/>
    <w:rsid w:val="005B52F3"/>
    <w:rsid w:val="005F256E"/>
    <w:rsid w:val="005F3B6C"/>
    <w:rsid w:val="00656080"/>
    <w:rsid w:val="00697B63"/>
    <w:rsid w:val="006A6E0B"/>
    <w:rsid w:val="006C119E"/>
    <w:rsid w:val="006E2A8C"/>
    <w:rsid w:val="007005C4"/>
    <w:rsid w:val="00760EAE"/>
    <w:rsid w:val="00785375"/>
    <w:rsid w:val="00833AA2"/>
    <w:rsid w:val="0085034C"/>
    <w:rsid w:val="008846F2"/>
    <w:rsid w:val="008E2884"/>
    <w:rsid w:val="009030D5"/>
    <w:rsid w:val="00974171"/>
    <w:rsid w:val="00990056"/>
    <w:rsid w:val="009930DC"/>
    <w:rsid w:val="009A3D84"/>
    <w:rsid w:val="009B015D"/>
    <w:rsid w:val="009B2616"/>
    <w:rsid w:val="009B34B2"/>
    <w:rsid w:val="009C3750"/>
    <w:rsid w:val="009F7B4D"/>
    <w:rsid w:val="00A302C2"/>
    <w:rsid w:val="00A346B9"/>
    <w:rsid w:val="00A42FE5"/>
    <w:rsid w:val="00A53961"/>
    <w:rsid w:val="00AD3979"/>
    <w:rsid w:val="00AF16BD"/>
    <w:rsid w:val="00B1667C"/>
    <w:rsid w:val="00B36E48"/>
    <w:rsid w:val="00B4479A"/>
    <w:rsid w:val="00B95EA6"/>
    <w:rsid w:val="00B97324"/>
    <w:rsid w:val="00BA6239"/>
    <w:rsid w:val="00BB6EA6"/>
    <w:rsid w:val="00BD4B2B"/>
    <w:rsid w:val="00C061DE"/>
    <w:rsid w:val="00C11369"/>
    <w:rsid w:val="00C803C8"/>
    <w:rsid w:val="00D37A0B"/>
    <w:rsid w:val="00D60F7F"/>
    <w:rsid w:val="00DE2E3D"/>
    <w:rsid w:val="00DE752E"/>
    <w:rsid w:val="00E118EB"/>
    <w:rsid w:val="00E14DCC"/>
    <w:rsid w:val="00E2679C"/>
    <w:rsid w:val="00E576E4"/>
    <w:rsid w:val="00E90ECA"/>
    <w:rsid w:val="00EE71A2"/>
    <w:rsid w:val="00F0537A"/>
    <w:rsid w:val="00F054B3"/>
    <w:rsid w:val="00F44956"/>
    <w:rsid w:val="00F54626"/>
    <w:rsid w:val="00F555F3"/>
    <w:rsid w:val="00F63BD0"/>
    <w:rsid w:val="00F660D0"/>
    <w:rsid w:val="00F83098"/>
    <w:rsid w:val="00F8601E"/>
    <w:rsid w:val="00FB71D1"/>
    <w:rsid w:val="00FC20F7"/>
    <w:rsid w:val="00FD5DBE"/>
    <w:rsid w:val="00FD7E01"/>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7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styleId="ListParagraph">
    <w:name w:val="List Paragraph"/>
    <w:basedOn w:val="Normal"/>
    <w:uiPriority w:val="34"/>
    <w:qFormat/>
    <w:rsid w:val="002D6F7B"/>
    <w:pPr>
      <w:widowControl w:val="0"/>
      <w:autoSpaceDE w:val="0"/>
      <w:autoSpaceDN w:val="0"/>
      <w:spacing w:before="120"/>
      <w:ind w:left="140" w:hanging="359"/>
    </w:pPr>
    <w:rPr>
      <w:sz w:val="22"/>
      <w:szCs w:val="22"/>
      <w:lang w:val="en-US"/>
    </w:rPr>
  </w:style>
  <w:style w:type="character" w:styleId="Hyperlink">
    <w:name w:val="Hyperlink"/>
    <w:basedOn w:val="DefaultParagraphFont"/>
    <w:uiPriority w:val="99"/>
    <w:unhideWhenUsed/>
    <w:rsid w:val="002D6F7B"/>
    <w:rPr>
      <w:color w:val="0000FF" w:themeColor="hyperlink"/>
      <w:u w:val="single"/>
    </w:rPr>
  </w:style>
  <w:style w:type="paragraph" w:customStyle="1" w:styleId="TableParagraph">
    <w:name w:val="Table Paragraph"/>
    <w:basedOn w:val="Normal"/>
    <w:uiPriority w:val="1"/>
    <w:qFormat/>
    <w:rsid w:val="002D6F7B"/>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6326</Characters>
  <Application>Microsoft Office Word</Application>
  <DocSecurity>0</DocSecurity>
  <Lines>126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2025-09-08T23:56:00Z</dcterms:created>
  <dcterms:modified xsi:type="dcterms:W3CDTF">2025-09-16T06:13:00Z</dcterms:modified>
</cp:coreProperties>
</file>