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202E" w14:textId="77777777" w:rsidR="001757DC" w:rsidRPr="000B237A" w:rsidRDefault="001757DC" w:rsidP="001757DC">
      <w:pPr>
        <w:rPr>
          <w:lang w:val="en-US"/>
        </w:rPr>
      </w:pPr>
      <w:bookmarkStart w:id="0" w:name="_Toc168113228"/>
      <w:r w:rsidRPr="000B237A">
        <w:rPr>
          <w:noProof/>
        </w:rPr>
        <w:drawing>
          <wp:inline distT="0" distB="0" distL="0" distR="0" wp14:anchorId="568DE568" wp14:editId="1CA6BAD9">
            <wp:extent cx="1419225" cy="1104900"/>
            <wp:effectExtent l="0" t="0" r="9525" b="0"/>
            <wp:docPr id="1724180952" name="Picture 1724180952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72E39" w14:textId="64E9811A" w:rsidR="001757DC" w:rsidRPr="000B237A" w:rsidRDefault="001757DC" w:rsidP="001757DC">
      <w:pPr>
        <w:spacing w:before="480"/>
        <w:rPr>
          <w:rFonts w:ascii="Arial" w:hAnsi="Arial" w:cs="Arial"/>
          <w:b/>
          <w:bCs/>
          <w:sz w:val="40"/>
          <w:szCs w:val="40"/>
        </w:rPr>
      </w:pPr>
      <w:r w:rsidRPr="000B237A">
        <w:rPr>
          <w:rFonts w:ascii="Arial" w:hAnsi="Arial" w:cs="Arial"/>
          <w:b/>
          <w:bCs/>
          <w:sz w:val="40"/>
          <w:szCs w:val="40"/>
        </w:rPr>
        <w:t xml:space="preserve">Financial Sector (Collection of Data) (reporting standard) determination No. </w:t>
      </w:r>
      <w:r w:rsidR="00A536AA">
        <w:rPr>
          <w:rFonts w:ascii="Arial" w:hAnsi="Arial" w:cs="Arial"/>
          <w:b/>
          <w:bCs/>
          <w:sz w:val="40"/>
          <w:szCs w:val="40"/>
        </w:rPr>
        <w:t>18</w:t>
      </w:r>
      <w:r w:rsidRPr="000B237A">
        <w:rPr>
          <w:rFonts w:ascii="Arial" w:hAnsi="Arial" w:cs="Arial"/>
          <w:b/>
          <w:bCs/>
          <w:sz w:val="40"/>
          <w:szCs w:val="40"/>
        </w:rPr>
        <w:t xml:space="preserve"> of 202</w:t>
      </w:r>
      <w:r>
        <w:rPr>
          <w:rFonts w:ascii="Arial" w:hAnsi="Arial" w:cs="Arial"/>
          <w:b/>
          <w:bCs/>
          <w:sz w:val="40"/>
          <w:szCs w:val="40"/>
        </w:rPr>
        <w:t>5</w:t>
      </w:r>
      <w:r w:rsidRPr="000B237A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6F950C4F" w14:textId="014586E5" w:rsidR="001757DC" w:rsidRPr="000B237A" w:rsidRDefault="001757DC" w:rsidP="001757DC">
      <w:pPr>
        <w:spacing w:before="240"/>
        <w:jc w:val="both"/>
        <w:rPr>
          <w:rFonts w:ascii="Arial" w:hAnsi="Arial" w:cs="Arial"/>
          <w:b/>
          <w:bCs/>
          <w:sz w:val="28"/>
          <w:szCs w:val="28"/>
        </w:rPr>
      </w:pPr>
      <w:r w:rsidRPr="000B237A">
        <w:rPr>
          <w:rFonts w:ascii="Arial" w:hAnsi="Arial" w:cs="Arial"/>
          <w:b/>
          <w:bCs/>
          <w:sz w:val="28"/>
          <w:szCs w:val="28"/>
        </w:rPr>
        <w:t xml:space="preserve">Reporting Standard </w:t>
      </w:r>
      <w:r w:rsidRPr="001757DC">
        <w:rPr>
          <w:rFonts w:ascii="Arial" w:hAnsi="Arial" w:cs="Arial"/>
          <w:b/>
          <w:bCs/>
          <w:sz w:val="28"/>
          <w:szCs w:val="28"/>
        </w:rPr>
        <w:t>HRS 604.0 Medical Specialty Block Grouping Information</w:t>
      </w:r>
    </w:p>
    <w:p w14:paraId="4406171A" w14:textId="77777777" w:rsidR="001757DC" w:rsidRPr="000B237A" w:rsidRDefault="001757DC" w:rsidP="001757DC">
      <w:pPr>
        <w:pBdr>
          <w:bottom w:val="single" w:sz="4" w:space="3" w:color="auto"/>
        </w:pBdr>
        <w:spacing w:before="240" w:after="240"/>
        <w:rPr>
          <w:rFonts w:ascii="Arial" w:hAnsi="Arial"/>
          <w:i/>
          <w:iCs/>
          <w:sz w:val="28"/>
        </w:rPr>
      </w:pPr>
      <w:r w:rsidRPr="000B237A">
        <w:rPr>
          <w:rFonts w:ascii="Arial" w:hAnsi="Arial"/>
          <w:i/>
          <w:iCs/>
          <w:sz w:val="28"/>
        </w:rPr>
        <w:t>Financial Sector (</w:t>
      </w:r>
      <w:r w:rsidRPr="000B237A">
        <w:rPr>
          <w:rFonts w:ascii="Arial" w:hAnsi="Arial"/>
          <w:iCs/>
          <w:sz w:val="28"/>
        </w:rPr>
        <w:t>Collection</w:t>
      </w:r>
      <w:r w:rsidRPr="000B237A">
        <w:rPr>
          <w:rFonts w:ascii="Arial" w:hAnsi="Arial"/>
          <w:i/>
          <w:iCs/>
          <w:sz w:val="28"/>
        </w:rPr>
        <w:t xml:space="preserve"> of Data) Act 2001</w:t>
      </w:r>
    </w:p>
    <w:p w14:paraId="38B12992" w14:textId="77777777" w:rsidR="001757DC" w:rsidRPr="000B237A" w:rsidRDefault="001757DC" w:rsidP="001757DC">
      <w:pPr>
        <w:jc w:val="both"/>
        <w:rPr>
          <w:i/>
          <w:szCs w:val="24"/>
        </w:rPr>
      </w:pPr>
      <w:r w:rsidRPr="00B42CB3">
        <w:rPr>
          <w:szCs w:val="24"/>
        </w:rPr>
        <w:t xml:space="preserve">I, Andrew Robertson, delegate of APRA, under paragraph 13(1)(a) of the </w:t>
      </w:r>
      <w:r w:rsidRPr="00B42CB3">
        <w:rPr>
          <w:i/>
          <w:szCs w:val="24"/>
        </w:rPr>
        <w:t>Financial Sector (Collection of Data) Act 2001</w:t>
      </w:r>
      <w:r w:rsidRPr="000B237A">
        <w:rPr>
          <w:szCs w:val="24"/>
        </w:rPr>
        <w:t xml:space="preserve"> (the Act) and subsection 33(3) of the </w:t>
      </w:r>
      <w:r w:rsidRPr="000B237A">
        <w:rPr>
          <w:i/>
          <w:szCs w:val="24"/>
        </w:rPr>
        <w:t>Acts Interpretation Act 1901</w:t>
      </w:r>
      <w:r w:rsidRPr="000B237A">
        <w:rPr>
          <w:szCs w:val="24"/>
        </w:rPr>
        <w:t>:</w:t>
      </w:r>
    </w:p>
    <w:p w14:paraId="7F9499CE" w14:textId="77777777" w:rsidR="001757DC" w:rsidRPr="000B237A" w:rsidRDefault="001757DC" w:rsidP="001757DC">
      <w:pPr>
        <w:jc w:val="both"/>
        <w:rPr>
          <w:i/>
          <w:szCs w:val="24"/>
        </w:rPr>
      </w:pPr>
    </w:p>
    <w:p w14:paraId="02DD76E4" w14:textId="5FC9E7B9" w:rsidR="001757DC" w:rsidRPr="000B237A" w:rsidRDefault="001757DC" w:rsidP="001757DC">
      <w:pPr>
        <w:numPr>
          <w:ilvl w:val="0"/>
          <w:numId w:val="11"/>
        </w:numPr>
        <w:tabs>
          <w:tab w:val="left" w:pos="567"/>
        </w:tabs>
        <w:ind w:left="567" w:hanging="567"/>
        <w:jc w:val="both"/>
        <w:rPr>
          <w:szCs w:val="24"/>
        </w:rPr>
      </w:pPr>
      <w:r w:rsidRPr="000B237A">
        <w:rPr>
          <w:szCs w:val="24"/>
        </w:rPr>
        <w:t xml:space="preserve">revoke Financial Sector (Collection of Data) (reporting standard) determination No. </w:t>
      </w:r>
      <w:r>
        <w:rPr>
          <w:szCs w:val="24"/>
        </w:rPr>
        <w:t>34</w:t>
      </w:r>
      <w:r w:rsidRPr="000B237A">
        <w:rPr>
          <w:szCs w:val="24"/>
        </w:rPr>
        <w:t xml:space="preserve"> of 20</w:t>
      </w:r>
      <w:r>
        <w:rPr>
          <w:szCs w:val="24"/>
        </w:rPr>
        <w:t>15</w:t>
      </w:r>
      <w:r w:rsidRPr="000B237A">
        <w:rPr>
          <w:szCs w:val="24"/>
        </w:rPr>
        <w:t xml:space="preserve">, including </w:t>
      </w:r>
      <w:r w:rsidRPr="000B237A">
        <w:rPr>
          <w:i/>
          <w:szCs w:val="24"/>
        </w:rPr>
        <w:t xml:space="preserve">Reporting Standard </w:t>
      </w:r>
      <w:r w:rsidRPr="001757DC">
        <w:rPr>
          <w:i/>
          <w:szCs w:val="24"/>
        </w:rPr>
        <w:t>HRS 604.0 Medical Specialty Block Grouping Information</w:t>
      </w:r>
      <w:r w:rsidRPr="000B237A">
        <w:rPr>
          <w:i/>
          <w:szCs w:val="24"/>
        </w:rPr>
        <w:t xml:space="preserve"> </w:t>
      </w:r>
      <w:r w:rsidRPr="000B237A">
        <w:rPr>
          <w:szCs w:val="24"/>
        </w:rPr>
        <w:t>made under that Determination; and</w:t>
      </w:r>
    </w:p>
    <w:p w14:paraId="0526B078" w14:textId="77777777" w:rsidR="001757DC" w:rsidRPr="000B237A" w:rsidRDefault="001757DC" w:rsidP="001757DC">
      <w:pPr>
        <w:tabs>
          <w:tab w:val="left" w:pos="567"/>
        </w:tabs>
        <w:ind w:left="567"/>
        <w:jc w:val="both"/>
        <w:rPr>
          <w:szCs w:val="24"/>
        </w:rPr>
      </w:pPr>
    </w:p>
    <w:p w14:paraId="384CA272" w14:textId="1760CFD6" w:rsidR="001757DC" w:rsidRPr="001757DC" w:rsidRDefault="001757DC" w:rsidP="001757DC">
      <w:pPr>
        <w:numPr>
          <w:ilvl w:val="0"/>
          <w:numId w:val="12"/>
        </w:numPr>
        <w:tabs>
          <w:tab w:val="left" w:pos="567"/>
        </w:tabs>
        <w:ind w:left="567" w:hanging="567"/>
        <w:jc w:val="both"/>
        <w:rPr>
          <w:szCs w:val="24"/>
        </w:rPr>
      </w:pPr>
      <w:r w:rsidRPr="000B237A">
        <w:rPr>
          <w:szCs w:val="24"/>
        </w:rPr>
        <w:t xml:space="preserve">determine </w:t>
      </w:r>
      <w:r w:rsidRPr="000B237A">
        <w:rPr>
          <w:i/>
          <w:szCs w:val="24"/>
        </w:rPr>
        <w:t xml:space="preserve">Reporting Standard </w:t>
      </w:r>
      <w:r w:rsidRPr="001757DC">
        <w:rPr>
          <w:i/>
          <w:szCs w:val="24"/>
        </w:rPr>
        <w:t>HRS 604.0 Medical Specialty Block Grouping Information</w:t>
      </w:r>
      <w:r w:rsidRPr="000B237A">
        <w:rPr>
          <w:i/>
          <w:szCs w:val="24"/>
        </w:rPr>
        <w:t>,</w:t>
      </w:r>
      <w:r w:rsidRPr="000B237A">
        <w:rPr>
          <w:szCs w:val="24"/>
        </w:rPr>
        <w:t xml:space="preserve"> in the form set out in the Schedule, which applies to the financial sector entities to the extent provided in </w:t>
      </w:r>
      <w:r w:rsidRPr="001757DC">
        <w:rPr>
          <w:szCs w:val="24"/>
        </w:rPr>
        <w:t xml:space="preserve">paragraph 3 of that reporting standard. </w:t>
      </w:r>
    </w:p>
    <w:p w14:paraId="6F00B862" w14:textId="77777777" w:rsidR="001757DC" w:rsidRPr="000B237A" w:rsidRDefault="001757DC" w:rsidP="001757DC">
      <w:pPr>
        <w:ind w:left="709" w:hanging="709"/>
        <w:jc w:val="both"/>
        <w:rPr>
          <w:szCs w:val="24"/>
        </w:rPr>
      </w:pPr>
    </w:p>
    <w:p w14:paraId="09AE7560" w14:textId="19401F3D" w:rsidR="001757DC" w:rsidRPr="000B237A" w:rsidRDefault="001757DC" w:rsidP="001757DC">
      <w:pPr>
        <w:jc w:val="both"/>
        <w:rPr>
          <w:szCs w:val="24"/>
          <w:lang w:val="en-US"/>
        </w:rPr>
      </w:pPr>
      <w:r w:rsidRPr="000B237A">
        <w:rPr>
          <w:szCs w:val="24"/>
          <w:lang w:val="en-US"/>
        </w:rPr>
        <w:t xml:space="preserve">Under section 15 of the Act, I declare that </w:t>
      </w:r>
      <w:r w:rsidRPr="3BE59C79">
        <w:rPr>
          <w:i/>
          <w:iCs/>
          <w:szCs w:val="24"/>
        </w:rPr>
        <w:t xml:space="preserve">Reporting Standard </w:t>
      </w:r>
      <w:r w:rsidRPr="001757DC">
        <w:rPr>
          <w:i/>
          <w:iCs/>
          <w:szCs w:val="24"/>
        </w:rPr>
        <w:t>HRS 604.0 Medical Specialty Block Grouping Information</w:t>
      </w:r>
      <w:r w:rsidRPr="3BE59C79">
        <w:rPr>
          <w:szCs w:val="24"/>
          <w:lang w:val="en-US"/>
        </w:rPr>
        <w:t xml:space="preserve"> </w:t>
      </w:r>
      <w:r w:rsidRPr="000B237A">
        <w:rPr>
          <w:szCs w:val="24"/>
          <w:lang w:val="en-US"/>
        </w:rPr>
        <w:t xml:space="preserve">shall begin to apply to those financial sector entities, and the revoked reporting standard shall cease to apply, </w:t>
      </w:r>
      <w:bookmarkStart w:id="1" w:name="_Hlk175835614"/>
      <w:r>
        <w:rPr>
          <w:szCs w:val="24"/>
          <w:lang w:val="en-US"/>
        </w:rPr>
        <w:t xml:space="preserve">on </w:t>
      </w:r>
      <w:r w:rsidRPr="000B237A">
        <w:rPr>
          <w:szCs w:val="24"/>
          <w:lang w:val="en-US"/>
        </w:rPr>
        <w:t>the day</w:t>
      </w:r>
      <w:r>
        <w:rPr>
          <w:szCs w:val="24"/>
          <w:lang w:val="en-US"/>
        </w:rPr>
        <w:t xml:space="preserve"> after</w:t>
      </w:r>
      <w:r w:rsidRPr="000B237A">
        <w:rPr>
          <w:szCs w:val="24"/>
          <w:lang w:val="en-US"/>
        </w:rPr>
        <w:t xml:space="preserve"> </w:t>
      </w:r>
      <w:r w:rsidRPr="00D45A05">
        <w:rPr>
          <w:iCs/>
          <w:szCs w:val="24"/>
        </w:rPr>
        <w:t>this instrument</w:t>
      </w:r>
      <w:r>
        <w:rPr>
          <w:i/>
          <w:iCs/>
          <w:szCs w:val="24"/>
        </w:rPr>
        <w:t xml:space="preserve"> </w:t>
      </w:r>
      <w:r w:rsidRPr="000B237A">
        <w:rPr>
          <w:szCs w:val="24"/>
          <w:lang w:val="en-US"/>
        </w:rPr>
        <w:t>is registered on the Federal Register of Legislation</w:t>
      </w:r>
      <w:bookmarkEnd w:id="1"/>
      <w:r w:rsidRPr="000B237A">
        <w:rPr>
          <w:szCs w:val="24"/>
          <w:lang w:val="en-US"/>
        </w:rPr>
        <w:t xml:space="preserve">. </w:t>
      </w:r>
    </w:p>
    <w:p w14:paraId="04D99B67" w14:textId="77777777" w:rsidR="001757DC" w:rsidRPr="000B237A" w:rsidRDefault="001757DC" w:rsidP="001757DC">
      <w:pPr>
        <w:jc w:val="both"/>
        <w:rPr>
          <w:szCs w:val="24"/>
          <w:lang w:val="en-US"/>
        </w:rPr>
      </w:pPr>
    </w:p>
    <w:p w14:paraId="2B2B6263" w14:textId="71FA296F" w:rsidR="001757DC" w:rsidRPr="0040477F" w:rsidRDefault="001757DC" w:rsidP="001757DC">
      <w:pPr>
        <w:jc w:val="both"/>
        <w:rPr>
          <w:szCs w:val="24"/>
          <w:lang w:val="en-US"/>
        </w:rPr>
      </w:pPr>
      <w:r w:rsidRPr="0040477F">
        <w:rPr>
          <w:szCs w:val="24"/>
          <w:lang w:val="en-US"/>
        </w:rPr>
        <w:t xml:space="preserve">This instrument commences </w:t>
      </w:r>
      <w:bookmarkStart w:id="2" w:name="_Hlk175835552"/>
      <w:r w:rsidR="009529F1">
        <w:rPr>
          <w:szCs w:val="24"/>
          <w:lang w:val="en-US"/>
        </w:rPr>
        <w:t xml:space="preserve">at the start of </w:t>
      </w:r>
      <w:r w:rsidRPr="00794586">
        <w:rPr>
          <w:lang w:val="en-US"/>
        </w:rPr>
        <w:t xml:space="preserve">the day after </w:t>
      </w:r>
      <w:r w:rsidR="009529F1">
        <w:rPr>
          <w:lang w:val="en-US"/>
        </w:rPr>
        <w:t xml:space="preserve">the day </w:t>
      </w:r>
      <w:r>
        <w:rPr>
          <w:lang w:val="en-US"/>
        </w:rPr>
        <w:t xml:space="preserve">it </w:t>
      </w:r>
      <w:r w:rsidRPr="00794586">
        <w:rPr>
          <w:lang w:val="en-US"/>
        </w:rPr>
        <w:t>is registered on the Federal Register of Legislation</w:t>
      </w:r>
      <w:bookmarkEnd w:id="2"/>
      <w:r w:rsidRPr="0040477F">
        <w:rPr>
          <w:szCs w:val="24"/>
          <w:lang w:val="en-US"/>
        </w:rPr>
        <w:t>.</w:t>
      </w:r>
    </w:p>
    <w:p w14:paraId="3A6A2AA2" w14:textId="77777777" w:rsidR="001757DC" w:rsidRPr="0040477F" w:rsidRDefault="001757DC" w:rsidP="001757DC">
      <w:pPr>
        <w:jc w:val="both"/>
        <w:rPr>
          <w:szCs w:val="24"/>
          <w:lang w:val="en-US"/>
        </w:rPr>
      </w:pPr>
    </w:p>
    <w:p w14:paraId="15F26B4F" w14:textId="6AB7C10C" w:rsidR="001757DC" w:rsidRPr="000B237A" w:rsidRDefault="001757DC" w:rsidP="001757DC">
      <w:pPr>
        <w:jc w:val="both"/>
        <w:rPr>
          <w:szCs w:val="24"/>
          <w:lang w:val="en-US"/>
        </w:rPr>
      </w:pPr>
      <w:r w:rsidRPr="00F71BDC">
        <w:rPr>
          <w:szCs w:val="24"/>
          <w:lang w:val="en-US"/>
        </w:rPr>
        <w:t xml:space="preserve">Dated: </w:t>
      </w:r>
      <w:r w:rsidR="00F71BDC" w:rsidRPr="00F71BDC">
        <w:rPr>
          <w:szCs w:val="24"/>
          <w:lang w:val="en-US"/>
        </w:rPr>
        <w:t>11 September</w:t>
      </w:r>
      <w:r w:rsidRPr="00F71BDC">
        <w:rPr>
          <w:szCs w:val="24"/>
          <w:lang w:val="en-US"/>
        </w:rPr>
        <w:t xml:space="preserve"> 2025</w:t>
      </w:r>
    </w:p>
    <w:p w14:paraId="100B831A" w14:textId="77777777" w:rsidR="001757DC" w:rsidRPr="000B237A" w:rsidRDefault="001757DC" w:rsidP="001757DC">
      <w:pPr>
        <w:jc w:val="both"/>
        <w:rPr>
          <w:i/>
          <w:szCs w:val="24"/>
          <w:lang w:val="en-US"/>
        </w:rPr>
      </w:pPr>
    </w:p>
    <w:p w14:paraId="24B14846" w14:textId="77777777" w:rsidR="001757DC" w:rsidRPr="000B237A" w:rsidRDefault="001757DC" w:rsidP="001757DC">
      <w:pPr>
        <w:jc w:val="both"/>
        <w:rPr>
          <w:noProof/>
          <w:szCs w:val="24"/>
        </w:rPr>
      </w:pPr>
    </w:p>
    <w:p w14:paraId="402E7860" w14:textId="77777777" w:rsidR="001757DC" w:rsidRPr="000B237A" w:rsidRDefault="001757DC" w:rsidP="001757DC">
      <w:pPr>
        <w:jc w:val="both"/>
        <w:rPr>
          <w:szCs w:val="24"/>
          <w:lang w:val="en-US"/>
        </w:rPr>
      </w:pPr>
    </w:p>
    <w:p w14:paraId="51CCD7A3" w14:textId="77777777" w:rsidR="001757DC" w:rsidRPr="00B42CB3" w:rsidRDefault="001757DC" w:rsidP="001757DC">
      <w:pPr>
        <w:jc w:val="both"/>
        <w:rPr>
          <w:szCs w:val="24"/>
          <w:lang w:val="en-US"/>
        </w:rPr>
      </w:pPr>
      <w:r w:rsidRPr="00B42CB3">
        <w:rPr>
          <w:szCs w:val="24"/>
          <w:lang w:val="en-US"/>
        </w:rPr>
        <w:t>Andrew Robertson</w:t>
      </w:r>
    </w:p>
    <w:p w14:paraId="3A795D1C" w14:textId="77777777" w:rsidR="001757DC" w:rsidRPr="00747A03" w:rsidRDefault="001757DC" w:rsidP="001757DC">
      <w:pPr>
        <w:jc w:val="both"/>
        <w:rPr>
          <w:szCs w:val="24"/>
          <w:lang w:val="en-US"/>
        </w:rPr>
      </w:pPr>
      <w:r w:rsidRPr="00B42CB3">
        <w:rPr>
          <w:szCs w:val="24"/>
          <w:lang w:val="en-US"/>
        </w:rPr>
        <w:t>General Manager - Chief</w:t>
      </w:r>
      <w:r w:rsidRPr="00747A03">
        <w:rPr>
          <w:szCs w:val="24"/>
          <w:lang w:val="en-US"/>
        </w:rPr>
        <w:t xml:space="preserve"> Data Officer</w:t>
      </w:r>
    </w:p>
    <w:p w14:paraId="5CF5CD4B" w14:textId="77777777" w:rsidR="001757DC" w:rsidRPr="000B237A" w:rsidRDefault="001757DC" w:rsidP="001757DC">
      <w:pPr>
        <w:jc w:val="both"/>
        <w:rPr>
          <w:szCs w:val="24"/>
          <w:lang w:val="en-US"/>
        </w:rPr>
      </w:pPr>
      <w:r w:rsidRPr="00747A03">
        <w:rPr>
          <w:szCs w:val="24"/>
          <w:lang w:val="en-US"/>
        </w:rPr>
        <w:t>Technology and Data Division</w:t>
      </w:r>
    </w:p>
    <w:p w14:paraId="5CD19315" w14:textId="77777777" w:rsidR="001757DC" w:rsidRPr="000B237A" w:rsidRDefault="001757DC" w:rsidP="001757DC">
      <w:pPr>
        <w:jc w:val="both"/>
        <w:rPr>
          <w:szCs w:val="24"/>
          <w:lang w:val="en-US"/>
        </w:rPr>
      </w:pPr>
    </w:p>
    <w:p w14:paraId="6F04687D" w14:textId="77777777" w:rsidR="001757DC" w:rsidRPr="000B237A" w:rsidRDefault="001757DC" w:rsidP="001757DC">
      <w:pPr>
        <w:jc w:val="both"/>
        <w:rPr>
          <w:b/>
          <w:szCs w:val="24"/>
          <w:lang w:val="en-US"/>
        </w:rPr>
      </w:pPr>
    </w:p>
    <w:p w14:paraId="172977C7" w14:textId="77777777" w:rsidR="001757DC" w:rsidRPr="000B237A" w:rsidRDefault="001757DC" w:rsidP="001757DC">
      <w:pPr>
        <w:jc w:val="both"/>
        <w:rPr>
          <w:b/>
          <w:szCs w:val="24"/>
          <w:lang w:val="en-US"/>
        </w:rPr>
      </w:pPr>
    </w:p>
    <w:p w14:paraId="2CE4C438" w14:textId="42F36186" w:rsidR="001757DC" w:rsidRPr="000B237A" w:rsidRDefault="001757DC" w:rsidP="001757DC">
      <w:pPr>
        <w:jc w:val="both"/>
        <w:rPr>
          <w:b/>
          <w:szCs w:val="24"/>
          <w:lang w:val="en-US"/>
        </w:rPr>
      </w:pPr>
      <w:r w:rsidRPr="000B237A">
        <w:rPr>
          <w:b/>
          <w:szCs w:val="24"/>
          <w:lang w:val="en-US"/>
        </w:rPr>
        <w:t>Interpretation</w:t>
      </w:r>
    </w:p>
    <w:p w14:paraId="5F48514A" w14:textId="77777777" w:rsidR="001757DC" w:rsidRPr="000B237A" w:rsidRDefault="001757DC" w:rsidP="001757DC">
      <w:pPr>
        <w:keepNext/>
        <w:tabs>
          <w:tab w:val="right" w:pos="794"/>
        </w:tabs>
        <w:spacing w:before="240" w:line="260" w:lineRule="exact"/>
        <w:jc w:val="both"/>
        <w:rPr>
          <w:szCs w:val="24"/>
        </w:rPr>
      </w:pPr>
      <w:r w:rsidRPr="000B237A">
        <w:rPr>
          <w:szCs w:val="24"/>
        </w:rPr>
        <w:lastRenderedPageBreak/>
        <w:t>In this Determination:</w:t>
      </w:r>
    </w:p>
    <w:p w14:paraId="74635F84" w14:textId="77777777" w:rsidR="001757DC" w:rsidRPr="000B237A" w:rsidRDefault="001757DC" w:rsidP="001757DC">
      <w:pPr>
        <w:spacing w:before="120"/>
        <w:jc w:val="both"/>
        <w:rPr>
          <w:szCs w:val="24"/>
        </w:rPr>
      </w:pPr>
      <w:r w:rsidRPr="000B237A">
        <w:rPr>
          <w:b/>
          <w:i/>
          <w:szCs w:val="24"/>
        </w:rPr>
        <w:t>APRA</w:t>
      </w:r>
      <w:r w:rsidRPr="000B237A">
        <w:rPr>
          <w:szCs w:val="24"/>
        </w:rPr>
        <w:t xml:space="preserve"> means the Australian Prudential Regulation Authority.</w:t>
      </w:r>
    </w:p>
    <w:p w14:paraId="235450C7" w14:textId="77777777" w:rsidR="001757DC" w:rsidRPr="000B237A" w:rsidRDefault="001757DC" w:rsidP="001757DC">
      <w:pPr>
        <w:shd w:val="clear" w:color="auto" w:fill="FFFFFF"/>
        <w:spacing w:before="120"/>
        <w:rPr>
          <w:szCs w:val="24"/>
        </w:rPr>
      </w:pPr>
      <w:bookmarkStart w:id="3" w:name="_Hlk128749470"/>
      <w:r w:rsidRPr="000B237A">
        <w:rPr>
          <w:b/>
          <w:bCs/>
          <w:i/>
          <w:iCs/>
        </w:rPr>
        <w:t>Federal Register of Legislation</w:t>
      </w:r>
      <w:r w:rsidRPr="000B237A">
        <w:t xml:space="preserve"> means the register established under section 15A of the </w:t>
      </w:r>
      <w:r w:rsidRPr="000B237A">
        <w:rPr>
          <w:i/>
          <w:iCs/>
        </w:rPr>
        <w:t>Legislation Act 2003.</w:t>
      </w:r>
      <w:bookmarkEnd w:id="3"/>
    </w:p>
    <w:p w14:paraId="74ABA5A7" w14:textId="77777777" w:rsidR="001757DC" w:rsidRPr="000B237A" w:rsidRDefault="001757DC" w:rsidP="001757DC">
      <w:pPr>
        <w:spacing w:before="120"/>
        <w:ind w:left="720" w:hanging="720"/>
        <w:jc w:val="both"/>
        <w:rPr>
          <w:szCs w:val="24"/>
        </w:rPr>
      </w:pPr>
      <w:r w:rsidRPr="000B237A">
        <w:rPr>
          <w:b/>
          <w:i/>
          <w:szCs w:val="24"/>
        </w:rPr>
        <w:t>financial sector entity</w:t>
      </w:r>
      <w:r w:rsidRPr="000B237A">
        <w:rPr>
          <w:szCs w:val="24"/>
        </w:rPr>
        <w:t xml:space="preserve"> has the meaning given by section 5 of the Act. </w:t>
      </w:r>
    </w:p>
    <w:p w14:paraId="77FEDCD1" w14:textId="77777777" w:rsidR="001757DC" w:rsidRPr="00500AC9" w:rsidRDefault="001757DC" w:rsidP="001757DC">
      <w:pPr>
        <w:keepNext/>
        <w:autoSpaceDE w:val="0"/>
        <w:autoSpaceDN w:val="0"/>
        <w:spacing w:before="480"/>
        <w:rPr>
          <w:rFonts w:ascii="Arial" w:hAnsi="Arial" w:cs="Arial"/>
          <w:b/>
          <w:bCs/>
          <w:sz w:val="32"/>
          <w:szCs w:val="32"/>
        </w:rPr>
      </w:pPr>
      <w:r w:rsidRPr="000B237A">
        <w:rPr>
          <w:rFonts w:ascii="Arial" w:hAnsi="Arial" w:cs="Arial"/>
          <w:b/>
          <w:bCs/>
          <w:sz w:val="32"/>
          <w:szCs w:val="32"/>
        </w:rPr>
        <w:t xml:space="preserve">Schedule </w:t>
      </w:r>
    </w:p>
    <w:p w14:paraId="076A4686" w14:textId="77777777" w:rsidR="001757DC" w:rsidRPr="000B237A" w:rsidRDefault="001757DC" w:rsidP="001757DC">
      <w:pPr>
        <w:keepNext/>
        <w:autoSpaceDE w:val="0"/>
        <w:autoSpaceDN w:val="0"/>
        <w:spacing w:before="60" w:line="200" w:lineRule="exact"/>
        <w:ind w:left="2410"/>
        <w:rPr>
          <w:rFonts w:ascii="Arial" w:hAnsi="Arial" w:cs="Arial"/>
          <w:sz w:val="18"/>
          <w:szCs w:val="18"/>
        </w:rPr>
      </w:pPr>
    </w:p>
    <w:p w14:paraId="13203B41" w14:textId="61687C29" w:rsidR="001757DC" w:rsidRPr="000B237A" w:rsidRDefault="001757DC" w:rsidP="001757DC">
      <w:pPr>
        <w:tabs>
          <w:tab w:val="center" w:pos="4320"/>
          <w:tab w:val="right" w:pos="8640"/>
        </w:tabs>
        <w:jc w:val="both"/>
        <w:rPr>
          <w:bCs/>
          <w:szCs w:val="24"/>
          <w:lang w:val="en-US"/>
        </w:rPr>
      </w:pPr>
      <w:r w:rsidRPr="00B42CB3">
        <w:rPr>
          <w:szCs w:val="24"/>
          <w:lang w:val="en-US"/>
        </w:rPr>
        <w:t xml:space="preserve">Reporting Standard </w:t>
      </w:r>
      <w:r w:rsidRPr="00B42CB3">
        <w:rPr>
          <w:i/>
          <w:szCs w:val="24"/>
          <w:lang w:val="en-US"/>
        </w:rPr>
        <w:t>HRS 604.0</w:t>
      </w:r>
      <w:r w:rsidRPr="001757DC">
        <w:rPr>
          <w:i/>
          <w:szCs w:val="24"/>
          <w:lang w:val="en-US"/>
        </w:rPr>
        <w:t xml:space="preserve"> Medical Specialty Block Grouping Information</w:t>
      </w:r>
      <w:r w:rsidRPr="000B237A">
        <w:rPr>
          <w:i/>
          <w:szCs w:val="24"/>
          <w:lang w:val="en-US"/>
        </w:rPr>
        <w:t xml:space="preserve"> </w:t>
      </w:r>
      <w:r w:rsidRPr="000B237A">
        <w:rPr>
          <w:bCs/>
          <w:szCs w:val="24"/>
          <w:lang w:val="en-US"/>
        </w:rPr>
        <w:t>comprises the document commencing on the following page.</w:t>
      </w:r>
    </w:p>
    <w:bookmarkEnd w:id="0"/>
    <w:p w14:paraId="25386A47" w14:textId="0393A295" w:rsidR="00EC746D" w:rsidRDefault="00EC746D" w:rsidP="00EC746D">
      <w:pPr>
        <w:pStyle w:val="Header"/>
        <w:jc w:val="both"/>
        <w:rPr>
          <w:bCs/>
        </w:rPr>
      </w:pPr>
    </w:p>
    <w:p w14:paraId="0051FDFD" w14:textId="77777777" w:rsidR="00C72DE3" w:rsidRDefault="00C72DE3" w:rsidP="00EC746D">
      <w:pPr>
        <w:pStyle w:val="Header"/>
        <w:jc w:val="both"/>
        <w:rPr>
          <w:bCs/>
        </w:rPr>
        <w:sectPr w:rsidR="00C72DE3" w:rsidSect="00CA4606">
          <w:headerReference w:type="default" r:id="rId12"/>
          <w:footerReference w:type="default" r:id="rId13"/>
          <w:endnotePr>
            <w:numFmt w:val="decimal"/>
          </w:endnotePr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4897E5E" w14:textId="77777777" w:rsidR="00C72DE3" w:rsidRPr="00706CFC" w:rsidRDefault="00C72DE3" w:rsidP="00C72DE3">
      <w:pPr>
        <w:jc w:val="both"/>
        <w:rPr>
          <w:rFonts w:eastAsia="Times"/>
        </w:rPr>
      </w:pPr>
      <w:bookmarkStart w:id="4" w:name="OLE_LINK1"/>
      <w:r>
        <w:rPr>
          <w:rFonts w:eastAsia="Times"/>
          <w:noProof/>
        </w:rPr>
        <w:lastRenderedPageBreak/>
        <w:drawing>
          <wp:inline distT="0" distB="0" distL="0" distR="0" wp14:anchorId="3ADA479D" wp14:editId="7C97AFB3">
            <wp:extent cx="1419225" cy="1104900"/>
            <wp:effectExtent l="0" t="0" r="9525" b="0"/>
            <wp:docPr id="11" name="Picture 1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1C37B" w14:textId="77777777" w:rsidR="00C72DE3" w:rsidRPr="00706CFC" w:rsidRDefault="00C72DE3" w:rsidP="00C72DE3">
      <w:pPr>
        <w:jc w:val="both"/>
        <w:rPr>
          <w:rFonts w:eastAsia="Times"/>
        </w:rPr>
      </w:pPr>
    </w:p>
    <w:p w14:paraId="6974F3B0" w14:textId="77777777" w:rsidR="00C72DE3" w:rsidRPr="00706CFC" w:rsidRDefault="00C72DE3" w:rsidP="00C72DE3">
      <w:pPr>
        <w:spacing w:before="120" w:after="360"/>
        <w:jc w:val="both"/>
        <w:rPr>
          <w:rFonts w:ascii="Arial" w:hAnsi="Arial" w:cs="Arial"/>
          <w:b/>
          <w:sz w:val="40"/>
          <w:szCs w:val="40"/>
        </w:rPr>
      </w:pPr>
      <w:r w:rsidRPr="00706CFC">
        <w:rPr>
          <w:rFonts w:ascii="Arial" w:hAnsi="Arial" w:cs="Arial"/>
          <w:b/>
          <w:sz w:val="40"/>
          <w:szCs w:val="40"/>
        </w:rPr>
        <w:t xml:space="preserve">Reporting Standard </w:t>
      </w:r>
      <w:r>
        <w:rPr>
          <w:rFonts w:ascii="Arial" w:hAnsi="Arial" w:cs="Arial"/>
          <w:b/>
          <w:sz w:val="40"/>
          <w:szCs w:val="40"/>
        </w:rPr>
        <w:t>HRS 604.0</w:t>
      </w:r>
    </w:p>
    <w:p w14:paraId="46B59502" w14:textId="77777777" w:rsidR="00C72DE3" w:rsidRPr="00706CFC" w:rsidRDefault="00C72DE3" w:rsidP="00C72DE3">
      <w:pPr>
        <w:spacing w:before="120" w:after="360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Medical Specialty Block Grouping Information</w:t>
      </w:r>
    </w:p>
    <w:p w14:paraId="3F22410C" w14:textId="77777777" w:rsidR="00C72DE3" w:rsidRPr="00706CFC" w:rsidRDefault="00C72DE3" w:rsidP="00C72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360"/>
        <w:jc w:val="both"/>
        <w:rPr>
          <w:rFonts w:ascii="Arial" w:eastAsia="Times" w:hAnsi="Arial" w:cs="Arial"/>
          <w:b/>
          <w:sz w:val="32"/>
          <w:szCs w:val="32"/>
        </w:rPr>
      </w:pPr>
      <w:r w:rsidRPr="00706CFC">
        <w:rPr>
          <w:rFonts w:ascii="Arial" w:eastAsia="Times" w:hAnsi="Arial" w:cs="Arial"/>
          <w:b/>
          <w:sz w:val="32"/>
          <w:szCs w:val="32"/>
        </w:rPr>
        <w:t>Objective of this Reporting Standard</w:t>
      </w:r>
    </w:p>
    <w:p w14:paraId="2026429A" w14:textId="77777777" w:rsidR="00C72DE3" w:rsidRPr="00706CFC" w:rsidRDefault="00C72DE3" w:rsidP="00C72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jc w:val="both"/>
        <w:rPr>
          <w:rFonts w:eastAsia="Times"/>
          <w:szCs w:val="24"/>
        </w:rPr>
      </w:pPr>
      <w:r w:rsidRPr="00706CFC">
        <w:rPr>
          <w:rFonts w:eastAsia="Times"/>
          <w:szCs w:val="24"/>
        </w:rPr>
        <w:t xml:space="preserve">This Reporting Standard sets out the requirements for the provision of information to APRA </w:t>
      </w:r>
      <w:r>
        <w:rPr>
          <w:rFonts w:eastAsia="Times"/>
          <w:szCs w:val="24"/>
        </w:rPr>
        <w:t xml:space="preserve">allowing for the publication of aggregate statistics on medical services by State and Territory. </w:t>
      </w:r>
      <w:r w:rsidRPr="00706CFC">
        <w:rPr>
          <w:rFonts w:eastAsia="Times"/>
          <w:szCs w:val="24"/>
        </w:rPr>
        <w:t xml:space="preserve"> </w:t>
      </w:r>
    </w:p>
    <w:p w14:paraId="76D5CE3B" w14:textId="77777777" w:rsidR="00C72DE3" w:rsidRPr="00706CFC" w:rsidRDefault="00C72DE3" w:rsidP="00C72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eastAsia="Times"/>
          <w:szCs w:val="24"/>
        </w:rPr>
      </w:pPr>
      <w:r w:rsidRPr="00706CFC">
        <w:rPr>
          <w:rFonts w:eastAsia="Times"/>
          <w:szCs w:val="24"/>
        </w:rPr>
        <w:t xml:space="preserve">It includes </w:t>
      </w:r>
      <w:r>
        <w:rPr>
          <w:rFonts w:eastAsia="Times"/>
          <w:i/>
          <w:szCs w:val="24"/>
        </w:rPr>
        <w:t>Form HRF 604.0</w:t>
      </w:r>
      <w:r w:rsidRPr="002B6B79">
        <w:rPr>
          <w:rFonts w:eastAsia="Times"/>
          <w:i/>
          <w:szCs w:val="24"/>
        </w:rPr>
        <w:t xml:space="preserve"> </w:t>
      </w:r>
      <w:r>
        <w:rPr>
          <w:rFonts w:eastAsia="Times"/>
          <w:i/>
          <w:szCs w:val="24"/>
        </w:rPr>
        <w:t xml:space="preserve">Medical Specialty Block Grouping Information </w:t>
      </w:r>
      <w:r w:rsidRPr="00706CFC">
        <w:rPr>
          <w:rFonts w:eastAsia="Times"/>
          <w:szCs w:val="24"/>
        </w:rPr>
        <w:t>and associated specific instructions.</w:t>
      </w:r>
    </w:p>
    <w:p w14:paraId="0355A7CC" w14:textId="77777777" w:rsidR="00C72DE3" w:rsidRPr="00706CFC" w:rsidRDefault="00C72DE3" w:rsidP="00C72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eastAsia="Times"/>
          <w:szCs w:val="24"/>
        </w:rPr>
      </w:pPr>
    </w:p>
    <w:p w14:paraId="0812E20E" w14:textId="77777777" w:rsidR="00C72DE3" w:rsidRPr="00706CFC" w:rsidRDefault="00C72DE3" w:rsidP="00C72DE3">
      <w:pPr>
        <w:keepNext/>
        <w:keepLines/>
        <w:spacing w:before="120" w:after="240"/>
        <w:jc w:val="both"/>
        <w:outlineLvl w:val="2"/>
        <w:rPr>
          <w:rFonts w:ascii="Arial" w:hAnsi="Arial"/>
          <w:b/>
          <w:bCs/>
          <w:szCs w:val="24"/>
          <w:lang w:val="x-none"/>
        </w:rPr>
      </w:pPr>
      <w:bookmarkStart w:id="5" w:name="_Toc256519850"/>
      <w:r w:rsidRPr="00706CFC">
        <w:rPr>
          <w:rFonts w:ascii="Arial" w:hAnsi="Arial"/>
          <w:b/>
          <w:bCs/>
          <w:szCs w:val="24"/>
          <w:lang w:val="x-none"/>
        </w:rPr>
        <w:t>Authority</w:t>
      </w:r>
      <w:bookmarkEnd w:id="5"/>
    </w:p>
    <w:p w14:paraId="5776D541" w14:textId="77777777" w:rsidR="00C72DE3" w:rsidRPr="00464339" w:rsidRDefault="00C72DE3" w:rsidP="00AB3E49">
      <w:pPr>
        <w:numPr>
          <w:ilvl w:val="0"/>
          <w:numId w:val="5"/>
        </w:numPr>
        <w:spacing w:before="240" w:after="240"/>
        <w:jc w:val="both"/>
        <w:rPr>
          <w:b/>
          <w:iCs/>
          <w:szCs w:val="24"/>
          <w:lang w:val="x-none"/>
        </w:rPr>
      </w:pPr>
      <w:bookmarkStart w:id="6" w:name="_Ref42506849"/>
      <w:r w:rsidRPr="00706CFC">
        <w:rPr>
          <w:iCs/>
          <w:szCs w:val="24"/>
          <w:lang w:val="x-none"/>
        </w:rPr>
        <w:t xml:space="preserve">This Reporting Standard is made under section 13 of the </w:t>
      </w:r>
      <w:r w:rsidRPr="00706CFC">
        <w:rPr>
          <w:i/>
          <w:iCs/>
          <w:szCs w:val="24"/>
          <w:lang w:val="x-none"/>
        </w:rPr>
        <w:t>Financial Sector (Collection of Data) Act 2001</w:t>
      </w:r>
      <w:r w:rsidRPr="00706CFC">
        <w:rPr>
          <w:iCs/>
          <w:szCs w:val="24"/>
          <w:lang w:val="x-none"/>
        </w:rPr>
        <w:t>.</w:t>
      </w:r>
      <w:bookmarkEnd w:id="6"/>
    </w:p>
    <w:p w14:paraId="04DFF1DD" w14:textId="77777777" w:rsidR="00C72DE3" w:rsidRPr="00464339" w:rsidRDefault="00C72DE3" w:rsidP="00C72DE3">
      <w:pPr>
        <w:keepNext/>
        <w:keepLines/>
        <w:spacing w:before="120" w:after="240"/>
        <w:jc w:val="both"/>
        <w:outlineLvl w:val="2"/>
        <w:rPr>
          <w:rFonts w:ascii="Arial" w:hAnsi="Arial"/>
          <w:b/>
          <w:bCs/>
          <w:color w:val="000000"/>
          <w:szCs w:val="24"/>
          <w:lang w:val="x-none"/>
        </w:rPr>
      </w:pPr>
      <w:r w:rsidRPr="00464339">
        <w:rPr>
          <w:rFonts w:ascii="Arial" w:hAnsi="Arial"/>
          <w:b/>
          <w:bCs/>
          <w:color w:val="000000"/>
          <w:szCs w:val="24"/>
          <w:lang w:val="x-none"/>
        </w:rPr>
        <w:t>Purpose</w:t>
      </w:r>
    </w:p>
    <w:p w14:paraId="1E4E5732" w14:textId="2CB7FA54" w:rsidR="00C72DE3" w:rsidRPr="00F750BC" w:rsidRDefault="00C72DE3" w:rsidP="00AB3E49">
      <w:pPr>
        <w:numPr>
          <w:ilvl w:val="0"/>
          <w:numId w:val="5"/>
        </w:numPr>
        <w:spacing w:before="240" w:after="240"/>
        <w:jc w:val="both"/>
        <w:rPr>
          <w:iCs/>
          <w:szCs w:val="24"/>
          <w:lang w:val="x-none"/>
        </w:rPr>
      </w:pPr>
      <w:r w:rsidRPr="00706CFC">
        <w:rPr>
          <w:iCs/>
          <w:szCs w:val="24"/>
          <w:lang w:val="x-none"/>
        </w:rPr>
        <w:t xml:space="preserve">Information collected </w:t>
      </w:r>
      <w:r>
        <w:rPr>
          <w:iCs/>
          <w:szCs w:val="24"/>
        </w:rPr>
        <w:t>under this Reporting Standard, as set out in</w:t>
      </w:r>
      <w:r w:rsidRPr="00706CFC">
        <w:rPr>
          <w:iCs/>
          <w:szCs w:val="24"/>
          <w:lang w:val="x-none"/>
        </w:rPr>
        <w:t xml:space="preserve"> </w:t>
      </w:r>
      <w:r>
        <w:rPr>
          <w:rFonts w:eastAsia="Times"/>
          <w:i/>
          <w:szCs w:val="24"/>
        </w:rPr>
        <w:t>Form HRF 604.0</w:t>
      </w:r>
      <w:r w:rsidRPr="002B6B79">
        <w:rPr>
          <w:rFonts w:eastAsia="Times"/>
          <w:i/>
          <w:szCs w:val="24"/>
        </w:rPr>
        <w:t xml:space="preserve"> </w:t>
      </w:r>
      <w:r>
        <w:rPr>
          <w:rFonts w:eastAsia="Times"/>
          <w:i/>
          <w:szCs w:val="24"/>
        </w:rPr>
        <w:t xml:space="preserve">Medical Specialty Block Grouping Information </w:t>
      </w:r>
      <w:r>
        <w:rPr>
          <w:rFonts w:eastAsia="Times"/>
          <w:szCs w:val="24"/>
        </w:rPr>
        <w:t>(HRF 604.0),</w:t>
      </w:r>
      <w:r>
        <w:rPr>
          <w:iCs/>
          <w:szCs w:val="24"/>
        </w:rPr>
        <w:t xml:space="preserve"> </w:t>
      </w:r>
      <w:r w:rsidRPr="00706CFC">
        <w:rPr>
          <w:iCs/>
          <w:szCs w:val="24"/>
          <w:lang w:val="x-none"/>
        </w:rPr>
        <w:t xml:space="preserve">is </w:t>
      </w:r>
      <w:r w:rsidRPr="00F750BC">
        <w:rPr>
          <w:iCs/>
          <w:szCs w:val="24"/>
          <w:lang w:val="x-none"/>
        </w:rPr>
        <w:t xml:space="preserve">used </w:t>
      </w:r>
      <w:r w:rsidR="00963A23" w:rsidRPr="00F750BC">
        <w:rPr>
          <w:rStyle w:val="normaltextrun"/>
          <w:bdr w:val="none" w:sz="0" w:space="0" w:color="auto" w:frame="1"/>
        </w:rPr>
        <w:t xml:space="preserve">by APRA for prudential supervision and publication to </w:t>
      </w:r>
      <w:r w:rsidRPr="00F750BC">
        <w:rPr>
          <w:iCs/>
          <w:szCs w:val="24"/>
        </w:rPr>
        <w:t xml:space="preserve"> assist the Department of Health in performing its functions</w:t>
      </w:r>
      <w:r w:rsidR="00963A23" w:rsidRPr="00F750BC">
        <w:rPr>
          <w:iCs/>
          <w:szCs w:val="24"/>
        </w:rPr>
        <w:t>.</w:t>
      </w:r>
      <w:r w:rsidRPr="00F750BC">
        <w:rPr>
          <w:iCs/>
          <w:szCs w:val="24"/>
          <w:lang w:val="x-none"/>
        </w:rPr>
        <w:t xml:space="preserve"> </w:t>
      </w:r>
    </w:p>
    <w:p w14:paraId="3E73DD93" w14:textId="77777777" w:rsidR="00C72DE3" w:rsidRPr="00706CFC" w:rsidRDefault="00C72DE3" w:rsidP="00C72DE3">
      <w:pPr>
        <w:keepNext/>
        <w:keepLines/>
        <w:spacing w:before="120" w:after="240"/>
        <w:jc w:val="both"/>
        <w:outlineLvl w:val="2"/>
        <w:rPr>
          <w:rFonts w:ascii="Arial" w:hAnsi="Arial"/>
          <w:b/>
          <w:bCs/>
          <w:color w:val="000000"/>
          <w:szCs w:val="24"/>
          <w:lang w:val="x-none"/>
        </w:rPr>
      </w:pPr>
      <w:r w:rsidRPr="00706CFC">
        <w:rPr>
          <w:rFonts w:ascii="Arial" w:hAnsi="Arial"/>
          <w:b/>
          <w:bCs/>
          <w:color w:val="000000"/>
          <w:szCs w:val="24"/>
          <w:lang w:val="x-none"/>
        </w:rPr>
        <w:t>Application and commencement</w:t>
      </w:r>
    </w:p>
    <w:p w14:paraId="7E082405" w14:textId="77777777" w:rsidR="00C72DE3" w:rsidRDefault="00C72DE3" w:rsidP="00AB3E49">
      <w:pPr>
        <w:numPr>
          <w:ilvl w:val="0"/>
          <w:numId w:val="5"/>
        </w:numPr>
        <w:spacing w:before="240" w:after="240"/>
        <w:jc w:val="both"/>
        <w:rPr>
          <w:iCs/>
          <w:szCs w:val="24"/>
        </w:rPr>
      </w:pPr>
      <w:r w:rsidRPr="002D33C0">
        <w:rPr>
          <w:iCs/>
          <w:szCs w:val="24"/>
        </w:rPr>
        <w:t xml:space="preserve">This Reporting Standard applies to all </w:t>
      </w:r>
      <w:r>
        <w:rPr>
          <w:iCs/>
          <w:szCs w:val="24"/>
        </w:rPr>
        <w:t>private health</w:t>
      </w:r>
      <w:r w:rsidRPr="002D33C0">
        <w:rPr>
          <w:iCs/>
          <w:szCs w:val="24"/>
        </w:rPr>
        <w:t xml:space="preserve"> insurers. </w:t>
      </w:r>
    </w:p>
    <w:p w14:paraId="195AC8EF" w14:textId="1C3D2BD2" w:rsidR="00C72DE3" w:rsidRDefault="00C72DE3" w:rsidP="00AB3E49">
      <w:pPr>
        <w:numPr>
          <w:ilvl w:val="0"/>
          <w:numId w:val="5"/>
        </w:numPr>
        <w:spacing w:before="240" w:after="240"/>
        <w:jc w:val="both"/>
        <w:rPr>
          <w:iCs/>
          <w:szCs w:val="24"/>
        </w:rPr>
      </w:pPr>
      <w:r w:rsidRPr="002D33C0">
        <w:rPr>
          <w:iCs/>
          <w:szCs w:val="24"/>
        </w:rPr>
        <w:t>This Reporting Standard applies for reporting</w:t>
      </w:r>
      <w:r>
        <w:rPr>
          <w:iCs/>
          <w:szCs w:val="24"/>
        </w:rPr>
        <w:t xml:space="preserve"> </w:t>
      </w:r>
      <w:r w:rsidRPr="002D33C0">
        <w:rPr>
          <w:iCs/>
          <w:szCs w:val="24"/>
        </w:rPr>
        <w:t xml:space="preserve">periods ending on or after </w:t>
      </w:r>
      <w:r>
        <w:rPr>
          <w:iCs/>
          <w:szCs w:val="24"/>
        </w:rPr>
        <w:t xml:space="preserve">1 </w:t>
      </w:r>
      <w:r w:rsidR="00805B7C">
        <w:rPr>
          <w:iCs/>
          <w:szCs w:val="24"/>
        </w:rPr>
        <w:t>October 2025</w:t>
      </w:r>
      <w:r w:rsidRPr="002D33C0">
        <w:rPr>
          <w:iCs/>
          <w:szCs w:val="24"/>
        </w:rPr>
        <w:t>.</w:t>
      </w:r>
    </w:p>
    <w:p w14:paraId="4ADB28B4" w14:textId="77777777" w:rsidR="00C72DE3" w:rsidRPr="00706CFC" w:rsidRDefault="00C72DE3" w:rsidP="00C72DE3">
      <w:pPr>
        <w:keepNext/>
        <w:keepLines/>
        <w:spacing w:before="120" w:after="240"/>
        <w:jc w:val="both"/>
        <w:outlineLvl w:val="2"/>
        <w:rPr>
          <w:rFonts w:ascii="Arial" w:hAnsi="Arial"/>
          <w:b/>
          <w:bCs/>
          <w:szCs w:val="24"/>
          <w:lang w:val="x-none"/>
        </w:rPr>
      </w:pPr>
      <w:bookmarkStart w:id="7" w:name="_Toc256519851"/>
      <w:r w:rsidRPr="00706CFC">
        <w:rPr>
          <w:rFonts w:ascii="Arial" w:hAnsi="Arial"/>
          <w:b/>
          <w:bCs/>
          <w:szCs w:val="24"/>
          <w:lang w:val="x-none"/>
        </w:rPr>
        <w:t>Information required</w:t>
      </w:r>
    </w:p>
    <w:p w14:paraId="54B55DDA" w14:textId="539235F1" w:rsidR="00C72DE3" w:rsidRPr="00EF6A37" w:rsidRDefault="00C72DE3" w:rsidP="00AB3E49">
      <w:pPr>
        <w:numPr>
          <w:ilvl w:val="0"/>
          <w:numId w:val="5"/>
        </w:numPr>
        <w:spacing w:before="240" w:after="240"/>
        <w:jc w:val="both"/>
        <w:rPr>
          <w:iCs/>
          <w:szCs w:val="24"/>
          <w:lang w:val="x-none"/>
        </w:rPr>
      </w:pPr>
      <w:r>
        <w:rPr>
          <w:iCs/>
          <w:szCs w:val="24"/>
          <w:lang w:val="x-none"/>
        </w:rPr>
        <w:t>A</w:t>
      </w:r>
      <w:r w:rsidRPr="00706CFC">
        <w:rPr>
          <w:iCs/>
          <w:szCs w:val="24"/>
          <w:lang w:val="x-none"/>
        </w:rPr>
        <w:t xml:space="preserve"> </w:t>
      </w:r>
      <w:r>
        <w:rPr>
          <w:iCs/>
          <w:szCs w:val="24"/>
        </w:rPr>
        <w:t>private health insurer</w:t>
      </w:r>
      <w:r w:rsidRPr="00706CFC">
        <w:rPr>
          <w:iCs/>
          <w:szCs w:val="24"/>
          <w:lang w:val="x-none"/>
        </w:rPr>
        <w:t xml:space="preserve"> must provide APRA with the information required by </w:t>
      </w:r>
      <w:r w:rsidR="003E45F0" w:rsidRPr="00171381">
        <w:rPr>
          <w:iCs/>
          <w:szCs w:val="24"/>
        </w:rPr>
        <w:t>HRF 604.0</w:t>
      </w:r>
      <w:r w:rsidR="000F1773">
        <w:rPr>
          <w:iCs/>
          <w:szCs w:val="24"/>
        </w:rPr>
        <w:t xml:space="preserve"> </w:t>
      </w:r>
      <w:r w:rsidRPr="00706CFC">
        <w:rPr>
          <w:iCs/>
          <w:szCs w:val="24"/>
        </w:rPr>
        <w:t xml:space="preserve">in respect of </w:t>
      </w:r>
      <w:r w:rsidRPr="00706CFC">
        <w:rPr>
          <w:iCs/>
          <w:szCs w:val="24"/>
          <w:lang w:val="x-none"/>
        </w:rPr>
        <w:t>each reporting period.</w:t>
      </w:r>
    </w:p>
    <w:p w14:paraId="4CDE5394" w14:textId="77777777" w:rsidR="00C72DE3" w:rsidRPr="00FE7180" w:rsidRDefault="00C72DE3" w:rsidP="00AB3E49">
      <w:pPr>
        <w:numPr>
          <w:ilvl w:val="0"/>
          <w:numId w:val="5"/>
        </w:numPr>
        <w:spacing w:before="240" w:after="240"/>
        <w:jc w:val="both"/>
        <w:rPr>
          <w:iCs/>
          <w:szCs w:val="24"/>
          <w:lang w:val="x-none"/>
        </w:rPr>
      </w:pPr>
      <w:r>
        <w:rPr>
          <w:iCs/>
          <w:szCs w:val="24"/>
        </w:rPr>
        <w:t>The information required by this Reporting Standard, as set out in HRF 604.0, must be provided for each health benefits fund of the private health insurer.</w:t>
      </w:r>
    </w:p>
    <w:p w14:paraId="08393760" w14:textId="0CBBDB20" w:rsidR="00C72DE3" w:rsidRPr="00706CFC" w:rsidRDefault="00385A25" w:rsidP="00C72DE3">
      <w:pPr>
        <w:keepNext/>
        <w:keepLines/>
        <w:spacing w:before="120" w:after="240"/>
        <w:jc w:val="both"/>
        <w:outlineLvl w:val="2"/>
        <w:rPr>
          <w:rFonts w:ascii="Arial" w:hAnsi="Arial"/>
          <w:b/>
          <w:bCs/>
          <w:color w:val="000000"/>
          <w:szCs w:val="24"/>
          <w:lang w:val="x-none"/>
        </w:rPr>
      </w:pPr>
      <w:r>
        <w:rPr>
          <w:rFonts w:ascii="Arial" w:hAnsi="Arial"/>
          <w:b/>
          <w:bCs/>
          <w:color w:val="000000"/>
          <w:szCs w:val="24"/>
          <w:lang w:val="x-none"/>
        </w:rPr>
        <w:t>Forms and m</w:t>
      </w:r>
      <w:r w:rsidR="00C72DE3" w:rsidRPr="00706CFC">
        <w:rPr>
          <w:rFonts w:ascii="Arial" w:hAnsi="Arial"/>
          <w:b/>
          <w:bCs/>
          <w:color w:val="000000"/>
          <w:szCs w:val="24"/>
          <w:lang w:val="x-none"/>
        </w:rPr>
        <w:t>ethod of submission</w:t>
      </w:r>
    </w:p>
    <w:p w14:paraId="08979D45" w14:textId="77777777" w:rsidR="005472E1" w:rsidRPr="005472E1" w:rsidRDefault="005472E1" w:rsidP="005472E1">
      <w:pPr>
        <w:numPr>
          <w:ilvl w:val="0"/>
          <w:numId w:val="5"/>
        </w:numPr>
        <w:spacing w:before="240" w:after="240"/>
        <w:jc w:val="both"/>
        <w:rPr>
          <w:iCs/>
          <w:szCs w:val="24"/>
          <w:lang w:val="en-US"/>
        </w:rPr>
      </w:pPr>
      <w:bookmarkStart w:id="8" w:name="_Ref339262396"/>
      <w:r w:rsidRPr="005472E1">
        <w:rPr>
          <w:iCs/>
          <w:szCs w:val="24"/>
          <w:lang w:val="en-US"/>
        </w:rPr>
        <w:t>The information required by this Reporting Standard must be given to APRA:</w:t>
      </w:r>
    </w:p>
    <w:p w14:paraId="3B79168A" w14:textId="77777777" w:rsidR="005472E1" w:rsidRPr="005472E1" w:rsidRDefault="005472E1" w:rsidP="005472E1">
      <w:pPr>
        <w:numPr>
          <w:ilvl w:val="1"/>
          <w:numId w:val="5"/>
        </w:numPr>
        <w:spacing w:before="240" w:after="240"/>
        <w:jc w:val="both"/>
        <w:rPr>
          <w:iCs/>
          <w:szCs w:val="24"/>
          <w:lang w:val="en-US"/>
        </w:rPr>
      </w:pPr>
      <w:r w:rsidRPr="005472E1">
        <w:rPr>
          <w:iCs/>
          <w:szCs w:val="24"/>
          <w:lang w:val="en-US"/>
        </w:rPr>
        <w:lastRenderedPageBreak/>
        <w:t>in electronic format using an electronic method available on APRA’s website; or</w:t>
      </w:r>
    </w:p>
    <w:p w14:paraId="160E12DA" w14:textId="5F3CCC00" w:rsidR="00C72DE3" w:rsidRPr="005D6FF5" w:rsidRDefault="005472E1" w:rsidP="005472E1">
      <w:pPr>
        <w:spacing w:before="240" w:after="240"/>
        <w:ind w:left="567"/>
        <w:jc w:val="both"/>
        <w:rPr>
          <w:iCs/>
          <w:szCs w:val="24"/>
          <w:lang w:val="x-none"/>
        </w:rPr>
      </w:pPr>
      <w:r w:rsidRPr="005472E1">
        <w:rPr>
          <w:iCs/>
          <w:szCs w:val="24"/>
          <w:lang w:val="en-US"/>
        </w:rPr>
        <w:t>(b)     by a method notified by APRA prior to submission</w:t>
      </w:r>
      <w:bookmarkEnd w:id="8"/>
      <w:r w:rsidR="00C72DE3" w:rsidRPr="00706CFC">
        <w:rPr>
          <w:iCs/>
          <w:szCs w:val="24"/>
          <w:lang w:val="x-none"/>
        </w:rPr>
        <w:t>.</w:t>
      </w:r>
    </w:p>
    <w:p w14:paraId="34F5F8C8" w14:textId="77777777" w:rsidR="00C72DE3" w:rsidRPr="00706CFC" w:rsidRDefault="00C72DE3" w:rsidP="00C72DE3">
      <w:pPr>
        <w:keepNext/>
        <w:keepLines/>
        <w:spacing w:before="120" w:after="240"/>
        <w:jc w:val="both"/>
        <w:outlineLvl w:val="2"/>
        <w:rPr>
          <w:rFonts w:ascii="Arial" w:hAnsi="Arial"/>
          <w:b/>
          <w:bCs/>
          <w:color w:val="000000"/>
          <w:szCs w:val="24"/>
          <w:lang w:val="x-none"/>
        </w:rPr>
      </w:pPr>
      <w:r w:rsidRPr="00706CFC">
        <w:rPr>
          <w:rFonts w:ascii="Arial" w:hAnsi="Arial"/>
          <w:b/>
          <w:bCs/>
          <w:color w:val="000000"/>
          <w:szCs w:val="24"/>
          <w:lang w:val="x-none"/>
        </w:rPr>
        <w:t>Reporting periods and due dates</w:t>
      </w:r>
    </w:p>
    <w:p w14:paraId="5B55E45A" w14:textId="77777777" w:rsidR="00C72DE3" w:rsidRPr="00936DD7" w:rsidRDefault="00C72DE3" w:rsidP="00AB3E49">
      <w:pPr>
        <w:numPr>
          <w:ilvl w:val="0"/>
          <w:numId w:val="5"/>
        </w:numPr>
        <w:spacing w:before="240" w:after="240"/>
        <w:jc w:val="both"/>
        <w:rPr>
          <w:iCs/>
          <w:szCs w:val="24"/>
          <w:lang w:val="x-none"/>
        </w:rPr>
      </w:pPr>
      <w:bookmarkStart w:id="9" w:name="_Ref352163767"/>
      <w:bookmarkStart w:id="10" w:name="_Ref410136705"/>
      <w:bookmarkStart w:id="11" w:name="_Ref349587044"/>
      <w:r>
        <w:rPr>
          <w:iCs/>
          <w:szCs w:val="24"/>
        </w:rPr>
        <w:t>A private health</w:t>
      </w:r>
      <w:r w:rsidRPr="00706CFC">
        <w:rPr>
          <w:iCs/>
          <w:szCs w:val="24"/>
          <w:lang w:val="x-none"/>
        </w:rPr>
        <w:t xml:space="preserve"> </w:t>
      </w:r>
      <w:r>
        <w:rPr>
          <w:iCs/>
          <w:szCs w:val="24"/>
        </w:rPr>
        <w:t>insurer</w:t>
      </w:r>
      <w:r w:rsidRPr="00706CFC">
        <w:rPr>
          <w:iCs/>
          <w:szCs w:val="24"/>
          <w:lang w:val="x-none"/>
        </w:rPr>
        <w:t xml:space="preserve"> to which this Reporting Standard applies must provide the information required by this Reporting Standard</w:t>
      </w:r>
      <w:r>
        <w:rPr>
          <w:iCs/>
          <w:szCs w:val="24"/>
        </w:rPr>
        <w:t xml:space="preserve"> </w:t>
      </w:r>
      <w:bookmarkStart w:id="12" w:name="_Hlk182314426"/>
      <w:r w:rsidRPr="00936DD7">
        <w:rPr>
          <w:iCs/>
          <w:szCs w:val="24"/>
        </w:rPr>
        <w:t xml:space="preserve">in respect of each </w:t>
      </w:r>
      <w:r>
        <w:rPr>
          <w:iCs/>
          <w:szCs w:val="24"/>
        </w:rPr>
        <w:t xml:space="preserve">calendar </w:t>
      </w:r>
      <w:r w:rsidRPr="00936DD7">
        <w:rPr>
          <w:iCs/>
          <w:szCs w:val="24"/>
        </w:rPr>
        <w:t>quarter</w:t>
      </w:r>
      <w:r>
        <w:rPr>
          <w:iCs/>
          <w:szCs w:val="24"/>
        </w:rPr>
        <w:t xml:space="preserve"> </w:t>
      </w:r>
      <w:bookmarkEnd w:id="12"/>
      <w:r>
        <w:rPr>
          <w:iCs/>
          <w:szCs w:val="24"/>
        </w:rPr>
        <w:t>(i.e. the periods ending 30 September, 31 December, 31 March and 30 June)</w:t>
      </w:r>
      <w:bookmarkEnd w:id="9"/>
      <w:bookmarkEnd w:id="10"/>
      <w:r>
        <w:rPr>
          <w:iCs/>
          <w:szCs w:val="24"/>
        </w:rPr>
        <w:t>.</w:t>
      </w:r>
    </w:p>
    <w:p w14:paraId="0926266B" w14:textId="77777777" w:rsidR="00C72DE3" w:rsidRPr="00955F1D" w:rsidRDefault="00C72DE3" w:rsidP="00AB3E49">
      <w:pPr>
        <w:numPr>
          <w:ilvl w:val="0"/>
          <w:numId w:val="5"/>
        </w:numPr>
        <w:spacing w:before="240" w:after="240"/>
        <w:jc w:val="both"/>
        <w:rPr>
          <w:iCs/>
          <w:szCs w:val="24"/>
          <w:lang w:val="x-none"/>
        </w:rPr>
      </w:pPr>
      <w:bookmarkStart w:id="13" w:name="_Hlk182314462"/>
      <w:bookmarkStart w:id="14" w:name="_Ref350688839"/>
      <w:bookmarkEnd w:id="11"/>
      <w:r w:rsidRPr="00706CFC">
        <w:rPr>
          <w:iCs/>
          <w:szCs w:val="24"/>
          <w:lang w:val="x-none"/>
        </w:rPr>
        <w:t>The information required by this Reporting Standard must be provided to APRA</w:t>
      </w:r>
      <w:r>
        <w:rPr>
          <w:iCs/>
          <w:szCs w:val="24"/>
        </w:rPr>
        <w:t xml:space="preserve"> </w:t>
      </w:r>
      <w:r w:rsidRPr="00292935">
        <w:rPr>
          <w:iCs/>
          <w:szCs w:val="24"/>
        </w:rPr>
        <w:t xml:space="preserve">within 28 </w:t>
      </w:r>
      <w:r>
        <w:rPr>
          <w:iCs/>
          <w:szCs w:val="24"/>
        </w:rPr>
        <w:t xml:space="preserve">calendar </w:t>
      </w:r>
      <w:r w:rsidRPr="00292935">
        <w:rPr>
          <w:iCs/>
          <w:szCs w:val="24"/>
        </w:rPr>
        <w:t>days after the end of the reporting period to which the information relates</w:t>
      </w:r>
      <w:bookmarkEnd w:id="13"/>
      <w:r>
        <w:rPr>
          <w:iCs/>
          <w:szCs w:val="24"/>
        </w:rPr>
        <w:t>.</w:t>
      </w:r>
      <w:r>
        <w:rPr>
          <w:rStyle w:val="FootnoteReference"/>
          <w:iCs/>
          <w:szCs w:val="24"/>
        </w:rPr>
        <w:footnoteReference w:id="1"/>
      </w:r>
      <w:r w:rsidRPr="00292935">
        <w:rPr>
          <w:iCs/>
          <w:szCs w:val="24"/>
        </w:rPr>
        <w:t xml:space="preserve"> </w:t>
      </w:r>
    </w:p>
    <w:p w14:paraId="179C828F" w14:textId="77777777" w:rsidR="00C72DE3" w:rsidRPr="00706CFC" w:rsidRDefault="00C72DE3" w:rsidP="00AB3E49">
      <w:pPr>
        <w:numPr>
          <w:ilvl w:val="0"/>
          <w:numId w:val="5"/>
        </w:numPr>
        <w:spacing w:before="240" w:after="240"/>
        <w:jc w:val="both"/>
        <w:rPr>
          <w:iCs/>
          <w:szCs w:val="24"/>
          <w:lang w:val="x-none"/>
        </w:rPr>
      </w:pPr>
      <w:bookmarkStart w:id="15" w:name="_Ref350688848"/>
      <w:bookmarkEnd w:id="14"/>
      <w:r w:rsidRPr="00706CFC">
        <w:rPr>
          <w:iCs/>
          <w:szCs w:val="24"/>
          <w:lang w:val="x-none"/>
        </w:rPr>
        <w:t>APRA may</w:t>
      </w:r>
      <w:r>
        <w:rPr>
          <w:iCs/>
          <w:szCs w:val="24"/>
        </w:rPr>
        <w:t>, in writing,</w:t>
      </w:r>
      <w:r w:rsidRPr="00706CFC">
        <w:rPr>
          <w:iCs/>
          <w:szCs w:val="24"/>
          <w:lang w:val="x-none"/>
        </w:rPr>
        <w:t xml:space="preserve"> grant</w:t>
      </w:r>
      <w:r>
        <w:rPr>
          <w:iCs/>
          <w:szCs w:val="24"/>
        </w:rPr>
        <w:t xml:space="preserve"> </w:t>
      </w:r>
      <w:r>
        <w:rPr>
          <w:iCs/>
          <w:szCs w:val="24"/>
          <w:lang w:val="x-none"/>
        </w:rPr>
        <w:t>a</w:t>
      </w:r>
      <w:r w:rsidRPr="00706CFC">
        <w:rPr>
          <w:iCs/>
          <w:szCs w:val="24"/>
          <w:lang w:val="x-none"/>
        </w:rPr>
        <w:t xml:space="preserve"> </w:t>
      </w:r>
      <w:r>
        <w:rPr>
          <w:iCs/>
          <w:szCs w:val="24"/>
        </w:rPr>
        <w:t>private health insurer</w:t>
      </w:r>
      <w:r w:rsidRPr="00706CFC">
        <w:rPr>
          <w:iCs/>
          <w:szCs w:val="24"/>
          <w:lang w:val="x-none"/>
        </w:rPr>
        <w:t xml:space="preserve"> an extension of a due date, in which case the new due date for the provision of the information will be the date on the notice of extension.</w:t>
      </w:r>
      <w:bookmarkEnd w:id="15"/>
    </w:p>
    <w:p w14:paraId="6A495774" w14:textId="77777777" w:rsidR="00C72DE3" w:rsidRPr="00706CFC" w:rsidRDefault="00C72DE3" w:rsidP="00C72DE3">
      <w:pPr>
        <w:keepNext/>
        <w:keepLines/>
        <w:spacing w:before="120" w:after="240"/>
        <w:jc w:val="both"/>
        <w:outlineLvl w:val="2"/>
        <w:rPr>
          <w:rFonts w:ascii="Arial" w:hAnsi="Arial"/>
          <w:b/>
          <w:bCs/>
          <w:color w:val="000000"/>
          <w:szCs w:val="24"/>
          <w:lang w:val="x-none"/>
        </w:rPr>
      </w:pPr>
      <w:r w:rsidRPr="00706CFC">
        <w:rPr>
          <w:rFonts w:ascii="Arial" w:hAnsi="Arial"/>
          <w:b/>
          <w:bCs/>
          <w:color w:val="000000"/>
          <w:szCs w:val="24"/>
          <w:lang w:val="x-none"/>
        </w:rPr>
        <w:t>Quality control</w:t>
      </w:r>
    </w:p>
    <w:p w14:paraId="1AACDD20" w14:textId="77777777" w:rsidR="00C72DE3" w:rsidRPr="00FA2D62" w:rsidRDefault="00C72DE3" w:rsidP="00AB3E49">
      <w:pPr>
        <w:numPr>
          <w:ilvl w:val="0"/>
          <w:numId w:val="5"/>
        </w:numPr>
        <w:spacing w:before="240" w:after="240"/>
        <w:jc w:val="both"/>
        <w:rPr>
          <w:iCs/>
          <w:szCs w:val="24"/>
          <w:lang w:val="x-none"/>
        </w:rPr>
      </w:pPr>
      <w:r>
        <w:rPr>
          <w:iCs/>
          <w:szCs w:val="24"/>
          <w:lang w:val="x-none"/>
        </w:rPr>
        <w:t>All information provided by a</w:t>
      </w:r>
      <w:r w:rsidRPr="00835A55">
        <w:rPr>
          <w:iCs/>
          <w:szCs w:val="24"/>
          <w:lang w:val="x-none"/>
        </w:rPr>
        <w:t xml:space="preserve"> </w:t>
      </w:r>
      <w:r>
        <w:rPr>
          <w:iCs/>
          <w:szCs w:val="24"/>
        </w:rPr>
        <w:t xml:space="preserve">private health </w:t>
      </w:r>
      <w:r w:rsidRPr="00835A55">
        <w:rPr>
          <w:iCs/>
          <w:szCs w:val="24"/>
        </w:rPr>
        <w:t>insurer</w:t>
      </w:r>
      <w:r w:rsidRPr="00835A55">
        <w:rPr>
          <w:iCs/>
          <w:szCs w:val="24"/>
          <w:lang w:val="x-none"/>
        </w:rPr>
        <w:t xml:space="preserve"> under this Reporting Standard must be subject to systems, processes and controls developed by the </w:t>
      </w:r>
      <w:r>
        <w:rPr>
          <w:iCs/>
          <w:szCs w:val="24"/>
        </w:rPr>
        <w:t xml:space="preserve">private health </w:t>
      </w:r>
      <w:r w:rsidRPr="00835A55">
        <w:rPr>
          <w:iCs/>
          <w:szCs w:val="24"/>
        </w:rPr>
        <w:t>insurer</w:t>
      </w:r>
      <w:r w:rsidRPr="00835A55">
        <w:rPr>
          <w:iCs/>
          <w:szCs w:val="24"/>
          <w:lang w:val="x-none"/>
        </w:rPr>
        <w:t xml:space="preserve"> for the internal review and authorisation of that information. It is the responsibility of the Board and senior management of the </w:t>
      </w:r>
      <w:r>
        <w:rPr>
          <w:iCs/>
          <w:szCs w:val="24"/>
        </w:rPr>
        <w:t xml:space="preserve">private health </w:t>
      </w:r>
      <w:r w:rsidRPr="00835A55">
        <w:rPr>
          <w:iCs/>
          <w:szCs w:val="24"/>
        </w:rPr>
        <w:t>insurer</w:t>
      </w:r>
      <w:r w:rsidRPr="00835A55">
        <w:rPr>
          <w:iCs/>
          <w:szCs w:val="24"/>
          <w:lang w:val="x-none"/>
        </w:rPr>
        <w:t xml:space="preserve"> to ensure that an appropriate set of policies and procedures for the authorisation of information submitted to APRA is in place.</w:t>
      </w:r>
    </w:p>
    <w:p w14:paraId="74ABE23F" w14:textId="77777777" w:rsidR="00C72DE3" w:rsidRDefault="00C72DE3" w:rsidP="00C72DE3">
      <w:pPr>
        <w:keepNext/>
        <w:keepLines/>
        <w:spacing w:before="120" w:after="240"/>
        <w:jc w:val="both"/>
        <w:outlineLvl w:val="2"/>
        <w:rPr>
          <w:rFonts w:ascii="Arial" w:hAnsi="Arial"/>
          <w:b/>
          <w:bCs/>
          <w:color w:val="000000"/>
          <w:szCs w:val="24"/>
        </w:rPr>
      </w:pPr>
      <w:r w:rsidRPr="00706CFC">
        <w:rPr>
          <w:rFonts w:ascii="Arial" w:hAnsi="Arial"/>
          <w:b/>
          <w:bCs/>
          <w:color w:val="000000"/>
          <w:szCs w:val="24"/>
          <w:lang w:val="x-none"/>
        </w:rPr>
        <w:t>Authorisation</w:t>
      </w:r>
    </w:p>
    <w:p w14:paraId="011391FD" w14:textId="77777777" w:rsidR="00C72DE3" w:rsidRPr="00C008FF" w:rsidRDefault="00C72DE3" w:rsidP="00AB3E49">
      <w:pPr>
        <w:numPr>
          <w:ilvl w:val="0"/>
          <w:numId w:val="5"/>
        </w:numPr>
        <w:spacing w:before="240" w:after="240"/>
        <w:jc w:val="both"/>
        <w:rPr>
          <w:iCs/>
          <w:szCs w:val="24"/>
          <w:lang w:val="x-none"/>
        </w:rPr>
      </w:pPr>
      <w:bookmarkStart w:id="16" w:name="_Hlk182314546"/>
      <w:r w:rsidRPr="00C008FF">
        <w:rPr>
          <w:iCs/>
          <w:szCs w:val="24"/>
          <w:lang w:val="x-none"/>
        </w:rPr>
        <w:t>A person who submits the information required under th</w:t>
      </w:r>
      <w:r>
        <w:rPr>
          <w:iCs/>
          <w:szCs w:val="24"/>
        </w:rPr>
        <w:t>is</w:t>
      </w:r>
      <w:r w:rsidRPr="00C008FF">
        <w:rPr>
          <w:iCs/>
          <w:szCs w:val="24"/>
          <w:lang w:val="x-none"/>
        </w:rPr>
        <w:t xml:space="preserve"> Reporting Standard must be suitably authorised by an </w:t>
      </w:r>
      <w:r w:rsidR="00730B00">
        <w:rPr>
          <w:iCs/>
          <w:szCs w:val="24"/>
        </w:rPr>
        <w:t>officer</w:t>
      </w:r>
      <w:r w:rsidRPr="00C008FF">
        <w:rPr>
          <w:iCs/>
          <w:szCs w:val="24"/>
          <w:lang w:val="x-none"/>
        </w:rPr>
        <w:t xml:space="preserve"> of the </w:t>
      </w:r>
      <w:r>
        <w:rPr>
          <w:iCs/>
          <w:szCs w:val="24"/>
        </w:rPr>
        <w:t xml:space="preserve">private </w:t>
      </w:r>
      <w:r w:rsidRPr="00C008FF">
        <w:rPr>
          <w:iCs/>
          <w:szCs w:val="24"/>
          <w:lang w:val="x-none"/>
        </w:rPr>
        <w:t>health insurer</w:t>
      </w:r>
      <w:bookmarkEnd w:id="16"/>
      <w:r w:rsidRPr="00C008FF">
        <w:rPr>
          <w:iCs/>
          <w:szCs w:val="24"/>
          <w:lang w:val="x-none"/>
        </w:rPr>
        <w:t>.</w:t>
      </w:r>
    </w:p>
    <w:p w14:paraId="66D43734" w14:textId="77777777" w:rsidR="00C72DE3" w:rsidRPr="00706CFC" w:rsidRDefault="00C72DE3" w:rsidP="00C72DE3">
      <w:pPr>
        <w:spacing w:before="240" w:after="240"/>
        <w:jc w:val="both"/>
        <w:rPr>
          <w:rFonts w:ascii="Arial" w:hAnsi="Arial"/>
          <w:b/>
          <w:bCs/>
          <w:color w:val="000000"/>
          <w:szCs w:val="24"/>
          <w:lang w:val="x-none"/>
        </w:rPr>
      </w:pPr>
      <w:r w:rsidRPr="00706CFC">
        <w:rPr>
          <w:rFonts w:ascii="Arial" w:hAnsi="Arial"/>
          <w:b/>
          <w:bCs/>
          <w:color w:val="000000"/>
          <w:szCs w:val="24"/>
          <w:lang w:val="x-none"/>
        </w:rPr>
        <w:t>Variations</w:t>
      </w:r>
    </w:p>
    <w:p w14:paraId="7656AABE" w14:textId="77777777" w:rsidR="00C72DE3" w:rsidRPr="00BE2BA2" w:rsidRDefault="00C72DE3" w:rsidP="00AB3E49">
      <w:pPr>
        <w:numPr>
          <w:ilvl w:val="0"/>
          <w:numId w:val="5"/>
        </w:numPr>
        <w:spacing w:before="240" w:after="240"/>
        <w:jc w:val="both"/>
        <w:rPr>
          <w:iCs/>
          <w:szCs w:val="24"/>
          <w:lang w:val="x-none"/>
        </w:rPr>
      </w:pPr>
      <w:r w:rsidRPr="00706CFC">
        <w:rPr>
          <w:iCs/>
          <w:szCs w:val="24"/>
          <w:lang w:val="x-none"/>
        </w:rPr>
        <w:t>APRA may</w:t>
      </w:r>
      <w:r>
        <w:rPr>
          <w:iCs/>
          <w:szCs w:val="24"/>
        </w:rPr>
        <w:t xml:space="preserve">, in writing, </w:t>
      </w:r>
      <w:r w:rsidRPr="00706CFC">
        <w:rPr>
          <w:iCs/>
          <w:szCs w:val="24"/>
          <w:lang w:val="x-none"/>
        </w:rPr>
        <w:t xml:space="preserve">vary the reporting requirements of </w:t>
      </w:r>
      <w:r>
        <w:rPr>
          <w:iCs/>
          <w:szCs w:val="24"/>
        </w:rPr>
        <w:t xml:space="preserve">this Reporting Standard </w:t>
      </w:r>
      <w:r w:rsidRPr="00706CFC">
        <w:rPr>
          <w:iCs/>
          <w:szCs w:val="24"/>
          <w:lang w:val="x-none"/>
        </w:rPr>
        <w:t xml:space="preserve">in relation to </w:t>
      </w:r>
      <w:r>
        <w:rPr>
          <w:iCs/>
          <w:szCs w:val="24"/>
        </w:rPr>
        <w:t>a</w:t>
      </w:r>
      <w:r w:rsidRPr="00706CFC">
        <w:rPr>
          <w:iCs/>
          <w:szCs w:val="24"/>
          <w:lang w:val="x-none"/>
        </w:rPr>
        <w:t xml:space="preserve"> </w:t>
      </w:r>
      <w:r>
        <w:rPr>
          <w:iCs/>
          <w:szCs w:val="24"/>
        </w:rPr>
        <w:t>private health insurer</w:t>
      </w:r>
      <w:r w:rsidRPr="00706CFC">
        <w:rPr>
          <w:iCs/>
          <w:szCs w:val="24"/>
          <w:lang w:val="x-none"/>
        </w:rPr>
        <w:t>.</w:t>
      </w:r>
    </w:p>
    <w:p w14:paraId="75E1330E" w14:textId="4C5D5E1A" w:rsidR="00C72DE3" w:rsidRPr="00BE2BA2" w:rsidRDefault="003E45F0" w:rsidP="00C72DE3">
      <w:pPr>
        <w:spacing w:before="240" w:after="240"/>
        <w:jc w:val="both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iCs/>
          <w:szCs w:val="24"/>
        </w:rPr>
        <w:t>Transitional</w:t>
      </w:r>
    </w:p>
    <w:p w14:paraId="237B14BB" w14:textId="508C8E59" w:rsidR="00AB3E49" w:rsidRPr="00AB3E49" w:rsidRDefault="00AB3E49" w:rsidP="00AB3E49">
      <w:pPr>
        <w:numPr>
          <w:ilvl w:val="0"/>
          <w:numId w:val="5"/>
        </w:numPr>
        <w:spacing w:before="240" w:after="240"/>
        <w:jc w:val="both"/>
        <w:rPr>
          <w:szCs w:val="24"/>
          <w:lang w:val="en-US"/>
        </w:rPr>
      </w:pPr>
      <w:r w:rsidRPr="00AB3E49">
        <w:rPr>
          <w:szCs w:val="24"/>
          <w:lang w:val="en-US"/>
        </w:rPr>
        <w:t xml:space="preserve">A </w:t>
      </w:r>
      <w:r>
        <w:rPr>
          <w:szCs w:val="24"/>
          <w:lang w:val="en-US"/>
        </w:rPr>
        <w:t>private health</w:t>
      </w:r>
      <w:r w:rsidR="00283EDA">
        <w:rPr>
          <w:szCs w:val="24"/>
          <w:lang w:val="en-US"/>
        </w:rPr>
        <w:t xml:space="preserve"> </w:t>
      </w:r>
      <w:proofErr w:type="gramStart"/>
      <w:r w:rsidRPr="00AB3E49">
        <w:rPr>
          <w:iCs/>
          <w:szCs w:val="24"/>
          <w:lang w:val="x-none"/>
        </w:rPr>
        <w:t>insurer</w:t>
      </w:r>
      <w:proofErr w:type="gramEnd"/>
      <w:r w:rsidRPr="00AB3E49">
        <w:rPr>
          <w:szCs w:val="24"/>
          <w:lang w:val="en-US"/>
        </w:rPr>
        <w:t xml:space="preserve"> </w:t>
      </w:r>
      <w:r w:rsidR="00283EDA">
        <w:rPr>
          <w:szCs w:val="24"/>
          <w:lang w:val="en-US"/>
        </w:rPr>
        <w:t>to which th</w:t>
      </w:r>
      <w:r w:rsidR="00163CC3">
        <w:rPr>
          <w:szCs w:val="24"/>
          <w:lang w:val="en-US"/>
        </w:rPr>
        <w:t>is</w:t>
      </w:r>
      <w:r w:rsidR="00283EDA">
        <w:rPr>
          <w:szCs w:val="24"/>
          <w:lang w:val="en-US"/>
        </w:rPr>
        <w:t xml:space="preserve"> Reporting Standard</w:t>
      </w:r>
      <w:r w:rsidR="001E5A23">
        <w:rPr>
          <w:szCs w:val="24"/>
          <w:lang w:val="en-US"/>
        </w:rPr>
        <w:t xml:space="preserve"> applies </w:t>
      </w:r>
      <w:r w:rsidRPr="00AB3E49">
        <w:rPr>
          <w:szCs w:val="24"/>
          <w:lang w:val="en-US"/>
        </w:rPr>
        <w:t>must report under the old reporting standard in respect of a transitional reporting period. For these purposes:</w:t>
      </w:r>
    </w:p>
    <w:p w14:paraId="43D70EB8" w14:textId="3EB6FC62" w:rsidR="00AB3E49" w:rsidRPr="00AB3E49" w:rsidRDefault="00AB3E49" w:rsidP="00AB3E49">
      <w:pPr>
        <w:spacing w:after="240"/>
        <w:ind w:left="567"/>
        <w:jc w:val="both"/>
        <w:rPr>
          <w:szCs w:val="24"/>
          <w:lang w:val="en-US"/>
        </w:rPr>
      </w:pPr>
      <w:r w:rsidRPr="00AB3E49">
        <w:rPr>
          <w:b/>
          <w:i/>
          <w:szCs w:val="24"/>
          <w:lang w:val="en-US"/>
        </w:rPr>
        <w:t xml:space="preserve">old reporting standard </w:t>
      </w:r>
      <w:r w:rsidRPr="00AB3E49">
        <w:rPr>
          <w:szCs w:val="24"/>
          <w:lang w:val="en-US"/>
        </w:rPr>
        <w:t>means the reporting standard revoked in the determination making this Reporting Standard; and</w:t>
      </w:r>
    </w:p>
    <w:p w14:paraId="2C5C78F2" w14:textId="77777777" w:rsidR="00AB3E49" w:rsidRPr="00AB3E49" w:rsidRDefault="00AB3E49" w:rsidP="00AB3E49">
      <w:pPr>
        <w:spacing w:after="240"/>
        <w:ind w:left="567"/>
        <w:jc w:val="both"/>
        <w:rPr>
          <w:szCs w:val="24"/>
          <w:lang w:val="en-US"/>
        </w:rPr>
      </w:pPr>
      <w:r w:rsidRPr="00AB3E49">
        <w:rPr>
          <w:b/>
          <w:i/>
          <w:szCs w:val="24"/>
          <w:lang w:val="en-US"/>
        </w:rPr>
        <w:lastRenderedPageBreak/>
        <w:t xml:space="preserve">transitional reporting period </w:t>
      </w:r>
      <w:r w:rsidRPr="00AB3E49">
        <w:rPr>
          <w:szCs w:val="24"/>
          <w:lang w:val="en-US"/>
        </w:rPr>
        <w:t>means a reporting period under the old reporting standard:</w:t>
      </w:r>
    </w:p>
    <w:p w14:paraId="7298960E" w14:textId="4D5BC5E8" w:rsidR="00AB3E49" w:rsidRPr="00AB3E49" w:rsidRDefault="00D131F3" w:rsidP="00AB3E49">
      <w:pPr>
        <w:numPr>
          <w:ilvl w:val="0"/>
          <w:numId w:val="8"/>
        </w:numPr>
        <w:tabs>
          <w:tab w:val="left" w:pos="1134"/>
        </w:tabs>
        <w:spacing w:after="240"/>
        <w:jc w:val="both"/>
        <w:rPr>
          <w:szCs w:val="24"/>
        </w:rPr>
      </w:pPr>
      <w:r>
        <w:rPr>
          <w:szCs w:val="24"/>
        </w:rPr>
        <w:t>that</w:t>
      </w:r>
      <w:r w:rsidR="00AB3E49" w:rsidRPr="00AB3E49">
        <w:rPr>
          <w:szCs w:val="24"/>
        </w:rPr>
        <w:t xml:space="preserve"> ended before </w:t>
      </w:r>
      <w:r w:rsidR="001C1072">
        <w:rPr>
          <w:szCs w:val="24"/>
        </w:rPr>
        <w:t>the date of revocation</w:t>
      </w:r>
      <w:r w:rsidR="00AB3E49" w:rsidRPr="00AB3E49">
        <w:rPr>
          <w:szCs w:val="24"/>
        </w:rPr>
        <w:t>; and</w:t>
      </w:r>
    </w:p>
    <w:p w14:paraId="3790C6BC" w14:textId="0DE3BCE8" w:rsidR="00AB3E49" w:rsidRPr="00AB3E49" w:rsidRDefault="00AB3E49" w:rsidP="00AB3E49">
      <w:pPr>
        <w:numPr>
          <w:ilvl w:val="0"/>
          <w:numId w:val="8"/>
        </w:numPr>
        <w:tabs>
          <w:tab w:val="left" w:pos="1134"/>
        </w:tabs>
        <w:spacing w:after="240"/>
        <w:contextualSpacing/>
        <w:jc w:val="both"/>
        <w:rPr>
          <w:szCs w:val="24"/>
        </w:rPr>
      </w:pPr>
      <w:r w:rsidRPr="00AB3E49">
        <w:rPr>
          <w:szCs w:val="24"/>
        </w:rPr>
        <w:t xml:space="preserve">in relation to which the </w:t>
      </w:r>
      <w:r>
        <w:rPr>
          <w:szCs w:val="24"/>
        </w:rPr>
        <w:t xml:space="preserve">private health </w:t>
      </w:r>
      <w:r w:rsidRPr="00AB3E49">
        <w:rPr>
          <w:szCs w:val="24"/>
        </w:rPr>
        <w:t>insurer was required, under the old reporting standard, to report by a date on or after the date of revocation of the old reporting standard.</w:t>
      </w:r>
    </w:p>
    <w:p w14:paraId="1ECDE3D7" w14:textId="1F68DD12" w:rsidR="003E45F0" w:rsidRPr="00FE7180" w:rsidRDefault="00AB3E49" w:rsidP="00AB3E49">
      <w:pPr>
        <w:pStyle w:val="ListParagraph"/>
        <w:spacing w:before="240" w:after="240"/>
        <w:ind w:left="567"/>
        <w:jc w:val="both"/>
        <w:rPr>
          <w:iCs/>
          <w:szCs w:val="24"/>
        </w:rPr>
      </w:pPr>
      <w:r w:rsidRPr="00AB3E49">
        <w:rPr>
          <w:i/>
          <w:iCs/>
          <w:sz w:val="20"/>
          <w:lang w:val="en-US"/>
        </w:rPr>
        <w:t xml:space="preserve">Note: </w:t>
      </w:r>
      <w:r w:rsidRPr="00AB3E49">
        <w:rPr>
          <w:sz w:val="20"/>
          <w:lang w:val="en-US"/>
        </w:rPr>
        <w:t>For the avoidance of doubt, if a</w:t>
      </w:r>
      <w:r>
        <w:rPr>
          <w:sz w:val="20"/>
          <w:lang w:val="en-US"/>
        </w:rPr>
        <w:t xml:space="preserve"> private health</w:t>
      </w:r>
      <w:r w:rsidRPr="00AB3E49">
        <w:rPr>
          <w:sz w:val="20"/>
          <w:lang w:val="en-US"/>
        </w:rPr>
        <w:t xml:space="preserve"> insurer was required to report under an old reporting standard, and the reporting documents were due before the date of revocation of the old reporting standard, the </w:t>
      </w:r>
      <w:r>
        <w:rPr>
          <w:sz w:val="20"/>
          <w:lang w:val="en-US"/>
        </w:rPr>
        <w:t xml:space="preserve">private health </w:t>
      </w:r>
      <w:r w:rsidRPr="00AB3E49">
        <w:rPr>
          <w:sz w:val="20"/>
          <w:lang w:val="en-US"/>
        </w:rPr>
        <w:t>insurer is still required to provide any overdue reporting documents in accordance with the old reporting standard</w:t>
      </w:r>
      <w:r w:rsidR="003E45F0">
        <w:rPr>
          <w:iCs/>
          <w:szCs w:val="24"/>
        </w:rPr>
        <w:t>.</w:t>
      </w:r>
    </w:p>
    <w:p w14:paraId="5BAA7D41" w14:textId="77777777" w:rsidR="00C72DE3" w:rsidRPr="00706CFC" w:rsidRDefault="00C72DE3" w:rsidP="000F5BEE">
      <w:pPr>
        <w:keepNext/>
        <w:keepLines/>
        <w:spacing w:before="120" w:after="240"/>
        <w:jc w:val="both"/>
        <w:outlineLvl w:val="2"/>
        <w:rPr>
          <w:rFonts w:ascii="Arial" w:hAnsi="Arial"/>
          <w:b/>
          <w:bCs/>
          <w:color w:val="000000"/>
          <w:szCs w:val="24"/>
          <w:lang w:val="x-none"/>
        </w:rPr>
      </w:pPr>
      <w:r w:rsidRPr="007B3958">
        <w:rPr>
          <w:rFonts w:ascii="Arial" w:hAnsi="Arial"/>
          <w:b/>
          <w:bCs/>
          <w:color w:val="000000"/>
          <w:szCs w:val="24"/>
          <w:lang w:val="x-none"/>
        </w:rPr>
        <w:t>Interpretation</w:t>
      </w:r>
    </w:p>
    <w:p w14:paraId="369411C3" w14:textId="77777777" w:rsidR="00C72DE3" w:rsidRPr="00706CFC" w:rsidRDefault="00C72DE3" w:rsidP="00AB3E49">
      <w:pPr>
        <w:keepNext/>
        <w:numPr>
          <w:ilvl w:val="0"/>
          <w:numId w:val="5"/>
        </w:numPr>
        <w:spacing w:before="240" w:after="240"/>
        <w:jc w:val="both"/>
        <w:rPr>
          <w:iCs/>
          <w:szCs w:val="24"/>
          <w:lang w:val="x-none"/>
        </w:rPr>
      </w:pPr>
      <w:r w:rsidRPr="00706CFC">
        <w:rPr>
          <w:iCs/>
          <w:szCs w:val="24"/>
          <w:lang w:val="x-none"/>
        </w:rPr>
        <w:t>In this Reporting Standard:</w:t>
      </w:r>
    </w:p>
    <w:p w14:paraId="697A35F0" w14:textId="21387346" w:rsidR="00C72DE3" w:rsidRDefault="00C72DE3" w:rsidP="00AB3E49">
      <w:pPr>
        <w:numPr>
          <w:ilvl w:val="0"/>
          <w:numId w:val="6"/>
        </w:numPr>
        <w:spacing w:after="240"/>
        <w:ind w:left="1134" w:hanging="567"/>
        <w:jc w:val="both"/>
        <w:rPr>
          <w:iCs/>
        </w:rPr>
      </w:pPr>
      <w:r w:rsidRPr="00306B27">
        <w:rPr>
          <w:iCs/>
        </w:rPr>
        <w:t xml:space="preserve">unless the contrary intention appears, words and expressions have the meanings given to them in </w:t>
      </w:r>
      <w:r w:rsidRPr="00BD63D1">
        <w:rPr>
          <w:i/>
          <w:iCs/>
        </w:rPr>
        <w:t xml:space="preserve">Prudential Standard </w:t>
      </w:r>
      <w:r w:rsidR="003643AF">
        <w:rPr>
          <w:i/>
          <w:iCs/>
        </w:rPr>
        <w:t>C</w:t>
      </w:r>
      <w:r w:rsidR="003643AF" w:rsidRPr="00BD63D1">
        <w:rPr>
          <w:i/>
          <w:iCs/>
        </w:rPr>
        <w:t xml:space="preserve">PS </w:t>
      </w:r>
      <w:r w:rsidRPr="00BD63D1">
        <w:rPr>
          <w:i/>
          <w:iCs/>
        </w:rPr>
        <w:t xml:space="preserve">001 </w:t>
      </w:r>
      <w:r w:rsidR="003643AF" w:rsidRPr="00BD63D1">
        <w:rPr>
          <w:i/>
          <w:iCs/>
        </w:rPr>
        <w:t>Defin</w:t>
      </w:r>
      <w:r w:rsidR="003643AF">
        <w:rPr>
          <w:i/>
          <w:iCs/>
        </w:rPr>
        <w:t>ed terms</w:t>
      </w:r>
      <w:r w:rsidR="003643AF" w:rsidRPr="00BD63D1">
        <w:rPr>
          <w:i/>
          <w:iCs/>
        </w:rPr>
        <w:t xml:space="preserve"> </w:t>
      </w:r>
      <w:r w:rsidRPr="00BD63D1">
        <w:rPr>
          <w:iCs/>
        </w:rPr>
        <w:t>(</w:t>
      </w:r>
      <w:r w:rsidR="003643AF">
        <w:rPr>
          <w:iCs/>
        </w:rPr>
        <w:t>C</w:t>
      </w:r>
      <w:r w:rsidR="003643AF" w:rsidRPr="00BD63D1">
        <w:rPr>
          <w:iCs/>
        </w:rPr>
        <w:t xml:space="preserve">PS </w:t>
      </w:r>
      <w:r w:rsidRPr="00BD63D1">
        <w:rPr>
          <w:iCs/>
        </w:rPr>
        <w:t>001);</w:t>
      </w:r>
      <w:r>
        <w:rPr>
          <w:iCs/>
        </w:rPr>
        <w:t xml:space="preserve"> and</w:t>
      </w:r>
    </w:p>
    <w:bookmarkEnd w:id="7"/>
    <w:p w14:paraId="107418B3" w14:textId="77777777" w:rsidR="00C72DE3" w:rsidRPr="003A50DE" w:rsidRDefault="00C72DE3" w:rsidP="00AB3E49">
      <w:pPr>
        <w:numPr>
          <w:ilvl w:val="0"/>
          <w:numId w:val="6"/>
        </w:numPr>
        <w:spacing w:after="240"/>
        <w:ind w:left="1134" w:hanging="567"/>
        <w:jc w:val="both"/>
        <w:rPr>
          <w:szCs w:val="24"/>
        </w:rPr>
      </w:pPr>
      <w:r w:rsidRPr="00E97EC3">
        <w:rPr>
          <w:b/>
          <w:i/>
          <w:szCs w:val="24"/>
        </w:rPr>
        <w:t>APRA</w:t>
      </w:r>
      <w:r w:rsidRPr="00E97EC3">
        <w:rPr>
          <w:szCs w:val="24"/>
        </w:rPr>
        <w:t xml:space="preserve"> means the Australian Prudential Regulation Authority established under the </w:t>
      </w:r>
      <w:r w:rsidRPr="00E97EC3">
        <w:rPr>
          <w:i/>
          <w:szCs w:val="24"/>
        </w:rPr>
        <w:t xml:space="preserve">Australian Prudential Regulation Authority Act </w:t>
      </w:r>
      <w:proofErr w:type="gramStart"/>
      <w:r w:rsidRPr="00E97EC3">
        <w:rPr>
          <w:i/>
          <w:szCs w:val="24"/>
        </w:rPr>
        <w:t>1998</w:t>
      </w:r>
      <w:r w:rsidRPr="00E97EC3">
        <w:rPr>
          <w:szCs w:val="24"/>
        </w:rPr>
        <w:t>;</w:t>
      </w:r>
      <w:proofErr w:type="gramEnd"/>
    </w:p>
    <w:p w14:paraId="50E43CB4" w14:textId="77777777" w:rsidR="003E45F0" w:rsidRDefault="003E45F0" w:rsidP="00873C05">
      <w:pPr>
        <w:pStyle w:val="Style3"/>
        <w:numPr>
          <w:ilvl w:val="0"/>
          <w:numId w:val="0"/>
        </w:numPr>
        <w:ind w:left="1134"/>
      </w:pPr>
      <w:r>
        <w:rPr>
          <w:b/>
          <w:i/>
        </w:rPr>
        <w:t>officer</w:t>
      </w:r>
      <w:r>
        <w:t xml:space="preserve"> has the meaning in the </w:t>
      </w:r>
      <w:r>
        <w:rPr>
          <w:i/>
        </w:rPr>
        <w:t xml:space="preserve">Private Health Insurance (Prudential Supervision) Act </w:t>
      </w:r>
      <w:proofErr w:type="gramStart"/>
      <w:r>
        <w:rPr>
          <w:i/>
        </w:rPr>
        <w:t>2015</w:t>
      </w:r>
      <w:r>
        <w:t>;</w:t>
      </w:r>
      <w:proofErr w:type="gramEnd"/>
    </w:p>
    <w:p w14:paraId="095D0C29" w14:textId="77777777" w:rsidR="003E45F0" w:rsidRDefault="003E45F0" w:rsidP="003E45F0">
      <w:pPr>
        <w:ind w:left="1134"/>
        <w:jc w:val="both"/>
        <w:rPr>
          <w:szCs w:val="24"/>
        </w:rPr>
      </w:pPr>
      <w:r>
        <w:rPr>
          <w:b/>
          <w:i/>
          <w:szCs w:val="24"/>
        </w:rPr>
        <w:t>private health insurer</w:t>
      </w:r>
      <w:r>
        <w:rPr>
          <w:szCs w:val="24"/>
        </w:rPr>
        <w:t xml:space="preserve"> has the meaning in the </w:t>
      </w:r>
      <w:r>
        <w:rPr>
          <w:i/>
          <w:szCs w:val="24"/>
        </w:rPr>
        <w:t>Private Health Insurance (Prudential Supervision) Act 2015</w:t>
      </w:r>
      <w:r>
        <w:rPr>
          <w:szCs w:val="24"/>
        </w:rPr>
        <w:t>;</w:t>
      </w:r>
      <w:r w:rsidR="00274A4F">
        <w:rPr>
          <w:szCs w:val="24"/>
        </w:rPr>
        <w:t xml:space="preserve"> and</w:t>
      </w:r>
    </w:p>
    <w:p w14:paraId="51A848C0" w14:textId="77777777" w:rsidR="00F74DB1" w:rsidRPr="000246FB" w:rsidRDefault="00F74DB1" w:rsidP="003E45F0">
      <w:pPr>
        <w:ind w:left="1134"/>
        <w:jc w:val="both"/>
        <w:rPr>
          <w:szCs w:val="24"/>
        </w:rPr>
      </w:pPr>
    </w:p>
    <w:p w14:paraId="3FFBCF02" w14:textId="2435E782" w:rsidR="00C72DE3" w:rsidRDefault="00C72DE3" w:rsidP="00C72DE3">
      <w:pPr>
        <w:ind w:left="1134"/>
        <w:jc w:val="both"/>
        <w:rPr>
          <w:szCs w:val="24"/>
        </w:rPr>
      </w:pPr>
      <w:r w:rsidRPr="003A50DE">
        <w:rPr>
          <w:b/>
          <w:i/>
          <w:szCs w:val="24"/>
        </w:rPr>
        <w:t>reporting period</w:t>
      </w:r>
      <w:r w:rsidRPr="003A50DE">
        <w:rPr>
          <w:szCs w:val="24"/>
        </w:rPr>
        <w:t xml:space="preserve"> means a period mentioned in </w:t>
      </w:r>
      <w:r>
        <w:rPr>
          <w:szCs w:val="24"/>
        </w:rPr>
        <w:t xml:space="preserve">paragraph </w:t>
      </w:r>
      <w:r>
        <w:rPr>
          <w:szCs w:val="24"/>
        </w:rPr>
        <w:fldChar w:fldCharType="begin"/>
      </w:r>
      <w:r>
        <w:rPr>
          <w:szCs w:val="24"/>
        </w:rPr>
        <w:instrText xml:space="preserve"> REF _Ref410136705 \r \h  \* MERGEFORMAT </w:instrText>
      </w:r>
      <w:r>
        <w:rPr>
          <w:szCs w:val="24"/>
        </w:rPr>
      </w:r>
      <w:r>
        <w:rPr>
          <w:szCs w:val="24"/>
        </w:rPr>
        <w:fldChar w:fldCharType="separate"/>
      </w:r>
      <w:r w:rsidR="001731EE">
        <w:rPr>
          <w:szCs w:val="24"/>
        </w:rPr>
        <w:t>8</w:t>
      </w:r>
      <w:r>
        <w:rPr>
          <w:szCs w:val="24"/>
        </w:rPr>
        <w:fldChar w:fldCharType="end"/>
      </w:r>
      <w:r w:rsidRPr="003A50DE">
        <w:rPr>
          <w:szCs w:val="24"/>
        </w:rPr>
        <w:t>.</w:t>
      </w:r>
    </w:p>
    <w:p w14:paraId="3A4150BA" w14:textId="77777777" w:rsidR="00C72DE3" w:rsidRPr="00421F0D" w:rsidRDefault="00C72DE3" w:rsidP="00C72DE3">
      <w:pPr>
        <w:ind w:left="1134"/>
        <w:jc w:val="both"/>
        <w:rPr>
          <w:szCs w:val="24"/>
        </w:rPr>
      </w:pPr>
    </w:p>
    <w:bookmarkEnd w:id="4"/>
    <w:p w14:paraId="76C2B09B" w14:textId="77777777" w:rsidR="008867D3" w:rsidRDefault="008867D3" w:rsidP="00C72DE3">
      <w:pPr>
        <w:jc w:val="both"/>
        <w:rPr>
          <w:color w:val="000000"/>
        </w:rPr>
        <w:sectPr w:rsidR="008867D3" w:rsidSect="00CA4606">
          <w:headerReference w:type="default" r:id="rId14"/>
          <w:footerReference w:type="default" r:id="rId15"/>
          <w:endnotePr>
            <w:numFmt w:val="decimal"/>
          </w:endnotePr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tbl>
      <w:tblPr>
        <w:tblW w:w="13892" w:type="dxa"/>
        <w:tblInd w:w="108" w:type="dxa"/>
        <w:tblLook w:val="0400" w:firstRow="0" w:lastRow="0" w:firstColumn="0" w:lastColumn="0" w:noHBand="0" w:noVBand="1"/>
      </w:tblPr>
      <w:tblGrid>
        <w:gridCol w:w="13892"/>
      </w:tblGrid>
      <w:tr w:rsidR="007823C6" w:rsidRPr="007823C6" w14:paraId="31214074" w14:textId="77777777" w:rsidTr="00DC0E5E">
        <w:trPr>
          <w:trHeight w:val="300"/>
        </w:trPr>
        <w:tc>
          <w:tcPr>
            <w:tcW w:w="13892" w:type="dxa"/>
            <w:noWrap/>
            <w:vAlign w:val="bottom"/>
            <w:hideMark/>
          </w:tcPr>
          <w:p w14:paraId="74490A68" w14:textId="77777777" w:rsidR="007823C6" w:rsidRPr="007823C6" w:rsidRDefault="007823C6" w:rsidP="00782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7" w:name="_Hlk204268440"/>
            <w:r w:rsidRPr="007823C6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 xml:space="preserve">HRF_604_0: Medical Speciality Block Grouping Information </w:t>
            </w:r>
            <w:bookmarkEnd w:id="17"/>
          </w:p>
        </w:tc>
      </w:tr>
    </w:tbl>
    <w:p w14:paraId="63B2619A" w14:textId="77777777" w:rsidR="007823C6" w:rsidRPr="007823C6" w:rsidRDefault="007823C6" w:rsidP="007823C6">
      <w:pPr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6946"/>
      </w:tblGrid>
      <w:tr w:rsidR="007823C6" w:rsidRPr="007823C6" w14:paraId="24787821" w14:textId="77777777" w:rsidTr="00E76553">
        <w:trPr>
          <w:trHeight w:val="317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574B61" w14:textId="77777777" w:rsidR="007823C6" w:rsidRPr="007823C6" w:rsidRDefault="007823C6" w:rsidP="007823C6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7823C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Australian Business Number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F39A70" w14:textId="77777777" w:rsidR="007823C6" w:rsidRPr="007823C6" w:rsidRDefault="007823C6" w:rsidP="007823C6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7823C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Institution Name</w:t>
            </w:r>
          </w:p>
        </w:tc>
      </w:tr>
      <w:tr w:rsidR="007823C6" w:rsidRPr="007823C6" w14:paraId="1DDBDD64" w14:textId="77777777" w:rsidTr="00E76553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61BB" w14:textId="77777777" w:rsidR="007823C6" w:rsidRPr="007823C6" w:rsidRDefault="007823C6" w:rsidP="007823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3114F" w14:textId="77777777" w:rsidR="007823C6" w:rsidRPr="007823C6" w:rsidRDefault="007823C6" w:rsidP="007823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23C6" w:rsidRPr="007823C6" w14:paraId="3AB1BEE4" w14:textId="77777777" w:rsidTr="00E76553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C90911" w14:textId="77777777" w:rsidR="007823C6" w:rsidRPr="007823C6" w:rsidRDefault="007823C6" w:rsidP="007823C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823C6">
              <w:rPr>
                <w:rFonts w:ascii="Arial" w:eastAsia="Calibri" w:hAnsi="Arial" w:cs="Arial"/>
                <w:b/>
                <w:sz w:val="22"/>
                <w:szCs w:val="22"/>
              </w:rPr>
              <w:t>Reporting Period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6D8C72" w14:textId="77777777" w:rsidR="007823C6" w:rsidRPr="007823C6" w:rsidRDefault="007823C6" w:rsidP="007823C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823C6">
              <w:rPr>
                <w:rFonts w:ascii="Arial" w:eastAsia="Calibri" w:hAnsi="Arial" w:cs="Arial"/>
                <w:b/>
                <w:sz w:val="22"/>
                <w:szCs w:val="22"/>
              </w:rPr>
              <w:t xml:space="preserve">Scale Factor </w:t>
            </w:r>
          </w:p>
        </w:tc>
      </w:tr>
      <w:tr w:rsidR="007823C6" w:rsidRPr="007823C6" w14:paraId="54D44A6A" w14:textId="77777777" w:rsidTr="00E76553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03A0" w14:textId="77777777" w:rsidR="007823C6" w:rsidRPr="007823C6" w:rsidRDefault="007823C6" w:rsidP="007823C6">
            <w:pPr>
              <w:rPr>
                <w:rFonts w:ascii="Arial" w:hAnsi="Arial" w:cs="Arial"/>
                <w:sz w:val="22"/>
                <w:szCs w:val="22"/>
              </w:rPr>
            </w:pPr>
            <w:r w:rsidRPr="007823C6">
              <w:rPr>
                <w:rFonts w:ascii="Arial" w:hAnsi="Arial" w:cs="Arial"/>
                <w:sz w:val="22"/>
                <w:szCs w:val="22"/>
              </w:rPr>
              <w:t>Quarterly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DFF4" w14:textId="77777777" w:rsidR="007823C6" w:rsidRPr="007823C6" w:rsidRDefault="007823C6" w:rsidP="007823C6">
            <w:pPr>
              <w:rPr>
                <w:rFonts w:ascii="Arial" w:hAnsi="Arial" w:cs="Arial"/>
                <w:sz w:val="22"/>
                <w:szCs w:val="22"/>
              </w:rPr>
            </w:pPr>
            <w:r w:rsidRPr="007823C6">
              <w:rPr>
                <w:rFonts w:ascii="Arial" w:hAnsi="Arial" w:cs="Arial"/>
                <w:sz w:val="22"/>
                <w:szCs w:val="22"/>
              </w:rPr>
              <w:t>Whole dollars to two decimal places</w:t>
            </w:r>
          </w:p>
        </w:tc>
      </w:tr>
      <w:tr w:rsidR="007823C6" w:rsidRPr="007823C6" w14:paraId="6CB9D82E" w14:textId="77777777" w:rsidTr="00E76553">
        <w:trPr>
          <w:trHeight w:val="317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F3795E1" w14:textId="77777777" w:rsidR="007823C6" w:rsidRPr="007823C6" w:rsidRDefault="007823C6" w:rsidP="007823C6">
            <w:pPr>
              <w:rPr>
                <w:rFonts w:ascii="Arial" w:hAnsi="Arial" w:cs="Arial"/>
                <w:sz w:val="22"/>
                <w:szCs w:val="22"/>
              </w:rPr>
            </w:pPr>
            <w:r w:rsidRPr="007823C6">
              <w:rPr>
                <w:rFonts w:ascii="Arial" w:eastAsia="Calibri" w:hAnsi="Arial" w:cs="Arial"/>
                <w:b/>
                <w:sz w:val="22"/>
                <w:szCs w:val="22"/>
              </w:rPr>
              <w:t>Reporting Consolidation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noWrap/>
            <w:vAlign w:val="bottom"/>
          </w:tcPr>
          <w:p w14:paraId="427DBC9E" w14:textId="77777777" w:rsidR="007823C6" w:rsidRPr="007823C6" w:rsidRDefault="007823C6" w:rsidP="007823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23C6" w:rsidRPr="007823C6" w14:paraId="73C9B12C" w14:textId="77777777" w:rsidTr="00E76553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7544C" w14:textId="77777777" w:rsidR="007823C6" w:rsidRPr="007823C6" w:rsidRDefault="007823C6" w:rsidP="007823C6">
            <w:pPr>
              <w:rPr>
                <w:rFonts w:ascii="Arial" w:hAnsi="Arial" w:cs="Arial"/>
                <w:sz w:val="22"/>
                <w:szCs w:val="22"/>
              </w:rPr>
            </w:pPr>
            <w:r w:rsidRPr="007823C6">
              <w:rPr>
                <w:rFonts w:ascii="Arial" w:hAnsi="Arial" w:cs="Arial"/>
                <w:sz w:val="22"/>
                <w:szCs w:val="22"/>
              </w:rPr>
              <w:t>Health Benefits Fund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noWrap/>
            <w:vAlign w:val="bottom"/>
          </w:tcPr>
          <w:p w14:paraId="1E59BD8E" w14:textId="77777777" w:rsidR="007823C6" w:rsidRPr="007823C6" w:rsidRDefault="007823C6" w:rsidP="007823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9ED4DB" w14:textId="77777777" w:rsidR="007823C6" w:rsidRDefault="007823C6" w:rsidP="007823C6">
      <w:pPr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139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70"/>
        <w:gridCol w:w="1739"/>
        <w:gridCol w:w="1740"/>
        <w:gridCol w:w="1739"/>
        <w:gridCol w:w="1740"/>
        <w:gridCol w:w="1739"/>
        <w:gridCol w:w="1740"/>
      </w:tblGrid>
      <w:tr w:rsidR="00F64B7C" w:rsidRPr="00FC3309" w14:paraId="78BF7947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14:paraId="34A6D48A" w14:textId="77777777" w:rsidR="00F64B7C" w:rsidRPr="004E4EF7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7F348320" w14:textId="77777777" w:rsidR="00F64B7C" w:rsidRPr="004E4EF7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Total number of services</w:t>
            </w:r>
          </w:p>
        </w:tc>
        <w:tc>
          <w:tcPr>
            <w:tcW w:w="52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1C977064" w14:textId="77777777" w:rsidR="00F64B7C" w:rsidRPr="004E4EF7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Total a</w:t>
            </w:r>
            <w:r w:rsidRPr="00A80C2D">
              <w:rPr>
                <w:rFonts w:ascii="Arial" w:hAnsi="Arial" w:cs="Arial"/>
                <w:b/>
                <w:bCs/>
                <w:sz w:val="20"/>
              </w:rPr>
              <w:t>mount charged for hospita</w:t>
            </w:r>
            <w:r>
              <w:rPr>
                <w:rFonts w:ascii="Arial" w:hAnsi="Arial" w:cs="Arial"/>
                <w:b/>
                <w:bCs/>
                <w:sz w:val="20"/>
              </w:rPr>
              <w:t>l and general medical services</w:t>
            </w:r>
          </w:p>
        </w:tc>
      </w:tr>
      <w:tr w:rsidR="00F64B7C" w:rsidRPr="00FC3309" w14:paraId="6964888C" w14:textId="77777777" w:rsidTr="00DE20B1">
        <w:trPr>
          <w:trHeight w:val="317"/>
        </w:trPr>
        <w:tc>
          <w:tcPr>
            <w:tcW w:w="3470" w:type="dxa"/>
            <w:tcBorders>
              <w:bottom w:val="nil"/>
              <w:right w:val="single" w:sz="4" w:space="0" w:color="auto"/>
            </w:tcBorders>
            <w:vAlign w:val="bottom"/>
            <w:hideMark/>
          </w:tcPr>
          <w:p w14:paraId="649C8789" w14:textId="77777777" w:rsidR="00F64B7C" w:rsidRPr="00653FB9" w:rsidRDefault="00F64B7C" w:rsidP="00DE20B1">
            <w:pPr>
              <w:jc w:val="center"/>
              <w:rPr>
                <w:rFonts w:ascii="Arial" w:hAnsi="Arial" w:cs="Arial"/>
                <w:b/>
                <w:bCs/>
              </w:rPr>
            </w:pPr>
            <w:r w:rsidRPr="00653FB9">
              <w:rPr>
                <w:rFonts w:ascii="Arial" w:hAnsi="Arial" w:cs="Arial"/>
                <w:b/>
                <w:bCs/>
              </w:rPr>
              <w:t>MBS Speciality Block Groupings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4087E97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E4EF7">
              <w:rPr>
                <w:rFonts w:ascii="Arial" w:hAnsi="Arial" w:cs="Arial"/>
                <w:b/>
                <w:bCs/>
                <w:sz w:val="20"/>
              </w:rPr>
              <w:t>No gap agreement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4ED4F4E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E4EF7">
              <w:rPr>
                <w:rFonts w:ascii="Arial" w:hAnsi="Arial" w:cs="Arial"/>
                <w:b/>
                <w:bCs/>
                <w:sz w:val="20"/>
              </w:rPr>
              <w:t>Known gap agreement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F08451F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E4EF7">
              <w:rPr>
                <w:rFonts w:ascii="Arial" w:hAnsi="Arial" w:cs="Arial"/>
                <w:b/>
                <w:bCs/>
                <w:sz w:val="20"/>
              </w:rPr>
              <w:t xml:space="preserve">No </w:t>
            </w:r>
            <w:r>
              <w:rPr>
                <w:rFonts w:ascii="Arial" w:hAnsi="Arial" w:cs="Arial"/>
                <w:b/>
                <w:bCs/>
                <w:sz w:val="20"/>
              </w:rPr>
              <w:t>a</w:t>
            </w:r>
            <w:r w:rsidRPr="004E4EF7">
              <w:rPr>
                <w:rFonts w:ascii="Arial" w:hAnsi="Arial" w:cs="Arial"/>
                <w:b/>
                <w:bCs/>
                <w:sz w:val="20"/>
              </w:rPr>
              <w:t>greement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B506B50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E4EF7">
              <w:rPr>
                <w:rFonts w:ascii="Arial" w:hAnsi="Arial" w:cs="Arial"/>
                <w:b/>
                <w:bCs/>
                <w:sz w:val="20"/>
              </w:rPr>
              <w:t>No gap agreement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6731A69D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E4EF7">
              <w:rPr>
                <w:rFonts w:ascii="Arial" w:hAnsi="Arial" w:cs="Arial"/>
                <w:b/>
                <w:bCs/>
                <w:sz w:val="20"/>
              </w:rPr>
              <w:t>Known gap agreement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76D1CAF8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E4EF7">
              <w:rPr>
                <w:rFonts w:ascii="Arial" w:hAnsi="Arial" w:cs="Arial"/>
                <w:b/>
                <w:bCs/>
                <w:sz w:val="20"/>
              </w:rPr>
              <w:t xml:space="preserve">No </w:t>
            </w:r>
            <w:r>
              <w:rPr>
                <w:rFonts w:ascii="Arial" w:hAnsi="Arial" w:cs="Arial"/>
                <w:b/>
                <w:bCs/>
                <w:sz w:val="20"/>
              </w:rPr>
              <w:t>a</w:t>
            </w:r>
            <w:r w:rsidRPr="004E4EF7">
              <w:rPr>
                <w:rFonts w:ascii="Arial" w:hAnsi="Arial" w:cs="Arial"/>
                <w:b/>
                <w:bCs/>
                <w:sz w:val="20"/>
              </w:rPr>
              <w:t>greement</w:t>
            </w:r>
          </w:p>
        </w:tc>
      </w:tr>
      <w:tr w:rsidR="00F64B7C" w:rsidRPr="00FC3309" w14:paraId="19EB12D4" w14:textId="77777777" w:rsidTr="00DE20B1">
        <w:trPr>
          <w:trHeight w:val="317"/>
        </w:trPr>
        <w:tc>
          <w:tcPr>
            <w:tcW w:w="3470" w:type="dxa"/>
            <w:tcBorders>
              <w:top w:val="nil"/>
              <w:right w:val="single" w:sz="4" w:space="0" w:color="auto"/>
            </w:tcBorders>
            <w:vAlign w:val="bottom"/>
            <w:hideMark/>
          </w:tcPr>
          <w:p w14:paraId="50D757D2" w14:textId="77777777" w:rsidR="00F64B7C" w:rsidRPr="00653FB9" w:rsidRDefault="00F64B7C" w:rsidP="00DE20B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101E1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309">
              <w:rPr>
                <w:rFonts w:ascii="Arial" w:hAnsi="Arial" w:cs="Arial"/>
                <w:b/>
                <w:b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</w:rPr>
              <w:t>1</w:t>
            </w:r>
            <w:r w:rsidRPr="00FC3309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218D6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309">
              <w:rPr>
                <w:rFonts w:ascii="Arial" w:hAnsi="Arial" w:cs="Arial"/>
                <w:b/>
                <w:b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Pr="00FC3309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73FAC93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309">
              <w:rPr>
                <w:rFonts w:ascii="Arial" w:hAnsi="Arial" w:cs="Arial"/>
                <w:b/>
                <w:b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</w:rPr>
              <w:t>3</w:t>
            </w:r>
            <w:r w:rsidRPr="00FC3309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0CC4D5B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309">
              <w:rPr>
                <w:rFonts w:ascii="Arial" w:hAnsi="Arial" w:cs="Arial"/>
                <w:b/>
                <w:b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</w:rPr>
              <w:t>4</w:t>
            </w:r>
            <w:r w:rsidRPr="00FC3309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8C0809D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309">
              <w:rPr>
                <w:rFonts w:ascii="Arial" w:hAnsi="Arial" w:cs="Arial"/>
                <w:b/>
                <w:b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</w:rPr>
              <w:t>5</w:t>
            </w:r>
            <w:r w:rsidRPr="00FC3309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C12D7BC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309">
              <w:rPr>
                <w:rFonts w:ascii="Arial" w:hAnsi="Arial" w:cs="Arial"/>
                <w:b/>
                <w:b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</w:rPr>
              <w:t>6</w:t>
            </w:r>
            <w:r w:rsidRPr="00FC3309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F64B7C" w:rsidRPr="00F64B7C" w14:paraId="2204F9D0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6A3E0616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1) Specialist, consultant physician, and consultant psychiatric attendances: Groups A3, A4 and A8; items 104-108, 110-131, 300-352.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C673C" w14:textId="7AE5668A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1628F" w14:textId="41602129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EC1CB" w14:textId="01381CBC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D6B46" w14:textId="5576E1FC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9573E" w14:textId="199162D0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48DE9" w14:textId="400D70C9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64B7C" w14:paraId="41D6AFB2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33F0760F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2) Procedures associated with intensive care and cardiopulmonary support and management: Subgroups T1.9 and T1.10; items 13815 - 13888.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DDA98" w14:textId="48A9DD84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7B517" w14:textId="4485F448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AEBDA" w14:textId="69434D27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6E263" w14:textId="10C8930C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7D8C9" w14:textId="203424E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49BB7" w14:textId="4AC4B91B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64B7C" w14:paraId="064982C2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641F0F03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3) Obstetrics and gynaecology obstetrics: Subgroup T4; items 16500 - 16636; and Surgical operations gynaecological: Subgroup T8.4; items 35500 - 35759.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FCDA5" w14:textId="62E8F4E9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0E778" w14:textId="307EB2CC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CA6BB" w14:textId="5CC0812C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5405B" w14:textId="324910B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2B687" w14:textId="0C9A1C8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14037" w14:textId="43E7AFDF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64B7C" w14:paraId="423489A7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4D29FADB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4) Anaesthesia: Groups T6, T7, and T10; items 17603 - 18298, 20100-25205.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98E1B" w14:textId="0C2713C3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D86E3" w14:textId="6F743DC7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C8D94" w14:textId="547DD8F3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03BD0" w14:textId="5AE11E5A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35442" w14:textId="111C3F91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43C93" w14:textId="295A75BB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64B7C" w14:paraId="1C542C44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7491929F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5) General surgical operations: Subgroup T8.1; items 30001 - 31472.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2DE7E" w14:textId="5ABB274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E3DA5" w14:textId="73331B8A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FD3C9" w14:textId="5310D15A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C8EA0" w14:textId="2CF0EA88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86A58" w14:textId="5F7006E9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459C1" w14:textId="47361BBC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64B7C" w14:paraId="7979E32D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6432E413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6) Colorectal surgical operations: Subgroup T8.2; items 32000 - 32212.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48FA9" w14:textId="527685F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8094F" w14:textId="68CBD8AA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9D70B" w14:textId="7B7DF8A1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B9571" w14:textId="4388BECC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0DEBA" w14:textId="0708194A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D54C4" w14:textId="347893E8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64B7C" w14:paraId="04BB7777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540D3ED7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7) Vascular surgical operations: Subgroup T8.3; items 32500 - 35330.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0A3F0" w14:textId="29436C04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DDBE5" w14:textId="3C0D9AC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9B264" w14:textId="6FBA79E7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D63C4" w14:textId="3E5918A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9544F" w14:textId="1FA6396B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42926" w14:textId="69047159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64B7C" w14:paraId="5C5A83CB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26E2CFD9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8) Urology: Subgroup T8.5, items 36500 - 37854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C7379" w14:textId="6F572D13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6D947" w14:textId="11136A78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A36FC" w14:textId="0AD60B7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C323F" w14:textId="1C6B8420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0666A" w14:textId="3D65D670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5CDF3" w14:textId="1BF952AD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64B7C" w14:paraId="3F372934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177EFC82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9) Cardio-thoracic surgical operations: Subgroup T8.6; items 38200 - 38766; and Diagnostic procedures and investigations cardiovascular: Subgroup D1.6; items 11700-11724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9D812" w14:textId="175E9E5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32A5D" w14:textId="2E42D9B1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D2D7D" w14:textId="240C5AA4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7106B" w14:textId="1FF5094A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DA407" w14:textId="4AF05CC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A5B23" w14:textId="062696F3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64B7C" w14:paraId="50B5E305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4234816A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10) Neurosurgical surgical operations: Subgroup T8.7; items 39000 - 40903.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58AF5" w14:textId="229F3467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0D5D6" w14:textId="6F61873B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83DE6" w14:textId="6C5661B4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B5B27" w14:textId="613EDC08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49C4B" w14:textId="613B014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CBAC5" w14:textId="3B4A1EE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64B7C" w14:paraId="45F66820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6CD30D48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11) Ear, nose and throat surgical operations: Subgroup T8.8; items 41500 - 41910.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7485" w14:textId="2BC2588E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00BC6" w14:textId="34609BE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095B3" w14:textId="74A6D6A6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BEE16" w14:textId="21634D5C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997B6" w14:textId="0383824F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DF32A" w14:textId="17AA8A5C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64B7C" w14:paraId="3EDAE78A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1905739C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12) Ophthalmology surgical operations: Subgroup T8.9; items 42503 - 42872.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0F54D" w14:textId="1DE7706A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F4557" w14:textId="550BA0BC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4078D" w14:textId="11843B8D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29592" w14:textId="692DFB4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0EADD" w14:textId="5673746E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EFEA0" w14:textId="727949E4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64B7C" w14:paraId="376562D4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6EF16170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13) Plastic and reconstructive surgical operations: Subgroup T8.13; items 45000-45797.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3EA64" w14:textId="346C673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3DCF7" w14:textId="4BA25F1C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0B305" w14:textId="64B09937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07EA2" w14:textId="0009E1C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7196C" w14:textId="18FA3C5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6EE6B" w14:textId="63A7F610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64B7C" w14:paraId="087CEE14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478D1E54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14) Orthopaedic surgical operations: Subgroup T8.15; items 47000 - 50426.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16904" w14:textId="69B2159B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67286" w14:textId="1DB1B3B4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4881A" w14:textId="391EB933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60604" w14:textId="695176D9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1A69C" w14:textId="429BDC78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1A2BD" w14:textId="3E53540C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64B7C" w14:paraId="7E5B38D4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3BC61855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15) Assistance at operations: Group T9; items 51300 - 51318.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04F05" w14:textId="23FBEE24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439FF" w14:textId="485957A1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1DAE7" w14:textId="587A39CA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7C601" w14:textId="7FA8D5AB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3F865" w14:textId="79AF70A4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D00F9" w14:textId="6A35E47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64B7C" w14:paraId="4070A1F1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0CA01E32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16) Diagnostic imaging services; Category 5; all Groups I1-I5; items 55028-63946.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31D55" w14:textId="3A2891D8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9366B" w14:textId="3192B7BD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9A07C" w14:textId="63493A59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E6108" w14:textId="605B4346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D3B49" w14:textId="150B8794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82F06" w14:textId="6F72BE04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64B7C" w14:paraId="66477C9C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3C016D33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17) Pathology services: Category 6; all Groups P1-P10; items 65060 and over.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7156C" w14:textId="2AF1C84D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D862E" w14:textId="2A0A90F1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18A85" w14:textId="6F65058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BFB3D" w14:textId="432BE16C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234B7" w14:textId="0B88BE30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D3D59" w14:textId="0079E14A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64B7C" w14:paraId="52BB46B5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5F84617C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18) All other items.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CB2B4" w14:textId="2B10FD20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0895E" w14:textId="15D8E2F3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2BD3A" w14:textId="54855D51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2515A" w14:textId="0507D0C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7F07D" w14:textId="2C120676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1E2EC" w14:textId="7C5AE881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64B7C" w14:paraId="5F29F130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759478D3" w14:textId="77777777" w:rsidR="00F64B7C" w:rsidRPr="00F64B7C" w:rsidRDefault="00F64B7C" w:rsidP="00DE20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64B7C">
              <w:rPr>
                <w:rFonts w:ascii="Arial" w:hAnsi="Arial" w:cs="Arial"/>
                <w:bCs/>
                <w:sz w:val="22"/>
                <w:szCs w:val="22"/>
              </w:rPr>
              <w:t>Total all services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BEC2625" w14:textId="2485E66A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D803E13" w14:textId="0EBCD433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0BDA1035" w14:textId="6A8A56A4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47AC88A9" w14:textId="68B6514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41039934" w14:textId="080E324E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4219499D" w14:textId="08DFC3B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716A084" w14:textId="77777777" w:rsidR="00F64B7C" w:rsidRPr="00F64B7C" w:rsidRDefault="00F64B7C" w:rsidP="00F64B7C">
      <w:pPr>
        <w:rPr>
          <w:rFonts w:ascii="Arial" w:hAnsi="Arial" w:cs="Arial"/>
          <w:sz w:val="22"/>
          <w:szCs w:val="22"/>
        </w:rPr>
      </w:pPr>
    </w:p>
    <w:tbl>
      <w:tblPr>
        <w:tblW w:w="139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70"/>
        <w:gridCol w:w="1739"/>
        <w:gridCol w:w="1740"/>
        <w:gridCol w:w="1739"/>
        <w:gridCol w:w="1740"/>
        <w:gridCol w:w="1739"/>
        <w:gridCol w:w="1740"/>
      </w:tblGrid>
      <w:tr w:rsidR="00F64B7C" w:rsidRPr="00FC3309" w14:paraId="0E87BC41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14:paraId="6A18DF3D" w14:textId="77777777" w:rsidR="00F64B7C" w:rsidRPr="004E4EF7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57390797" w14:textId="77777777" w:rsidR="00F64B7C" w:rsidRPr="004E4EF7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Total </w:t>
            </w:r>
            <w:r w:rsidRPr="00A80C2D">
              <w:rPr>
                <w:rFonts w:ascii="Arial" w:hAnsi="Arial" w:cs="Arial"/>
                <w:b/>
                <w:bCs/>
                <w:sz w:val="20"/>
              </w:rPr>
              <w:t>Medicare benefits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paid for hospital and general medical services</w:t>
            </w:r>
          </w:p>
        </w:tc>
        <w:tc>
          <w:tcPr>
            <w:tcW w:w="52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1E5234B" w14:textId="77777777" w:rsidR="00F64B7C" w:rsidRPr="004E4EF7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Total f</w:t>
            </w:r>
            <w:r w:rsidRPr="00E36943">
              <w:rPr>
                <w:rFonts w:ascii="Arial" w:hAnsi="Arial" w:cs="Arial"/>
                <w:b/>
                <w:bCs/>
                <w:sz w:val="20"/>
              </w:rPr>
              <w:t>und benefits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paid for hospital and general medical services</w:t>
            </w:r>
          </w:p>
        </w:tc>
      </w:tr>
      <w:tr w:rsidR="00F64B7C" w:rsidRPr="00FC3309" w14:paraId="509E4C60" w14:textId="77777777" w:rsidTr="00DE20B1">
        <w:trPr>
          <w:trHeight w:val="317"/>
        </w:trPr>
        <w:tc>
          <w:tcPr>
            <w:tcW w:w="3470" w:type="dxa"/>
            <w:tcBorders>
              <w:bottom w:val="nil"/>
              <w:right w:val="single" w:sz="4" w:space="0" w:color="auto"/>
            </w:tcBorders>
            <w:vAlign w:val="bottom"/>
            <w:hideMark/>
          </w:tcPr>
          <w:p w14:paraId="084DD273" w14:textId="77777777" w:rsidR="00F64B7C" w:rsidRPr="00653FB9" w:rsidRDefault="00F64B7C" w:rsidP="00DE20B1">
            <w:pPr>
              <w:jc w:val="center"/>
              <w:rPr>
                <w:rFonts w:ascii="Arial" w:hAnsi="Arial" w:cs="Arial"/>
                <w:b/>
                <w:bCs/>
              </w:rPr>
            </w:pPr>
            <w:r w:rsidRPr="00653FB9">
              <w:rPr>
                <w:rFonts w:ascii="Arial" w:hAnsi="Arial" w:cs="Arial"/>
                <w:b/>
                <w:bCs/>
              </w:rPr>
              <w:t>MBS Speciality Block Groupings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C8F282C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E4EF7">
              <w:rPr>
                <w:rFonts w:ascii="Arial" w:hAnsi="Arial" w:cs="Arial"/>
                <w:b/>
                <w:bCs/>
                <w:sz w:val="20"/>
              </w:rPr>
              <w:t>No gap agreement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B04E1C6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E4EF7">
              <w:rPr>
                <w:rFonts w:ascii="Arial" w:hAnsi="Arial" w:cs="Arial"/>
                <w:b/>
                <w:bCs/>
                <w:sz w:val="20"/>
              </w:rPr>
              <w:t>Known gap agreement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5562ED6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E4EF7">
              <w:rPr>
                <w:rFonts w:ascii="Arial" w:hAnsi="Arial" w:cs="Arial"/>
                <w:b/>
                <w:bCs/>
                <w:sz w:val="20"/>
              </w:rPr>
              <w:t xml:space="preserve">No </w:t>
            </w:r>
            <w:r>
              <w:rPr>
                <w:rFonts w:ascii="Arial" w:hAnsi="Arial" w:cs="Arial"/>
                <w:b/>
                <w:bCs/>
                <w:sz w:val="20"/>
              </w:rPr>
              <w:t>a</w:t>
            </w:r>
            <w:r w:rsidRPr="004E4EF7">
              <w:rPr>
                <w:rFonts w:ascii="Arial" w:hAnsi="Arial" w:cs="Arial"/>
                <w:b/>
                <w:bCs/>
                <w:sz w:val="20"/>
              </w:rPr>
              <w:t>greement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664FB3A3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E4EF7">
              <w:rPr>
                <w:rFonts w:ascii="Arial" w:hAnsi="Arial" w:cs="Arial"/>
                <w:b/>
                <w:bCs/>
                <w:sz w:val="20"/>
              </w:rPr>
              <w:t>No gap agreement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1AAB63A3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E4EF7">
              <w:rPr>
                <w:rFonts w:ascii="Arial" w:hAnsi="Arial" w:cs="Arial"/>
                <w:b/>
                <w:bCs/>
                <w:sz w:val="20"/>
              </w:rPr>
              <w:t>Known gap agreement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3C1A1B83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E4EF7">
              <w:rPr>
                <w:rFonts w:ascii="Arial" w:hAnsi="Arial" w:cs="Arial"/>
                <w:b/>
                <w:bCs/>
                <w:sz w:val="20"/>
              </w:rPr>
              <w:t xml:space="preserve">No </w:t>
            </w:r>
            <w:r>
              <w:rPr>
                <w:rFonts w:ascii="Arial" w:hAnsi="Arial" w:cs="Arial"/>
                <w:b/>
                <w:bCs/>
                <w:sz w:val="20"/>
              </w:rPr>
              <w:t>a</w:t>
            </w:r>
            <w:r w:rsidRPr="004E4EF7">
              <w:rPr>
                <w:rFonts w:ascii="Arial" w:hAnsi="Arial" w:cs="Arial"/>
                <w:b/>
                <w:bCs/>
                <w:sz w:val="20"/>
              </w:rPr>
              <w:t>greement</w:t>
            </w:r>
          </w:p>
        </w:tc>
      </w:tr>
      <w:tr w:rsidR="00F64B7C" w:rsidRPr="00FC3309" w14:paraId="5C11BA7F" w14:textId="77777777" w:rsidTr="00DE20B1">
        <w:trPr>
          <w:trHeight w:val="317"/>
        </w:trPr>
        <w:tc>
          <w:tcPr>
            <w:tcW w:w="3470" w:type="dxa"/>
            <w:tcBorders>
              <w:top w:val="nil"/>
              <w:right w:val="single" w:sz="4" w:space="0" w:color="auto"/>
            </w:tcBorders>
            <w:vAlign w:val="bottom"/>
            <w:hideMark/>
          </w:tcPr>
          <w:p w14:paraId="63E4EC45" w14:textId="77777777" w:rsidR="00F64B7C" w:rsidRPr="00653FB9" w:rsidRDefault="00F64B7C" w:rsidP="00DE20B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8F466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309">
              <w:rPr>
                <w:rFonts w:ascii="Arial" w:hAnsi="Arial" w:cs="Arial"/>
                <w:b/>
                <w:b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</w:rPr>
              <w:t>1</w:t>
            </w:r>
            <w:r w:rsidRPr="00FC3309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4C505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309">
              <w:rPr>
                <w:rFonts w:ascii="Arial" w:hAnsi="Arial" w:cs="Arial"/>
                <w:b/>
                <w:b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Pr="00FC3309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2973419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309">
              <w:rPr>
                <w:rFonts w:ascii="Arial" w:hAnsi="Arial" w:cs="Arial"/>
                <w:b/>
                <w:b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</w:rPr>
              <w:t>3</w:t>
            </w:r>
            <w:r w:rsidRPr="00FC3309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DB67069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309">
              <w:rPr>
                <w:rFonts w:ascii="Arial" w:hAnsi="Arial" w:cs="Arial"/>
                <w:b/>
                <w:b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</w:rPr>
              <w:t>4</w:t>
            </w:r>
            <w:r w:rsidRPr="00FC3309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B033100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309">
              <w:rPr>
                <w:rFonts w:ascii="Arial" w:hAnsi="Arial" w:cs="Arial"/>
                <w:b/>
                <w:b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</w:rPr>
              <w:t>5</w:t>
            </w:r>
            <w:r w:rsidRPr="00FC3309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47BCA6E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309">
              <w:rPr>
                <w:rFonts w:ascii="Arial" w:hAnsi="Arial" w:cs="Arial"/>
                <w:b/>
                <w:b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</w:rPr>
              <w:t>6</w:t>
            </w:r>
            <w:r w:rsidRPr="00FC3309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F64B7C" w:rsidRPr="00FC3309" w14:paraId="4B2678DA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2F2C807D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1) Specialist, consultant physician, and consultant psychiatric attendances: Groups A3, A4 and A8; items 104-108, 110-131, 300-352.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A19E5" w14:textId="1C2F121C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041E8" w14:textId="51434CAD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D2158" w14:textId="068FF52B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5126C" w14:textId="4F6908CC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090FA" w14:textId="191B941E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69532" w14:textId="27275F73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26F4EA9C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1DF72D4C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2) Procedures associated with intensive care and cardiopulmonary support and management: Subgroups T1.9 and T1.10; items 13815 - 13888.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177E1" w14:textId="7CE925A9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0C037" w14:textId="6FE0D444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AD0C7" w14:textId="6FF8F4A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8311F" w14:textId="11AEFCFD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12908" w14:textId="56F7DAE6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00FA3" w14:textId="1962C1F3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4208B0F6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1CD92908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 xml:space="preserve">3) Obstetrics and gynaecology obstetrics: Subgroup T4; items </w:t>
            </w: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16500 - 16636; and Surgical operations gynaecological: Subgroup T8.4; items 35500 - 35759.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7E0E3" w14:textId="18FB43D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B3B29" w14:textId="7E9F301D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94D70" w14:textId="6C9172F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CAEB5" w14:textId="0FD41D60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73A9B" w14:textId="6057285A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03907" w14:textId="5C20EA0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0423B2D6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6279AB07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4) Anaesthesia: Groups T6, T7, and T10; items 17603 - 18298, 20100-25205.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30754" w14:textId="1B8C27D7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D0EE9" w14:textId="62A3E986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1E1FA" w14:textId="54A0E700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70BC9" w14:textId="68CA7557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C014C" w14:textId="7A1CA33E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AB44D" w14:textId="13F0B668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3AD796D8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68906C72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5) General surgical operations: Subgroup T8.1; items 30001 - 31472.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D2DCE" w14:textId="3175338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2E9E4" w14:textId="107E88A9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39032" w14:textId="1A534663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F82C3" w14:textId="4060C44A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86050" w14:textId="6EEB45D7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39F00" w14:textId="517E1FD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1DB81A17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7BC2C01F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6) Colorectal surgical operations: Subgroup T8.2; items 32000 - 32212.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1556D" w14:textId="7F241AE9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733A7" w14:textId="19F97D54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56DA8" w14:textId="4249579E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C6D4C" w14:textId="7E80542C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9B6FA" w14:textId="1EFC8D76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D81C5" w14:textId="3858A5D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2117112A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3ACDAEAF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7) Vascular surgical operations: Subgroup T8.3; items 32500 - 35330.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3509A" w14:textId="6A88BE66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82CC4" w14:textId="4018668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A28C1" w14:textId="22443F7A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A4DE1" w14:textId="27B53033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A7B71" w14:textId="050BC6C8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E7B90" w14:textId="3F3E4D7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5FAF423E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0CFA4789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8) Urology: Subgroup T8.5, items 36500 - 37854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70CFC" w14:textId="63A9C1E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A24EB" w14:textId="3E8EC360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73180" w14:textId="3DD097AE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2C514" w14:textId="755D857C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F7856" w14:textId="195948F3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886FC" w14:textId="77E6C19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151899AD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618D366A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9) Cardio-thoracic surgical operations: Subgroup T8.6; items 38200 - 38766; and Diagnostic procedures and investigations cardiovascular: Subgroup D1.6; items 11700-11724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D5DF3" w14:textId="2DB5FE54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9D3CB" w14:textId="1237E8B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F0C83" w14:textId="6AD7B73F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F9C8A" w14:textId="4A4C9BAF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50E49" w14:textId="5FB26798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1E12E" w14:textId="362DDAB1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753D9827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6BCC2DFA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10) Neurosurgical surgical operations: Subgroup T8.7; items 39000 - 40903.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CCF80" w14:textId="27DA60A9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128C1" w14:textId="78DF814E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56A5A" w14:textId="14DE917C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DCA72" w14:textId="11BED2F9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C69C1" w14:textId="18D1CA7E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1F1FF" w14:textId="02939698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6564C2A8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57030C2C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11) Ear, nose and throat surgical operations: Subgroup T8.8; items 41500 - 41910.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6E581" w14:textId="4FE78C80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F4075" w14:textId="01021B8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8A3FF" w14:textId="0A8FE9B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818CC" w14:textId="51AA16D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C1591" w14:textId="3E3821AF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40BC8" w14:textId="6F38AF71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2182F154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658CA06A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 xml:space="preserve">12) Ophthalmology surgical operations: Subgroup T8.9; items </w:t>
            </w: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42503 - 42872.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2E63C" w14:textId="16E1F626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782EF" w14:textId="704AF32B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6DD52" w14:textId="5D303933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56C1A" w14:textId="00EF364B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10F10" w14:textId="06CA436A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BCF0C" w14:textId="5E6573F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240EC951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3770E18F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13) Plastic and reconstructive surgical operations: Subgroup T8.13; items 45000-45797.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9EDB7" w14:textId="310D6F04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132E3" w14:textId="202CFC47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A0B26" w14:textId="371B74F8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AB08F" w14:textId="4EE2C3D9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42C41" w14:textId="52CED1D1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265F9" w14:textId="5AA81AC6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3EBF5FBE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664DE351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14) Orthopaedic surgical operations: Subgroup T8.15; items 47000 - 50426.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691C9" w14:textId="132DD344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3B36B" w14:textId="6A15AB4B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70331" w14:textId="7436EFB1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210D2" w14:textId="0A266E21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C0D99" w14:textId="6DDE8B99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28118" w14:textId="3A7C9A58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5798398F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4EC8D6B0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15) Assistance at operations: Group T9; items 51300 - 51318.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0EF8A" w14:textId="59F1E6F0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22D32" w14:textId="3FDAC77F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C8327" w14:textId="722F2A01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0142E" w14:textId="780EB8E0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31E92" w14:textId="745B5187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8BC9B" w14:textId="106796AA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1A530272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05E50615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16) Diagnostic imaging services; Category 5; all Groups I1-I5; items 55028-63946.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71305" w14:textId="5BE3A99E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173EA" w14:textId="746F8803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8D4B0" w14:textId="4AEEDAB3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4475E" w14:textId="03BC28D7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2BC6A" w14:textId="6597E531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2EB20" w14:textId="652D266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7D644488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7D917E64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17) Pathology services: Category 6; all Groups P1-P10; items 65060 and over.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ABE42" w14:textId="0E74BDEB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1D49A" w14:textId="6841D87F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5DDA1" w14:textId="4C5A7D16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4407B" w14:textId="5C172460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A841A" w14:textId="41EC5FFA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AB5FC" w14:textId="76DB10ED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6D1BB896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0AA61A42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18) All other items.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A0B67" w14:textId="35CEEA03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43574" w14:textId="51B5ACFB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35E1C" w14:textId="0EC6950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E3023" w14:textId="300317AC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99200" w14:textId="18BFF483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2B0F6" w14:textId="0843BC5A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784D461B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5B854FEC" w14:textId="77777777" w:rsidR="00F64B7C" w:rsidRPr="00F64B7C" w:rsidRDefault="00F64B7C" w:rsidP="00DE20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64B7C">
              <w:rPr>
                <w:rFonts w:ascii="Arial" w:hAnsi="Arial" w:cs="Arial"/>
                <w:bCs/>
                <w:sz w:val="22"/>
                <w:szCs w:val="22"/>
              </w:rPr>
              <w:t>Total all services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457ED46" w14:textId="243C0EF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C36566B" w14:textId="5552DAF8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B9E255B" w14:textId="3369BB3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6D0BEFC5" w14:textId="56257576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7DFA3EFD" w14:textId="689453B6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044F7BCE" w14:textId="710A5BA3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7876375" w14:textId="77777777" w:rsidR="00F64B7C" w:rsidRDefault="00F64B7C" w:rsidP="00F64B7C">
      <w:pPr>
        <w:rPr>
          <w:rFonts w:ascii="Arial" w:hAnsi="Arial" w:cs="Arial"/>
        </w:rPr>
      </w:pPr>
    </w:p>
    <w:tbl>
      <w:tblPr>
        <w:tblW w:w="139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70"/>
        <w:gridCol w:w="1739"/>
        <w:gridCol w:w="1740"/>
        <w:gridCol w:w="1739"/>
        <w:gridCol w:w="1739"/>
        <w:gridCol w:w="1739"/>
        <w:gridCol w:w="1739"/>
      </w:tblGrid>
      <w:tr w:rsidR="00F64B7C" w:rsidRPr="00FC3309" w14:paraId="43707C68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14:paraId="2FFF5DD7" w14:textId="77777777" w:rsidR="00F64B7C" w:rsidRPr="004E4EF7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4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72BFCEE1" w14:textId="77777777" w:rsidR="00F64B7C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Gap Services</w:t>
            </w:r>
          </w:p>
        </w:tc>
      </w:tr>
      <w:tr w:rsidR="00F64B7C" w:rsidRPr="00FC3309" w14:paraId="3B3B9B4F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vAlign w:val="bottom"/>
          </w:tcPr>
          <w:p w14:paraId="4D61868F" w14:textId="77777777" w:rsidR="00F64B7C" w:rsidRPr="004E4EF7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3174018E" w14:textId="77777777" w:rsidR="00F64B7C" w:rsidRPr="004E4EF7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Number of gap services</w:t>
            </w:r>
          </w:p>
        </w:tc>
        <w:tc>
          <w:tcPr>
            <w:tcW w:w="52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A6C63C0" w14:textId="77777777" w:rsidR="00F64B7C" w:rsidRPr="004E4EF7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Average gap per service where gap paid</w:t>
            </w:r>
          </w:p>
        </w:tc>
      </w:tr>
      <w:tr w:rsidR="00F64B7C" w:rsidRPr="00FC3309" w14:paraId="17EF6EA8" w14:textId="77777777" w:rsidTr="00DE20B1">
        <w:trPr>
          <w:trHeight w:val="317"/>
        </w:trPr>
        <w:tc>
          <w:tcPr>
            <w:tcW w:w="3470" w:type="dxa"/>
            <w:tcBorders>
              <w:bottom w:val="nil"/>
              <w:right w:val="single" w:sz="4" w:space="0" w:color="auto"/>
            </w:tcBorders>
            <w:vAlign w:val="bottom"/>
            <w:hideMark/>
          </w:tcPr>
          <w:p w14:paraId="78C20860" w14:textId="77777777" w:rsidR="00F64B7C" w:rsidRPr="00653FB9" w:rsidRDefault="00F64B7C" w:rsidP="00DE20B1">
            <w:pPr>
              <w:jc w:val="center"/>
              <w:rPr>
                <w:rFonts w:ascii="Arial" w:hAnsi="Arial" w:cs="Arial"/>
                <w:b/>
                <w:bCs/>
              </w:rPr>
            </w:pPr>
            <w:r w:rsidRPr="00653FB9">
              <w:rPr>
                <w:rFonts w:ascii="Arial" w:hAnsi="Arial" w:cs="Arial"/>
                <w:b/>
                <w:bCs/>
              </w:rPr>
              <w:t>MBS Speciality Block Groupings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6C8538B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E4EF7">
              <w:rPr>
                <w:rFonts w:ascii="Arial" w:hAnsi="Arial" w:cs="Arial"/>
                <w:b/>
                <w:bCs/>
                <w:sz w:val="20"/>
              </w:rPr>
              <w:t>No gap agreement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E39E154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E4EF7">
              <w:rPr>
                <w:rFonts w:ascii="Arial" w:hAnsi="Arial" w:cs="Arial"/>
                <w:b/>
                <w:bCs/>
                <w:sz w:val="20"/>
              </w:rPr>
              <w:t>Known gap agreement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D860138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E4EF7">
              <w:rPr>
                <w:rFonts w:ascii="Arial" w:hAnsi="Arial" w:cs="Arial"/>
                <w:b/>
                <w:bCs/>
                <w:sz w:val="20"/>
              </w:rPr>
              <w:t xml:space="preserve">No </w:t>
            </w:r>
            <w:r>
              <w:rPr>
                <w:rFonts w:ascii="Arial" w:hAnsi="Arial" w:cs="Arial"/>
                <w:b/>
                <w:bCs/>
                <w:sz w:val="20"/>
              </w:rPr>
              <w:t>a</w:t>
            </w:r>
            <w:r w:rsidRPr="004E4EF7">
              <w:rPr>
                <w:rFonts w:ascii="Arial" w:hAnsi="Arial" w:cs="Arial"/>
                <w:b/>
                <w:bCs/>
                <w:sz w:val="20"/>
              </w:rPr>
              <w:t>greement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78E9B9E6" w14:textId="77777777" w:rsidR="00F64B7C" w:rsidRPr="002D2C1A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53FB9">
              <w:rPr>
                <w:rFonts w:ascii="Arial" w:hAnsi="Arial" w:cs="Arial"/>
                <w:b/>
                <w:sz w:val="20"/>
              </w:rPr>
              <w:t>No gap agreement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398DB6B9" w14:textId="77777777" w:rsidR="00F64B7C" w:rsidRPr="002D2C1A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53FB9">
              <w:rPr>
                <w:rFonts w:ascii="Arial" w:hAnsi="Arial" w:cs="Arial"/>
                <w:b/>
                <w:sz w:val="20"/>
              </w:rPr>
              <w:t>Known gap agreement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0CA7AEF4" w14:textId="77777777" w:rsidR="00F64B7C" w:rsidRPr="002D2C1A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53FB9">
              <w:rPr>
                <w:rFonts w:ascii="Arial" w:hAnsi="Arial" w:cs="Arial"/>
                <w:b/>
                <w:sz w:val="20"/>
              </w:rPr>
              <w:t>No agreement</w:t>
            </w:r>
          </w:p>
        </w:tc>
      </w:tr>
      <w:tr w:rsidR="00F64B7C" w:rsidRPr="00FC3309" w14:paraId="18312AA2" w14:textId="77777777" w:rsidTr="00DE20B1">
        <w:trPr>
          <w:trHeight w:val="317"/>
        </w:trPr>
        <w:tc>
          <w:tcPr>
            <w:tcW w:w="3470" w:type="dxa"/>
            <w:tcBorders>
              <w:top w:val="nil"/>
              <w:right w:val="single" w:sz="4" w:space="0" w:color="auto"/>
            </w:tcBorders>
            <w:vAlign w:val="bottom"/>
            <w:hideMark/>
          </w:tcPr>
          <w:p w14:paraId="5774D65B" w14:textId="77777777" w:rsidR="00F64B7C" w:rsidRPr="00653FB9" w:rsidRDefault="00F64B7C" w:rsidP="00DE20B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04B28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309">
              <w:rPr>
                <w:rFonts w:ascii="Arial" w:hAnsi="Arial" w:cs="Arial"/>
                <w:b/>
                <w:b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</w:rPr>
              <w:t>1</w:t>
            </w:r>
            <w:r w:rsidRPr="00FC3309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01F29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309">
              <w:rPr>
                <w:rFonts w:ascii="Arial" w:hAnsi="Arial" w:cs="Arial"/>
                <w:b/>
                <w:b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Pr="00FC3309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1985BBC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309">
              <w:rPr>
                <w:rFonts w:ascii="Arial" w:hAnsi="Arial" w:cs="Arial"/>
                <w:b/>
                <w:b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</w:rPr>
              <w:t>3</w:t>
            </w:r>
            <w:r w:rsidRPr="00FC3309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D040E3E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(4)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FA33D48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(5)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472EE6B" w14:textId="77777777" w:rsidR="00F64B7C" w:rsidRPr="00FC3309" w:rsidRDefault="00F64B7C" w:rsidP="00DE20B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(6)</w:t>
            </w:r>
          </w:p>
        </w:tc>
      </w:tr>
      <w:tr w:rsidR="00F64B7C" w:rsidRPr="00FC3309" w14:paraId="22071139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313D3F53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1) Specialist, consultant physician, and consultant psychiatric attendances: Groups A3, A4 and A8; items 104-108, 110-131, 300-352.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32F04" w14:textId="5BFB91B0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F7A75" w14:textId="7E563B68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9915A" w14:textId="6B615B1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43A020A" w14:textId="200C4BBF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06CF308" w14:textId="22B8DDA0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EB432A1" w14:textId="60783207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63DA96CE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042C7D2B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 xml:space="preserve">2) Procedures associated with intensive care and </w:t>
            </w: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cardiopulmonary support and management: Subgroups T1.9 and T1.10; items 13815 - 13888.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A9CB5" w14:textId="372A833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AAD89" w14:textId="64700F9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03C2F" w14:textId="4CF0B58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3E1A1A2" w14:textId="07B038B6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2026D11" w14:textId="255063D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21ED4E8" w14:textId="56CC22FB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7969060A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53D85B77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3) Obstetrics and gynaecology obstetrics: Subgroup T4; items 16500 - 16636; and Surgical operations gynaecological: Subgroup T8.4; items 35500 - 35759.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9BD06" w14:textId="45B62F86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54C05" w14:textId="6DA169D6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24889" w14:textId="4FDC866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C759F30" w14:textId="3CE957B0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768D219" w14:textId="76471A38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B50E4DE" w14:textId="4EB1A9F9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01B348F3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4D19B554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4) Anaesthesia: Groups T6, T7, and T10; items 17603 - 18298, 20100-25205.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E2F8E" w14:textId="61BA3B5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344D6" w14:textId="17759E0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48F18" w14:textId="3D99232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7228541" w14:textId="2EF26677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25EDA11" w14:textId="4C119FA3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BE094A5" w14:textId="65B93F28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09363984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56023EEF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5) General surgical operations: Subgroup T8.1; items 30001 - 31472.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53A8F" w14:textId="28230831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4415D" w14:textId="384789A0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C5637" w14:textId="4092658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624561E" w14:textId="214C9D38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B08AA71" w14:textId="23E84C78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67FA052" w14:textId="559987D0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064FAB3C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00493AA0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6) Colorectal surgical operations: Subgroup T8.2; items 32000 - 32212.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AAC0C" w14:textId="324DA3BF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70A5F" w14:textId="08573BEF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5C7B1" w14:textId="09B20E06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AEAB3FB" w14:textId="2C4EFB51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907867D" w14:textId="3752437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0BF4F3D" w14:textId="386A002E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46D660E2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3968C8A1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7) Vascular surgical operations: Subgroup T8.3; items 32500 - 35330.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5AC4C" w14:textId="1630E768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F90FD" w14:textId="513B40E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A0848" w14:textId="5DF902D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25CB235" w14:textId="64BE572A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92D856D" w14:textId="1D0F19CE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2648F32" w14:textId="14083616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4667E505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294F9146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8) Urology: Subgroup T8.5, items 36500 - 37854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4F5BB" w14:textId="69E1D848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3F5D4" w14:textId="168D76B1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A9943" w14:textId="6C5A6E08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126719D" w14:textId="37124333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AE15872" w14:textId="7B9123DB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20AE10A" w14:textId="3FB883FF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30078BF5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1AC9C6FD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9) Cardio-thoracic surgical operations: Subgroup T8.6; items 38200 - 38766; and Diagnostic procedures and investigations cardiovascular: Subgroup D1.6; items 11700-11724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3870A" w14:textId="43C99B41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06E23" w14:textId="71C70801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E16F2" w14:textId="557A30F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3D320C6" w14:textId="2E368B5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59D241E" w14:textId="056EEC0A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87F8B15" w14:textId="459F7ABF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16802181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2C90FBFD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10) Neurosurgical surgical operations: Subgroup T8.7; items 39000 - 40903.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FE569" w14:textId="48A263F9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0D871" w14:textId="6BD3EEB8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C4516" w14:textId="00E4CB59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AA33542" w14:textId="3CE1834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23EFDC4" w14:textId="0FD73D47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59A2B68" w14:textId="0E26951A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72A35378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4C921AD8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11) Ear, nose and throat surgical operations: Subgroup T8.8; items 41500 - 41910.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CA72A" w14:textId="08568324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5AFCE" w14:textId="29E279B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6387F" w14:textId="0D345EE3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0621EA0" w14:textId="645EEAEE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F3DCCB2" w14:textId="057BDCD8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0E2AA12" w14:textId="21F9697F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06D6CBE7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7EC6281D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12) Ophthalmology surgical operations: Subgroup T8.9; items 42503 - 42872.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DD4C1" w14:textId="1A234E0F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7991A" w14:textId="34458C0D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93BA3" w14:textId="493BD8C0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31190BE" w14:textId="731AA96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3EA8929" w14:textId="5D8FF4C8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79CD651" w14:textId="0E1FF03A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28B17437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795914A9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13) Plastic and reconstructive surgical operations: Subgroup T8.13; items 45000-45797.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A9CFD" w14:textId="53545AF4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59105" w14:textId="41C24BB0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93100" w14:textId="28C5D27E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6D9B215" w14:textId="03A9D10A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8918462" w14:textId="2292456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1905248" w14:textId="40BFA91A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45CE3B6C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3AC43693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14) Orthopaedic surgical operations: Subgroup T8.15; items 47000 - 50426.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E8204" w14:textId="05BC8E9A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E9A68" w14:textId="275E389D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68883" w14:textId="2AB790DF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1DFBF76" w14:textId="4DE8C75E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FC102B6" w14:textId="2BC166DF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A91C8B8" w14:textId="2237FB93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4B8C83F6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13CA6C63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15) Assistance at operations: Group T9; items 51300 - 51318.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CD6BF" w14:textId="7ECCAFA0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753DA" w14:textId="66BA17EC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88C57" w14:textId="29B5BE8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8CCBDA6" w14:textId="0079F3C8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1944D31" w14:textId="3A6AA16C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1621A02" w14:textId="0C72BF90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7FCF3536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68AF47E9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16) Diagnostic imaging services; Category 5; all Groups I1-I5; items 55028-63946.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6A3CA" w14:textId="23E43BCA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656AC" w14:textId="493A3DB3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7D99B" w14:textId="3BA836BE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C43CFF9" w14:textId="4BC9A26B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08E53EE" w14:textId="7B887E6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F36AE72" w14:textId="7F703323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36FAAC22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4B3944BD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17) Pathology services: Category 6; all Groups P1-P10; items 65060 and over.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EE4B1" w14:textId="73F18711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858EE" w14:textId="317311C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87B67" w14:textId="1480D2B4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312E932" w14:textId="0535998E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78907A4" w14:textId="5ECA4579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EF70EAD" w14:textId="0853A89B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0A0E621F" w14:textId="77777777" w:rsidTr="00DE20B1">
        <w:trPr>
          <w:trHeight w:val="317"/>
        </w:trPr>
        <w:tc>
          <w:tcPr>
            <w:tcW w:w="3470" w:type="dxa"/>
            <w:tcBorders>
              <w:right w:val="single" w:sz="4" w:space="0" w:color="auto"/>
            </w:tcBorders>
            <w:noWrap/>
            <w:vAlign w:val="bottom"/>
          </w:tcPr>
          <w:p w14:paraId="49AA716A" w14:textId="77777777" w:rsidR="00F64B7C" w:rsidRPr="00F64B7C" w:rsidRDefault="00F64B7C" w:rsidP="00DE20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4B7C">
              <w:rPr>
                <w:rFonts w:ascii="Arial" w:hAnsi="Arial" w:cs="Arial"/>
                <w:color w:val="000000"/>
                <w:sz w:val="22"/>
                <w:szCs w:val="22"/>
              </w:rPr>
              <w:t>18) All other items.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DB9EA" w14:textId="385404A6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207A5" w14:textId="3A7E4487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C2347" w14:textId="2D12D438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A722891" w14:textId="39538B9F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88B3158" w14:textId="56DE1C84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EF0E1AC" w14:textId="2B8F7645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4B7C" w:rsidRPr="00FC3309" w14:paraId="75E5F0AE" w14:textId="77777777" w:rsidTr="00DE2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3470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4D7028C" w14:textId="77777777" w:rsidR="00F64B7C" w:rsidRPr="00F64B7C" w:rsidRDefault="00F64B7C" w:rsidP="00DE20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64B7C">
              <w:rPr>
                <w:rFonts w:ascii="Arial" w:hAnsi="Arial" w:cs="Arial"/>
                <w:bCs/>
                <w:sz w:val="22"/>
                <w:szCs w:val="22"/>
              </w:rPr>
              <w:t>Total all services</w:t>
            </w:r>
          </w:p>
        </w:tc>
        <w:tc>
          <w:tcPr>
            <w:tcW w:w="1739" w:type="dxa"/>
            <w:shd w:val="clear" w:color="auto" w:fill="A6A6A6"/>
            <w:noWrap/>
            <w:vAlign w:val="bottom"/>
          </w:tcPr>
          <w:p w14:paraId="2789930C" w14:textId="2546F3B6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6A6A6"/>
            <w:noWrap/>
            <w:vAlign w:val="bottom"/>
          </w:tcPr>
          <w:p w14:paraId="63DAF332" w14:textId="60BC87EC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shd w:val="clear" w:color="auto" w:fill="A6A6A6"/>
            <w:vAlign w:val="bottom"/>
          </w:tcPr>
          <w:p w14:paraId="61B0BC13" w14:textId="7DC88C33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shd w:val="clear" w:color="auto" w:fill="A6A6A6"/>
            <w:vAlign w:val="bottom"/>
          </w:tcPr>
          <w:p w14:paraId="542C08DB" w14:textId="111AFA6D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shd w:val="clear" w:color="auto" w:fill="A6A6A6"/>
            <w:vAlign w:val="bottom"/>
          </w:tcPr>
          <w:p w14:paraId="385C9F3D" w14:textId="52446162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shd w:val="clear" w:color="auto" w:fill="A6A6A6"/>
            <w:vAlign w:val="bottom"/>
          </w:tcPr>
          <w:p w14:paraId="5455AD4B" w14:textId="620F86C3" w:rsidR="00F64B7C" w:rsidRPr="00F64B7C" w:rsidRDefault="00F64B7C" w:rsidP="00DE20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92F533A" w14:textId="77777777" w:rsidR="007823C6" w:rsidRPr="007823C6" w:rsidRDefault="007823C6" w:rsidP="007823C6">
      <w:pPr>
        <w:rPr>
          <w:rFonts w:ascii="Arial" w:eastAsia="Calibri" w:hAnsi="Arial" w:cs="Arial"/>
          <w:sz w:val="22"/>
          <w:szCs w:val="22"/>
          <w:lang w:eastAsia="en-US"/>
        </w:rPr>
      </w:pPr>
    </w:p>
    <w:sectPr w:rsidR="007823C6" w:rsidRPr="007823C6" w:rsidSect="008867D3">
      <w:headerReference w:type="default" r:id="rId16"/>
      <w:footerReference w:type="default" r:id="rId17"/>
      <w:endnotePr>
        <w:numFmt w:val="decimal"/>
      </w:endnotePr>
      <w:pgSz w:w="16838" w:h="11906" w:orient="landscape"/>
      <w:pgMar w:top="1800" w:right="1440" w:bottom="180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5580" w14:textId="77777777" w:rsidR="00296186" w:rsidRDefault="00296186" w:rsidP="002F0A8C">
      <w:r>
        <w:separator/>
      </w:r>
    </w:p>
  </w:endnote>
  <w:endnote w:type="continuationSeparator" w:id="0">
    <w:p w14:paraId="79588FDA" w14:textId="77777777" w:rsidR="00296186" w:rsidRDefault="00296186" w:rsidP="002F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oday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E56C" w14:textId="77777777" w:rsidR="000E60B1" w:rsidRDefault="000E60B1">
    <w:pPr>
      <w:spacing w:line="200" w:lineRule="exac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0128B" w14:textId="362F9E23" w:rsidR="00C72DE3" w:rsidRDefault="00C72DE3" w:rsidP="007A4754">
    <w:pPr>
      <w:pStyle w:val="Footer"/>
      <w:jc w:val="right"/>
    </w:pPr>
    <w:r w:rsidRPr="007A4754">
      <w:t xml:space="preserve">HRS 604.0 - </w:t>
    </w:r>
    <w:sdt>
      <w:sdtPr>
        <w:id w:val="-772936484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7A4754">
              <w:rPr>
                <w:bCs/>
                <w:szCs w:val="24"/>
              </w:rPr>
              <w:fldChar w:fldCharType="begin"/>
            </w:r>
            <w:r w:rsidRPr="007A4754">
              <w:rPr>
                <w:bCs/>
              </w:rPr>
              <w:instrText xml:space="preserve"> PAGE </w:instrText>
            </w:r>
            <w:r w:rsidRPr="007A4754">
              <w:rPr>
                <w:bCs/>
                <w:szCs w:val="24"/>
              </w:rPr>
              <w:fldChar w:fldCharType="separate"/>
            </w:r>
            <w:r w:rsidR="0047747E" w:rsidRPr="007A4754">
              <w:rPr>
                <w:bCs/>
                <w:noProof/>
              </w:rPr>
              <w:t>4</w:t>
            </w:r>
            <w:r w:rsidRPr="007A4754">
              <w:rPr>
                <w:bCs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64D6" w14:textId="119CCA4E" w:rsidR="008867D3" w:rsidRPr="00207C1F" w:rsidRDefault="008867D3">
    <w:pPr>
      <w:pStyle w:val="Footer"/>
      <w:jc w:val="right"/>
    </w:pPr>
    <w:r w:rsidRPr="00207C1F">
      <w:t xml:space="preserve">HRF 604.0 - </w:t>
    </w:r>
    <w:sdt>
      <w:sdtPr>
        <w:id w:val="-1128621867"/>
        <w:docPartObj>
          <w:docPartGallery w:val="Page Numbers (Bottom of Page)"/>
          <w:docPartUnique/>
        </w:docPartObj>
      </w:sdtPr>
      <w:sdtEndPr/>
      <w:sdtContent>
        <w:sdt>
          <w:sdtPr>
            <w:id w:val="2127731547"/>
            <w:docPartObj>
              <w:docPartGallery w:val="Page Numbers (Top of Page)"/>
              <w:docPartUnique/>
            </w:docPartObj>
          </w:sdtPr>
          <w:sdtEndPr/>
          <w:sdtContent>
            <w:r w:rsidRPr="00207C1F">
              <w:rPr>
                <w:bCs/>
                <w:szCs w:val="24"/>
              </w:rPr>
              <w:fldChar w:fldCharType="begin"/>
            </w:r>
            <w:r w:rsidRPr="00207C1F">
              <w:rPr>
                <w:bCs/>
              </w:rPr>
              <w:instrText xml:space="preserve"> PAGE </w:instrText>
            </w:r>
            <w:r w:rsidRPr="00207C1F">
              <w:rPr>
                <w:bCs/>
                <w:szCs w:val="24"/>
              </w:rPr>
              <w:fldChar w:fldCharType="separate"/>
            </w:r>
            <w:r w:rsidR="0047747E" w:rsidRPr="00207C1F">
              <w:rPr>
                <w:bCs/>
                <w:noProof/>
              </w:rPr>
              <w:t>1</w:t>
            </w:r>
            <w:r w:rsidRPr="00207C1F">
              <w:rPr>
                <w:bCs/>
                <w:szCs w:val="24"/>
              </w:rPr>
              <w:fldChar w:fldCharType="end"/>
            </w:r>
          </w:sdtContent>
        </w:sdt>
      </w:sdtContent>
    </w:sdt>
  </w:p>
  <w:p w14:paraId="15AA4BDF" w14:textId="77777777" w:rsidR="008867D3" w:rsidRDefault="008867D3" w:rsidP="00C72DE3">
    <w:pPr>
      <w:spacing w:line="200" w:lineRule="exact"/>
      <w:jc w:val="right"/>
      <w:rPr>
        <w:sz w:val="20"/>
      </w:rPr>
    </w:pPr>
  </w:p>
  <w:p w14:paraId="73945F1B" w14:textId="77777777" w:rsidR="007823C6" w:rsidRDefault="007823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FEDF2" w14:textId="77777777" w:rsidR="00296186" w:rsidRPr="002175A9" w:rsidRDefault="00296186" w:rsidP="00830643">
      <w:pPr>
        <w:pStyle w:val="StyleBodyText13ptCharChar"/>
        <w:tabs>
          <w:tab w:val="clear" w:pos="1134"/>
        </w:tabs>
        <w:spacing w:after="0" w:line="240" w:lineRule="auto"/>
        <w:ind w:left="567" w:firstLine="0"/>
      </w:pPr>
      <w:r>
        <w:separator/>
      </w:r>
    </w:p>
  </w:footnote>
  <w:footnote w:type="continuationSeparator" w:id="0">
    <w:p w14:paraId="74464600" w14:textId="77777777" w:rsidR="00296186" w:rsidRDefault="00296186" w:rsidP="002F0A8C">
      <w:r>
        <w:continuationSeparator/>
      </w:r>
    </w:p>
  </w:footnote>
  <w:footnote w:id="1">
    <w:p w14:paraId="60731A9A" w14:textId="77777777" w:rsidR="00C72DE3" w:rsidRPr="00171381" w:rsidRDefault="00C72DE3" w:rsidP="000F5BEE">
      <w:pPr>
        <w:pStyle w:val="FootnoteText"/>
        <w:ind w:left="567" w:hanging="567"/>
      </w:pPr>
      <w:r w:rsidRPr="00171381">
        <w:rPr>
          <w:rStyle w:val="FootnoteReference"/>
        </w:rPr>
        <w:footnoteRef/>
      </w:r>
      <w:r w:rsidRPr="00171381">
        <w:t xml:space="preserve"> </w:t>
      </w:r>
      <w:r w:rsidR="000F5BEE">
        <w:t xml:space="preserve"> </w:t>
      </w:r>
      <w:r w:rsidR="000F5BEE">
        <w:tab/>
      </w:r>
      <w:r w:rsidRPr="00171381">
        <w:t>For the avoidance of doubt, if the due date for a particular reporting period falls on a day other than a usual business day, a private health insurer is nonetheless required to submit the information required no later than the due 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9FFD" w14:textId="77777777" w:rsidR="000E60B1" w:rsidRDefault="000E60B1">
    <w:pPr>
      <w:spacing w:line="200" w:lineRule="exac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E055" w14:textId="77777777" w:rsidR="00C7430A" w:rsidRDefault="00C7430A">
    <w:pPr>
      <w:spacing w:line="200" w:lineRule="exac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4DF42C4" wp14:editId="441122DC">
              <wp:simplePos x="0" y="0"/>
              <wp:positionH relativeFrom="page">
                <wp:posOffset>4095619</wp:posOffset>
              </wp:positionH>
              <wp:positionV relativeFrom="page">
                <wp:posOffset>396240</wp:posOffset>
              </wp:positionV>
              <wp:extent cx="2574123" cy="225425"/>
              <wp:effectExtent l="0" t="0" r="1714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4123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12704" w14:textId="10A25D0A" w:rsidR="00C7430A" w:rsidRPr="008C5CEF" w:rsidRDefault="001757DC" w:rsidP="002D6C88">
                          <w:pPr>
                            <w:pStyle w:val="BodyText"/>
                            <w:spacing w:line="265" w:lineRule="exact"/>
                            <w:ind w:left="20"/>
                            <w:jc w:val="right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October</w:t>
                          </w:r>
                          <w:r w:rsidR="00C7430A">
                            <w:rPr>
                              <w:b w:val="0"/>
                            </w:rPr>
                            <w:t xml:space="preserve"> 20</w:t>
                          </w:r>
                          <w:r>
                            <w:rPr>
                              <w:b w:val="0"/>
                            </w:rPr>
                            <w:t>2</w:t>
                          </w:r>
                          <w:r w:rsidR="00C7430A">
                            <w:rPr>
                              <w:b w:val="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DF42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2.5pt;margin-top:31.2pt;width:202.7pt;height:17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" filled="f" stroked="f">
              <v:textbox inset="0,0,0,0">
                <w:txbxContent>
                  <w:p w14:paraId="68112704" w14:textId="10A25D0A" w:rsidR="00C7430A" w:rsidRPr="008C5CEF" w:rsidRDefault="001757DC" w:rsidP="002D6C88">
                    <w:pPr>
                      <w:pStyle w:val="BodyText"/>
                      <w:spacing w:line="265" w:lineRule="exact"/>
                      <w:ind w:left="20"/>
                      <w:jc w:val="right"/>
                      <w:rPr>
                        <w:b w:val="0"/>
                      </w:rPr>
                    </w:pPr>
                    <w:r>
                      <w:rPr>
                        <w:b w:val="0"/>
                      </w:rPr>
                      <w:t>October</w:t>
                    </w:r>
                    <w:r w:rsidR="00C7430A">
                      <w:rPr>
                        <w:b w:val="0"/>
                      </w:rPr>
                      <w:t xml:space="preserve"> 20</w:t>
                    </w:r>
                    <w:r>
                      <w:rPr>
                        <w:b w:val="0"/>
                      </w:rPr>
                      <w:t>2</w:t>
                    </w:r>
                    <w:r w:rsidR="00C7430A">
                      <w:rPr>
                        <w:b w:val="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AFCC" w14:textId="2969B9E8" w:rsidR="007823C6" w:rsidRDefault="000F18E7" w:rsidP="000F18E7">
    <w:pPr>
      <w:jc w:val="right"/>
    </w:pPr>
    <w:r>
      <w:t>October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0E52"/>
    <w:multiLevelType w:val="hybridMultilevel"/>
    <w:tmpl w:val="1CF2D258"/>
    <w:lvl w:ilvl="0" w:tplc="1E24B42C">
      <w:start w:val="1"/>
      <w:numFmt w:val="lowerLetter"/>
      <w:lvlText w:val="(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DB6CCA"/>
    <w:multiLevelType w:val="multilevel"/>
    <w:tmpl w:val="47B43326"/>
    <w:numStyleLink w:val="D2Aformnumbering"/>
  </w:abstractNum>
  <w:abstractNum w:abstractNumId="2" w15:restartNumberingAfterBreak="0">
    <w:nsid w:val="0FF31B20"/>
    <w:multiLevelType w:val="hybridMultilevel"/>
    <w:tmpl w:val="238C2C6A"/>
    <w:lvl w:ilvl="0" w:tplc="301E3F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1" w:tplc="1DFE0F2A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2" w:tplc="49D4D384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04C11"/>
    <w:multiLevelType w:val="hybridMultilevel"/>
    <w:tmpl w:val="DFAC68C8"/>
    <w:lvl w:ilvl="0" w:tplc="F620F136">
      <w:start w:val="1"/>
      <w:numFmt w:val="lowerLetter"/>
      <w:pStyle w:val="NormaltextCharCharCharCharCha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329CFC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10B4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340A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82F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E7B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F8D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1CE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F0CA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81F29"/>
    <w:multiLevelType w:val="hybridMultilevel"/>
    <w:tmpl w:val="179AD16C"/>
    <w:lvl w:ilvl="0" w:tplc="8A88FB9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D664F28">
      <w:start w:val="2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508A17E8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D169F"/>
    <w:multiLevelType w:val="hybridMultilevel"/>
    <w:tmpl w:val="22FA3938"/>
    <w:lvl w:ilvl="0" w:tplc="1DFE0F2A">
      <w:start w:val="1"/>
      <w:numFmt w:val="lowerLetter"/>
      <w:lvlText w:val="(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9C743EB"/>
    <w:multiLevelType w:val="hybridMultilevel"/>
    <w:tmpl w:val="C07CE87A"/>
    <w:lvl w:ilvl="0" w:tplc="8812985C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113984"/>
    <w:multiLevelType w:val="hybridMultilevel"/>
    <w:tmpl w:val="7C36B5F4"/>
    <w:lvl w:ilvl="0" w:tplc="032AA0DA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91E13"/>
    <w:multiLevelType w:val="multilevel"/>
    <w:tmpl w:val="47B43326"/>
    <w:styleLink w:val="D2Aformnumbering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9" w15:restartNumberingAfterBreak="0">
    <w:nsid w:val="61177400"/>
    <w:multiLevelType w:val="hybridMultilevel"/>
    <w:tmpl w:val="F68CFC40"/>
    <w:lvl w:ilvl="0" w:tplc="6C0CA948">
      <w:start w:val="1"/>
      <w:numFmt w:val="decimal"/>
      <w:pStyle w:val="Style3"/>
      <w:lvlText w:val="(%1)"/>
      <w:lvlJc w:val="left"/>
      <w:pPr>
        <w:ind w:left="720" w:hanging="360"/>
      </w:pPr>
      <w:rPr>
        <w:rFonts w:hint="default"/>
      </w:rPr>
    </w:lvl>
    <w:lvl w:ilvl="1" w:tplc="DE74A1A4">
      <w:start w:val="1"/>
      <w:numFmt w:val="lowerLetter"/>
      <w:pStyle w:val="Style4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E1758"/>
    <w:multiLevelType w:val="hybridMultilevel"/>
    <w:tmpl w:val="7A0A52BA"/>
    <w:lvl w:ilvl="0" w:tplc="AEA6839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21588"/>
    <w:multiLevelType w:val="singleLevel"/>
    <w:tmpl w:val="8B26B918"/>
    <w:lvl w:ilvl="0">
      <w:start w:val="1"/>
      <w:numFmt w:val="lowerLetter"/>
      <w:pStyle w:val="Normalalpha"/>
      <w:lvlText w:val="(%1)"/>
      <w:lvlJc w:val="left"/>
      <w:pPr>
        <w:tabs>
          <w:tab w:val="num" w:pos="851"/>
        </w:tabs>
        <w:ind w:left="851" w:hanging="567"/>
      </w:pPr>
      <w:rPr>
        <w:rFonts w:hint="default"/>
      </w:rPr>
    </w:lvl>
  </w:abstractNum>
  <w:abstractNum w:abstractNumId="12" w15:restartNumberingAfterBreak="0">
    <w:nsid w:val="6AEF32F9"/>
    <w:multiLevelType w:val="multilevel"/>
    <w:tmpl w:val="814234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Today"/>
      <w:lvlText w:val="3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3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FF3730A"/>
    <w:multiLevelType w:val="singleLevel"/>
    <w:tmpl w:val="996A0BE8"/>
    <w:lvl w:ilvl="0">
      <w:start w:val="1"/>
      <w:numFmt w:val="decimal"/>
      <w:pStyle w:val="Normaltext"/>
      <w:lvlText w:val="%1."/>
      <w:lvlJc w:val="left"/>
      <w:pPr>
        <w:tabs>
          <w:tab w:val="num" w:pos="562"/>
        </w:tabs>
        <w:ind w:left="562" w:hanging="562"/>
      </w:pPr>
      <w:rPr>
        <w:rFonts w:hint="default"/>
        <w:sz w:val="24"/>
        <w:szCs w:val="24"/>
      </w:rPr>
    </w:lvl>
  </w:abstractNum>
  <w:num w:numId="1" w16cid:durableId="1533104321">
    <w:abstractNumId w:val="3"/>
  </w:num>
  <w:num w:numId="2" w16cid:durableId="1142230322">
    <w:abstractNumId w:val="11"/>
  </w:num>
  <w:num w:numId="3" w16cid:durableId="2091387944">
    <w:abstractNumId w:val="12"/>
  </w:num>
  <w:num w:numId="4" w16cid:durableId="1804813685">
    <w:abstractNumId w:val="13"/>
  </w:num>
  <w:num w:numId="5" w16cid:durableId="1406103949">
    <w:abstractNumId w:val="2"/>
  </w:num>
  <w:num w:numId="6" w16cid:durableId="1784883691">
    <w:abstractNumId w:val="5"/>
  </w:num>
  <w:num w:numId="7" w16cid:durableId="1790782129">
    <w:abstractNumId w:val="9"/>
  </w:num>
  <w:num w:numId="8" w16cid:durableId="1647589289">
    <w:abstractNumId w:val="0"/>
  </w:num>
  <w:num w:numId="9" w16cid:durableId="2043436152">
    <w:abstractNumId w:val="8"/>
  </w:num>
  <w:num w:numId="10" w16cid:durableId="1081411092">
    <w:abstractNumId w:val="1"/>
  </w:num>
  <w:num w:numId="11" w16cid:durableId="395588220">
    <w:abstractNumId w:val="7"/>
  </w:num>
  <w:num w:numId="12" w16cid:durableId="1363045471">
    <w:abstractNumId w:val="10"/>
  </w:num>
  <w:num w:numId="13" w16cid:durableId="1128670491">
    <w:abstractNumId w:val="6"/>
  </w:num>
  <w:num w:numId="14" w16cid:durableId="95887692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97"/>
    <w:rsid w:val="00000D76"/>
    <w:rsid w:val="00002276"/>
    <w:rsid w:val="00002278"/>
    <w:rsid w:val="00002307"/>
    <w:rsid w:val="0000273C"/>
    <w:rsid w:val="00004D9F"/>
    <w:rsid w:val="00007E84"/>
    <w:rsid w:val="00010C1E"/>
    <w:rsid w:val="00014187"/>
    <w:rsid w:val="0001634E"/>
    <w:rsid w:val="00016C45"/>
    <w:rsid w:val="0002091D"/>
    <w:rsid w:val="000227DA"/>
    <w:rsid w:val="00024343"/>
    <w:rsid w:val="00025394"/>
    <w:rsid w:val="00025A73"/>
    <w:rsid w:val="0002600C"/>
    <w:rsid w:val="00030176"/>
    <w:rsid w:val="000305B4"/>
    <w:rsid w:val="00032313"/>
    <w:rsid w:val="000336F1"/>
    <w:rsid w:val="000345C1"/>
    <w:rsid w:val="0003519C"/>
    <w:rsid w:val="00035D52"/>
    <w:rsid w:val="00042DAD"/>
    <w:rsid w:val="00043140"/>
    <w:rsid w:val="000436E7"/>
    <w:rsid w:val="00044ABB"/>
    <w:rsid w:val="00045880"/>
    <w:rsid w:val="000459CC"/>
    <w:rsid w:val="0004726D"/>
    <w:rsid w:val="00051327"/>
    <w:rsid w:val="00051829"/>
    <w:rsid w:val="00054CF0"/>
    <w:rsid w:val="00055478"/>
    <w:rsid w:val="0005611D"/>
    <w:rsid w:val="00061649"/>
    <w:rsid w:val="0006253E"/>
    <w:rsid w:val="000650C9"/>
    <w:rsid w:val="0007126E"/>
    <w:rsid w:val="00074BB5"/>
    <w:rsid w:val="00077B94"/>
    <w:rsid w:val="00077E8F"/>
    <w:rsid w:val="000824CF"/>
    <w:rsid w:val="00086966"/>
    <w:rsid w:val="00087EBA"/>
    <w:rsid w:val="000906DB"/>
    <w:rsid w:val="00091635"/>
    <w:rsid w:val="000920F6"/>
    <w:rsid w:val="000928C4"/>
    <w:rsid w:val="000937CB"/>
    <w:rsid w:val="0009416A"/>
    <w:rsid w:val="00094CE6"/>
    <w:rsid w:val="00096759"/>
    <w:rsid w:val="00097897"/>
    <w:rsid w:val="000A130B"/>
    <w:rsid w:val="000A15D8"/>
    <w:rsid w:val="000A1761"/>
    <w:rsid w:val="000A31CD"/>
    <w:rsid w:val="000A35D6"/>
    <w:rsid w:val="000A442C"/>
    <w:rsid w:val="000A4D98"/>
    <w:rsid w:val="000A5473"/>
    <w:rsid w:val="000A7394"/>
    <w:rsid w:val="000B03B6"/>
    <w:rsid w:val="000B047A"/>
    <w:rsid w:val="000B18B9"/>
    <w:rsid w:val="000B26ED"/>
    <w:rsid w:val="000B2B90"/>
    <w:rsid w:val="000B470C"/>
    <w:rsid w:val="000B4948"/>
    <w:rsid w:val="000B5049"/>
    <w:rsid w:val="000B6BD1"/>
    <w:rsid w:val="000B78D4"/>
    <w:rsid w:val="000C06E5"/>
    <w:rsid w:val="000C20EB"/>
    <w:rsid w:val="000C256D"/>
    <w:rsid w:val="000C267E"/>
    <w:rsid w:val="000C26DA"/>
    <w:rsid w:val="000C334B"/>
    <w:rsid w:val="000C3B61"/>
    <w:rsid w:val="000C4988"/>
    <w:rsid w:val="000C56B2"/>
    <w:rsid w:val="000D2A81"/>
    <w:rsid w:val="000D2DDD"/>
    <w:rsid w:val="000D5B4E"/>
    <w:rsid w:val="000D6377"/>
    <w:rsid w:val="000D6CD3"/>
    <w:rsid w:val="000E23E0"/>
    <w:rsid w:val="000E4B30"/>
    <w:rsid w:val="000E549C"/>
    <w:rsid w:val="000E60B1"/>
    <w:rsid w:val="000F1080"/>
    <w:rsid w:val="000F1773"/>
    <w:rsid w:val="000F18E7"/>
    <w:rsid w:val="000F35FF"/>
    <w:rsid w:val="000F5BEE"/>
    <w:rsid w:val="000F7F99"/>
    <w:rsid w:val="00100E4B"/>
    <w:rsid w:val="0010120B"/>
    <w:rsid w:val="00102302"/>
    <w:rsid w:val="001051F9"/>
    <w:rsid w:val="001066BB"/>
    <w:rsid w:val="00106963"/>
    <w:rsid w:val="00106A91"/>
    <w:rsid w:val="00106E88"/>
    <w:rsid w:val="00110636"/>
    <w:rsid w:val="00113CF9"/>
    <w:rsid w:val="00114134"/>
    <w:rsid w:val="00114229"/>
    <w:rsid w:val="001153B3"/>
    <w:rsid w:val="00115B29"/>
    <w:rsid w:val="00120334"/>
    <w:rsid w:val="00120CA6"/>
    <w:rsid w:val="001238FD"/>
    <w:rsid w:val="001244EB"/>
    <w:rsid w:val="00124EFF"/>
    <w:rsid w:val="00125E01"/>
    <w:rsid w:val="00125E3F"/>
    <w:rsid w:val="00126AE3"/>
    <w:rsid w:val="00133088"/>
    <w:rsid w:val="00136F2F"/>
    <w:rsid w:val="001453E9"/>
    <w:rsid w:val="0014602A"/>
    <w:rsid w:val="00146CE2"/>
    <w:rsid w:val="0014780F"/>
    <w:rsid w:val="00150C19"/>
    <w:rsid w:val="0015194E"/>
    <w:rsid w:val="0015378A"/>
    <w:rsid w:val="00154BA5"/>
    <w:rsid w:val="00155203"/>
    <w:rsid w:val="00155338"/>
    <w:rsid w:val="00156A9B"/>
    <w:rsid w:val="00160EE4"/>
    <w:rsid w:val="001623FE"/>
    <w:rsid w:val="00162814"/>
    <w:rsid w:val="00163CC3"/>
    <w:rsid w:val="001674F0"/>
    <w:rsid w:val="00167AE0"/>
    <w:rsid w:val="00171381"/>
    <w:rsid w:val="001719E5"/>
    <w:rsid w:val="00172247"/>
    <w:rsid w:val="001731EE"/>
    <w:rsid w:val="00173204"/>
    <w:rsid w:val="001757DC"/>
    <w:rsid w:val="00181247"/>
    <w:rsid w:val="001869AE"/>
    <w:rsid w:val="00187512"/>
    <w:rsid w:val="00190310"/>
    <w:rsid w:val="00190B24"/>
    <w:rsid w:val="00191A87"/>
    <w:rsid w:val="0019392A"/>
    <w:rsid w:val="001942BC"/>
    <w:rsid w:val="00195711"/>
    <w:rsid w:val="0019612A"/>
    <w:rsid w:val="001970DF"/>
    <w:rsid w:val="00197D20"/>
    <w:rsid w:val="001A291C"/>
    <w:rsid w:val="001A4E4B"/>
    <w:rsid w:val="001A63DA"/>
    <w:rsid w:val="001A6596"/>
    <w:rsid w:val="001B128E"/>
    <w:rsid w:val="001B1631"/>
    <w:rsid w:val="001B332F"/>
    <w:rsid w:val="001B3CE7"/>
    <w:rsid w:val="001B5918"/>
    <w:rsid w:val="001B7222"/>
    <w:rsid w:val="001B792D"/>
    <w:rsid w:val="001C03E0"/>
    <w:rsid w:val="001C0ECE"/>
    <w:rsid w:val="001C1072"/>
    <w:rsid w:val="001C2195"/>
    <w:rsid w:val="001C4B03"/>
    <w:rsid w:val="001C611A"/>
    <w:rsid w:val="001C6EC7"/>
    <w:rsid w:val="001C72D7"/>
    <w:rsid w:val="001C79D8"/>
    <w:rsid w:val="001D01CF"/>
    <w:rsid w:val="001D273D"/>
    <w:rsid w:val="001D404D"/>
    <w:rsid w:val="001D4D48"/>
    <w:rsid w:val="001D5BD2"/>
    <w:rsid w:val="001E198F"/>
    <w:rsid w:val="001E20D2"/>
    <w:rsid w:val="001E22E9"/>
    <w:rsid w:val="001E249B"/>
    <w:rsid w:val="001E262D"/>
    <w:rsid w:val="001E2CB6"/>
    <w:rsid w:val="001E2E34"/>
    <w:rsid w:val="001E3B2F"/>
    <w:rsid w:val="001E46F2"/>
    <w:rsid w:val="001E4C03"/>
    <w:rsid w:val="001E5A23"/>
    <w:rsid w:val="001E76D0"/>
    <w:rsid w:val="001F283F"/>
    <w:rsid w:val="001F2C65"/>
    <w:rsid w:val="001F7F7C"/>
    <w:rsid w:val="00202F3B"/>
    <w:rsid w:val="00203C21"/>
    <w:rsid w:val="00206116"/>
    <w:rsid w:val="00206327"/>
    <w:rsid w:val="00207C1F"/>
    <w:rsid w:val="00207CFB"/>
    <w:rsid w:val="00211611"/>
    <w:rsid w:val="0021201F"/>
    <w:rsid w:val="00212F47"/>
    <w:rsid w:val="00215905"/>
    <w:rsid w:val="0021626C"/>
    <w:rsid w:val="0022152A"/>
    <w:rsid w:val="00224256"/>
    <w:rsid w:val="00225080"/>
    <w:rsid w:val="00225469"/>
    <w:rsid w:val="00227883"/>
    <w:rsid w:val="002313F6"/>
    <w:rsid w:val="00232402"/>
    <w:rsid w:val="00232C10"/>
    <w:rsid w:val="0023384B"/>
    <w:rsid w:val="00233E77"/>
    <w:rsid w:val="00234A73"/>
    <w:rsid w:val="002354DB"/>
    <w:rsid w:val="00235B57"/>
    <w:rsid w:val="00240FB0"/>
    <w:rsid w:val="002417F5"/>
    <w:rsid w:val="00241FF3"/>
    <w:rsid w:val="00242A3A"/>
    <w:rsid w:val="00243A09"/>
    <w:rsid w:val="0024490C"/>
    <w:rsid w:val="00245368"/>
    <w:rsid w:val="0024590F"/>
    <w:rsid w:val="00247E3F"/>
    <w:rsid w:val="0025096D"/>
    <w:rsid w:val="00251A9D"/>
    <w:rsid w:val="00251BDA"/>
    <w:rsid w:val="00254E84"/>
    <w:rsid w:val="00255783"/>
    <w:rsid w:val="00255E54"/>
    <w:rsid w:val="00256B91"/>
    <w:rsid w:val="00256C94"/>
    <w:rsid w:val="00256EA2"/>
    <w:rsid w:val="00257418"/>
    <w:rsid w:val="00263A5F"/>
    <w:rsid w:val="0026634C"/>
    <w:rsid w:val="00266B3E"/>
    <w:rsid w:val="00266E87"/>
    <w:rsid w:val="00274A4F"/>
    <w:rsid w:val="00276A5A"/>
    <w:rsid w:val="002826D4"/>
    <w:rsid w:val="002829D1"/>
    <w:rsid w:val="00283772"/>
    <w:rsid w:val="00283EDA"/>
    <w:rsid w:val="00286243"/>
    <w:rsid w:val="002871A7"/>
    <w:rsid w:val="002877CC"/>
    <w:rsid w:val="00292D20"/>
    <w:rsid w:val="00296186"/>
    <w:rsid w:val="00297B7F"/>
    <w:rsid w:val="002A0BBA"/>
    <w:rsid w:val="002A48E0"/>
    <w:rsid w:val="002A4FA4"/>
    <w:rsid w:val="002B3614"/>
    <w:rsid w:val="002B440D"/>
    <w:rsid w:val="002B4F30"/>
    <w:rsid w:val="002C0973"/>
    <w:rsid w:val="002C2742"/>
    <w:rsid w:val="002C381F"/>
    <w:rsid w:val="002C3F59"/>
    <w:rsid w:val="002C522C"/>
    <w:rsid w:val="002C527F"/>
    <w:rsid w:val="002C64EC"/>
    <w:rsid w:val="002C6FC6"/>
    <w:rsid w:val="002D1735"/>
    <w:rsid w:val="002D24BF"/>
    <w:rsid w:val="002D6C4A"/>
    <w:rsid w:val="002D6F97"/>
    <w:rsid w:val="002E0F3E"/>
    <w:rsid w:val="002E52AB"/>
    <w:rsid w:val="002E76BF"/>
    <w:rsid w:val="002F0A8C"/>
    <w:rsid w:val="002F273F"/>
    <w:rsid w:val="002F32CF"/>
    <w:rsid w:val="002F3ABD"/>
    <w:rsid w:val="002F5288"/>
    <w:rsid w:val="002F59C1"/>
    <w:rsid w:val="002F5EBC"/>
    <w:rsid w:val="002F6217"/>
    <w:rsid w:val="00301429"/>
    <w:rsid w:val="00302879"/>
    <w:rsid w:val="00303639"/>
    <w:rsid w:val="00303C73"/>
    <w:rsid w:val="00304577"/>
    <w:rsid w:val="00304AC4"/>
    <w:rsid w:val="003121BE"/>
    <w:rsid w:val="00312E28"/>
    <w:rsid w:val="003152D5"/>
    <w:rsid w:val="0031723F"/>
    <w:rsid w:val="00320BAA"/>
    <w:rsid w:val="0032183C"/>
    <w:rsid w:val="00323383"/>
    <w:rsid w:val="003245C4"/>
    <w:rsid w:val="0032460F"/>
    <w:rsid w:val="0032576E"/>
    <w:rsid w:val="00332D7F"/>
    <w:rsid w:val="00333715"/>
    <w:rsid w:val="00334E7F"/>
    <w:rsid w:val="00334EAF"/>
    <w:rsid w:val="003354FE"/>
    <w:rsid w:val="00336252"/>
    <w:rsid w:val="003407AF"/>
    <w:rsid w:val="0034119E"/>
    <w:rsid w:val="003415F1"/>
    <w:rsid w:val="00342120"/>
    <w:rsid w:val="00342BEA"/>
    <w:rsid w:val="003436A9"/>
    <w:rsid w:val="00344D65"/>
    <w:rsid w:val="00346F9F"/>
    <w:rsid w:val="00347687"/>
    <w:rsid w:val="00350E5A"/>
    <w:rsid w:val="00352E1A"/>
    <w:rsid w:val="00356E59"/>
    <w:rsid w:val="0035716E"/>
    <w:rsid w:val="00357A81"/>
    <w:rsid w:val="00362D31"/>
    <w:rsid w:val="0036312C"/>
    <w:rsid w:val="003634C5"/>
    <w:rsid w:val="00364128"/>
    <w:rsid w:val="003643AF"/>
    <w:rsid w:val="00365244"/>
    <w:rsid w:val="003654B0"/>
    <w:rsid w:val="00372482"/>
    <w:rsid w:val="00374050"/>
    <w:rsid w:val="00375315"/>
    <w:rsid w:val="003754F2"/>
    <w:rsid w:val="00376F5C"/>
    <w:rsid w:val="003816B7"/>
    <w:rsid w:val="003817F3"/>
    <w:rsid w:val="003845FD"/>
    <w:rsid w:val="00384EA6"/>
    <w:rsid w:val="00385A25"/>
    <w:rsid w:val="00386C4F"/>
    <w:rsid w:val="00387CFB"/>
    <w:rsid w:val="00391775"/>
    <w:rsid w:val="00391A7D"/>
    <w:rsid w:val="00392A39"/>
    <w:rsid w:val="00392BFA"/>
    <w:rsid w:val="003939EF"/>
    <w:rsid w:val="003A1A33"/>
    <w:rsid w:val="003A2A01"/>
    <w:rsid w:val="003A314D"/>
    <w:rsid w:val="003A550B"/>
    <w:rsid w:val="003A5BEC"/>
    <w:rsid w:val="003A5C99"/>
    <w:rsid w:val="003A742F"/>
    <w:rsid w:val="003B5306"/>
    <w:rsid w:val="003B72B8"/>
    <w:rsid w:val="003C19C3"/>
    <w:rsid w:val="003C1A84"/>
    <w:rsid w:val="003C1CB7"/>
    <w:rsid w:val="003C1DBA"/>
    <w:rsid w:val="003C2EA4"/>
    <w:rsid w:val="003C3230"/>
    <w:rsid w:val="003C3FED"/>
    <w:rsid w:val="003C4243"/>
    <w:rsid w:val="003C695C"/>
    <w:rsid w:val="003C74DA"/>
    <w:rsid w:val="003C7BBB"/>
    <w:rsid w:val="003D02BD"/>
    <w:rsid w:val="003D0D94"/>
    <w:rsid w:val="003D1519"/>
    <w:rsid w:val="003D1BAB"/>
    <w:rsid w:val="003D409D"/>
    <w:rsid w:val="003D700C"/>
    <w:rsid w:val="003D735B"/>
    <w:rsid w:val="003D7568"/>
    <w:rsid w:val="003E050D"/>
    <w:rsid w:val="003E2A30"/>
    <w:rsid w:val="003E2C66"/>
    <w:rsid w:val="003E2D1D"/>
    <w:rsid w:val="003E33BA"/>
    <w:rsid w:val="003E45F0"/>
    <w:rsid w:val="003E47CB"/>
    <w:rsid w:val="003E4B58"/>
    <w:rsid w:val="003E6B47"/>
    <w:rsid w:val="003F7511"/>
    <w:rsid w:val="0040059B"/>
    <w:rsid w:val="004027E1"/>
    <w:rsid w:val="00404070"/>
    <w:rsid w:val="004116A7"/>
    <w:rsid w:val="00411ED9"/>
    <w:rsid w:val="00412225"/>
    <w:rsid w:val="0041620C"/>
    <w:rsid w:val="0042193B"/>
    <w:rsid w:val="004227C8"/>
    <w:rsid w:val="00426B95"/>
    <w:rsid w:val="00431704"/>
    <w:rsid w:val="00432BDB"/>
    <w:rsid w:val="004338D5"/>
    <w:rsid w:val="00435426"/>
    <w:rsid w:val="00436DDE"/>
    <w:rsid w:val="004424B1"/>
    <w:rsid w:val="00443F64"/>
    <w:rsid w:val="00445852"/>
    <w:rsid w:val="0044705A"/>
    <w:rsid w:val="004523AA"/>
    <w:rsid w:val="004531C1"/>
    <w:rsid w:val="00455581"/>
    <w:rsid w:val="00456853"/>
    <w:rsid w:val="00457879"/>
    <w:rsid w:val="004626D5"/>
    <w:rsid w:val="00462BBC"/>
    <w:rsid w:val="00463898"/>
    <w:rsid w:val="00464233"/>
    <w:rsid w:val="0046512C"/>
    <w:rsid w:val="00466AC9"/>
    <w:rsid w:val="00474894"/>
    <w:rsid w:val="00474D45"/>
    <w:rsid w:val="004754E9"/>
    <w:rsid w:val="00475FA2"/>
    <w:rsid w:val="0047747E"/>
    <w:rsid w:val="004805CC"/>
    <w:rsid w:val="00480FAB"/>
    <w:rsid w:val="004853B1"/>
    <w:rsid w:val="0048613E"/>
    <w:rsid w:val="00486642"/>
    <w:rsid w:val="00490227"/>
    <w:rsid w:val="00491406"/>
    <w:rsid w:val="00491E49"/>
    <w:rsid w:val="00492CF8"/>
    <w:rsid w:val="00494255"/>
    <w:rsid w:val="00494851"/>
    <w:rsid w:val="00494D81"/>
    <w:rsid w:val="00494E33"/>
    <w:rsid w:val="00496B28"/>
    <w:rsid w:val="004A1401"/>
    <w:rsid w:val="004A36AF"/>
    <w:rsid w:val="004A67E5"/>
    <w:rsid w:val="004A697A"/>
    <w:rsid w:val="004A79B9"/>
    <w:rsid w:val="004B0514"/>
    <w:rsid w:val="004B19F9"/>
    <w:rsid w:val="004B555F"/>
    <w:rsid w:val="004C12CF"/>
    <w:rsid w:val="004C16BA"/>
    <w:rsid w:val="004C1796"/>
    <w:rsid w:val="004C28A5"/>
    <w:rsid w:val="004C6CBB"/>
    <w:rsid w:val="004D0B1D"/>
    <w:rsid w:val="004D11A3"/>
    <w:rsid w:val="004D19FF"/>
    <w:rsid w:val="004D27F4"/>
    <w:rsid w:val="004D3FD2"/>
    <w:rsid w:val="004D5BB8"/>
    <w:rsid w:val="004D5BC8"/>
    <w:rsid w:val="004D5E88"/>
    <w:rsid w:val="004D6373"/>
    <w:rsid w:val="004E0BF4"/>
    <w:rsid w:val="004E1595"/>
    <w:rsid w:val="004E7F06"/>
    <w:rsid w:val="004F12DF"/>
    <w:rsid w:val="004F15D2"/>
    <w:rsid w:val="004F2120"/>
    <w:rsid w:val="004F2D8D"/>
    <w:rsid w:val="004F40E2"/>
    <w:rsid w:val="004F4E3D"/>
    <w:rsid w:val="004F4F96"/>
    <w:rsid w:val="004F51C4"/>
    <w:rsid w:val="004F5CDD"/>
    <w:rsid w:val="004F5FDD"/>
    <w:rsid w:val="005014FB"/>
    <w:rsid w:val="005021DC"/>
    <w:rsid w:val="00502A44"/>
    <w:rsid w:val="005048A0"/>
    <w:rsid w:val="0050553D"/>
    <w:rsid w:val="00505A16"/>
    <w:rsid w:val="00506711"/>
    <w:rsid w:val="00510DD3"/>
    <w:rsid w:val="00513B86"/>
    <w:rsid w:val="00513BCD"/>
    <w:rsid w:val="00513D6A"/>
    <w:rsid w:val="00514003"/>
    <w:rsid w:val="00514AC9"/>
    <w:rsid w:val="005156E4"/>
    <w:rsid w:val="00515CD9"/>
    <w:rsid w:val="00521867"/>
    <w:rsid w:val="005222C9"/>
    <w:rsid w:val="00523168"/>
    <w:rsid w:val="00523FF6"/>
    <w:rsid w:val="00524F3C"/>
    <w:rsid w:val="00525BA2"/>
    <w:rsid w:val="00525FC7"/>
    <w:rsid w:val="005260B7"/>
    <w:rsid w:val="00526CF6"/>
    <w:rsid w:val="005273DC"/>
    <w:rsid w:val="00527DE6"/>
    <w:rsid w:val="0053083D"/>
    <w:rsid w:val="005328FF"/>
    <w:rsid w:val="0053522A"/>
    <w:rsid w:val="00540B99"/>
    <w:rsid w:val="0054159C"/>
    <w:rsid w:val="00543077"/>
    <w:rsid w:val="00543CAB"/>
    <w:rsid w:val="00546641"/>
    <w:rsid w:val="005472CB"/>
    <w:rsid w:val="005472E1"/>
    <w:rsid w:val="00550D25"/>
    <w:rsid w:val="00551863"/>
    <w:rsid w:val="005521FB"/>
    <w:rsid w:val="00555860"/>
    <w:rsid w:val="00562BFE"/>
    <w:rsid w:val="00563E86"/>
    <w:rsid w:val="00565B26"/>
    <w:rsid w:val="00570027"/>
    <w:rsid w:val="00571685"/>
    <w:rsid w:val="0057517F"/>
    <w:rsid w:val="005778F1"/>
    <w:rsid w:val="005824F5"/>
    <w:rsid w:val="0058521B"/>
    <w:rsid w:val="005853A4"/>
    <w:rsid w:val="00586170"/>
    <w:rsid w:val="0058637D"/>
    <w:rsid w:val="00590243"/>
    <w:rsid w:val="00591726"/>
    <w:rsid w:val="00593B4C"/>
    <w:rsid w:val="0059458F"/>
    <w:rsid w:val="00595AF5"/>
    <w:rsid w:val="00597404"/>
    <w:rsid w:val="005A100C"/>
    <w:rsid w:val="005A1F06"/>
    <w:rsid w:val="005A25D3"/>
    <w:rsid w:val="005A2988"/>
    <w:rsid w:val="005A509D"/>
    <w:rsid w:val="005A61FA"/>
    <w:rsid w:val="005A6BB7"/>
    <w:rsid w:val="005A7FDE"/>
    <w:rsid w:val="005B1213"/>
    <w:rsid w:val="005B1714"/>
    <w:rsid w:val="005B24DB"/>
    <w:rsid w:val="005B3923"/>
    <w:rsid w:val="005B3B6B"/>
    <w:rsid w:val="005B431B"/>
    <w:rsid w:val="005B6AA6"/>
    <w:rsid w:val="005B6AE8"/>
    <w:rsid w:val="005C03A1"/>
    <w:rsid w:val="005C3FB7"/>
    <w:rsid w:val="005C4269"/>
    <w:rsid w:val="005D2A28"/>
    <w:rsid w:val="005D37A2"/>
    <w:rsid w:val="005D51C4"/>
    <w:rsid w:val="005D7466"/>
    <w:rsid w:val="005D78AC"/>
    <w:rsid w:val="005D7A4A"/>
    <w:rsid w:val="005D7B0B"/>
    <w:rsid w:val="005D7E17"/>
    <w:rsid w:val="005E1D15"/>
    <w:rsid w:val="005E2069"/>
    <w:rsid w:val="005E38CF"/>
    <w:rsid w:val="005E689E"/>
    <w:rsid w:val="005E6C31"/>
    <w:rsid w:val="005E7A85"/>
    <w:rsid w:val="005E7ECD"/>
    <w:rsid w:val="005F6207"/>
    <w:rsid w:val="005F668C"/>
    <w:rsid w:val="005F6CD2"/>
    <w:rsid w:val="006006B0"/>
    <w:rsid w:val="0060181C"/>
    <w:rsid w:val="00601CC4"/>
    <w:rsid w:val="006033B3"/>
    <w:rsid w:val="00603FE7"/>
    <w:rsid w:val="0060517D"/>
    <w:rsid w:val="006068E8"/>
    <w:rsid w:val="00606DCC"/>
    <w:rsid w:val="00610CE5"/>
    <w:rsid w:val="00612EAB"/>
    <w:rsid w:val="00614B76"/>
    <w:rsid w:val="00615CAC"/>
    <w:rsid w:val="00616037"/>
    <w:rsid w:val="00617B90"/>
    <w:rsid w:val="006218A1"/>
    <w:rsid w:val="00622551"/>
    <w:rsid w:val="0062713A"/>
    <w:rsid w:val="00627AD6"/>
    <w:rsid w:val="00627C5D"/>
    <w:rsid w:val="006314A5"/>
    <w:rsid w:val="00632C68"/>
    <w:rsid w:val="0063396A"/>
    <w:rsid w:val="00634FF0"/>
    <w:rsid w:val="00640D2A"/>
    <w:rsid w:val="0064206A"/>
    <w:rsid w:val="0064236F"/>
    <w:rsid w:val="006429B8"/>
    <w:rsid w:val="006434EC"/>
    <w:rsid w:val="00645112"/>
    <w:rsid w:val="006479E4"/>
    <w:rsid w:val="00650DF5"/>
    <w:rsid w:val="006514F9"/>
    <w:rsid w:val="00652397"/>
    <w:rsid w:val="00652CC3"/>
    <w:rsid w:val="006561E4"/>
    <w:rsid w:val="00657ACF"/>
    <w:rsid w:val="00660A4E"/>
    <w:rsid w:val="0066137C"/>
    <w:rsid w:val="00662325"/>
    <w:rsid w:val="00663A2C"/>
    <w:rsid w:val="00664D1F"/>
    <w:rsid w:val="00671939"/>
    <w:rsid w:val="006740D8"/>
    <w:rsid w:val="00674AD9"/>
    <w:rsid w:val="00674C6E"/>
    <w:rsid w:val="006759EA"/>
    <w:rsid w:val="00676442"/>
    <w:rsid w:val="006777EE"/>
    <w:rsid w:val="006804B7"/>
    <w:rsid w:val="0068429D"/>
    <w:rsid w:val="00684ACF"/>
    <w:rsid w:val="0068614E"/>
    <w:rsid w:val="006877B9"/>
    <w:rsid w:val="006910DB"/>
    <w:rsid w:val="0069110E"/>
    <w:rsid w:val="00691922"/>
    <w:rsid w:val="0069233A"/>
    <w:rsid w:val="006932F2"/>
    <w:rsid w:val="006956A2"/>
    <w:rsid w:val="0069602E"/>
    <w:rsid w:val="00696446"/>
    <w:rsid w:val="006B07B8"/>
    <w:rsid w:val="006B13B0"/>
    <w:rsid w:val="006B1693"/>
    <w:rsid w:val="006B26E1"/>
    <w:rsid w:val="006B278D"/>
    <w:rsid w:val="006B4587"/>
    <w:rsid w:val="006B4AB1"/>
    <w:rsid w:val="006B63C1"/>
    <w:rsid w:val="006B68F0"/>
    <w:rsid w:val="006B7232"/>
    <w:rsid w:val="006C4FBD"/>
    <w:rsid w:val="006D07B7"/>
    <w:rsid w:val="006D0C19"/>
    <w:rsid w:val="006D2AFE"/>
    <w:rsid w:val="006D4A8D"/>
    <w:rsid w:val="006D570F"/>
    <w:rsid w:val="006D5E9D"/>
    <w:rsid w:val="006E1DF4"/>
    <w:rsid w:val="006E2377"/>
    <w:rsid w:val="006E3CD0"/>
    <w:rsid w:val="006E5245"/>
    <w:rsid w:val="006F0656"/>
    <w:rsid w:val="006F0EC7"/>
    <w:rsid w:val="006F49A4"/>
    <w:rsid w:val="006F555F"/>
    <w:rsid w:val="007000C5"/>
    <w:rsid w:val="007014A2"/>
    <w:rsid w:val="00703175"/>
    <w:rsid w:val="007042E8"/>
    <w:rsid w:val="007049A1"/>
    <w:rsid w:val="00704E5E"/>
    <w:rsid w:val="007058A8"/>
    <w:rsid w:val="00706B00"/>
    <w:rsid w:val="007075A5"/>
    <w:rsid w:val="00707BC4"/>
    <w:rsid w:val="007101E9"/>
    <w:rsid w:val="00712025"/>
    <w:rsid w:val="00712536"/>
    <w:rsid w:val="0071337C"/>
    <w:rsid w:val="0071514A"/>
    <w:rsid w:val="0071759F"/>
    <w:rsid w:val="00720914"/>
    <w:rsid w:val="00720EE2"/>
    <w:rsid w:val="007215D6"/>
    <w:rsid w:val="00723086"/>
    <w:rsid w:val="00724B37"/>
    <w:rsid w:val="0072640A"/>
    <w:rsid w:val="00730443"/>
    <w:rsid w:val="00730B00"/>
    <w:rsid w:val="00733213"/>
    <w:rsid w:val="00734CFB"/>
    <w:rsid w:val="00735ED5"/>
    <w:rsid w:val="007364DB"/>
    <w:rsid w:val="00740033"/>
    <w:rsid w:val="00741625"/>
    <w:rsid w:val="007421AE"/>
    <w:rsid w:val="00742D81"/>
    <w:rsid w:val="007453D6"/>
    <w:rsid w:val="007456A5"/>
    <w:rsid w:val="00745879"/>
    <w:rsid w:val="00746767"/>
    <w:rsid w:val="00746FE4"/>
    <w:rsid w:val="00751B62"/>
    <w:rsid w:val="007543D5"/>
    <w:rsid w:val="00756101"/>
    <w:rsid w:val="00757A25"/>
    <w:rsid w:val="00763355"/>
    <w:rsid w:val="007639E9"/>
    <w:rsid w:val="00767ACA"/>
    <w:rsid w:val="00767C09"/>
    <w:rsid w:val="0077023C"/>
    <w:rsid w:val="00771547"/>
    <w:rsid w:val="007719DB"/>
    <w:rsid w:val="00772BD2"/>
    <w:rsid w:val="00774CB0"/>
    <w:rsid w:val="00775B59"/>
    <w:rsid w:val="00777441"/>
    <w:rsid w:val="00777672"/>
    <w:rsid w:val="00780F90"/>
    <w:rsid w:val="007823C6"/>
    <w:rsid w:val="007824C1"/>
    <w:rsid w:val="007833BF"/>
    <w:rsid w:val="007842CC"/>
    <w:rsid w:val="007843D6"/>
    <w:rsid w:val="00784E32"/>
    <w:rsid w:val="00785951"/>
    <w:rsid w:val="007861A1"/>
    <w:rsid w:val="00790428"/>
    <w:rsid w:val="00791236"/>
    <w:rsid w:val="007912DF"/>
    <w:rsid w:val="00792DC0"/>
    <w:rsid w:val="00793034"/>
    <w:rsid w:val="0079341D"/>
    <w:rsid w:val="00795A0A"/>
    <w:rsid w:val="00796B3D"/>
    <w:rsid w:val="00797959"/>
    <w:rsid w:val="00797B69"/>
    <w:rsid w:val="007A2457"/>
    <w:rsid w:val="007A29DF"/>
    <w:rsid w:val="007A4754"/>
    <w:rsid w:val="007A58B0"/>
    <w:rsid w:val="007A6A69"/>
    <w:rsid w:val="007A6AC4"/>
    <w:rsid w:val="007B03CC"/>
    <w:rsid w:val="007B3133"/>
    <w:rsid w:val="007B37E3"/>
    <w:rsid w:val="007B440B"/>
    <w:rsid w:val="007B5F16"/>
    <w:rsid w:val="007C2072"/>
    <w:rsid w:val="007C3477"/>
    <w:rsid w:val="007C49C7"/>
    <w:rsid w:val="007C577D"/>
    <w:rsid w:val="007C5B5E"/>
    <w:rsid w:val="007C6B28"/>
    <w:rsid w:val="007D125B"/>
    <w:rsid w:val="007D2F5B"/>
    <w:rsid w:val="007D3FE1"/>
    <w:rsid w:val="007D49D5"/>
    <w:rsid w:val="007D62EB"/>
    <w:rsid w:val="007D6316"/>
    <w:rsid w:val="007D7825"/>
    <w:rsid w:val="007E05AE"/>
    <w:rsid w:val="007E4F58"/>
    <w:rsid w:val="007E523C"/>
    <w:rsid w:val="007E5BE0"/>
    <w:rsid w:val="007E6879"/>
    <w:rsid w:val="007F25D5"/>
    <w:rsid w:val="007F2FF3"/>
    <w:rsid w:val="007F3D81"/>
    <w:rsid w:val="007F4740"/>
    <w:rsid w:val="007F59EB"/>
    <w:rsid w:val="007F6F7D"/>
    <w:rsid w:val="007F6FAE"/>
    <w:rsid w:val="0080045C"/>
    <w:rsid w:val="008004CC"/>
    <w:rsid w:val="008010FE"/>
    <w:rsid w:val="00801D86"/>
    <w:rsid w:val="00805B7C"/>
    <w:rsid w:val="00805FD5"/>
    <w:rsid w:val="00807B23"/>
    <w:rsid w:val="0081060C"/>
    <w:rsid w:val="0081114E"/>
    <w:rsid w:val="00811604"/>
    <w:rsid w:val="00812017"/>
    <w:rsid w:val="00813029"/>
    <w:rsid w:val="0082045E"/>
    <w:rsid w:val="00821C8B"/>
    <w:rsid w:val="00821DC7"/>
    <w:rsid w:val="00822C02"/>
    <w:rsid w:val="008232CB"/>
    <w:rsid w:val="00825146"/>
    <w:rsid w:val="008274F5"/>
    <w:rsid w:val="00827580"/>
    <w:rsid w:val="00830643"/>
    <w:rsid w:val="0083090C"/>
    <w:rsid w:val="00833F2B"/>
    <w:rsid w:val="00833FA5"/>
    <w:rsid w:val="00834503"/>
    <w:rsid w:val="008422D0"/>
    <w:rsid w:val="008443A7"/>
    <w:rsid w:val="00845597"/>
    <w:rsid w:val="0084661A"/>
    <w:rsid w:val="00847207"/>
    <w:rsid w:val="008472E3"/>
    <w:rsid w:val="008472F3"/>
    <w:rsid w:val="008473D2"/>
    <w:rsid w:val="00847F2A"/>
    <w:rsid w:val="00851A14"/>
    <w:rsid w:val="008551FF"/>
    <w:rsid w:val="00856529"/>
    <w:rsid w:val="00860083"/>
    <w:rsid w:val="00863077"/>
    <w:rsid w:val="008660B8"/>
    <w:rsid w:val="00867754"/>
    <w:rsid w:val="0087042E"/>
    <w:rsid w:val="008705CB"/>
    <w:rsid w:val="00871961"/>
    <w:rsid w:val="00871DC4"/>
    <w:rsid w:val="00872942"/>
    <w:rsid w:val="00873111"/>
    <w:rsid w:val="00873292"/>
    <w:rsid w:val="008732B8"/>
    <w:rsid w:val="00873709"/>
    <w:rsid w:val="00873C05"/>
    <w:rsid w:val="008803EA"/>
    <w:rsid w:val="00880D43"/>
    <w:rsid w:val="00881AAC"/>
    <w:rsid w:val="0088273C"/>
    <w:rsid w:val="00882980"/>
    <w:rsid w:val="008835E6"/>
    <w:rsid w:val="0088476D"/>
    <w:rsid w:val="00884BC5"/>
    <w:rsid w:val="00884E0F"/>
    <w:rsid w:val="008867D3"/>
    <w:rsid w:val="00886E41"/>
    <w:rsid w:val="00887C96"/>
    <w:rsid w:val="008903C3"/>
    <w:rsid w:val="0089269E"/>
    <w:rsid w:val="00893511"/>
    <w:rsid w:val="008968FA"/>
    <w:rsid w:val="00896E70"/>
    <w:rsid w:val="008974A6"/>
    <w:rsid w:val="008A1798"/>
    <w:rsid w:val="008A3E5B"/>
    <w:rsid w:val="008A71B9"/>
    <w:rsid w:val="008B647E"/>
    <w:rsid w:val="008B6A8E"/>
    <w:rsid w:val="008C514D"/>
    <w:rsid w:val="008C5CEF"/>
    <w:rsid w:val="008C74B8"/>
    <w:rsid w:val="008D02BD"/>
    <w:rsid w:val="008D0EB8"/>
    <w:rsid w:val="008D134E"/>
    <w:rsid w:val="008D56EF"/>
    <w:rsid w:val="008E3534"/>
    <w:rsid w:val="008E4224"/>
    <w:rsid w:val="008E72DB"/>
    <w:rsid w:val="008F14E0"/>
    <w:rsid w:val="008F24B1"/>
    <w:rsid w:val="008F2EDD"/>
    <w:rsid w:val="008F4913"/>
    <w:rsid w:val="008F6252"/>
    <w:rsid w:val="00900C5B"/>
    <w:rsid w:val="009030ED"/>
    <w:rsid w:val="00906496"/>
    <w:rsid w:val="00906E20"/>
    <w:rsid w:val="009072C0"/>
    <w:rsid w:val="00907332"/>
    <w:rsid w:val="00907D50"/>
    <w:rsid w:val="00913956"/>
    <w:rsid w:val="00913F3B"/>
    <w:rsid w:val="009149D9"/>
    <w:rsid w:val="00915247"/>
    <w:rsid w:val="009162CF"/>
    <w:rsid w:val="00916ECE"/>
    <w:rsid w:val="00917B12"/>
    <w:rsid w:val="00921C96"/>
    <w:rsid w:val="00922710"/>
    <w:rsid w:val="00923744"/>
    <w:rsid w:val="00926A69"/>
    <w:rsid w:val="00927337"/>
    <w:rsid w:val="00927704"/>
    <w:rsid w:val="0093062E"/>
    <w:rsid w:val="0093081D"/>
    <w:rsid w:val="00934146"/>
    <w:rsid w:val="009343D8"/>
    <w:rsid w:val="0093569F"/>
    <w:rsid w:val="009368E4"/>
    <w:rsid w:val="00936E8D"/>
    <w:rsid w:val="00937E45"/>
    <w:rsid w:val="00940618"/>
    <w:rsid w:val="00940AF2"/>
    <w:rsid w:val="0094277F"/>
    <w:rsid w:val="00945C2C"/>
    <w:rsid w:val="009472B3"/>
    <w:rsid w:val="00951050"/>
    <w:rsid w:val="009529F1"/>
    <w:rsid w:val="0096007D"/>
    <w:rsid w:val="009608D0"/>
    <w:rsid w:val="00961E47"/>
    <w:rsid w:val="0096207F"/>
    <w:rsid w:val="00962AF6"/>
    <w:rsid w:val="00963A23"/>
    <w:rsid w:val="0096699C"/>
    <w:rsid w:val="00971319"/>
    <w:rsid w:val="009732C1"/>
    <w:rsid w:val="00973902"/>
    <w:rsid w:val="00974905"/>
    <w:rsid w:val="0097617E"/>
    <w:rsid w:val="009800FE"/>
    <w:rsid w:val="00980C57"/>
    <w:rsid w:val="00980C67"/>
    <w:rsid w:val="00982440"/>
    <w:rsid w:val="00986240"/>
    <w:rsid w:val="00986850"/>
    <w:rsid w:val="00986F91"/>
    <w:rsid w:val="009871EB"/>
    <w:rsid w:val="00993579"/>
    <w:rsid w:val="0099500A"/>
    <w:rsid w:val="0099599F"/>
    <w:rsid w:val="00995F99"/>
    <w:rsid w:val="00996028"/>
    <w:rsid w:val="00997E70"/>
    <w:rsid w:val="009A01D6"/>
    <w:rsid w:val="009A4CB2"/>
    <w:rsid w:val="009A5450"/>
    <w:rsid w:val="009B1C7A"/>
    <w:rsid w:val="009B28B4"/>
    <w:rsid w:val="009B2DBB"/>
    <w:rsid w:val="009B4C19"/>
    <w:rsid w:val="009B579F"/>
    <w:rsid w:val="009C2461"/>
    <w:rsid w:val="009C24E3"/>
    <w:rsid w:val="009C2E7E"/>
    <w:rsid w:val="009C3B14"/>
    <w:rsid w:val="009C4968"/>
    <w:rsid w:val="009C6AFA"/>
    <w:rsid w:val="009D0214"/>
    <w:rsid w:val="009D0EE5"/>
    <w:rsid w:val="009D1C87"/>
    <w:rsid w:val="009D2A17"/>
    <w:rsid w:val="009D2CCD"/>
    <w:rsid w:val="009D5CCE"/>
    <w:rsid w:val="009D747C"/>
    <w:rsid w:val="009E1E9E"/>
    <w:rsid w:val="009E2076"/>
    <w:rsid w:val="009E21C8"/>
    <w:rsid w:val="009E5A18"/>
    <w:rsid w:val="009E7699"/>
    <w:rsid w:val="009F010A"/>
    <w:rsid w:val="009F0A18"/>
    <w:rsid w:val="009F629B"/>
    <w:rsid w:val="009F6C65"/>
    <w:rsid w:val="00A00DFA"/>
    <w:rsid w:val="00A00F5E"/>
    <w:rsid w:val="00A01971"/>
    <w:rsid w:val="00A024CB"/>
    <w:rsid w:val="00A03345"/>
    <w:rsid w:val="00A03729"/>
    <w:rsid w:val="00A042CD"/>
    <w:rsid w:val="00A05C0C"/>
    <w:rsid w:val="00A07DB9"/>
    <w:rsid w:val="00A10583"/>
    <w:rsid w:val="00A10CFF"/>
    <w:rsid w:val="00A122B0"/>
    <w:rsid w:val="00A138A5"/>
    <w:rsid w:val="00A14534"/>
    <w:rsid w:val="00A14594"/>
    <w:rsid w:val="00A14AA7"/>
    <w:rsid w:val="00A15F2C"/>
    <w:rsid w:val="00A16579"/>
    <w:rsid w:val="00A24AD4"/>
    <w:rsid w:val="00A25DC8"/>
    <w:rsid w:val="00A27134"/>
    <w:rsid w:val="00A271DB"/>
    <w:rsid w:val="00A305FD"/>
    <w:rsid w:val="00A31392"/>
    <w:rsid w:val="00A31852"/>
    <w:rsid w:val="00A3454F"/>
    <w:rsid w:val="00A351D5"/>
    <w:rsid w:val="00A36338"/>
    <w:rsid w:val="00A40713"/>
    <w:rsid w:val="00A43A20"/>
    <w:rsid w:val="00A45B73"/>
    <w:rsid w:val="00A465FA"/>
    <w:rsid w:val="00A50DA9"/>
    <w:rsid w:val="00A5211A"/>
    <w:rsid w:val="00A521AB"/>
    <w:rsid w:val="00A52CDB"/>
    <w:rsid w:val="00A536AA"/>
    <w:rsid w:val="00A556BA"/>
    <w:rsid w:val="00A56593"/>
    <w:rsid w:val="00A56C9F"/>
    <w:rsid w:val="00A57A1D"/>
    <w:rsid w:val="00A6282D"/>
    <w:rsid w:val="00A62C6B"/>
    <w:rsid w:val="00A63CD7"/>
    <w:rsid w:val="00A63F04"/>
    <w:rsid w:val="00A65904"/>
    <w:rsid w:val="00A66ED8"/>
    <w:rsid w:val="00A70256"/>
    <w:rsid w:val="00A72AB9"/>
    <w:rsid w:val="00A72EA3"/>
    <w:rsid w:val="00A734A9"/>
    <w:rsid w:val="00A7395B"/>
    <w:rsid w:val="00A74291"/>
    <w:rsid w:val="00A74B22"/>
    <w:rsid w:val="00A8262C"/>
    <w:rsid w:val="00A8583D"/>
    <w:rsid w:val="00A86228"/>
    <w:rsid w:val="00A864B6"/>
    <w:rsid w:val="00A87048"/>
    <w:rsid w:val="00A87D86"/>
    <w:rsid w:val="00A930E6"/>
    <w:rsid w:val="00A978D7"/>
    <w:rsid w:val="00A97B60"/>
    <w:rsid w:val="00AA0A8A"/>
    <w:rsid w:val="00AA3D97"/>
    <w:rsid w:val="00AB1D60"/>
    <w:rsid w:val="00AB2AE6"/>
    <w:rsid w:val="00AB3620"/>
    <w:rsid w:val="00AB3E49"/>
    <w:rsid w:val="00AB3ED2"/>
    <w:rsid w:val="00AB5D35"/>
    <w:rsid w:val="00AB6AC0"/>
    <w:rsid w:val="00AB7FE7"/>
    <w:rsid w:val="00AC620D"/>
    <w:rsid w:val="00AC7A3A"/>
    <w:rsid w:val="00AD0B8A"/>
    <w:rsid w:val="00AD12B2"/>
    <w:rsid w:val="00AD1ADD"/>
    <w:rsid w:val="00AD3ADF"/>
    <w:rsid w:val="00AD558B"/>
    <w:rsid w:val="00AE06B4"/>
    <w:rsid w:val="00AE1AC8"/>
    <w:rsid w:val="00AE495A"/>
    <w:rsid w:val="00AE5455"/>
    <w:rsid w:val="00AE5873"/>
    <w:rsid w:val="00AE6107"/>
    <w:rsid w:val="00AE6F2D"/>
    <w:rsid w:val="00AE7BB4"/>
    <w:rsid w:val="00AF104C"/>
    <w:rsid w:val="00AF1750"/>
    <w:rsid w:val="00AF26FB"/>
    <w:rsid w:val="00AF335B"/>
    <w:rsid w:val="00AF3F6E"/>
    <w:rsid w:val="00AF63AF"/>
    <w:rsid w:val="00AF79FA"/>
    <w:rsid w:val="00B12082"/>
    <w:rsid w:val="00B121C4"/>
    <w:rsid w:val="00B12837"/>
    <w:rsid w:val="00B140E0"/>
    <w:rsid w:val="00B14590"/>
    <w:rsid w:val="00B15F43"/>
    <w:rsid w:val="00B15FCC"/>
    <w:rsid w:val="00B16E09"/>
    <w:rsid w:val="00B2033C"/>
    <w:rsid w:val="00B21AF8"/>
    <w:rsid w:val="00B243CF"/>
    <w:rsid w:val="00B24927"/>
    <w:rsid w:val="00B249D5"/>
    <w:rsid w:val="00B24BA0"/>
    <w:rsid w:val="00B25030"/>
    <w:rsid w:val="00B30137"/>
    <w:rsid w:val="00B30B39"/>
    <w:rsid w:val="00B31341"/>
    <w:rsid w:val="00B3401E"/>
    <w:rsid w:val="00B3542F"/>
    <w:rsid w:val="00B35B07"/>
    <w:rsid w:val="00B41A48"/>
    <w:rsid w:val="00B42249"/>
    <w:rsid w:val="00B42CB3"/>
    <w:rsid w:val="00B43B3D"/>
    <w:rsid w:val="00B46CAA"/>
    <w:rsid w:val="00B519E8"/>
    <w:rsid w:val="00B51B75"/>
    <w:rsid w:val="00B54B88"/>
    <w:rsid w:val="00B54E3C"/>
    <w:rsid w:val="00B54FC2"/>
    <w:rsid w:val="00B554F4"/>
    <w:rsid w:val="00B5613C"/>
    <w:rsid w:val="00B57341"/>
    <w:rsid w:val="00B61C26"/>
    <w:rsid w:val="00B629BC"/>
    <w:rsid w:val="00B62CBE"/>
    <w:rsid w:val="00B62E81"/>
    <w:rsid w:val="00B638A1"/>
    <w:rsid w:val="00B63A4F"/>
    <w:rsid w:val="00B647E1"/>
    <w:rsid w:val="00B64CA7"/>
    <w:rsid w:val="00B65F97"/>
    <w:rsid w:val="00B66221"/>
    <w:rsid w:val="00B72334"/>
    <w:rsid w:val="00B7774E"/>
    <w:rsid w:val="00B80328"/>
    <w:rsid w:val="00B80B2B"/>
    <w:rsid w:val="00B80F83"/>
    <w:rsid w:val="00B8346C"/>
    <w:rsid w:val="00B850C9"/>
    <w:rsid w:val="00B85DD4"/>
    <w:rsid w:val="00B8623D"/>
    <w:rsid w:val="00B8673E"/>
    <w:rsid w:val="00B90380"/>
    <w:rsid w:val="00B9125A"/>
    <w:rsid w:val="00B939B2"/>
    <w:rsid w:val="00B9425A"/>
    <w:rsid w:val="00B954B5"/>
    <w:rsid w:val="00B97565"/>
    <w:rsid w:val="00BA0C7C"/>
    <w:rsid w:val="00BA186D"/>
    <w:rsid w:val="00BA396C"/>
    <w:rsid w:val="00BA5ACD"/>
    <w:rsid w:val="00BA6934"/>
    <w:rsid w:val="00BA727A"/>
    <w:rsid w:val="00BA7FA5"/>
    <w:rsid w:val="00BB1F06"/>
    <w:rsid w:val="00BB2160"/>
    <w:rsid w:val="00BB4659"/>
    <w:rsid w:val="00BC08CF"/>
    <w:rsid w:val="00BC395E"/>
    <w:rsid w:val="00BC3BC6"/>
    <w:rsid w:val="00BC6524"/>
    <w:rsid w:val="00BC75C2"/>
    <w:rsid w:val="00BD0812"/>
    <w:rsid w:val="00BD10D4"/>
    <w:rsid w:val="00BD14FA"/>
    <w:rsid w:val="00BD1898"/>
    <w:rsid w:val="00BD2D9B"/>
    <w:rsid w:val="00BD3F3F"/>
    <w:rsid w:val="00BE057D"/>
    <w:rsid w:val="00BE0A22"/>
    <w:rsid w:val="00BE2AA1"/>
    <w:rsid w:val="00BE63EC"/>
    <w:rsid w:val="00BE6522"/>
    <w:rsid w:val="00BE752C"/>
    <w:rsid w:val="00BF1B1E"/>
    <w:rsid w:val="00BF269A"/>
    <w:rsid w:val="00BF4FCA"/>
    <w:rsid w:val="00BF53F5"/>
    <w:rsid w:val="00BF5BD1"/>
    <w:rsid w:val="00BF60BC"/>
    <w:rsid w:val="00C004A2"/>
    <w:rsid w:val="00C00888"/>
    <w:rsid w:val="00C0215B"/>
    <w:rsid w:val="00C0267B"/>
    <w:rsid w:val="00C04D7F"/>
    <w:rsid w:val="00C066B2"/>
    <w:rsid w:val="00C071E7"/>
    <w:rsid w:val="00C107BE"/>
    <w:rsid w:val="00C121A1"/>
    <w:rsid w:val="00C12F3D"/>
    <w:rsid w:val="00C135AC"/>
    <w:rsid w:val="00C152C0"/>
    <w:rsid w:val="00C21CDE"/>
    <w:rsid w:val="00C23F7E"/>
    <w:rsid w:val="00C24861"/>
    <w:rsid w:val="00C25E3A"/>
    <w:rsid w:val="00C26CBE"/>
    <w:rsid w:val="00C2750F"/>
    <w:rsid w:val="00C27526"/>
    <w:rsid w:val="00C27A17"/>
    <w:rsid w:val="00C30D2B"/>
    <w:rsid w:val="00C313C3"/>
    <w:rsid w:val="00C33225"/>
    <w:rsid w:val="00C346E5"/>
    <w:rsid w:val="00C350D7"/>
    <w:rsid w:val="00C35930"/>
    <w:rsid w:val="00C371EC"/>
    <w:rsid w:val="00C437CF"/>
    <w:rsid w:val="00C446D1"/>
    <w:rsid w:val="00C451DC"/>
    <w:rsid w:val="00C47001"/>
    <w:rsid w:val="00C47201"/>
    <w:rsid w:val="00C54371"/>
    <w:rsid w:val="00C568B8"/>
    <w:rsid w:val="00C57E5C"/>
    <w:rsid w:val="00C63885"/>
    <w:rsid w:val="00C6394C"/>
    <w:rsid w:val="00C63A19"/>
    <w:rsid w:val="00C663EC"/>
    <w:rsid w:val="00C66C0B"/>
    <w:rsid w:val="00C70348"/>
    <w:rsid w:val="00C723D1"/>
    <w:rsid w:val="00C72DE3"/>
    <w:rsid w:val="00C7430A"/>
    <w:rsid w:val="00C7439F"/>
    <w:rsid w:val="00C74A74"/>
    <w:rsid w:val="00C74DD4"/>
    <w:rsid w:val="00C76A2E"/>
    <w:rsid w:val="00C770D4"/>
    <w:rsid w:val="00C8190A"/>
    <w:rsid w:val="00C81F14"/>
    <w:rsid w:val="00C87870"/>
    <w:rsid w:val="00C90B68"/>
    <w:rsid w:val="00C90D84"/>
    <w:rsid w:val="00C90FF2"/>
    <w:rsid w:val="00C92BE5"/>
    <w:rsid w:val="00C93134"/>
    <w:rsid w:val="00C9762C"/>
    <w:rsid w:val="00CA167D"/>
    <w:rsid w:val="00CA3457"/>
    <w:rsid w:val="00CA3580"/>
    <w:rsid w:val="00CA41BD"/>
    <w:rsid w:val="00CA4606"/>
    <w:rsid w:val="00CB092D"/>
    <w:rsid w:val="00CB20BF"/>
    <w:rsid w:val="00CB2EB4"/>
    <w:rsid w:val="00CB3495"/>
    <w:rsid w:val="00CB742E"/>
    <w:rsid w:val="00CB7EF0"/>
    <w:rsid w:val="00CC07EF"/>
    <w:rsid w:val="00CC177C"/>
    <w:rsid w:val="00CC258A"/>
    <w:rsid w:val="00CC2C68"/>
    <w:rsid w:val="00CC3B94"/>
    <w:rsid w:val="00CC7C9F"/>
    <w:rsid w:val="00CD2950"/>
    <w:rsid w:val="00CD3B54"/>
    <w:rsid w:val="00CD70E5"/>
    <w:rsid w:val="00CD725E"/>
    <w:rsid w:val="00CE3A43"/>
    <w:rsid w:val="00CF098F"/>
    <w:rsid w:val="00CF20DE"/>
    <w:rsid w:val="00CF3102"/>
    <w:rsid w:val="00CF324C"/>
    <w:rsid w:val="00CF4BAA"/>
    <w:rsid w:val="00CF7D10"/>
    <w:rsid w:val="00D01B5B"/>
    <w:rsid w:val="00D03363"/>
    <w:rsid w:val="00D102DF"/>
    <w:rsid w:val="00D12706"/>
    <w:rsid w:val="00D12B70"/>
    <w:rsid w:val="00D12EE5"/>
    <w:rsid w:val="00D131F3"/>
    <w:rsid w:val="00D1547B"/>
    <w:rsid w:val="00D17793"/>
    <w:rsid w:val="00D17A02"/>
    <w:rsid w:val="00D17B92"/>
    <w:rsid w:val="00D200C4"/>
    <w:rsid w:val="00D2068A"/>
    <w:rsid w:val="00D22B16"/>
    <w:rsid w:val="00D23AED"/>
    <w:rsid w:val="00D23C8E"/>
    <w:rsid w:val="00D24694"/>
    <w:rsid w:val="00D2596F"/>
    <w:rsid w:val="00D2779A"/>
    <w:rsid w:val="00D30030"/>
    <w:rsid w:val="00D311CC"/>
    <w:rsid w:val="00D33AC8"/>
    <w:rsid w:val="00D33C84"/>
    <w:rsid w:val="00D3455A"/>
    <w:rsid w:val="00D345D9"/>
    <w:rsid w:val="00D362C2"/>
    <w:rsid w:val="00D3784C"/>
    <w:rsid w:val="00D411CF"/>
    <w:rsid w:val="00D43130"/>
    <w:rsid w:val="00D45152"/>
    <w:rsid w:val="00D52C6C"/>
    <w:rsid w:val="00D545A1"/>
    <w:rsid w:val="00D54A0B"/>
    <w:rsid w:val="00D55713"/>
    <w:rsid w:val="00D61B4E"/>
    <w:rsid w:val="00D61DE6"/>
    <w:rsid w:val="00D62EA1"/>
    <w:rsid w:val="00D62FE7"/>
    <w:rsid w:val="00D645FD"/>
    <w:rsid w:val="00D6556A"/>
    <w:rsid w:val="00D655F9"/>
    <w:rsid w:val="00D657EB"/>
    <w:rsid w:val="00D66492"/>
    <w:rsid w:val="00D67379"/>
    <w:rsid w:val="00D74D8F"/>
    <w:rsid w:val="00D838B8"/>
    <w:rsid w:val="00D86049"/>
    <w:rsid w:val="00D90742"/>
    <w:rsid w:val="00D90AE5"/>
    <w:rsid w:val="00D92A0D"/>
    <w:rsid w:val="00D940B9"/>
    <w:rsid w:val="00D95A84"/>
    <w:rsid w:val="00D96C4C"/>
    <w:rsid w:val="00DA020B"/>
    <w:rsid w:val="00DA033F"/>
    <w:rsid w:val="00DA0873"/>
    <w:rsid w:val="00DA0E69"/>
    <w:rsid w:val="00DA1F44"/>
    <w:rsid w:val="00DA248F"/>
    <w:rsid w:val="00DA2E32"/>
    <w:rsid w:val="00DA4D92"/>
    <w:rsid w:val="00DA5608"/>
    <w:rsid w:val="00DA587C"/>
    <w:rsid w:val="00DA7F1A"/>
    <w:rsid w:val="00DB0E17"/>
    <w:rsid w:val="00DC0E5E"/>
    <w:rsid w:val="00DC39CC"/>
    <w:rsid w:val="00DC453E"/>
    <w:rsid w:val="00DC485F"/>
    <w:rsid w:val="00DC6C7F"/>
    <w:rsid w:val="00DC7BAF"/>
    <w:rsid w:val="00DD0BC0"/>
    <w:rsid w:val="00DD0ED3"/>
    <w:rsid w:val="00DD1232"/>
    <w:rsid w:val="00DD1C93"/>
    <w:rsid w:val="00DD7265"/>
    <w:rsid w:val="00DD7566"/>
    <w:rsid w:val="00DE21EE"/>
    <w:rsid w:val="00DE2705"/>
    <w:rsid w:val="00DE38B2"/>
    <w:rsid w:val="00DE424B"/>
    <w:rsid w:val="00DE4D93"/>
    <w:rsid w:val="00DE76BD"/>
    <w:rsid w:val="00DE79D7"/>
    <w:rsid w:val="00DF0ED3"/>
    <w:rsid w:val="00DF1BC4"/>
    <w:rsid w:val="00DF2135"/>
    <w:rsid w:val="00DF248A"/>
    <w:rsid w:val="00DF4B60"/>
    <w:rsid w:val="00DF5873"/>
    <w:rsid w:val="00DF7D34"/>
    <w:rsid w:val="00E0165F"/>
    <w:rsid w:val="00E037CA"/>
    <w:rsid w:val="00E05286"/>
    <w:rsid w:val="00E05923"/>
    <w:rsid w:val="00E063D6"/>
    <w:rsid w:val="00E06F8C"/>
    <w:rsid w:val="00E101E9"/>
    <w:rsid w:val="00E12A3A"/>
    <w:rsid w:val="00E12CBC"/>
    <w:rsid w:val="00E14FF4"/>
    <w:rsid w:val="00E15D25"/>
    <w:rsid w:val="00E2069A"/>
    <w:rsid w:val="00E210D9"/>
    <w:rsid w:val="00E2349A"/>
    <w:rsid w:val="00E24F61"/>
    <w:rsid w:val="00E25C43"/>
    <w:rsid w:val="00E265DA"/>
    <w:rsid w:val="00E31B53"/>
    <w:rsid w:val="00E320EA"/>
    <w:rsid w:val="00E328AE"/>
    <w:rsid w:val="00E328E6"/>
    <w:rsid w:val="00E3398C"/>
    <w:rsid w:val="00E36188"/>
    <w:rsid w:val="00E367BF"/>
    <w:rsid w:val="00E3708D"/>
    <w:rsid w:val="00E3789A"/>
    <w:rsid w:val="00E37F95"/>
    <w:rsid w:val="00E40D6A"/>
    <w:rsid w:val="00E42271"/>
    <w:rsid w:val="00E43040"/>
    <w:rsid w:val="00E4327F"/>
    <w:rsid w:val="00E44473"/>
    <w:rsid w:val="00E44A00"/>
    <w:rsid w:val="00E52E5F"/>
    <w:rsid w:val="00E539FF"/>
    <w:rsid w:val="00E53CD0"/>
    <w:rsid w:val="00E54B65"/>
    <w:rsid w:val="00E55995"/>
    <w:rsid w:val="00E56079"/>
    <w:rsid w:val="00E64D76"/>
    <w:rsid w:val="00E6645E"/>
    <w:rsid w:val="00E66765"/>
    <w:rsid w:val="00E66CFE"/>
    <w:rsid w:val="00E747B0"/>
    <w:rsid w:val="00E75874"/>
    <w:rsid w:val="00E75D02"/>
    <w:rsid w:val="00E80067"/>
    <w:rsid w:val="00E83AF7"/>
    <w:rsid w:val="00E84D2F"/>
    <w:rsid w:val="00E86764"/>
    <w:rsid w:val="00E87265"/>
    <w:rsid w:val="00E92FC7"/>
    <w:rsid w:val="00E93B3C"/>
    <w:rsid w:val="00E93FD4"/>
    <w:rsid w:val="00EA0C4B"/>
    <w:rsid w:val="00EA417E"/>
    <w:rsid w:val="00EA4E42"/>
    <w:rsid w:val="00EB45D8"/>
    <w:rsid w:val="00EB69B6"/>
    <w:rsid w:val="00EB7492"/>
    <w:rsid w:val="00EC3EB4"/>
    <w:rsid w:val="00EC423A"/>
    <w:rsid w:val="00EC746D"/>
    <w:rsid w:val="00EC78B7"/>
    <w:rsid w:val="00EC7F0D"/>
    <w:rsid w:val="00ED12CD"/>
    <w:rsid w:val="00ED2A48"/>
    <w:rsid w:val="00ED5258"/>
    <w:rsid w:val="00ED5733"/>
    <w:rsid w:val="00ED68D0"/>
    <w:rsid w:val="00ED740A"/>
    <w:rsid w:val="00EE1CC4"/>
    <w:rsid w:val="00EE2D74"/>
    <w:rsid w:val="00EE2FE9"/>
    <w:rsid w:val="00EE31D0"/>
    <w:rsid w:val="00EE3E11"/>
    <w:rsid w:val="00EE42A5"/>
    <w:rsid w:val="00EE4338"/>
    <w:rsid w:val="00EE51F2"/>
    <w:rsid w:val="00EE6ACD"/>
    <w:rsid w:val="00EF2C96"/>
    <w:rsid w:val="00EF4016"/>
    <w:rsid w:val="00EF54E3"/>
    <w:rsid w:val="00EF60DA"/>
    <w:rsid w:val="00EF6189"/>
    <w:rsid w:val="00F01E8C"/>
    <w:rsid w:val="00F04A08"/>
    <w:rsid w:val="00F056CD"/>
    <w:rsid w:val="00F11337"/>
    <w:rsid w:val="00F14C45"/>
    <w:rsid w:val="00F15F24"/>
    <w:rsid w:val="00F16217"/>
    <w:rsid w:val="00F1621F"/>
    <w:rsid w:val="00F16B52"/>
    <w:rsid w:val="00F175DE"/>
    <w:rsid w:val="00F2453C"/>
    <w:rsid w:val="00F26142"/>
    <w:rsid w:val="00F27C08"/>
    <w:rsid w:val="00F3058B"/>
    <w:rsid w:val="00F3182B"/>
    <w:rsid w:val="00F33980"/>
    <w:rsid w:val="00F34388"/>
    <w:rsid w:val="00F346A5"/>
    <w:rsid w:val="00F34826"/>
    <w:rsid w:val="00F35CCB"/>
    <w:rsid w:val="00F36578"/>
    <w:rsid w:val="00F36DE9"/>
    <w:rsid w:val="00F3713A"/>
    <w:rsid w:val="00F40C14"/>
    <w:rsid w:val="00F4403E"/>
    <w:rsid w:val="00F44CC1"/>
    <w:rsid w:val="00F44FA5"/>
    <w:rsid w:val="00F452D4"/>
    <w:rsid w:val="00F47675"/>
    <w:rsid w:val="00F502ED"/>
    <w:rsid w:val="00F50332"/>
    <w:rsid w:val="00F50D8F"/>
    <w:rsid w:val="00F51627"/>
    <w:rsid w:val="00F51E7F"/>
    <w:rsid w:val="00F5279D"/>
    <w:rsid w:val="00F533ED"/>
    <w:rsid w:val="00F545D7"/>
    <w:rsid w:val="00F56472"/>
    <w:rsid w:val="00F60387"/>
    <w:rsid w:val="00F611E1"/>
    <w:rsid w:val="00F6376C"/>
    <w:rsid w:val="00F64B7C"/>
    <w:rsid w:val="00F679A5"/>
    <w:rsid w:val="00F704F9"/>
    <w:rsid w:val="00F70554"/>
    <w:rsid w:val="00F712BF"/>
    <w:rsid w:val="00F71A39"/>
    <w:rsid w:val="00F71BDC"/>
    <w:rsid w:val="00F74DB1"/>
    <w:rsid w:val="00F750BC"/>
    <w:rsid w:val="00F76B1F"/>
    <w:rsid w:val="00F81A84"/>
    <w:rsid w:val="00F82146"/>
    <w:rsid w:val="00F82316"/>
    <w:rsid w:val="00F85379"/>
    <w:rsid w:val="00F85890"/>
    <w:rsid w:val="00F87065"/>
    <w:rsid w:val="00F877B9"/>
    <w:rsid w:val="00F87B18"/>
    <w:rsid w:val="00F91AEC"/>
    <w:rsid w:val="00F92EF2"/>
    <w:rsid w:val="00F95594"/>
    <w:rsid w:val="00FA1209"/>
    <w:rsid w:val="00FA27BB"/>
    <w:rsid w:val="00FA51FA"/>
    <w:rsid w:val="00FA5FC2"/>
    <w:rsid w:val="00FA7A7A"/>
    <w:rsid w:val="00FA7FB4"/>
    <w:rsid w:val="00FA7FBD"/>
    <w:rsid w:val="00FB247D"/>
    <w:rsid w:val="00FB3360"/>
    <w:rsid w:val="00FB48D2"/>
    <w:rsid w:val="00FB533A"/>
    <w:rsid w:val="00FB59E0"/>
    <w:rsid w:val="00FB6302"/>
    <w:rsid w:val="00FB6346"/>
    <w:rsid w:val="00FB7F5A"/>
    <w:rsid w:val="00FC0666"/>
    <w:rsid w:val="00FC146B"/>
    <w:rsid w:val="00FC269C"/>
    <w:rsid w:val="00FC37E3"/>
    <w:rsid w:val="00FC45F8"/>
    <w:rsid w:val="00FC5AA2"/>
    <w:rsid w:val="00FC5F47"/>
    <w:rsid w:val="00FC6544"/>
    <w:rsid w:val="00FC6883"/>
    <w:rsid w:val="00FC6988"/>
    <w:rsid w:val="00FD00D8"/>
    <w:rsid w:val="00FD183A"/>
    <w:rsid w:val="00FD23A3"/>
    <w:rsid w:val="00FD54C9"/>
    <w:rsid w:val="00FD6F5D"/>
    <w:rsid w:val="00FD7396"/>
    <w:rsid w:val="00FE197F"/>
    <w:rsid w:val="00FE1D8D"/>
    <w:rsid w:val="00FE25D6"/>
    <w:rsid w:val="00FE26D6"/>
    <w:rsid w:val="00FE37BD"/>
    <w:rsid w:val="00FE4563"/>
    <w:rsid w:val="00FE4E8C"/>
    <w:rsid w:val="00FE541A"/>
    <w:rsid w:val="00FE6146"/>
    <w:rsid w:val="00FF0031"/>
    <w:rsid w:val="00FF08F8"/>
    <w:rsid w:val="00FF2986"/>
    <w:rsid w:val="00FF2CA3"/>
    <w:rsid w:val="00FF56C4"/>
    <w:rsid w:val="00FF5FDF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4:docId w14:val="31659AA9"/>
  <w15:docId w15:val="{6D963BAF-5513-421F-B01F-5483650B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A7A"/>
    <w:rPr>
      <w:rFonts w:eastAsia="Times New Roman"/>
      <w:sz w:val="24"/>
    </w:rPr>
  </w:style>
  <w:style w:type="paragraph" w:styleId="Heading1">
    <w:name w:val="heading 1"/>
    <w:basedOn w:val="Normal"/>
    <w:next w:val="Normal"/>
    <w:uiPriority w:val="1"/>
    <w:qFormat/>
    <w:rsid w:val="00B573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1"/>
    <w:qFormat/>
    <w:rsid w:val="00B573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73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FA7A7A"/>
    <w:pPr>
      <w:keepNext/>
      <w:outlineLvl w:val="4"/>
    </w:pPr>
    <w:rPr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SubHeading"/>
    <w:link w:val="HeadingChar"/>
    <w:rsid w:val="00B57341"/>
    <w:rPr>
      <w:sz w:val="26"/>
    </w:rPr>
  </w:style>
  <w:style w:type="paragraph" w:styleId="Header">
    <w:name w:val="header"/>
    <w:basedOn w:val="Normal"/>
    <w:link w:val="HeaderChar"/>
    <w:uiPriority w:val="99"/>
    <w:rsid w:val="00FA7A7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7A"/>
    <w:pPr>
      <w:tabs>
        <w:tab w:val="center" w:pos="4153"/>
        <w:tab w:val="right" w:pos="8306"/>
      </w:tabs>
    </w:pPr>
  </w:style>
  <w:style w:type="paragraph" w:customStyle="1" w:styleId="SubHeading">
    <w:name w:val="Sub Heading"/>
    <w:basedOn w:val="Normal"/>
    <w:next w:val="Footer"/>
    <w:rsid w:val="00B57341"/>
    <w:pPr>
      <w:keepNext/>
      <w:spacing w:before="240" w:after="60"/>
      <w:outlineLvl w:val="0"/>
    </w:pPr>
    <w:rPr>
      <w:rFonts w:cs="Arial"/>
      <w:b/>
      <w:kern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FA7A7A"/>
    <w:pPr>
      <w:tabs>
        <w:tab w:val="num" w:pos="567"/>
      </w:tabs>
      <w:ind w:left="567" w:hanging="567"/>
    </w:pPr>
    <w:rPr>
      <w:b/>
      <w:lang w:val="en-US"/>
    </w:rPr>
  </w:style>
  <w:style w:type="paragraph" w:styleId="FootnoteText">
    <w:name w:val="footnote text"/>
    <w:basedOn w:val="Normal"/>
    <w:link w:val="FootnoteTextChar"/>
    <w:uiPriority w:val="99"/>
    <w:rsid w:val="00FA7A7A"/>
    <w:rPr>
      <w:sz w:val="20"/>
    </w:rPr>
  </w:style>
  <w:style w:type="character" w:styleId="FootnoteReference">
    <w:name w:val="footnote reference"/>
    <w:basedOn w:val="DefaultParagraphFont"/>
    <w:uiPriority w:val="99"/>
    <w:rsid w:val="00FA7A7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FA7A7A"/>
    <w:rPr>
      <w:sz w:val="16"/>
      <w:szCs w:val="16"/>
    </w:rPr>
  </w:style>
  <w:style w:type="character" w:styleId="PageNumber">
    <w:name w:val="page number"/>
    <w:basedOn w:val="DefaultParagraphFont"/>
    <w:rsid w:val="00FA7A7A"/>
  </w:style>
  <w:style w:type="character" w:customStyle="1" w:styleId="stylebodytext13ptcharcharchar">
    <w:name w:val="stylebodytext13ptcharcharchar"/>
    <w:basedOn w:val="DefaultParagraphFont"/>
    <w:rsid w:val="00FA7A7A"/>
    <w:rPr>
      <w:rFonts w:ascii="Trebuchet MS" w:hAnsi="Trebuchet MS" w:hint="default"/>
    </w:rPr>
  </w:style>
  <w:style w:type="paragraph" w:customStyle="1" w:styleId="NormaltextCharCharCharCharCharChar">
    <w:name w:val="Normal text Char Char Char Char Char Char"/>
    <w:basedOn w:val="BodyText"/>
    <w:link w:val="NormaltextCharCharCharCharCharCharChar"/>
    <w:rsid w:val="00FA7A7A"/>
    <w:pPr>
      <w:tabs>
        <w:tab w:val="clear" w:pos="567"/>
        <w:tab w:val="num" w:pos="1134"/>
      </w:tabs>
      <w:spacing w:after="240"/>
      <w:ind w:left="1134"/>
      <w:jc w:val="both"/>
    </w:pPr>
    <w:rPr>
      <w:b w:val="0"/>
      <w:lang w:val="en-AU"/>
    </w:rPr>
  </w:style>
  <w:style w:type="paragraph" w:customStyle="1" w:styleId="normaltextcharcharcharcharchar0">
    <w:name w:val="normaltextcharcharcharcharchar"/>
    <w:basedOn w:val="Normal"/>
    <w:rsid w:val="00FA7A7A"/>
    <w:pPr>
      <w:spacing w:after="240"/>
      <w:ind w:left="567" w:hanging="567"/>
      <w:jc w:val="both"/>
    </w:pPr>
    <w:rPr>
      <w:rFonts w:ascii="Trebuchet MS" w:hAnsi="Trebuchet MS"/>
      <w:szCs w:val="24"/>
    </w:rPr>
  </w:style>
  <w:style w:type="table" w:styleId="TableGrid">
    <w:name w:val="Table Grid"/>
    <w:basedOn w:val="TableNormal"/>
    <w:rsid w:val="00FA7A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CharCharCharCharCharCharChar">
    <w:name w:val="Normal text Char Char Char Char Char Char Char"/>
    <w:basedOn w:val="DefaultParagraphFont"/>
    <w:link w:val="NormaltextCharCharCharCharCharChar"/>
    <w:rsid w:val="00FA7A7A"/>
    <w:rPr>
      <w:rFonts w:eastAsia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195711"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E3E1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E3E11"/>
    <w:rPr>
      <w:b/>
      <w:bCs/>
    </w:rPr>
  </w:style>
  <w:style w:type="paragraph" w:customStyle="1" w:styleId="StyleBodyText13ptCharChar">
    <w:name w:val="Style Body Text + 13 pt Char Char"/>
    <w:basedOn w:val="BodyText"/>
    <w:link w:val="StyleBodyText13ptCharCharChar0"/>
    <w:rsid w:val="00F15F24"/>
    <w:pPr>
      <w:tabs>
        <w:tab w:val="clear" w:pos="567"/>
        <w:tab w:val="num" w:pos="1134"/>
      </w:tabs>
      <w:spacing w:after="240" w:line="360" w:lineRule="auto"/>
      <w:ind w:left="1134"/>
      <w:jc w:val="both"/>
    </w:pPr>
    <w:rPr>
      <w:b w:val="0"/>
      <w:lang w:val="en-AU"/>
    </w:rPr>
  </w:style>
  <w:style w:type="character" w:customStyle="1" w:styleId="StyleBodyText13ptCharCharChar0">
    <w:name w:val="Style Body Text + 13 pt Char Char Char"/>
    <w:basedOn w:val="DefaultParagraphFont"/>
    <w:link w:val="StyleBodyText13ptCharChar"/>
    <w:rsid w:val="00F15F24"/>
    <w:rPr>
      <w:rFonts w:eastAsia="Times New Roman"/>
      <w:sz w:val="24"/>
    </w:rPr>
  </w:style>
  <w:style w:type="paragraph" w:customStyle="1" w:styleId="Text">
    <w:name w:val="Text"/>
    <w:basedOn w:val="Normal"/>
    <w:rsid w:val="00937E45"/>
    <w:pPr>
      <w:spacing w:after="360" w:line="360" w:lineRule="exact"/>
      <w:jc w:val="both"/>
    </w:pPr>
    <w:rPr>
      <w:rFonts w:ascii="Garamond" w:hAnsi="Garamond"/>
    </w:rPr>
  </w:style>
  <w:style w:type="paragraph" w:customStyle="1" w:styleId="NormaltextCharCharCharCharChar">
    <w:name w:val="Normal text Char Char Char Char Char"/>
    <w:basedOn w:val="BodyText"/>
    <w:rsid w:val="00937E45"/>
    <w:pPr>
      <w:numPr>
        <w:numId w:val="1"/>
      </w:numPr>
      <w:spacing w:after="240"/>
      <w:jc w:val="both"/>
    </w:pPr>
    <w:rPr>
      <w:b w:val="0"/>
      <w:lang w:val="en-AU"/>
    </w:rPr>
  </w:style>
  <w:style w:type="paragraph" w:customStyle="1" w:styleId="Normalalpha">
    <w:name w:val="Normal alpha"/>
    <w:basedOn w:val="Normal"/>
    <w:rsid w:val="00937E45"/>
    <w:pPr>
      <w:numPr>
        <w:numId w:val="2"/>
      </w:numPr>
      <w:spacing w:after="240"/>
      <w:jc w:val="both"/>
    </w:pPr>
  </w:style>
  <w:style w:type="paragraph" w:customStyle="1" w:styleId="PSHeading3">
    <w:name w:val="PS Heading 3"/>
    <w:basedOn w:val="Normal"/>
    <w:rsid w:val="00937E45"/>
    <w:pPr>
      <w:keepNext/>
      <w:widowControl w:val="0"/>
      <w:spacing w:after="240"/>
      <w:outlineLvl w:val="0"/>
    </w:pPr>
    <w:rPr>
      <w:rFonts w:ascii="Arial" w:hAnsi="Arial"/>
      <w:b/>
      <w:lang w:val="en-US"/>
    </w:rPr>
  </w:style>
  <w:style w:type="paragraph" w:customStyle="1" w:styleId="Heading2Today">
    <w:name w:val="Heading 2 + Today"/>
    <w:aliases w:val="11 pt,Justified,After:  6 pt,Line spacing:  1.5 lines"/>
    <w:basedOn w:val="Heading1"/>
    <w:rsid w:val="00937E45"/>
    <w:pPr>
      <w:numPr>
        <w:ilvl w:val="1"/>
        <w:numId w:val="3"/>
      </w:numPr>
      <w:spacing w:before="0" w:after="120" w:line="360" w:lineRule="auto"/>
      <w:jc w:val="both"/>
    </w:pPr>
    <w:rPr>
      <w:rFonts w:ascii="Today" w:hAnsi="Times New Roman" w:cs="Garamond"/>
      <w:kern w:val="0"/>
      <w:sz w:val="22"/>
      <w:szCs w:val="22"/>
      <w:lang w:val="en-US"/>
    </w:rPr>
  </w:style>
  <w:style w:type="paragraph" w:styleId="BodyText2">
    <w:name w:val="Body Text 2"/>
    <w:basedOn w:val="Normal"/>
    <w:link w:val="BodyText2Char"/>
    <w:uiPriority w:val="99"/>
    <w:rsid w:val="00E52E5F"/>
    <w:pPr>
      <w:spacing w:after="120" w:line="480" w:lineRule="auto"/>
    </w:pPr>
  </w:style>
  <w:style w:type="paragraph" w:styleId="TOC1">
    <w:name w:val="toc 1"/>
    <w:basedOn w:val="Normal"/>
    <w:next w:val="Normal"/>
    <w:autoRedefine/>
    <w:uiPriority w:val="39"/>
    <w:rsid w:val="007F25D5"/>
    <w:pPr>
      <w:tabs>
        <w:tab w:val="right" w:leader="dot" w:pos="8296"/>
      </w:tabs>
      <w:ind w:left="284"/>
    </w:pPr>
  </w:style>
  <w:style w:type="paragraph" w:styleId="TOC2">
    <w:name w:val="toc 2"/>
    <w:basedOn w:val="Normal"/>
    <w:next w:val="Normal"/>
    <w:autoRedefine/>
    <w:uiPriority w:val="39"/>
    <w:rsid w:val="006314A5"/>
    <w:pPr>
      <w:tabs>
        <w:tab w:val="right" w:leader="dot" w:pos="8296"/>
      </w:tabs>
      <w:ind w:left="284"/>
    </w:pPr>
    <w:rPr>
      <w:rFonts w:ascii="Arial" w:hAnsi="Arial" w:cs="Arial"/>
      <w:b/>
      <w:noProof/>
      <w:szCs w:val="24"/>
    </w:rPr>
  </w:style>
  <w:style w:type="character" w:styleId="Hyperlink">
    <w:name w:val="Hyperlink"/>
    <w:basedOn w:val="DefaultParagraphFont"/>
    <w:uiPriority w:val="99"/>
    <w:rsid w:val="0031723F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rsid w:val="00404070"/>
    <w:pPr>
      <w:tabs>
        <w:tab w:val="right" w:leader="dot" w:pos="8296"/>
      </w:tabs>
      <w:ind w:left="284"/>
    </w:pPr>
    <w:rPr>
      <w:rFonts w:ascii="Arial" w:hAnsi="Arial" w:cs="Arial"/>
    </w:rPr>
  </w:style>
  <w:style w:type="character" w:styleId="FollowedHyperlink">
    <w:name w:val="FollowedHyperlink"/>
    <w:basedOn w:val="DefaultParagraphFont"/>
    <w:rsid w:val="00E2349A"/>
    <w:rPr>
      <w:color w:val="800080"/>
      <w:u w:val="single"/>
    </w:rPr>
  </w:style>
  <w:style w:type="paragraph" w:styleId="Revision">
    <w:name w:val="Revision"/>
    <w:hidden/>
    <w:uiPriority w:val="99"/>
    <w:semiHidden/>
    <w:rsid w:val="00660A4E"/>
    <w:rPr>
      <w:rFonts w:eastAsia="Times New Roman"/>
      <w:sz w:val="24"/>
    </w:rPr>
  </w:style>
  <w:style w:type="paragraph" w:styleId="Title">
    <w:name w:val="Title"/>
    <w:basedOn w:val="Normal"/>
    <w:link w:val="TitleChar"/>
    <w:qFormat/>
    <w:rsid w:val="008E353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E3534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ActTitle">
    <w:name w:val="Act Title"/>
    <w:basedOn w:val="Normal"/>
    <w:next w:val="IntroTo"/>
    <w:rsid w:val="008E3534"/>
    <w:pPr>
      <w:pBdr>
        <w:bottom w:val="single" w:sz="4" w:space="3" w:color="auto"/>
      </w:pBdr>
      <w:spacing w:before="480" w:after="240"/>
    </w:pPr>
    <w:rPr>
      <w:rFonts w:ascii="Arial" w:hAnsi="Arial"/>
      <w:i/>
      <w:iCs/>
      <w:sz w:val="28"/>
    </w:rPr>
  </w:style>
  <w:style w:type="paragraph" w:customStyle="1" w:styleId="IntroTo">
    <w:name w:val="IntroTo:"/>
    <w:basedOn w:val="Normal"/>
    <w:rsid w:val="008E3534"/>
    <w:pPr>
      <w:ind w:left="720" w:hanging="720"/>
    </w:pPr>
    <w:rPr>
      <w:lang w:eastAsia="en-US"/>
    </w:rPr>
  </w:style>
  <w:style w:type="paragraph" w:customStyle="1" w:styleId="IP">
    <w:name w:val="IP"/>
    <w:aliases w:val="Interpretation paragraph"/>
    <w:basedOn w:val="Normal"/>
    <w:next w:val="Normal"/>
    <w:rsid w:val="008E3534"/>
    <w:pPr>
      <w:keepNext/>
      <w:tabs>
        <w:tab w:val="right" w:pos="794"/>
      </w:tabs>
      <w:spacing w:before="120" w:line="260" w:lineRule="exact"/>
      <w:ind w:left="964" w:hanging="964"/>
      <w:jc w:val="both"/>
    </w:pPr>
    <w:rPr>
      <w:szCs w:val="24"/>
      <w:lang w:eastAsia="en-US"/>
    </w:rPr>
  </w:style>
  <w:style w:type="paragraph" w:customStyle="1" w:styleId="AS">
    <w:name w:val="AS"/>
    <w:aliases w:val="Schedule title Amendment"/>
    <w:basedOn w:val="Normal"/>
    <w:next w:val="Normal"/>
    <w:rsid w:val="008E3534"/>
    <w:pPr>
      <w:keepNext/>
      <w:autoSpaceDE w:val="0"/>
      <w:autoSpaceDN w:val="0"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character" w:customStyle="1" w:styleId="CharSchNo">
    <w:name w:val="CharSchNo"/>
    <w:basedOn w:val="DefaultParagraphFont"/>
    <w:rsid w:val="008E3534"/>
  </w:style>
  <w:style w:type="paragraph" w:styleId="PlainText">
    <w:name w:val="Plain Text"/>
    <w:basedOn w:val="Normal"/>
    <w:link w:val="PlainTextChar"/>
    <w:uiPriority w:val="99"/>
    <w:semiHidden/>
    <w:unhideWhenUsed/>
    <w:rsid w:val="006B4587"/>
    <w:rPr>
      <w:rFonts w:ascii="Verdana" w:hAnsi="Verdana"/>
      <w:color w:val="000000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587"/>
    <w:rPr>
      <w:rFonts w:ascii="Verdana" w:eastAsia="Times New Roman" w:hAnsi="Verdana"/>
      <w:color w:val="000000"/>
      <w:lang w:eastAsia="en-US"/>
    </w:rPr>
  </w:style>
  <w:style w:type="paragraph" w:styleId="ListParagraph">
    <w:name w:val="List Paragraph"/>
    <w:basedOn w:val="Normal"/>
    <w:uiPriority w:val="34"/>
    <w:qFormat/>
    <w:rsid w:val="006B4587"/>
    <w:pPr>
      <w:ind w:left="72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6B4587"/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B4587"/>
    <w:rPr>
      <w:rFonts w:eastAsia="Times New Roman"/>
      <w:b/>
      <w:sz w:val="24"/>
      <w:lang w:val="en-US"/>
    </w:rPr>
  </w:style>
  <w:style w:type="paragraph" w:customStyle="1" w:styleId="IH">
    <w:name w:val="IH"/>
    <w:aliases w:val="Interpretation heading"/>
    <w:basedOn w:val="Normal"/>
    <w:next w:val="Normal"/>
    <w:rsid w:val="00825146"/>
    <w:pPr>
      <w:keepNext/>
      <w:spacing w:before="480"/>
      <w:ind w:left="964" w:hanging="964"/>
    </w:pPr>
    <w:rPr>
      <w:rFonts w:ascii="Arial" w:hAnsi="Arial"/>
      <w:b/>
      <w:szCs w:val="24"/>
      <w:lang w:eastAsia="en-US"/>
    </w:rPr>
  </w:style>
  <w:style w:type="paragraph" w:customStyle="1" w:styleId="ASref">
    <w:name w:val="AS ref"/>
    <w:basedOn w:val="Normal"/>
    <w:next w:val="Normal"/>
    <w:rsid w:val="00825146"/>
    <w:pPr>
      <w:keepNext/>
      <w:autoSpaceDE w:val="0"/>
      <w:autoSpaceDN w:val="0"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character" w:customStyle="1" w:styleId="CharSchText">
    <w:name w:val="CharSchText"/>
    <w:basedOn w:val="DefaultParagraphFont"/>
    <w:rsid w:val="00825146"/>
  </w:style>
  <w:style w:type="paragraph" w:customStyle="1" w:styleId="Non-numberedchapterheading">
    <w:name w:val="Non-numbered chapter heading"/>
    <w:basedOn w:val="Heading5"/>
    <w:rsid w:val="002D6F97"/>
    <w:pPr>
      <w:keepLines/>
      <w:spacing w:before="120" w:after="120" w:line="288" w:lineRule="auto"/>
      <w:ind w:left="360" w:hanging="360"/>
      <w:contextualSpacing/>
    </w:pPr>
    <w:rPr>
      <w:rFonts w:ascii="Trebuchet MS" w:hAnsi="Trebuchet MS"/>
      <w:sz w:val="24"/>
      <w:szCs w:val="22"/>
      <w:lang w:eastAsia="en-US"/>
    </w:rPr>
  </w:style>
  <w:style w:type="paragraph" w:customStyle="1" w:styleId="Normaltext">
    <w:name w:val="Normal text"/>
    <w:basedOn w:val="BodyText"/>
    <w:rsid w:val="002D6F97"/>
    <w:pPr>
      <w:numPr>
        <w:numId w:val="4"/>
      </w:numPr>
      <w:spacing w:after="240"/>
      <w:jc w:val="both"/>
    </w:pPr>
    <w:rPr>
      <w:b w:val="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F97"/>
    <w:rPr>
      <w:rFonts w:eastAsia="Times New Roman"/>
    </w:rPr>
  </w:style>
  <w:style w:type="numbering" w:customStyle="1" w:styleId="NoList1">
    <w:name w:val="No List1"/>
    <w:next w:val="NoList"/>
    <w:uiPriority w:val="99"/>
    <w:semiHidden/>
    <w:unhideWhenUsed/>
    <w:rsid w:val="00B8673E"/>
  </w:style>
  <w:style w:type="character" w:customStyle="1" w:styleId="HeadingChar">
    <w:name w:val="Heading Char"/>
    <w:basedOn w:val="DefaultParagraphFont"/>
    <w:link w:val="Heading"/>
    <w:rsid w:val="00B8673E"/>
    <w:rPr>
      <w:rFonts w:eastAsia="Times New Roman" w:cs="Arial"/>
      <w:b/>
      <w:kern w:val="32"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673E"/>
    <w:rPr>
      <w:rFonts w:ascii="Arial" w:eastAsia="Times New Roman" w:hAnsi="Arial" w:cs="Arial"/>
      <w:b/>
      <w:bCs/>
      <w:sz w:val="26"/>
      <w:szCs w:val="26"/>
    </w:rPr>
  </w:style>
  <w:style w:type="paragraph" w:customStyle="1" w:styleId="DefinitionTerm">
    <w:name w:val="Definition Term"/>
    <w:basedOn w:val="Normal"/>
    <w:next w:val="Normal"/>
    <w:rsid w:val="00B8673E"/>
    <w:rPr>
      <w:snapToGrid w:val="0"/>
      <w:lang w:eastAsia="en-US"/>
    </w:rPr>
  </w:style>
  <w:style w:type="paragraph" w:customStyle="1" w:styleId="definition">
    <w:name w:val="definition"/>
    <w:basedOn w:val="Normal"/>
    <w:rsid w:val="00B8673E"/>
    <w:pPr>
      <w:spacing w:before="80" w:line="260" w:lineRule="exact"/>
      <w:jc w:val="both"/>
    </w:pPr>
    <w:rPr>
      <w:szCs w:val="24"/>
      <w:lang w:eastAsia="en-US"/>
    </w:rPr>
  </w:style>
  <w:style w:type="paragraph" w:customStyle="1" w:styleId="Default">
    <w:name w:val="Default"/>
    <w:rsid w:val="00B8673E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CharCharCharCharCharChar">
    <w:name w:val="Char Char Char Char Char Char"/>
    <w:basedOn w:val="Normal"/>
    <w:rsid w:val="00B8673E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8673E"/>
    <w:rPr>
      <w:rFonts w:eastAsia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8673E"/>
    <w:rPr>
      <w:rFonts w:eastAsia="Times New Roman"/>
      <w:sz w:val="24"/>
    </w:rPr>
  </w:style>
  <w:style w:type="paragraph" w:customStyle="1" w:styleId="HeadingAA">
    <w:name w:val="Heading AA"/>
    <w:basedOn w:val="Normal"/>
    <w:link w:val="HeadingAAChar"/>
    <w:qFormat/>
    <w:rsid w:val="00B8673E"/>
    <w:pPr>
      <w:keepNext/>
      <w:spacing w:before="120" w:after="240"/>
      <w:jc w:val="both"/>
    </w:pPr>
    <w:rPr>
      <w:rFonts w:ascii="Arial" w:hAnsi="Arial" w:cs="Arial"/>
      <w:b/>
      <w:szCs w:val="24"/>
    </w:rPr>
  </w:style>
  <w:style w:type="character" w:customStyle="1" w:styleId="HeadingAAChar">
    <w:name w:val="Heading AA Char"/>
    <w:basedOn w:val="DefaultParagraphFont"/>
    <w:link w:val="HeadingAA"/>
    <w:rsid w:val="00B8673E"/>
    <w:rPr>
      <w:rFonts w:ascii="Arial" w:eastAsia="Times New Roman" w:hAnsi="Arial" w:cs="Arial"/>
      <w:b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8673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73E"/>
    <w:rPr>
      <w:rFonts w:eastAsia="Times New Roman"/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73E"/>
    <w:rPr>
      <w:rFonts w:ascii="Tahoma" w:eastAsia="Times New Roman" w:hAnsi="Tahom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sid w:val="00B8673E"/>
    <w:rPr>
      <w:rFonts w:eastAsia="Times New Roman"/>
      <w:sz w:val="24"/>
    </w:rPr>
  </w:style>
  <w:style w:type="numbering" w:customStyle="1" w:styleId="NoList11">
    <w:name w:val="No List11"/>
    <w:next w:val="NoList"/>
    <w:uiPriority w:val="99"/>
    <w:semiHidden/>
    <w:unhideWhenUsed/>
    <w:rsid w:val="00B8673E"/>
  </w:style>
  <w:style w:type="numbering" w:customStyle="1" w:styleId="NoList2">
    <w:name w:val="No List2"/>
    <w:next w:val="NoList"/>
    <w:uiPriority w:val="99"/>
    <w:semiHidden/>
    <w:unhideWhenUsed/>
    <w:rsid w:val="00B8673E"/>
  </w:style>
  <w:style w:type="paragraph" w:customStyle="1" w:styleId="Style3">
    <w:name w:val="Style3"/>
    <w:basedOn w:val="Normal"/>
    <w:link w:val="Style3Char"/>
    <w:qFormat/>
    <w:rsid w:val="00873C05"/>
    <w:pPr>
      <w:numPr>
        <w:numId w:val="7"/>
      </w:numPr>
      <w:spacing w:after="240"/>
      <w:ind w:left="1134" w:hanging="567"/>
    </w:pPr>
    <w:rPr>
      <w:szCs w:val="24"/>
    </w:rPr>
  </w:style>
  <w:style w:type="paragraph" w:customStyle="1" w:styleId="Style4">
    <w:name w:val="Style4"/>
    <w:basedOn w:val="Style3"/>
    <w:qFormat/>
    <w:rsid w:val="00873C05"/>
    <w:pPr>
      <w:numPr>
        <w:ilvl w:val="1"/>
      </w:numPr>
      <w:tabs>
        <w:tab w:val="num" w:pos="1440"/>
      </w:tabs>
      <w:ind w:left="1701" w:hanging="567"/>
    </w:pPr>
  </w:style>
  <w:style w:type="character" w:customStyle="1" w:styleId="Style3Char">
    <w:name w:val="Style3 Char"/>
    <w:link w:val="Style3"/>
    <w:rsid w:val="00873C05"/>
    <w:rPr>
      <w:rFonts w:eastAsia="Times New Roman"/>
      <w:sz w:val="24"/>
      <w:szCs w:val="24"/>
    </w:rPr>
  </w:style>
  <w:style w:type="numbering" w:customStyle="1" w:styleId="D2Aformnumbering">
    <w:name w:val="D2A form numbering"/>
    <w:uiPriority w:val="99"/>
    <w:rsid w:val="007823C6"/>
    <w:pPr>
      <w:numPr>
        <w:numId w:val="9"/>
      </w:numPr>
    </w:pPr>
  </w:style>
  <w:style w:type="character" w:customStyle="1" w:styleId="normaltextrun">
    <w:name w:val="normaltextrun"/>
    <w:basedOn w:val="DefaultParagraphFont"/>
    <w:rsid w:val="00963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163DB4DEE504FAB457909715FEC45" ma:contentTypeVersion="18" ma:contentTypeDescription="Create a new document." ma:contentTypeScope="" ma:versionID="fb7ce1f03ce4c1fabd0381438dd73fd7">
  <xsd:schema xmlns:xsd="http://www.w3.org/2001/XMLSchema" xmlns:xs="http://www.w3.org/2001/XMLSchema" xmlns:p="http://schemas.microsoft.com/office/2006/metadata/properties" xmlns:ns1="http://schemas.microsoft.com/sharepoint/v3" xmlns:ns2="92a8a7e8-49a1-4017-acf0-0edc7cce208b" xmlns:ns3="f4148c6b-f494-43bd-afec-4c4bbfd3890b" targetNamespace="http://schemas.microsoft.com/office/2006/metadata/properties" ma:root="true" ma:fieldsID="86ecc07fea6d9d8a7e9d30e0fae43028" ns1:_="" ns2:_="" ns3:_="">
    <xsd:import namespace="http://schemas.microsoft.com/sharepoint/v3"/>
    <xsd:import namespace="92a8a7e8-49a1-4017-acf0-0edc7cce208b"/>
    <xsd:import namespace="f4148c6b-f494-43bd-afec-4c4bbfd3890b"/>
    <xsd:element name="properties">
      <xsd:complexType>
        <xsd:sequence>
          <xsd:element name="documentManagement">
            <xsd:complexType>
              <xsd:all>
                <xsd:element ref="ns2:i05115a133414b4dabee2531e4b46b67" minOccurs="0"/>
                <xsd:element ref="ns2:TaxCatchAll" minOccurs="0"/>
                <xsd:element ref="ns2:h67caa35a4114acd8e15fe89b3f29f9e" minOccurs="0"/>
                <xsd:element ref="ns2:k4bcc0d734474fea9fb713d9c415b4b0" minOccurs="0"/>
                <xsd:element ref="ns2:l003ee8eff60461aa1bd0027aba92ea4" minOccurs="0"/>
                <xsd:element ref="ns2:b37d8d7e823543f58f89056343a9035c" minOccurs="0"/>
                <xsd:element ref="ns2:j163382b748246d3b6e7caae71dbeeb0" minOccurs="0"/>
                <xsd:element ref="ns1:_ExtendedDescription" minOccurs="0"/>
                <xsd:element ref="ns2:APRASecurityClassifica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7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a7e8-49a1-4017-acf0-0edc7cce208b" elementFormDefault="qualified">
    <xsd:import namespace="http://schemas.microsoft.com/office/2006/documentManagement/types"/>
    <xsd:import namespace="http://schemas.microsoft.com/office/infopath/2007/PartnerControls"/>
    <xsd:element name="i05115a133414b4dabee2531e4b46b67" ma:index="8" nillable="true" ma:taxonomy="true" ma:internalName="i05115a133414b4dabee2531e4b46b67" ma:taxonomyFieldName="APRAActivity" ma:displayName="Activity" ma:readOnly="false" ma:fieldId="{205115a1-3341-4b4d-abee-2531e4b46b67}" ma:taxonomyMulti="true" ma:sspId="4ff776a0-f2ac-455d-9889-a581410000f1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70a7764-7edc-438b-b2cf-51576a8fe6f7}" ma:internalName="TaxCatchAll" ma:showField="CatchAllData" ma:web="92a8a7e8-49a1-4017-acf0-0edc7cce2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7caa35a4114acd8e15fe89b3f29f9e" ma:index="10" nillable="true" ma:taxonomy="true" ma:internalName="h67caa35a4114acd8e15fe89b3f29f9e" ma:taxonomyFieldName="APRADocumentType" ma:displayName="Document type" ma:readOnly="false" ma:fieldId="{167caa35-a411-4acd-8e15-fe89b3f29f9e}" ma:taxonomyMulti="true" ma:sspId="4ff776a0-f2ac-455d-9889-a581410000f1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11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4ff776a0-f2ac-455d-9889-a581410000f1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12" nillable="true" ma:taxonomy="true" ma:internalName="l003ee8eff60461aa1bd0027aba92ea4" ma:taxonomyFieldName="APRAIndustry" ma:displayName="Industry/Sector" ma:readOnly="false" ma:fieldId="{5003ee8e-ff60-461a-a1bd-0027aba92ea4}" ma:taxonomyMulti="true" ma:sspId="4ff776a0-f2ac-455d-9889-a581410000f1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13" nillable="true" ma:taxonomy="true" ma:internalName="b37d8d7e823543f58f89056343a9035c" ma:taxonomyFieldName="APRALegislation" ma:displayName="Legislation" ma:readOnly="false" ma:fieldId="{b37d8d7e-8235-43f5-8f89-056343a9035c}" ma:taxonomyMulti="true" ma:sspId="4ff776a0-f2ac-455d-9889-a581410000f1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63382b748246d3b6e7caae71dbeeb0" ma:index="14" ma:taxonomy="true" ma:internalName="j163382b748246d3b6e7caae71dbeeb0" ma:taxonomyFieldName="APRAStatus" ma:displayName="Status" ma:readOnly="false" ma:default="1;#Draft|0e1556d2-3fe8-443a-ada7-3620563b46b3" ma:fieldId="{3163382b-7482-46d3-b6e7-caae71dbeeb0}" ma:sspId="4ff776a0-f2ac-455d-9889-a581410000f1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SecurityClassification" ma:index="21" nillable="true" ma:displayName="Security classification" ma:default="OFFICIAL: Sensitive" ma:format="Dropdown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OFFICIAL: Sensitive: NATIONAL CABINET"/>
          <xsd:enumeration value="OFFICIAL: Sensitive: NATIONAL CABINET (APRA Act s56)"/>
          <xsd:enumeration value="OFFICIAL: Sensitive: NATIONAL CABINET (Personal privacy)"/>
          <xsd:enumeration value="OFFICIAL: Sensitive: NATIONAL CABINET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PROTECTED: NATIONAL CABINET"/>
          <xsd:enumeration value="PROTECTED: NATIONAL CABINET (APRA Act s56)"/>
          <xsd:enumeration value="PROTECTED: NATIONAL CABINET (Personal privacy)"/>
          <xsd:enumeration value="PROTECTED: NATIONAL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48c6b-f494-43bd-afec-4c4bbfd38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8a7e8-49a1-4017-acf0-0edc7cce208b">
      <Value>1</Value>
    </TaxCatchAll>
    <APRASecurityClassification xmlns="92a8a7e8-49a1-4017-acf0-0edc7cce208b">OFFICIAL: Sensitive</APRASecurityClassification>
    <k4bcc0d734474fea9fb713d9c415b4b0 xmlns="92a8a7e8-49a1-4017-acf0-0edc7cce208b">
      <Terms xmlns="http://schemas.microsoft.com/office/infopath/2007/PartnerControls"/>
    </k4bcc0d734474fea9fb713d9c415b4b0>
    <i05115a133414b4dabee2531e4b46b67 xmlns="92a8a7e8-49a1-4017-acf0-0edc7cce208b">
      <Terms xmlns="http://schemas.microsoft.com/office/infopath/2007/PartnerControls"/>
    </i05115a133414b4dabee2531e4b46b67>
    <h67caa35a4114acd8e15fe89b3f29f9e xmlns="92a8a7e8-49a1-4017-acf0-0edc7cce208b">
      <Terms xmlns="http://schemas.microsoft.com/office/infopath/2007/PartnerControls"/>
    </h67caa35a4114acd8e15fe89b3f29f9e>
    <l003ee8eff60461aa1bd0027aba92ea4 xmlns="92a8a7e8-49a1-4017-acf0-0edc7cce208b">
      <Terms xmlns="http://schemas.microsoft.com/office/infopath/2007/PartnerControls"/>
    </l003ee8eff60461aa1bd0027aba92ea4>
    <_ExtendedDescription xmlns="http://schemas.microsoft.com/sharepoint/v3" xsi:nil="true"/>
    <j163382b748246d3b6e7caae71dbeeb0 xmlns="92a8a7e8-49a1-4017-acf0-0edc7cce2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0e1556d2-3fe8-443a-ada7-3620563b46b3</TermId>
        </TermInfo>
      </Terms>
    </j163382b748246d3b6e7caae71dbeeb0>
    <b37d8d7e823543f58f89056343a9035c xmlns="92a8a7e8-49a1-4017-acf0-0edc7cce208b">
      <Terms xmlns="http://schemas.microsoft.com/office/infopath/2007/PartnerControls"/>
    </b37d8d7e823543f58f89056343a9035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5B76E-62B6-4BB1-BC5E-156CC5DFA8D8}"/>
</file>

<file path=customXml/itemProps2.xml><?xml version="1.0" encoding="utf-8"?>
<ds:datastoreItem xmlns:ds="http://schemas.openxmlformats.org/officeDocument/2006/customXml" ds:itemID="{C209453F-B63A-479B-9D28-3DE4B76BB2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C270ED-745F-46C6-B767-CE68CA295B8A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19950b9c-69ba-4c9a-93bc-55ff189ad0aa"/>
    <ds:schemaRef ds:uri="95c2d1d2-c827-46ba-beaf-02b545c4f6c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366A5F-B5C6-4A03-898B-09CE4C2304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APRA</Company>
  <LinksUpToDate>false</LinksUpToDate>
  <CharactersWithSpaces>12498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Say, Tiffany</dc:creator>
  <cp:keywords>[SEC=OFFICIAL]</cp:keywords>
  <cp:lastModifiedBy>Toni Michalis</cp:lastModifiedBy>
  <cp:revision>2</cp:revision>
  <cp:lastPrinted>2025-08-26T04:14:00Z</cp:lastPrinted>
  <dcterms:created xsi:type="dcterms:W3CDTF">2025-09-15T07:48:00Z</dcterms:created>
  <dcterms:modified xsi:type="dcterms:W3CDTF">2025-09-15T07:48:00Z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MSIP_Label_c0129afb-6481-4f92-bc9f-5a4a6346364d_Name">
    <vt:lpwstr>OFFICIAL</vt:lpwstr>
  </property>
  <property fmtid="{D5CDD505-2E9C-101B-9397-08002B2CF9AE}" pid="6" name="PM_Note">
    <vt:lpwstr/>
  </property>
  <property fmtid="{D5CDD505-2E9C-101B-9397-08002B2CF9AE}" pid="7" name="PM_Qualifier">
    <vt:lpwstr/>
  </property>
  <property fmtid="{D5CDD505-2E9C-101B-9397-08002B2CF9AE}" pid="8" name="MSIP_Label_c0129afb-6481-4f92-bc9f-5a4a6346364d_Method">
    <vt:lpwstr>Privileged</vt:lpwstr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2024-10-17T01:39:34Z</vt:lpwstr>
  </property>
  <property fmtid="{D5CDD505-2E9C-101B-9397-08002B2CF9AE}" pid="12" name="PM_Markers">
    <vt:lpwstr/>
  </property>
  <property fmtid="{D5CDD505-2E9C-101B-9397-08002B2CF9AE}" pid="13" name="MSIP_Label_c0129afb-6481-4f92-bc9f-5a4a6346364d_SiteId">
    <vt:lpwstr>c05e3ffd-b491-4431-9809-e61d4dc78816</vt:lpwstr>
  </property>
  <property fmtid="{D5CDD505-2E9C-101B-9397-08002B2CF9AE}" pid="14" name="MSIP_Label_c0129afb-6481-4f92-bc9f-5a4a6346364d_ContentBits">
    <vt:lpwstr>0</vt:lpwstr>
  </property>
  <property fmtid="{D5CDD505-2E9C-101B-9397-08002B2CF9AE}" pid="15" name="MSIP_Label_c0129afb-6481-4f92-bc9f-5a4a6346364d_Enabled">
    <vt:lpwstr>true</vt:lpwstr>
  </property>
  <property fmtid="{D5CDD505-2E9C-101B-9397-08002B2CF9AE}" pid="16" name="MSIP_Label_c0129afb-6481-4f92-bc9f-5a4a6346364d_SetDate">
    <vt:lpwstr>2024-10-17T01:39:34Z</vt:lpwstr>
  </property>
  <property fmtid="{D5CDD505-2E9C-101B-9397-08002B2CF9AE}" pid="17" name="PM_InsertionValue">
    <vt:lpwstr>OFFICIAL</vt:lpwstr>
  </property>
  <property fmtid="{D5CDD505-2E9C-101B-9397-08002B2CF9AE}" pid="18" name="PM_Originator_Hash_SHA1">
    <vt:lpwstr>A4C48F2732A24ECDAB53237BC7962ADA27E887E5</vt:lpwstr>
  </property>
  <property fmtid="{D5CDD505-2E9C-101B-9397-08002B2CF9AE}" pid="19" name="PM_DisplayValueSecClassificationWithQualifier">
    <vt:lpwstr>OFFICIAL</vt:lpwstr>
  </property>
  <property fmtid="{D5CDD505-2E9C-101B-9397-08002B2CF9AE}" pid="20" name="PM_Originating_FileId">
    <vt:lpwstr>2BED40DCE71140179695787CAE905F2D</vt:lpwstr>
  </property>
  <property fmtid="{D5CDD505-2E9C-101B-9397-08002B2CF9AE}" pid="21" name="PM_ProtectiveMarkingValue_Footer">
    <vt:lpwstr>OFFICIAL</vt:lpwstr>
  </property>
  <property fmtid="{D5CDD505-2E9C-101B-9397-08002B2CF9AE}" pid="22" name="PM_ProtectiveMarkingImage_Header">
    <vt:lpwstr>C:\Program Files\Common Files\janusNET Shared\janusSEAL\Images\DocumentSlashBlue.png</vt:lpwstr>
  </property>
  <property fmtid="{D5CDD505-2E9C-101B-9397-08002B2CF9AE}" pid="23" name="PM_ProtectiveMarkingImage_Footer">
    <vt:lpwstr>C:\Program Files\Common Files\janusNET Shared\janusSEAL\Images\DocumentSlashBlue.png</vt:lpwstr>
  </property>
  <property fmtid="{D5CDD505-2E9C-101B-9397-08002B2CF9AE}" pid="24" name="PM_Display">
    <vt:lpwstr>OFFICIAL</vt:lpwstr>
  </property>
  <property fmtid="{D5CDD505-2E9C-101B-9397-08002B2CF9AE}" pid="25" name="PM_OriginatorUserAccountName_SHA256">
    <vt:lpwstr>F63FBF26BB7FDA6B84593F014E36AB89DAD157BFC5015F0AB0202FB645E12281</vt:lpwstr>
  </property>
  <property fmtid="{D5CDD505-2E9C-101B-9397-08002B2CF9AE}" pid="26" name="PM_OriginatorDomainName_SHA256">
    <vt:lpwstr>ECBDE2B44A971754412B3FB70606937A119CC0D4B6C1B658A40FBD41C30BE3EC</vt:lpwstr>
  </property>
  <property fmtid="{D5CDD505-2E9C-101B-9397-08002B2CF9AE}" pid="27" name="PMUuid">
    <vt:lpwstr>v=2022.2;d=gov.au;g=46DD6D7C-8107-577B-BC6E-F348953B2E44</vt:lpwstr>
  </property>
  <property fmtid="{D5CDD505-2E9C-101B-9397-08002B2CF9AE}" pid="28" name="PM_Hash_Version">
    <vt:lpwstr>2022.1</vt:lpwstr>
  </property>
  <property fmtid="{D5CDD505-2E9C-101B-9397-08002B2CF9AE}" pid="29" name="ContentTypeId">
    <vt:lpwstr>0x01010080D163DB4DEE504FAB457909715FEC45</vt:lpwstr>
  </property>
  <property fmtid="{D5CDD505-2E9C-101B-9397-08002B2CF9AE}" pid="30" name="MediaServiceImageTags">
    <vt:lpwstr/>
  </property>
  <property fmtid="{D5CDD505-2E9C-101B-9397-08002B2CF9AE}" pid="31" name="PM_SecurityClassification_Prev">
    <vt:lpwstr>OFFICIAL</vt:lpwstr>
  </property>
  <property fmtid="{D5CDD505-2E9C-101B-9397-08002B2CF9AE}" pid="32" name="PM_Qualifier_Prev">
    <vt:lpwstr/>
  </property>
  <property fmtid="{D5CDD505-2E9C-101B-9397-08002B2CF9AE}" pid="33" name="PMHMAC">
    <vt:lpwstr>v=2022.1;a=SHA256;h=9E797D124F76511A246C81E5BF91B28706A52182AD35F375CA76640EE2096631</vt:lpwstr>
  </property>
  <property fmtid="{D5CDD505-2E9C-101B-9397-08002B2CF9AE}" pid="34" name="PM_Hash_Salt_Prev">
    <vt:lpwstr>7C73890CE947959686D67FD94FC54C14</vt:lpwstr>
  </property>
  <property fmtid="{D5CDD505-2E9C-101B-9397-08002B2CF9AE}" pid="35" name="MSIP_Label_c0129afb-6481-4f92-bc9f-5a4a6346364d_ActionId">
    <vt:lpwstr>6ffe37f15f8643849dbdb11eddffac63</vt:lpwstr>
  </property>
  <property fmtid="{D5CDD505-2E9C-101B-9397-08002B2CF9AE}" pid="36" name="PM_Hash_Salt">
    <vt:lpwstr>009771C1F7183D99940F3FE5E2305FA0</vt:lpwstr>
  </property>
  <property fmtid="{D5CDD505-2E9C-101B-9397-08002B2CF9AE}" pid="37" name="PM_Hash_SHA1">
    <vt:lpwstr>BC2F5BBF6473D4DB45BD14E2594AA0FF42ADD9E2</vt:lpwstr>
  </property>
  <property fmtid="{D5CDD505-2E9C-101B-9397-08002B2CF9AE}" pid="38" name="docLang">
    <vt:lpwstr>en</vt:lpwstr>
  </property>
  <property fmtid="{D5CDD505-2E9C-101B-9397-08002B2CF9AE}" pid="39" name="APRADocumentType">
    <vt:lpwstr/>
  </property>
  <property fmtid="{D5CDD505-2E9C-101B-9397-08002B2CF9AE}" pid="40" name="APRAActivity">
    <vt:lpwstr/>
  </property>
  <property fmtid="{D5CDD505-2E9C-101B-9397-08002B2CF9AE}" pid="41" name="APRALegislation">
    <vt:lpwstr/>
  </property>
  <property fmtid="{D5CDD505-2E9C-101B-9397-08002B2CF9AE}" pid="42" name="APRAStatus">
    <vt:lpwstr>1;#Draft|0e1556d2-3fe8-443a-ada7-3620563b46b3</vt:lpwstr>
  </property>
  <property fmtid="{D5CDD505-2E9C-101B-9397-08002B2CF9AE}" pid="43" name="APRAEntityAdviceSupport">
    <vt:lpwstr/>
  </property>
  <property fmtid="{D5CDD505-2E9C-101B-9397-08002B2CF9AE}" pid="44" name="APRAIndustry">
    <vt:lpwstr/>
  </property>
</Properties>
</file>