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D11F" w14:textId="77777777" w:rsidR="00FA6784" w:rsidRPr="00573367" w:rsidRDefault="00FA6784" w:rsidP="00FA6784">
      <w:pPr>
        <w:pStyle w:val="H3"/>
        <w:jc w:val="center"/>
        <w:rPr>
          <w:sz w:val="24"/>
          <w:szCs w:val="24"/>
        </w:rPr>
      </w:pPr>
      <w:r w:rsidRPr="00573367">
        <w:rPr>
          <w:sz w:val="24"/>
          <w:szCs w:val="24"/>
        </w:rPr>
        <w:t>EXPLANATORY STATEMENT</w:t>
      </w:r>
    </w:p>
    <w:p w14:paraId="5BE83832" w14:textId="77777777" w:rsidR="00C23B22" w:rsidRPr="00573367" w:rsidRDefault="00C23B22" w:rsidP="00F57F44">
      <w:pPr>
        <w:rPr>
          <w:sz w:val="20"/>
        </w:rPr>
      </w:pPr>
    </w:p>
    <w:p w14:paraId="76C0AB94" w14:textId="77777777" w:rsidR="00C23B22" w:rsidRPr="00573367" w:rsidRDefault="00C23B22" w:rsidP="00C23B22">
      <w:pPr>
        <w:jc w:val="center"/>
        <w:rPr>
          <w:i/>
          <w:iCs/>
        </w:rPr>
      </w:pPr>
      <w:r w:rsidRPr="00573367">
        <w:rPr>
          <w:i/>
          <w:iCs/>
        </w:rPr>
        <w:t>Health Insurance Act 1973</w:t>
      </w:r>
    </w:p>
    <w:p w14:paraId="58834FAA" w14:textId="3584F477" w:rsidR="00C23B22" w:rsidRPr="00573367" w:rsidRDefault="00C23B22" w:rsidP="6270D379"/>
    <w:p w14:paraId="4094132F" w14:textId="661A764F" w:rsidR="76A989BF" w:rsidRPr="00573367" w:rsidRDefault="00F57F44" w:rsidP="6270D379">
      <w:pPr>
        <w:ind w:right="84"/>
        <w:jc w:val="center"/>
      </w:pPr>
      <w:r w:rsidRPr="00573367">
        <w:rPr>
          <w:i/>
          <w:iCs/>
        </w:rPr>
        <w:t>Health Insurance Legislati</w:t>
      </w:r>
      <w:r w:rsidR="008A3683" w:rsidRPr="00573367">
        <w:rPr>
          <w:i/>
          <w:iCs/>
        </w:rPr>
        <w:t>on</w:t>
      </w:r>
      <w:r w:rsidRPr="00573367">
        <w:rPr>
          <w:i/>
          <w:iCs/>
        </w:rPr>
        <w:t xml:space="preserve"> Amendment (2025 Measures No. 4) Determination 2025</w:t>
      </w:r>
    </w:p>
    <w:p w14:paraId="0BB0D788" w14:textId="76871F34" w:rsidR="6270D379" w:rsidRPr="00573367" w:rsidRDefault="6270D379" w:rsidP="6270D379">
      <w:pPr>
        <w:tabs>
          <w:tab w:val="left" w:pos="1008"/>
          <w:tab w:val="left" w:pos="2160"/>
          <w:tab w:val="left" w:pos="3312"/>
          <w:tab w:val="left" w:pos="4464"/>
          <w:tab w:val="left" w:pos="5616"/>
          <w:tab w:val="left" w:pos="6768"/>
          <w:tab w:val="left" w:pos="7920"/>
          <w:tab w:val="left" w:pos="9072"/>
          <w:tab w:val="right" w:pos="9504"/>
        </w:tabs>
        <w:spacing w:line="279" w:lineRule="exact"/>
      </w:pPr>
    </w:p>
    <w:p w14:paraId="1A492DA3" w14:textId="23FE51C9" w:rsidR="00C23B22" w:rsidRPr="00573367"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573367">
        <w:rPr>
          <w:shd w:val="clear" w:color="auto" w:fill="FFFFFF"/>
        </w:rPr>
        <w:t>Subsection 3</w:t>
      </w:r>
      <w:proofErr w:type="gramStart"/>
      <w:r w:rsidRPr="00573367">
        <w:rPr>
          <w:shd w:val="clear" w:color="auto" w:fill="FFFFFF"/>
        </w:rPr>
        <w:t>C(</w:t>
      </w:r>
      <w:proofErr w:type="gramEnd"/>
      <w:r w:rsidRPr="00573367">
        <w:rPr>
          <w:shd w:val="clear" w:color="auto" w:fill="FFFFFF"/>
        </w:rPr>
        <w:t xml:space="preserve">1) of the </w:t>
      </w:r>
      <w:r w:rsidRPr="00573367">
        <w:rPr>
          <w:i/>
          <w:shd w:val="clear" w:color="auto" w:fill="FFFFFF"/>
        </w:rPr>
        <w:t xml:space="preserve">Health Insurance Act </w:t>
      </w:r>
      <w:r w:rsidRPr="00573367">
        <w:rPr>
          <w:i/>
          <w:color w:val="000000"/>
          <w:shd w:val="clear" w:color="auto" w:fill="FFFFFF"/>
        </w:rPr>
        <w:t>1973</w:t>
      </w:r>
      <w:r w:rsidRPr="00573367">
        <w:rPr>
          <w:color w:val="000000"/>
          <w:shd w:val="clear" w:color="auto" w:fill="FFFFFF"/>
        </w:rPr>
        <w:t xml:space="preserve"> (the Act) provides that the Minister may, by legislative instrument, determine that a health service not specified in an item in the </w:t>
      </w:r>
      <w:r w:rsidR="00F57F44" w:rsidRPr="00573367">
        <w:rPr>
          <w:color w:val="000000"/>
          <w:shd w:val="clear" w:color="auto" w:fill="FFFFFF"/>
        </w:rPr>
        <w:t>general medical</w:t>
      </w:r>
      <w:r w:rsidRPr="00573367">
        <w:rPr>
          <w:color w:val="000000"/>
          <w:shd w:val="clear" w:color="auto" w:fill="FFFFFF"/>
        </w:rPr>
        <w:t xml:space="preserve"> services table (the </w:t>
      </w:r>
      <w:r w:rsidR="00734E13" w:rsidRPr="00573367">
        <w:rPr>
          <w:color w:val="000000"/>
          <w:shd w:val="clear" w:color="auto" w:fill="FFFFFF"/>
        </w:rPr>
        <w:t>GMST</w:t>
      </w:r>
      <w:r w:rsidRPr="00573367">
        <w:rPr>
          <w:color w:val="000000"/>
          <w:shd w:val="clear" w:color="auto" w:fill="FFFFFF"/>
        </w:rPr>
        <w:t xml:space="preserve">) shall, in specified circumstances and for specified statutory provisions, be treated as if it were specified in the </w:t>
      </w:r>
      <w:r w:rsidR="00305A6B" w:rsidRPr="00573367">
        <w:rPr>
          <w:color w:val="000000"/>
          <w:shd w:val="clear" w:color="auto" w:fill="FFFFFF"/>
        </w:rPr>
        <w:t>GMST</w:t>
      </w:r>
      <w:r w:rsidRPr="00573367">
        <w:rPr>
          <w:color w:val="000000"/>
          <w:shd w:val="clear" w:color="auto" w:fill="FFFFFF"/>
        </w:rPr>
        <w:t>.</w:t>
      </w:r>
    </w:p>
    <w:p w14:paraId="046886A8" w14:textId="77777777" w:rsidR="00C23B22" w:rsidRPr="00573367"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35854EF" w14:textId="4C20D271" w:rsidR="00C23B22" w:rsidRPr="00573367" w:rsidRDefault="00F57F44"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573367">
        <w:t xml:space="preserve">The </w:t>
      </w:r>
      <w:r w:rsidR="00305A6B" w:rsidRPr="00573367">
        <w:t xml:space="preserve">GMST </w:t>
      </w:r>
      <w:r w:rsidRPr="00573367">
        <w:t xml:space="preserve">is set out in the regulations made under 4(1) of the Act. The most recent version of the </w:t>
      </w:r>
      <w:r w:rsidR="00305A6B" w:rsidRPr="00573367">
        <w:t xml:space="preserve">GMST </w:t>
      </w:r>
      <w:r w:rsidRPr="00573367">
        <w:t>is</w:t>
      </w:r>
      <w:r w:rsidR="00305A6B" w:rsidRPr="00573367">
        <w:t xml:space="preserve"> set out in</w:t>
      </w:r>
      <w:r w:rsidRPr="00573367">
        <w:t xml:space="preserve"> the </w:t>
      </w:r>
      <w:r w:rsidRPr="00573367">
        <w:rPr>
          <w:i/>
          <w:iCs/>
        </w:rPr>
        <w:t>Health Insurance (General Medical Services Table) Regulations 2021</w:t>
      </w:r>
      <w:r w:rsidRPr="00573367">
        <w:t>.</w:t>
      </w:r>
    </w:p>
    <w:p w14:paraId="5C956DE5" w14:textId="77777777" w:rsidR="00F57F44" w:rsidRPr="00573367" w:rsidRDefault="00F57F44"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EBF1722" w14:textId="56FE4585" w:rsidR="00C23B22" w:rsidRPr="00573367"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573367">
        <w:t xml:space="preserve">This instrument </w:t>
      </w:r>
      <w:r w:rsidR="00305A6B" w:rsidRPr="00573367">
        <w:t>is made under</w:t>
      </w:r>
      <w:r w:rsidRPr="00573367">
        <w:t xml:space="preserve"> subsection 33(3) of the </w:t>
      </w:r>
      <w:r w:rsidRPr="00573367">
        <w:rPr>
          <w:i/>
        </w:rPr>
        <w:t>Acts Interpretation Act 1901</w:t>
      </w:r>
      <w:r w:rsidRPr="00573367">
        <w:t xml:space="preserve"> (AIA)</w:t>
      </w:r>
      <w:r w:rsidR="00305A6B" w:rsidRPr="00573367">
        <w:t xml:space="preserve">, which </w:t>
      </w:r>
      <w:r w:rsidRPr="00573367">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573367" w:rsidRDefault="008C5F1C" w:rsidP="00D33180">
      <w:pPr>
        <w:autoSpaceDE w:val="0"/>
        <w:autoSpaceDN w:val="0"/>
        <w:adjustRightInd w:val="0"/>
        <w:ind w:right="-483"/>
        <w:rPr>
          <w:szCs w:val="24"/>
        </w:rPr>
      </w:pPr>
    </w:p>
    <w:p w14:paraId="2412D12A" w14:textId="77777777" w:rsidR="00BB00BA" w:rsidRPr="00573367" w:rsidRDefault="00A1739A" w:rsidP="00BB00BA">
      <w:pPr>
        <w:rPr>
          <w:b/>
          <w:szCs w:val="24"/>
          <w:lang w:val="en-US" w:eastAsia="en-US"/>
        </w:rPr>
      </w:pPr>
      <w:r w:rsidRPr="00573367">
        <w:rPr>
          <w:b/>
          <w:szCs w:val="24"/>
          <w:lang w:val="en-US" w:eastAsia="en-US"/>
        </w:rPr>
        <w:t>Purpose</w:t>
      </w:r>
    </w:p>
    <w:p w14:paraId="0235793D" w14:textId="6327A19B" w:rsidR="004B3D57" w:rsidRPr="00573367" w:rsidRDefault="00F57F44" w:rsidP="00F57F44">
      <w:pPr>
        <w:shd w:val="clear" w:color="auto" w:fill="FFFFFF"/>
      </w:pPr>
      <w:r w:rsidRPr="00573367">
        <w:t>The purpose of the </w:t>
      </w:r>
      <w:r w:rsidRPr="00573367">
        <w:rPr>
          <w:i/>
          <w:iCs/>
        </w:rPr>
        <w:t>Health Insurance Legislati</w:t>
      </w:r>
      <w:r w:rsidR="008A3683" w:rsidRPr="00573367">
        <w:rPr>
          <w:i/>
          <w:iCs/>
        </w:rPr>
        <w:t>on</w:t>
      </w:r>
      <w:r w:rsidRPr="00573367">
        <w:rPr>
          <w:i/>
          <w:iCs/>
        </w:rPr>
        <w:t xml:space="preserve"> Amendment (2025 Measures No. 4) Determination 2025</w:t>
      </w:r>
      <w:r w:rsidRPr="00573367">
        <w:t xml:space="preserve"> (the Amendment Determination) is to amend </w:t>
      </w:r>
      <w:r w:rsidR="00372174" w:rsidRPr="00573367">
        <w:t xml:space="preserve">from 1 November 2025 </w:t>
      </w:r>
      <w:r w:rsidR="00C85000" w:rsidRPr="00573367">
        <w:t xml:space="preserve">the </w:t>
      </w:r>
      <w:r w:rsidR="00C85000" w:rsidRPr="00573367">
        <w:rPr>
          <w:i/>
          <w:iCs/>
        </w:rPr>
        <w:t>Health Insurance (Section 3C General Medical Services – Allied Health Services) Determination 2024 </w:t>
      </w:r>
      <w:r w:rsidR="00C85000" w:rsidRPr="00573367">
        <w:t>(the Allied Health Determination) and the </w:t>
      </w:r>
      <w:r w:rsidR="00C85000" w:rsidRPr="00573367">
        <w:rPr>
          <w:i/>
          <w:iCs/>
        </w:rPr>
        <w:t>Health Insurance (Section 3C General Medical Services – Telehealth Attendances) Determination 2021</w:t>
      </w:r>
      <w:r w:rsidR="00C85000" w:rsidRPr="00573367">
        <w:t xml:space="preserve"> (the </w:t>
      </w:r>
      <w:r w:rsidR="00B835C3" w:rsidRPr="00573367">
        <w:t>T</w:t>
      </w:r>
      <w:r w:rsidR="00C85000" w:rsidRPr="00573367">
        <w:t>elehealth Determination)</w:t>
      </w:r>
      <w:r w:rsidR="008D0C67" w:rsidRPr="00573367">
        <w:t>.</w:t>
      </w:r>
    </w:p>
    <w:p w14:paraId="7B9521E9" w14:textId="77777777" w:rsidR="004B3D57" w:rsidRPr="00573367" w:rsidRDefault="004B3D57" w:rsidP="00F57F44">
      <w:pPr>
        <w:shd w:val="clear" w:color="auto" w:fill="FFFFFF"/>
      </w:pPr>
    </w:p>
    <w:p w14:paraId="5201D8A4" w14:textId="0DB8DFBE" w:rsidR="00F57F44" w:rsidRPr="00573367" w:rsidRDefault="004B3D57" w:rsidP="00F57F44">
      <w:pPr>
        <w:shd w:val="clear" w:color="auto" w:fill="FFFFFF"/>
        <w:rPr>
          <w:rFonts w:cstheme="minorHAnsi"/>
          <w:bCs/>
          <w:szCs w:val="24"/>
        </w:rPr>
      </w:pPr>
      <w:r w:rsidRPr="00573367">
        <w:t>The purpose of Schedule 1 of the Amendment Determination is</w:t>
      </w:r>
      <w:r w:rsidR="00C85000" w:rsidRPr="00573367">
        <w:t xml:space="preserve"> </w:t>
      </w:r>
      <w:r w:rsidR="00F57F44" w:rsidRPr="00573367">
        <w:t xml:space="preserve">to </w:t>
      </w:r>
      <w:r w:rsidR="00FB74E5" w:rsidRPr="00573367">
        <w:t xml:space="preserve">amend the Allied Health Determination and Telehealth Determination to implement </w:t>
      </w:r>
      <w:r w:rsidR="00C85000" w:rsidRPr="00573367">
        <w:t xml:space="preserve">recommendations </w:t>
      </w:r>
      <w:r w:rsidR="008F706C" w:rsidRPr="00573367">
        <w:t xml:space="preserve">from the </w:t>
      </w:r>
      <w:r w:rsidR="00FB74E5" w:rsidRPr="00573367">
        <w:t xml:space="preserve">Better Access </w:t>
      </w:r>
      <w:r w:rsidR="00A74456" w:rsidRPr="00573367">
        <w:t>Evaluation</w:t>
      </w:r>
      <w:r w:rsidR="00C85000" w:rsidRPr="00573367">
        <w:t xml:space="preserve">. </w:t>
      </w:r>
      <w:r w:rsidR="00FB74E5" w:rsidRPr="00573367">
        <w:rPr>
          <w:rFonts w:cstheme="minorHAnsi"/>
          <w:bCs/>
          <w:szCs w:val="24"/>
        </w:rPr>
        <w:t xml:space="preserve">These changes are intended to enhance continuity of care by linking the preparation of a Mental Health Treatment Plan (MHTP), referrals for treatment, and reviews of a MHTP to a patient’s General Practitioner (GP) or Prescribed Medical Practitioner (PMP) at a patient’s </w:t>
      </w:r>
      <w:proofErr w:type="spellStart"/>
      <w:r w:rsidR="00FB74E5" w:rsidRPr="00573367">
        <w:rPr>
          <w:rFonts w:cstheme="minorHAnsi"/>
          <w:bCs/>
          <w:szCs w:val="24"/>
        </w:rPr>
        <w:t>MyMedicare</w:t>
      </w:r>
      <w:proofErr w:type="spellEnd"/>
      <w:r w:rsidR="00FB74E5" w:rsidRPr="00573367">
        <w:rPr>
          <w:rFonts w:cstheme="minorHAnsi"/>
          <w:bCs/>
          <w:szCs w:val="24"/>
        </w:rPr>
        <w:t xml:space="preserve"> practice or their usual medical practitioner. </w:t>
      </w:r>
      <w:bookmarkStart w:id="0" w:name="_Hlk208401022"/>
      <w:r w:rsidR="00FB74E5" w:rsidRPr="00573367">
        <w:rPr>
          <w:rFonts w:cstheme="minorHAnsi"/>
          <w:bCs/>
          <w:szCs w:val="24"/>
        </w:rPr>
        <w:t>They will also better integrate a patient’s physical and mental health care needs</w:t>
      </w:r>
      <w:r w:rsidR="005F6EEA" w:rsidRPr="00573367">
        <w:rPr>
          <w:szCs w:val="24"/>
        </w:rPr>
        <w:t xml:space="preserve">, with MHTP review and mental health consultation items being removed </w:t>
      </w:r>
      <w:r w:rsidR="005F6EEA" w:rsidRPr="00573367">
        <w:rPr>
          <w:rFonts w:cstheme="minorHAnsi"/>
          <w:bCs/>
          <w:szCs w:val="24"/>
        </w:rPr>
        <w:t xml:space="preserve">from the Medicare Benefits Schedule, with </w:t>
      </w:r>
      <w:r w:rsidR="00FB74E5" w:rsidRPr="00573367">
        <w:rPr>
          <w:rFonts w:cstheme="minorHAnsi"/>
          <w:bCs/>
          <w:szCs w:val="24"/>
        </w:rPr>
        <w:t xml:space="preserve">GPs and PMPs </w:t>
      </w:r>
      <w:r w:rsidR="005F6EEA" w:rsidRPr="00573367">
        <w:rPr>
          <w:rFonts w:cstheme="minorHAnsi"/>
          <w:bCs/>
          <w:szCs w:val="24"/>
        </w:rPr>
        <w:t>able to use g</w:t>
      </w:r>
      <w:r w:rsidR="00FB74E5" w:rsidRPr="00573367">
        <w:rPr>
          <w:rFonts w:cstheme="minorHAnsi"/>
          <w:bCs/>
          <w:szCs w:val="24"/>
        </w:rPr>
        <w:t xml:space="preserve">eneral attendance items to undertake </w:t>
      </w:r>
      <w:r w:rsidR="005F6EEA" w:rsidRPr="00573367">
        <w:rPr>
          <w:rFonts w:cstheme="minorHAnsi"/>
          <w:bCs/>
          <w:szCs w:val="24"/>
        </w:rPr>
        <w:t>these</w:t>
      </w:r>
      <w:r w:rsidR="0096143D" w:rsidRPr="00573367">
        <w:rPr>
          <w:rFonts w:cstheme="minorHAnsi"/>
          <w:bCs/>
          <w:szCs w:val="24"/>
        </w:rPr>
        <w:t xml:space="preserve"> </w:t>
      </w:r>
      <w:r w:rsidR="00FB74E5" w:rsidRPr="00573367">
        <w:rPr>
          <w:rFonts w:cstheme="minorHAnsi"/>
          <w:bCs/>
          <w:szCs w:val="24"/>
        </w:rPr>
        <w:t>services.</w:t>
      </w:r>
      <w:bookmarkEnd w:id="0"/>
    </w:p>
    <w:p w14:paraId="2BE0E891" w14:textId="27E4FD2E" w:rsidR="00F57F44" w:rsidRPr="00573367" w:rsidRDefault="00F57F44" w:rsidP="00F57F44">
      <w:pPr>
        <w:shd w:val="clear" w:color="auto" w:fill="FFFFFF"/>
        <w:rPr>
          <w:rFonts w:cstheme="minorHAnsi"/>
          <w:bCs/>
          <w:szCs w:val="24"/>
        </w:rPr>
      </w:pPr>
    </w:p>
    <w:p w14:paraId="2C182095" w14:textId="7B5E945F" w:rsidR="005A21DA" w:rsidRPr="00573367" w:rsidRDefault="00F57F44" w:rsidP="00324399">
      <w:pPr>
        <w:shd w:val="clear" w:color="auto" w:fill="FFFFFF"/>
        <w:rPr>
          <w:rFonts w:cstheme="minorHAnsi"/>
          <w:bCs/>
          <w:szCs w:val="24"/>
        </w:rPr>
      </w:pPr>
      <w:r w:rsidRPr="00573367">
        <w:rPr>
          <w:rFonts w:cstheme="minorHAnsi"/>
          <w:bCs/>
          <w:szCs w:val="24"/>
        </w:rPr>
        <w:t>The purpose of Schedule</w:t>
      </w:r>
      <w:r w:rsidR="00A534DF" w:rsidRPr="00573367">
        <w:rPr>
          <w:rFonts w:cstheme="minorHAnsi"/>
          <w:bCs/>
          <w:szCs w:val="24"/>
        </w:rPr>
        <w:t>s</w:t>
      </w:r>
      <w:r w:rsidRPr="00573367">
        <w:rPr>
          <w:rFonts w:cstheme="minorHAnsi"/>
          <w:bCs/>
          <w:szCs w:val="24"/>
        </w:rPr>
        <w:t xml:space="preserve"> 2</w:t>
      </w:r>
      <w:r w:rsidR="004133F7" w:rsidRPr="00573367">
        <w:rPr>
          <w:rFonts w:cstheme="minorHAnsi"/>
          <w:bCs/>
          <w:szCs w:val="24"/>
        </w:rPr>
        <w:t xml:space="preserve"> and 3</w:t>
      </w:r>
      <w:r w:rsidRPr="00573367">
        <w:rPr>
          <w:rFonts w:cstheme="minorHAnsi"/>
          <w:bCs/>
          <w:szCs w:val="24"/>
        </w:rPr>
        <w:t xml:space="preserve"> of the Amendment Determination is to </w:t>
      </w:r>
      <w:r w:rsidR="00324399" w:rsidRPr="00573367">
        <w:rPr>
          <w:rFonts w:cstheme="minorHAnsi"/>
          <w:bCs/>
          <w:szCs w:val="24"/>
        </w:rPr>
        <w:t xml:space="preserve">amend the </w:t>
      </w:r>
      <w:r w:rsidR="0030397B" w:rsidRPr="00573367">
        <w:rPr>
          <w:rFonts w:cstheme="minorHAnsi"/>
          <w:bCs/>
          <w:szCs w:val="24"/>
        </w:rPr>
        <w:t>T</w:t>
      </w:r>
      <w:r w:rsidR="00324399" w:rsidRPr="00573367">
        <w:rPr>
          <w:rFonts w:cstheme="minorHAnsi"/>
          <w:bCs/>
          <w:szCs w:val="24"/>
        </w:rPr>
        <w:t xml:space="preserve">elehealth </w:t>
      </w:r>
      <w:r w:rsidR="0030397B" w:rsidRPr="00573367">
        <w:rPr>
          <w:rFonts w:cstheme="minorHAnsi"/>
          <w:bCs/>
          <w:szCs w:val="24"/>
        </w:rPr>
        <w:t>D</w:t>
      </w:r>
      <w:r w:rsidR="00324399" w:rsidRPr="00573367">
        <w:rPr>
          <w:rFonts w:cstheme="minorHAnsi"/>
          <w:bCs/>
          <w:szCs w:val="24"/>
        </w:rPr>
        <w:t>etermination</w:t>
      </w:r>
      <w:r w:rsidR="00ED4988" w:rsidRPr="00573367">
        <w:rPr>
          <w:rFonts w:cstheme="minorHAnsi"/>
          <w:bCs/>
          <w:szCs w:val="24"/>
        </w:rPr>
        <w:t xml:space="preserve"> </w:t>
      </w:r>
      <w:r w:rsidR="004133F7" w:rsidRPr="00573367">
        <w:rPr>
          <w:rFonts w:cstheme="minorHAnsi"/>
          <w:bCs/>
          <w:szCs w:val="24"/>
        </w:rPr>
        <w:t>in line</w:t>
      </w:r>
      <w:r w:rsidR="00ED4988" w:rsidRPr="00573367">
        <w:rPr>
          <w:rFonts w:cstheme="minorHAnsi"/>
          <w:bCs/>
          <w:szCs w:val="24"/>
        </w:rPr>
        <w:t xml:space="preserve"> with the</w:t>
      </w:r>
      <w:r w:rsidR="00ED4988" w:rsidRPr="00573367">
        <w:rPr>
          <w:bCs/>
          <w:iCs/>
          <w:szCs w:val="24"/>
        </w:rPr>
        <w:t xml:space="preserve"> broader findings of the </w:t>
      </w:r>
      <w:r w:rsidR="00E870CA" w:rsidRPr="00573367">
        <w:rPr>
          <w:bCs/>
          <w:iCs/>
          <w:szCs w:val="24"/>
        </w:rPr>
        <w:t>Medicare Benefits Schedule (</w:t>
      </w:r>
      <w:r w:rsidR="00ED4988" w:rsidRPr="00573367">
        <w:rPr>
          <w:bCs/>
          <w:iCs/>
          <w:szCs w:val="24"/>
        </w:rPr>
        <w:t>MBS</w:t>
      </w:r>
      <w:r w:rsidR="00E870CA" w:rsidRPr="00573367">
        <w:rPr>
          <w:bCs/>
          <w:iCs/>
          <w:szCs w:val="24"/>
        </w:rPr>
        <w:t>)</w:t>
      </w:r>
      <w:r w:rsidR="00ED4988" w:rsidRPr="00573367">
        <w:rPr>
          <w:bCs/>
          <w:iCs/>
          <w:szCs w:val="24"/>
        </w:rPr>
        <w:t xml:space="preserve"> Review Advisory Committee (MRAC) post-implementation review of MBS telehealth items. </w:t>
      </w:r>
      <w:r w:rsidR="004133F7" w:rsidRPr="00573367">
        <w:rPr>
          <w:bCs/>
          <w:iCs/>
          <w:szCs w:val="24"/>
        </w:rPr>
        <w:t xml:space="preserve">Schedule 2 </w:t>
      </w:r>
      <w:r w:rsidR="00ED4988" w:rsidRPr="00573367">
        <w:rPr>
          <w:bCs/>
          <w:iCs/>
          <w:szCs w:val="24"/>
        </w:rPr>
        <w:t>will</w:t>
      </w:r>
      <w:r w:rsidR="00324399" w:rsidRPr="00573367">
        <w:rPr>
          <w:rFonts w:cstheme="minorHAnsi"/>
          <w:bCs/>
          <w:szCs w:val="24"/>
        </w:rPr>
        <w:t xml:space="preserve"> update and extend the eligibility criteria for MBS GP telehealth </w:t>
      </w:r>
      <w:r w:rsidR="0030397B" w:rsidRPr="00573367">
        <w:rPr>
          <w:rFonts w:cstheme="minorHAnsi"/>
          <w:bCs/>
          <w:szCs w:val="24"/>
        </w:rPr>
        <w:t xml:space="preserve">items </w:t>
      </w:r>
      <w:r w:rsidR="00324399" w:rsidRPr="00573367">
        <w:rPr>
          <w:rFonts w:cstheme="minorHAnsi"/>
          <w:bCs/>
          <w:szCs w:val="24"/>
        </w:rPr>
        <w:t xml:space="preserve">to include </w:t>
      </w:r>
      <w:proofErr w:type="spellStart"/>
      <w:r w:rsidR="00324399" w:rsidRPr="00573367">
        <w:rPr>
          <w:rFonts w:cstheme="minorHAnsi"/>
          <w:bCs/>
          <w:szCs w:val="24"/>
        </w:rPr>
        <w:t>MyMedicare</w:t>
      </w:r>
      <w:proofErr w:type="spellEnd"/>
      <w:r w:rsidR="00324399" w:rsidRPr="00573367">
        <w:rPr>
          <w:rFonts w:cstheme="minorHAnsi"/>
          <w:bCs/>
          <w:szCs w:val="24"/>
        </w:rPr>
        <w:t xml:space="preserve"> as an alternative</w:t>
      </w:r>
      <w:r w:rsidR="0030397B" w:rsidRPr="00573367">
        <w:rPr>
          <w:rFonts w:cstheme="minorHAnsi"/>
          <w:bCs/>
          <w:szCs w:val="24"/>
        </w:rPr>
        <w:t xml:space="preserve"> pathway</w:t>
      </w:r>
      <w:r w:rsidR="00324399" w:rsidRPr="00573367">
        <w:rPr>
          <w:rFonts w:cstheme="minorHAnsi"/>
          <w:bCs/>
          <w:szCs w:val="24"/>
        </w:rPr>
        <w:t xml:space="preserve"> </w:t>
      </w:r>
      <w:r w:rsidR="005A21DA" w:rsidRPr="00573367">
        <w:rPr>
          <w:rFonts w:cstheme="minorHAnsi"/>
          <w:bCs/>
          <w:szCs w:val="24"/>
        </w:rPr>
        <w:t xml:space="preserve">for patients </w:t>
      </w:r>
      <w:r w:rsidR="00324399" w:rsidRPr="00573367">
        <w:rPr>
          <w:rFonts w:cstheme="minorHAnsi"/>
          <w:bCs/>
          <w:szCs w:val="24"/>
        </w:rPr>
        <w:t xml:space="preserve">to </w:t>
      </w:r>
      <w:r w:rsidR="005A21DA" w:rsidRPr="00573367">
        <w:rPr>
          <w:rFonts w:cstheme="minorHAnsi"/>
          <w:bCs/>
          <w:szCs w:val="24"/>
        </w:rPr>
        <w:t>qualify for MBS GP telehealth consultations</w:t>
      </w:r>
      <w:r w:rsidR="00324399" w:rsidRPr="00573367">
        <w:rPr>
          <w:rFonts w:cstheme="minorHAnsi"/>
          <w:bCs/>
          <w:szCs w:val="24"/>
        </w:rPr>
        <w:t xml:space="preserve">. Through this change, a patient will be eligible to access GP telehealth if they either meet the </w:t>
      </w:r>
      <w:r w:rsidR="005A21DA" w:rsidRPr="00573367">
        <w:rPr>
          <w:rFonts w:cstheme="minorHAnsi"/>
          <w:bCs/>
          <w:szCs w:val="24"/>
        </w:rPr>
        <w:t xml:space="preserve">eligible </w:t>
      </w:r>
      <w:r w:rsidR="005A21DA" w:rsidRPr="00573367">
        <w:rPr>
          <w:rFonts w:cstheme="minorHAnsi"/>
          <w:bCs/>
          <w:szCs w:val="24"/>
        </w:rPr>
        <w:lastRenderedPageBreak/>
        <w:t xml:space="preserve">telehealth </w:t>
      </w:r>
      <w:r w:rsidR="00324399" w:rsidRPr="00573367">
        <w:rPr>
          <w:rFonts w:cstheme="minorHAnsi"/>
          <w:bCs/>
          <w:szCs w:val="24"/>
        </w:rPr>
        <w:t xml:space="preserve">practitioner requirement or </w:t>
      </w:r>
      <w:r w:rsidR="0030397B" w:rsidRPr="00573367">
        <w:rPr>
          <w:rFonts w:cstheme="minorHAnsi"/>
          <w:bCs/>
          <w:szCs w:val="24"/>
        </w:rPr>
        <w:t xml:space="preserve">the service performed is with their </w:t>
      </w:r>
      <w:r w:rsidR="00324399" w:rsidRPr="00573367">
        <w:rPr>
          <w:rFonts w:cstheme="minorHAnsi"/>
          <w:bCs/>
          <w:szCs w:val="24"/>
        </w:rPr>
        <w:t xml:space="preserve">registered </w:t>
      </w:r>
      <w:proofErr w:type="spellStart"/>
      <w:r w:rsidR="00324399" w:rsidRPr="00573367">
        <w:rPr>
          <w:rFonts w:cstheme="minorHAnsi"/>
          <w:bCs/>
          <w:szCs w:val="24"/>
        </w:rPr>
        <w:t>MyMedicare</w:t>
      </w:r>
      <w:proofErr w:type="spellEnd"/>
      <w:r w:rsidR="00324399" w:rsidRPr="00573367">
        <w:rPr>
          <w:rFonts w:cstheme="minorHAnsi"/>
          <w:bCs/>
          <w:szCs w:val="24"/>
        </w:rPr>
        <w:t xml:space="preserve"> practice.</w:t>
      </w:r>
      <w:r w:rsidR="00ED4988" w:rsidRPr="00573367">
        <w:rPr>
          <w:rFonts w:cstheme="minorHAnsi"/>
          <w:bCs/>
          <w:szCs w:val="24"/>
        </w:rPr>
        <w:t xml:space="preserve"> </w:t>
      </w:r>
    </w:p>
    <w:p w14:paraId="44F22846" w14:textId="77777777" w:rsidR="005A21DA" w:rsidRPr="00573367" w:rsidRDefault="005A21DA" w:rsidP="00324399">
      <w:pPr>
        <w:shd w:val="clear" w:color="auto" w:fill="FFFFFF"/>
        <w:rPr>
          <w:rFonts w:cstheme="minorHAnsi"/>
          <w:bCs/>
          <w:szCs w:val="24"/>
        </w:rPr>
      </w:pPr>
    </w:p>
    <w:p w14:paraId="3F3F705E" w14:textId="4ACAE143" w:rsidR="00324399" w:rsidRPr="00573367" w:rsidRDefault="005A21DA" w:rsidP="00324399">
      <w:pPr>
        <w:shd w:val="clear" w:color="auto" w:fill="FFFFFF"/>
        <w:rPr>
          <w:rFonts w:cstheme="minorHAnsi"/>
          <w:bCs/>
          <w:szCs w:val="24"/>
        </w:rPr>
      </w:pPr>
      <w:proofErr w:type="gramStart"/>
      <w:r w:rsidRPr="00573367">
        <w:rPr>
          <w:rFonts w:cstheme="minorHAnsi"/>
          <w:bCs/>
          <w:szCs w:val="24"/>
        </w:rPr>
        <w:t>Also</w:t>
      </w:r>
      <w:proofErr w:type="gramEnd"/>
      <w:r w:rsidRPr="00573367">
        <w:rPr>
          <w:rFonts w:cstheme="minorHAnsi"/>
          <w:bCs/>
          <w:szCs w:val="24"/>
        </w:rPr>
        <w:t xml:space="preserve"> u</w:t>
      </w:r>
      <w:r w:rsidR="009151EA" w:rsidRPr="00573367">
        <w:rPr>
          <w:rFonts w:cstheme="minorHAnsi"/>
          <w:bCs/>
          <w:szCs w:val="24"/>
        </w:rPr>
        <w:t>nder Schedule 2 of the Amendment Determination</w:t>
      </w:r>
      <w:r w:rsidR="00ED4988" w:rsidRPr="00573367">
        <w:rPr>
          <w:rFonts w:cstheme="minorHAnsi"/>
          <w:bCs/>
          <w:szCs w:val="24"/>
        </w:rPr>
        <w:t xml:space="preserve">, </w:t>
      </w:r>
      <w:r w:rsidRPr="00573367">
        <w:rPr>
          <w:rFonts w:cstheme="minorHAnsi"/>
          <w:bCs/>
          <w:szCs w:val="24"/>
        </w:rPr>
        <w:t>N</w:t>
      </w:r>
      <w:r w:rsidR="00ED4988" w:rsidRPr="00573367">
        <w:rPr>
          <w:rFonts w:cstheme="minorHAnsi"/>
          <w:bCs/>
          <w:szCs w:val="24"/>
        </w:rPr>
        <w:t xml:space="preserve">urse </w:t>
      </w:r>
      <w:r w:rsidRPr="00573367">
        <w:rPr>
          <w:rFonts w:cstheme="minorHAnsi"/>
          <w:bCs/>
          <w:szCs w:val="24"/>
        </w:rPr>
        <w:t>P</w:t>
      </w:r>
      <w:r w:rsidR="00ED4988" w:rsidRPr="00573367">
        <w:rPr>
          <w:rFonts w:cstheme="minorHAnsi"/>
          <w:bCs/>
          <w:szCs w:val="24"/>
        </w:rPr>
        <w:t>ractitioners</w:t>
      </w:r>
      <w:r w:rsidRPr="00573367">
        <w:rPr>
          <w:rFonts w:cstheme="minorHAnsi"/>
          <w:bCs/>
          <w:szCs w:val="24"/>
        </w:rPr>
        <w:t xml:space="preserve"> (NP)</w:t>
      </w:r>
      <w:r w:rsidR="00ED4988" w:rsidRPr="00573367">
        <w:rPr>
          <w:rFonts w:cstheme="minorHAnsi"/>
          <w:bCs/>
          <w:szCs w:val="24"/>
        </w:rPr>
        <w:t xml:space="preserve"> </w:t>
      </w:r>
      <w:r w:rsidR="00ED4988" w:rsidRPr="00573367">
        <w:rPr>
          <w:bCs/>
          <w:szCs w:val="24"/>
        </w:rPr>
        <w:t xml:space="preserve">will now be subject to the </w:t>
      </w:r>
      <w:r w:rsidRPr="00573367">
        <w:rPr>
          <w:bCs/>
          <w:szCs w:val="24"/>
        </w:rPr>
        <w:t xml:space="preserve">eligible telehealth </w:t>
      </w:r>
      <w:r w:rsidR="00ED4988" w:rsidRPr="00573367">
        <w:rPr>
          <w:bCs/>
          <w:szCs w:val="24"/>
        </w:rPr>
        <w:t xml:space="preserve">practitioner </w:t>
      </w:r>
      <w:r w:rsidRPr="00573367">
        <w:rPr>
          <w:bCs/>
          <w:szCs w:val="24"/>
        </w:rPr>
        <w:t>criteria unless the service is exempt.</w:t>
      </w:r>
      <w:r w:rsidR="00ED4988" w:rsidRPr="00573367">
        <w:rPr>
          <w:bCs/>
          <w:szCs w:val="24"/>
        </w:rPr>
        <w:t xml:space="preserve"> </w:t>
      </w:r>
      <w:r w:rsidRPr="00573367">
        <w:rPr>
          <w:bCs/>
          <w:szCs w:val="24"/>
        </w:rPr>
        <w:t>R</w:t>
      </w:r>
      <w:r w:rsidR="0030397B" w:rsidRPr="00573367">
        <w:rPr>
          <w:bCs/>
          <w:szCs w:val="24"/>
        </w:rPr>
        <w:t xml:space="preserve">elevant </w:t>
      </w:r>
      <w:r w:rsidR="00ED4988" w:rsidRPr="00573367">
        <w:rPr>
          <w:bCs/>
          <w:szCs w:val="24"/>
        </w:rPr>
        <w:t>exemptions</w:t>
      </w:r>
      <w:r w:rsidRPr="00573367">
        <w:rPr>
          <w:bCs/>
          <w:szCs w:val="24"/>
        </w:rPr>
        <w:t xml:space="preserve"> are</w:t>
      </w:r>
      <w:r w:rsidR="009151EA" w:rsidRPr="00573367">
        <w:rPr>
          <w:bCs/>
          <w:szCs w:val="24"/>
        </w:rPr>
        <w:t xml:space="preserve"> </w:t>
      </w:r>
      <w:r w:rsidR="003D7F73" w:rsidRPr="00573367">
        <w:rPr>
          <w:bCs/>
          <w:szCs w:val="24"/>
        </w:rPr>
        <w:t xml:space="preserve">Blood Borne Virus and Sexual </w:t>
      </w:r>
      <w:r w:rsidRPr="00573367">
        <w:rPr>
          <w:bCs/>
          <w:szCs w:val="24"/>
        </w:rPr>
        <w:t>and</w:t>
      </w:r>
      <w:r w:rsidR="003D7F73" w:rsidRPr="00573367">
        <w:rPr>
          <w:bCs/>
          <w:szCs w:val="24"/>
        </w:rPr>
        <w:t xml:space="preserve"> Reproductive Health </w:t>
      </w:r>
      <w:r w:rsidR="009151EA" w:rsidRPr="00573367">
        <w:rPr>
          <w:bCs/>
          <w:szCs w:val="24"/>
        </w:rPr>
        <w:t>consultations</w:t>
      </w:r>
      <w:r w:rsidRPr="00573367">
        <w:rPr>
          <w:bCs/>
          <w:szCs w:val="24"/>
        </w:rPr>
        <w:t>.</w:t>
      </w:r>
      <w:r w:rsidR="002A1F75" w:rsidRPr="00573367">
        <w:rPr>
          <w:bCs/>
          <w:szCs w:val="24"/>
        </w:rPr>
        <w:t xml:space="preserve"> </w:t>
      </w:r>
      <w:r w:rsidRPr="00573367">
        <w:rPr>
          <w:bCs/>
          <w:szCs w:val="24"/>
        </w:rPr>
        <w:t xml:space="preserve">The change </w:t>
      </w:r>
      <w:r w:rsidR="009151EA" w:rsidRPr="00573367">
        <w:rPr>
          <w:bCs/>
          <w:szCs w:val="24"/>
        </w:rPr>
        <w:t xml:space="preserve">will </w:t>
      </w:r>
      <w:r w:rsidRPr="00573367">
        <w:rPr>
          <w:bCs/>
          <w:szCs w:val="24"/>
        </w:rPr>
        <w:t xml:space="preserve">more closely align patient eligibility requirements and exemptions for NP and GP telehealth consultations that are similar. </w:t>
      </w:r>
      <w:r w:rsidRPr="00573367">
        <w:t xml:space="preserve">The inclusion of nurse practitioners in what was formally known in legislation as the “usual medical practitioner rule”, will now be amended to “eligible telehealth practitioner”. This is not only </w:t>
      </w:r>
      <w:r w:rsidR="009151EA" w:rsidRPr="00573367">
        <w:rPr>
          <w:bCs/>
          <w:szCs w:val="24"/>
        </w:rPr>
        <w:t xml:space="preserve">to include </w:t>
      </w:r>
      <w:r w:rsidRPr="00573367">
        <w:t>nurse practitioners</w:t>
      </w:r>
      <w:r w:rsidR="009D6CA8" w:rsidRPr="00573367">
        <w:t>,</w:t>
      </w:r>
      <w:r w:rsidRPr="00573367">
        <w:t xml:space="preserve"> but also to reduce confusion as another rule is titled, “usual medical practitioner” in the GMST for chronic condition management and better access.</w:t>
      </w:r>
    </w:p>
    <w:p w14:paraId="12D1EC21" w14:textId="740CA5A4" w:rsidR="00C86F77" w:rsidRPr="00573367" w:rsidRDefault="00C86F77" w:rsidP="00C86F77">
      <w:pPr>
        <w:shd w:val="clear" w:color="auto" w:fill="FFFFFF"/>
      </w:pPr>
    </w:p>
    <w:p w14:paraId="653E0801" w14:textId="365B1E56" w:rsidR="00096C71" w:rsidRPr="00573367" w:rsidRDefault="00096C71" w:rsidP="00C86F77">
      <w:pPr>
        <w:shd w:val="clear" w:color="auto" w:fill="FFFFFF"/>
      </w:pPr>
      <w:r w:rsidRPr="00573367">
        <w:t xml:space="preserve">The </w:t>
      </w:r>
      <w:r w:rsidR="002B48CA" w:rsidRPr="00573367">
        <w:t>p</w:t>
      </w:r>
      <w:r w:rsidRPr="00573367">
        <w:t xml:space="preserve">urpose of Schedule 4 is to make </w:t>
      </w:r>
      <w:r w:rsidR="00DC3FE3" w:rsidRPr="00573367">
        <w:t xml:space="preserve">minor </w:t>
      </w:r>
      <w:r w:rsidRPr="00573367">
        <w:t xml:space="preserve">administrative amendments to clarify the </w:t>
      </w:r>
      <w:r w:rsidR="00DC3FE3" w:rsidRPr="00573367">
        <w:t>operation</w:t>
      </w:r>
      <w:r w:rsidRPr="00573367">
        <w:t xml:space="preserve"> of </w:t>
      </w:r>
      <w:r w:rsidR="0098115A" w:rsidRPr="00573367">
        <w:t>clause 1.1.06</w:t>
      </w:r>
      <w:r w:rsidR="006B3DE6" w:rsidRPr="00573367">
        <w:t xml:space="preserve"> of the Telehealth Determination</w:t>
      </w:r>
      <w:r w:rsidR="0098115A" w:rsidRPr="00573367">
        <w:t>, which deals with conditions relating to timing of services where exceptional services do not exist</w:t>
      </w:r>
      <w:r w:rsidR="006B3DE6" w:rsidRPr="00573367">
        <w:t>.</w:t>
      </w:r>
    </w:p>
    <w:p w14:paraId="2412D131" w14:textId="27EF2D7D" w:rsidR="001865F8" w:rsidRPr="00573367" w:rsidRDefault="00A1739A" w:rsidP="00D46EB9">
      <w:pPr>
        <w:shd w:val="clear" w:color="auto" w:fill="FFFFFF"/>
        <w:spacing w:before="100" w:beforeAutospacing="1"/>
        <w:rPr>
          <w:rFonts w:ascii="Helvetica Neue" w:hAnsi="Helvetica Neue"/>
          <w:szCs w:val="24"/>
          <w:lang w:val="en-US"/>
        </w:rPr>
      </w:pPr>
      <w:r w:rsidRPr="00573367">
        <w:rPr>
          <w:b/>
        </w:rPr>
        <w:t>Consultation</w:t>
      </w:r>
    </w:p>
    <w:p w14:paraId="009B165F" w14:textId="5D88A810" w:rsidR="00C85000" w:rsidRPr="00573367" w:rsidRDefault="00F57F44" w:rsidP="00C85000">
      <w:pPr>
        <w:shd w:val="clear" w:color="auto" w:fill="FFFFFF"/>
        <w:rPr>
          <w:szCs w:val="24"/>
        </w:rPr>
      </w:pPr>
      <w:r w:rsidRPr="00573367">
        <w:rPr>
          <w:szCs w:val="24"/>
        </w:rPr>
        <w:t xml:space="preserve">The changes in Schedule 1 </w:t>
      </w:r>
      <w:r w:rsidR="0003237B" w:rsidRPr="00573367">
        <w:rPr>
          <w:szCs w:val="24"/>
        </w:rPr>
        <w:t xml:space="preserve">to the Amendment Determination </w:t>
      </w:r>
      <w:r w:rsidRPr="00573367">
        <w:rPr>
          <w:szCs w:val="24"/>
        </w:rPr>
        <w:t xml:space="preserve">were informed by the </w:t>
      </w:r>
      <w:r w:rsidR="0003237B" w:rsidRPr="00573367">
        <w:rPr>
          <w:szCs w:val="24"/>
        </w:rPr>
        <w:t xml:space="preserve">former </w:t>
      </w:r>
      <w:r w:rsidR="00C85000" w:rsidRPr="00573367">
        <w:rPr>
          <w:szCs w:val="24"/>
        </w:rPr>
        <w:t>Mental Health Reform Advisory Committee</w:t>
      </w:r>
      <w:r w:rsidR="0003237B" w:rsidRPr="00573367">
        <w:rPr>
          <w:szCs w:val="24"/>
        </w:rPr>
        <w:t>,</w:t>
      </w:r>
      <w:r w:rsidR="00C85000" w:rsidRPr="00573367">
        <w:rPr>
          <w:szCs w:val="24"/>
        </w:rPr>
        <w:t xml:space="preserve"> which supported the government response to the Better Access evaluation by considering mental health reforms from a whole of system perspective. </w:t>
      </w:r>
      <w:r w:rsidR="00FB74E5" w:rsidRPr="00573367">
        <w:rPr>
          <w:szCs w:val="24"/>
        </w:rPr>
        <w:t xml:space="preserve">Advice </w:t>
      </w:r>
      <w:r w:rsidR="004D3E23" w:rsidRPr="00573367">
        <w:rPr>
          <w:szCs w:val="24"/>
        </w:rPr>
        <w:t>on</w:t>
      </w:r>
      <w:r w:rsidR="00FB74E5" w:rsidRPr="00573367">
        <w:rPr>
          <w:szCs w:val="24"/>
        </w:rPr>
        <w:t xml:space="preserve"> </w:t>
      </w:r>
      <w:r w:rsidR="004D3E23" w:rsidRPr="00573367">
        <w:rPr>
          <w:szCs w:val="24"/>
        </w:rPr>
        <w:t xml:space="preserve">implementing </w:t>
      </w:r>
      <w:r w:rsidR="00FB74E5" w:rsidRPr="00573367">
        <w:rPr>
          <w:szCs w:val="24"/>
        </w:rPr>
        <w:t>the</w:t>
      </w:r>
      <w:r w:rsidR="004D3E23" w:rsidRPr="00573367">
        <w:rPr>
          <w:szCs w:val="24"/>
        </w:rPr>
        <w:t xml:space="preserve"> Schedule 1</w:t>
      </w:r>
      <w:r w:rsidR="00FB74E5" w:rsidRPr="00573367">
        <w:rPr>
          <w:szCs w:val="24"/>
        </w:rPr>
        <w:t xml:space="preserve"> changes has been sought from the sector through an Implementation Liaison Group that was established to support communications with affected professions. Stakeholder feedback was largely supportive of the changes. </w:t>
      </w:r>
    </w:p>
    <w:p w14:paraId="294AB690" w14:textId="77777777" w:rsidR="0062496C" w:rsidRPr="00573367" w:rsidRDefault="0062496C" w:rsidP="00F57F44">
      <w:pPr>
        <w:shd w:val="clear" w:color="auto" w:fill="FFFFFF"/>
        <w:rPr>
          <w:szCs w:val="24"/>
        </w:rPr>
      </w:pPr>
    </w:p>
    <w:p w14:paraId="23DB4987" w14:textId="1A6932AD" w:rsidR="00F57F44" w:rsidRPr="00573367" w:rsidRDefault="00ED4988" w:rsidP="00F57F44">
      <w:pPr>
        <w:shd w:val="clear" w:color="auto" w:fill="FFFFFF"/>
        <w:rPr>
          <w:bCs/>
          <w:iCs/>
          <w:szCs w:val="24"/>
        </w:rPr>
      </w:pPr>
      <w:r w:rsidRPr="00573367">
        <w:rPr>
          <w:szCs w:val="24"/>
        </w:rPr>
        <w:t>The changes listed in Schedule</w:t>
      </w:r>
      <w:r w:rsidR="00E92CAA" w:rsidRPr="00573367">
        <w:rPr>
          <w:szCs w:val="24"/>
        </w:rPr>
        <w:t>s</w:t>
      </w:r>
      <w:r w:rsidRPr="00573367">
        <w:rPr>
          <w:szCs w:val="24"/>
        </w:rPr>
        <w:t xml:space="preserve"> 2 and 3 were informed by the</w:t>
      </w:r>
      <w:r w:rsidRPr="00573367">
        <w:rPr>
          <w:bCs/>
          <w:iCs/>
          <w:szCs w:val="24"/>
        </w:rPr>
        <w:t xml:space="preserve"> MRAC</w:t>
      </w:r>
      <w:r w:rsidR="00780C09" w:rsidRPr="00573367">
        <w:rPr>
          <w:bCs/>
          <w:iCs/>
          <w:szCs w:val="24"/>
        </w:rPr>
        <w:t xml:space="preserve">’s </w:t>
      </w:r>
      <w:r w:rsidR="00CC2999" w:rsidRPr="00573367">
        <w:rPr>
          <w:bCs/>
          <w:i/>
          <w:szCs w:val="24"/>
        </w:rPr>
        <w:t>Telehealth Post-Implementation Review Report</w:t>
      </w:r>
      <w:r w:rsidR="00CC2999" w:rsidRPr="00573367">
        <w:rPr>
          <w:bCs/>
          <w:iCs/>
          <w:szCs w:val="24"/>
        </w:rPr>
        <w:t xml:space="preserve"> (June 2024) </w:t>
      </w:r>
      <w:r w:rsidRPr="00573367">
        <w:rPr>
          <w:bCs/>
          <w:iCs/>
          <w:szCs w:val="24"/>
        </w:rPr>
        <w:t xml:space="preserve">which noted </w:t>
      </w:r>
      <w:r w:rsidR="00336CD2" w:rsidRPr="00573367">
        <w:rPr>
          <w:bCs/>
          <w:iCs/>
          <w:szCs w:val="24"/>
        </w:rPr>
        <w:t xml:space="preserve">that </w:t>
      </w:r>
      <w:r w:rsidRPr="00573367">
        <w:rPr>
          <w:bCs/>
          <w:iCs/>
          <w:szCs w:val="24"/>
        </w:rPr>
        <w:t xml:space="preserve">overall, telehealth and face-to-face consultations could have equal efficacy for ongoing management of known conditions for a known patient. Consultation was undertaken with peak bodies for </w:t>
      </w:r>
      <w:r w:rsidR="00E92CAA" w:rsidRPr="00573367">
        <w:rPr>
          <w:bCs/>
          <w:iCs/>
          <w:szCs w:val="24"/>
        </w:rPr>
        <w:t xml:space="preserve">the </w:t>
      </w:r>
      <w:r w:rsidRPr="00573367">
        <w:rPr>
          <w:bCs/>
          <w:iCs/>
          <w:szCs w:val="24"/>
        </w:rPr>
        <w:t>changes</w:t>
      </w:r>
      <w:r w:rsidR="00E92CAA" w:rsidRPr="00573367">
        <w:rPr>
          <w:bCs/>
          <w:iCs/>
          <w:szCs w:val="24"/>
        </w:rPr>
        <w:t xml:space="preserve"> in Schedules 2 and 3</w:t>
      </w:r>
      <w:r w:rsidRPr="00573367">
        <w:rPr>
          <w:bCs/>
          <w:iCs/>
          <w:szCs w:val="24"/>
        </w:rPr>
        <w:t xml:space="preserve"> through the MRAC’s consultation process (with more than 450 submissions received), as well as targeted stakeholder discussions</w:t>
      </w:r>
      <w:r w:rsidR="00BE7CBB" w:rsidRPr="00573367">
        <w:rPr>
          <w:bCs/>
          <w:iCs/>
          <w:szCs w:val="24"/>
        </w:rPr>
        <w:t xml:space="preserve"> who were all </w:t>
      </w:r>
      <w:r w:rsidR="00B2646F" w:rsidRPr="00573367">
        <w:rPr>
          <w:bCs/>
          <w:iCs/>
          <w:szCs w:val="24"/>
        </w:rPr>
        <w:t xml:space="preserve">generally </w:t>
      </w:r>
      <w:r w:rsidR="00BE7CBB" w:rsidRPr="00573367">
        <w:rPr>
          <w:bCs/>
          <w:iCs/>
          <w:szCs w:val="24"/>
        </w:rPr>
        <w:t>supportive of the MRAC recommendations</w:t>
      </w:r>
      <w:r w:rsidRPr="00573367">
        <w:rPr>
          <w:bCs/>
          <w:iCs/>
          <w:szCs w:val="24"/>
        </w:rPr>
        <w:t xml:space="preserve">. </w:t>
      </w:r>
    </w:p>
    <w:p w14:paraId="0144E08F" w14:textId="77777777" w:rsidR="00ED4988" w:rsidRPr="00573367" w:rsidRDefault="00ED4988" w:rsidP="00F57F44">
      <w:pPr>
        <w:shd w:val="clear" w:color="auto" w:fill="FFFFFF"/>
        <w:rPr>
          <w:szCs w:val="24"/>
        </w:rPr>
      </w:pPr>
    </w:p>
    <w:p w14:paraId="28815BAC" w14:textId="7CA302AD" w:rsidR="00096C71" w:rsidRPr="00573367" w:rsidRDefault="00496163" w:rsidP="00F57F44">
      <w:pPr>
        <w:shd w:val="clear" w:color="auto" w:fill="FFFFFF"/>
        <w:rPr>
          <w:bCs/>
          <w:iCs/>
          <w:szCs w:val="24"/>
        </w:rPr>
      </w:pPr>
      <w:r w:rsidRPr="00573367">
        <w:rPr>
          <w:bCs/>
          <w:iCs/>
          <w:szCs w:val="24"/>
        </w:rPr>
        <w:t>C</w:t>
      </w:r>
      <w:r w:rsidR="00096C71" w:rsidRPr="00573367">
        <w:rPr>
          <w:bCs/>
          <w:iCs/>
          <w:szCs w:val="24"/>
        </w:rPr>
        <w:t xml:space="preserve">onsultation was not undertaken </w:t>
      </w:r>
      <w:r w:rsidRPr="00573367">
        <w:rPr>
          <w:bCs/>
          <w:iCs/>
          <w:szCs w:val="24"/>
        </w:rPr>
        <w:t xml:space="preserve">on the changes in Schedule 4, </w:t>
      </w:r>
      <w:r w:rsidR="00096C71" w:rsidRPr="00573367">
        <w:rPr>
          <w:bCs/>
          <w:iCs/>
          <w:szCs w:val="24"/>
        </w:rPr>
        <w:t>as the</w:t>
      </w:r>
      <w:r w:rsidRPr="00573367">
        <w:rPr>
          <w:bCs/>
          <w:iCs/>
          <w:szCs w:val="24"/>
        </w:rPr>
        <w:t>se</w:t>
      </w:r>
      <w:r w:rsidR="00096C71" w:rsidRPr="00573367">
        <w:rPr>
          <w:bCs/>
          <w:iCs/>
          <w:szCs w:val="24"/>
        </w:rPr>
        <w:t xml:space="preserve"> changes are considered administrative </w:t>
      </w:r>
      <w:r w:rsidRPr="00573367">
        <w:rPr>
          <w:bCs/>
          <w:iCs/>
          <w:szCs w:val="24"/>
        </w:rPr>
        <w:t>in nature</w:t>
      </w:r>
      <w:r w:rsidR="00096C71" w:rsidRPr="00573367">
        <w:rPr>
          <w:bCs/>
          <w:iCs/>
          <w:szCs w:val="24"/>
        </w:rPr>
        <w:t xml:space="preserve">. </w:t>
      </w:r>
    </w:p>
    <w:p w14:paraId="63E7C42F" w14:textId="77777777" w:rsidR="00096C71" w:rsidRPr="00573367" w:rsidRDefault="00096C71" w:rsidP="00F57F44">
      <w:pPr>
        <w:shd w:val="clear" w:color="auto" w:fill="FFFFFF"/>
        <w:rPr>
          <w:szCs w:val="24"/>
        </w:rPr>
      </w:pPr>
    </w:p>
    <w:p w14:paraId="2412D134" w14:textId="76DEDA1A" w:rsidR="00967E51" w:rsidRPr="00573367" w:rsidRDefault="005C394E" w:rsidP="000337CB">
      <w:pPr>
        <w:rPr>
          <w:szCs w:val="24"/>
        </w:rPr>
      </w:pPr>
      <w:r w:rsidRPr="00573367">
        <w:rPr>
          <w:szCs w:val="24"/>
        </w:rPr>
        <w:t xml:space="preserve">The </w:t>
      </w:r>
      <w:r w:rsidR="0066578D" w:rsidRPr="00573367">
        <w:rPr>
          <w:szCs w:val="24"/>
        </w:rPr>
        <w:t xml:space="preserve">Amendment </w:t>
      </w:r>
      <w:r w:rsidRPr="00573367">
        <w:rPr>
          <w:szCs w:val="24"/>
        </w:rPr>
        <w:t xml:space="preserve">Determination is a legislative instrument for the purposes of the </w:t>
      </w:r>
      <w:r w:rsidRPr="00573367">
        <w:rPr>
          <w:i/>
        </w:rPr>
        <w:t>Legislation Act 2003</w:t>
      </w:r>
      <w:r w:rsidRPr="00573367">
        <w:rPr>
          <w:szCs w:val="24"/>
        </w:rPr>
        <w:t>.</w:t>
      </w:r>
    </w:p>
    <w:p w14:paraId="7D61677A" w14:textId="17938C25" w:rsidR="005C394E" w:rsidRPr="00573367" w:rsidRDefault="00297AD0" w:rsidP="006C138D">
      <w:pPr>
        <w:tabs>
          <w:tab w:val="left" w:pos="567"/>
        </w:tabs>
        <w:spacing w:before="240"/>
        <w:rPr>
          <w:szCs w:val="24"/>
        </w:rPr>
      </w:pPr>
      <w:r w:rsidRPr="00573367">
        <w:rPr>
          <w:szCs w:val="24"/>
        </w:rPr>
        <w:t xml:space="preserve">The </w:t>
      </w:r>
      <w:r w:rsidR="0066578D" w:rsidRPr="00573367">
        <w:rPr>
          <w:szCs w:val="24"/>
        </w:rPr>
        <w:t xml:space="preserve">Amendment </w:t>
      </w:r>
      <w:r w:rsidR="00967E51" w:rsidRPr="00573367">
        <w:rPr>
          <w:szCs w:val="24"/>
        </w:rPr>
        <w:t>Determination</w:t>
      </w:r>
      <w:r w:rsidRPr="00573367">
        <w:rPr>
          <w:szCs w:val="24"/>
        </w:rPr>
        <w:t xml:space="preserve"> </w:t>
      </w:r>
      <w:r w:rsidR="007524B0" w:rsidRPr="00573367">
        <w:rPr>
          <w:szCs w:val="24"/>
        </w:rPr>
        <w:t>commences</w:t>
      </w:r>
      <w:r w:rsidR="009F14BF" w:rsidRPr="00573367">
        <w:rPr>
          <w:szCs w:val="24"/>
        </w:rPr>
        <w:t xml:space="preserve"> </w:t>
      </w:r>
      <w:r w:rsidR="006D62A9" w:rsidRPr="00573367">
        <w:rPr>
          <w:szCs w:val="24"/>
        </w:rPr>
        <w:t>i</w:t>
      </w:r>
      <w:r w:rsidR="009F14BF" w:rsidRPr="00573367">
        <w:rPr>
          <w:szCs w:val="24"/>
        </w:rPr>
        <w:t>mmediately after the commencement of the </w:t>
      </w:r>
      <w:r w:rsidR="009F14BF" w:rsidRPr="00573367">
        <w:rPr>
          <w:i/>
          <w:iCs/>
          <w:szCs w:val="24"/>
        </w:rPr>
        <w:t>Health Insurance Legislation Amendment (2025 Measures No. 3) Regulations 2025</w:t>
      </w:r>
      <w:r w:rsidR="00F57F44" w:rsidRPr="00573367">
        <w:rPr>
          <w:szCs w:val="24"/>
        </w:rPr>
        <w:t>.</w:t>
      </w:r>
    </w:p>
    <w:p w14:paraId="2412D135" w14:textId="38C3074E" w:rsidR="006C138D" w:rsidRPr="00573367" w:rsidRDefault="005C394E" w:rsidP="006C138D">
      <w:pPr>
        <w:tabs>
          <w:tab w:val="left" w:pos="567"/>
        </w:tabs>
        <w:spacing w:before="240"/>
        <w:rPr>
          <w:szCs w:val="24"/>
        </w:rPr>
      </w:pPr>
      <w:r w:rsidRPr="00573367">
        <w:rPr>
          <w:szCs w:val="24"/>
        </w:rPr>
        <w:t xml:space="preserve">Details of the </w:t>
      </w:r>
      <w:r w:rsidR="0066578D" w:rsidRPr="00573367">
        <w:rPr>
          <w:szCs w:val="24"/>
        </w:rPr>
        <w:t xml:space="preserve">Amendment </w:t>
      </w:r>
      <w:r w:rsidRPr="00573367">
        <w:rPr>
          <w:szCs w:val="24"/>
        </w:rPr>
        <w:t xml:space="preserve">Determination are set out in the </w:t>
      </w:r>
      <w:r w:rsidRPr="00573367">
        <w:rPr>
          <w:szCs w:val="24"/>
          <w:u w:val="single"/>
        </w:rPr>
        <w:t>Attachment</w:t>
      </w:r>
      <w:r w:rsidRPr="00573367">
        <w:rPr>
          <w:szCs w:val="24"/>
        </w:rPr>
        <w:t>.</w:t>
      </w:r>
    </w:p>
    <w:p w14:paraId="6FA5EA70" w14:textId="77777777" w:rsidR="005C394E" w:rsidRPr="00573367" w:rsidRDefault="005C394E" w:rsidP="00574E71">
      <w:pPr>
        <w:rPr>
          <w:szCs w:val="24"/>
        </w:rPr>
      </w:pPr>
    </w:p>
    <w:p w14:paraId="2412D139" w14:textId="21476EBD" w:rsidR="00A1739A" w:rsidRPr="00573367" w:rsidRDefault="00A1739A" w:rsidP="005C394E">
      <w:pPr>
        <w:rPr>
          <w:szCs w:val="24"/>
        </w:rPr>
      </w:pPr>
      <w:r w:rsidRPr="00573367">
        <w:rPr>
          <w:szCs w:val="24"/>
        </w:rPr>
        <w:t xml:space="preserve">        </w:t>
      </w:r>
    </w:p>
    <w:p w14:paraId="2412D13A" w14:textId="77777777" w:rsidR="00A1739A" w:rsidRPr="00573367" w:rsidRDefault="00A1739A" w:rsidP="000337CB">
      <w:pPr>
        <w:ind w:left="6663" w:hanging="3119"/>
        <w:rPr>
          <w:szCs w:val="24"/>
        </w:rPr>
      </w:pPr>
      <w:r w:rsidRPr="00573367">
        <w:rPr>
          <w:szCs w:val="24"/>
          <w:u w:val="single"/>
        </w:rPr>
        <w:t>Authority</w:t>
      </w:r>
      <w:r w:rsidR="00967E51" w:rsidRPr="00573367">
        <w:rPr>
          <w:szCs w:val="24"/>
        </w:rPr>
        <w:t xml:space="preserve">:     Subsection </w:t>
      </w:r>
      <w:r w:rsidRPr="00573367">
        <w:rPr>
          <w:szCs w:val="24"/>
        </w:rPr>
        <w:t>3</w:t>
      </w:r>
      <w:proofErr w:type="gramStart"/>
      <w:r w:rsidR="00967E51" w:rsidRPr="00573367">
        <w:rPr>
          <w:szCs w:val="24"/>
        </w:rPr>
        <w:t>C</w:t>
      </w:r>
      <w:r w:rsidRPr="00573367">
        <w:rPr>
          <w:szCs w:val="24"/>
        </w:rPr>
        <w:t>(</w:t>
      </w:r>
      <w:proofErr w:type="gramEnd"/>
      <w:r w:rsidRPr="00573367">
        <w:rPr>
          <w:szCs w:val="24"/>
        </w:rPr>
        <w:t xml:space="preserve">1) of the </w:t>
      </w:r>
    </w:p>
    <w:p w14:paraId="2412D13B" w14:textId="0596CD30" w:rsidR="00A1739A" w:rsidRPr="00573367" w:rsidRDefault="00A1739A" w:rsidP="000337CB">
      <w:pPr>
        <w:tabs>
          <w:tab w:val="left" w:pos="4820"/>
        </w:tabs>
        <w:rPr>
          <w:szCs w:val="24"/>
        </w:rPr>
        <w:sectPr w:rsidR="00A1739A" w:rsidRPr="00573367" w:rsidSect="00235B6C">
          <w:headerReference w:type="even" r:id="rId11"/>
          <w:headerReference w:type="default" r:id="rId12"/>
          <w:footerReference w:type="even" r:id="rId13"/>
          <w:headerReference w:type="first" r:id="rId14"/>
          <w:footerReference w:type="first" r:id="rId15"/>
          <w:pgSz w:w="11906" w:h="16838"/>
          <w:pgMar w:top="1440" w:right="1800" w:bottom="1135" w:left="1800" w:header="708" w:footer="708" w:gutter="0"/>
          <w:pgNumType w:start="1"/>
          <w:cols w:space="708"/>
          <w:docGrid w:linePitch="360"/>
        </w:sectPr>
      </w:pPr>
      <w:r w:rsidRPr="00573367">
        <w:rPr>
          <w:i/>
          <w:szCs w:val="24"/>
        </w:rPr>
        <w:tab/>
        <w:t>Health Insurance Act 1973</w:t>
      </w:r>
    </w:p>
    <w:p w14:paraId="2412D13D" w14:textId="77777777" w:rsidR="006D5816" w:rsidRPr="00573367" w:rsidRDefault="006D5816" w:rsidP="000337CB">
      <w:pPr>
        <w:pStyle w:val="BodyText"/>
        <w:jc w:val="right"/>
        <w:rPr>
          <w:szCs w:val="24"/>
        </w:rPr>
      </w:pPr>
      <w:r w:rsidRPr="00573367">
        <w:rPr>
          <w:szCs w:val="24"/>
        </w:rPr>
        <w:lastRenderedPageBreak/>
        <w:t>ATTACHMENT</w:t>
      </w:r>
    </w:p>
    <w:p w14:paraId="2412D13E" w14:textId="77777777" w:rsidR="006D5816" w:rsidRPr="00573367" w:rsidRDefault="006D5816" w:rsidP="000337CB">
      <w:pPr>
        <w:pStyle w:val="BodyText"/>
        <w:rPr>
          <w:b w:val="0"/>
          <w:bCs/>
          <w:szCs w:val="24"/>
          <w:u w:val="single"/>
        </w:rPr>
      </w:pPr>
    </w:p>
    <w:p w14:paraId="5B0C808A" w14:textId="4151BFBE" w:rsidR="00215191" w:rsidRPr="00573367" w:rsidRDefault="00A41364" w:rsidP="00186752">
      <w:pPr>
        <w:pStyle w:val="BodyText"/>
        <w:rPr>
          <w:i/>
          <w:iCs/>
        </w:rPr>
      </w:pPr>
      <w:r w:rsidRPr="00573367">
        <w:rPr>
          <w:szCs w:val="24"/>
        </w:rPr>
        <w:t xml:space="preserve">Details of the </w:t>
      </w:r>
      <w:r w:rsidR="00F57F44" w:rsidRPr="00573367">
        <w:rPr>
          <w:i/>
          <w:iCs/>
        </w:rPr>
        <w:t>Health Insurance Legislati</w:t>
      </w:r>
      <w:r w:rsidR="00D500CD" w:rsidRPr="00573367">
        <w:rPr>
          <w:i/>
          <w:iCs/>
        </w:rPr>
        <w:t>on</w:t>
      </w:r>
      <w:r w:rsidR="00F57F44" w:rsidRPr="00573367">
        <w:rPr>
          <w:i/>
          <w:iCs/>
        </w:rPr>
        <w:t xml:space="preserve"> Amendment (2025 Measures No. 4) Determination 2025</w:t>
      </w:r>
    </w:p>
    <w:p w14:paraId="7BBEB147" w14:textId="720F9678" w:rsidR="00E70355" w:rsidRPr="00573367" w:rsidRDefault="00E70355" w:rsidP="000337CB">
      <w:pPr>
        <w:pStyle w:val="BodyText"/>
        <w:rPr>
          <w:b w:val="0"/>
          <w:iCs/>
          <w:szCs w:val="24"/>
        </w:rPr>
      </w:pPr>
    </w:p>
    <w:p w14:paraId="2412D141" w14:textId="7C34D5F4" w:rsidR="00FE02C2" w:rsidRPr="00573367" w:rsidRDefault="001B0111" w:rsidP="000337CB">
      <w:pPr>
        <w:pStyle w:val="BodyText"/>
        <w:rPr>
          <w:b w:val="0"/>
          <w:szCs w:val="24"/>
          <w:u w:val="single"/>
        </w:rPr>
      </w:pPr>
      <w:r w:rsidRPr="00573367">
        <w:rPr>
          <w:b w:val="0"/>
          <w:szCs w:val="24"/>
          <w:u w:val="single"/>
        </w:rPr>
        <w:t>Section 1 – Name</w:t>
      </w:r>
    </w:p>
    <w:p w14:paraId="2412D142" w14:textId="77777777" w:rsidR="00FE02C2" w:rsidRPr="00573367" w:rsidRDefault="00FE02C2" w:rsidP="000337CB">
      <w:pPr>
        <w:pStyle w:val="BodyText"/>
        <w:rPr>
          <w:b w:val="0"/>
          <w:szCs w:val="24"/>
          <w:u w:val="single"/>
        </w:rPr>
      </w:pPr>
    </w:p>
    <w:p w14:paraId="2412D144" w14:textId="7983FAD2" w:rsidR="00F83B6F" w:rsidRPr="00573367" w:rsidRDefault="00BC7397" w:rsidP="47F77DFF">
      <w:pPr>
        <w:pStyle w:val="BodyText"/>
      </w:pPr>
      <w:r w:rsidRPr="00573367">
        <w:rPr>
          <w:b w:val="0"/>
        </w:rPr>
        <w:t>S</w:t>
      </w:r>
      <w:r w:rsidR="00FE02C2" w:rsidRPr="00573367">
        <w:rPr>
          <w:b w:val="0"/>
        </w:rPr>
        <w:t xml:space="preserve">ection </w:t>
      </w:r>
      <w:r w:rsidRPr="00573367">
        <w:rPr>
          <w:b w:val="0"/>
        </w:rPr>
        <w:t xml:space="preserve">1 </w:t>
      </w:r>
      <w:r w:rsidR="00FE02C2" w:rsidRPr="00573367">
        <w:rPr>
          <w:b w:val="0"/>
        </w:rPr>
        <w:t>provides</w:t>
      </w:r>
      <w:r w:rsidR="008B683E" w:rsidRPr="00573367">
        <w:rPr>
          <w:b w:val="0"/>
        </w:rPr>
        <w:t xml:space="preserve"> for the </w:t>
      </w:r>
      <w:r w:rsidR="002863F6" w:rsidRPr="00573367">
        <w:rPr>
          <w:b w:val="0"/>
        </w:rPr>
        <w:t xml:space="preserve">instrument </w:t>
      </w:r>
      <w:r w:rsidR="00FE02C2" w:rsidRPr="00573367">
        <w:rPr>
          <w:b w:val="0"/>
        </w:rPr>
        <w:t xml:space="preserve">to be referred to as the </w:t>
      </w:r>
      <w:r w:rsidR="00F57F44" w:rsidRPr="00573367">
        <w:rPr>
          <w:b w:val="0"/>
          <w:i/>
          <w:iCs/>
        </w:rPr>
        <w:t>Health Insurance Legislati</w:t>
      </w:r>
      <w:r w:rsidR="00D500CD" w:rsidRPr="00573367">
        <w:rPr>
          <w:b w:val="0"/>
          <w:i/>
          <w:iCs/>
        </w:rPr>
        <w:t>on</w:t>
      </w:r>
      <w:r w:rsidR="00F57F44" w:rsidRPr="00573367">
        <w:rPr>
          <w:b w:val="0"/>
          <w:i/>
          <w:iCs/>
        </w:rPr>
        <w:t xml:space="preserve"> Amendment (2025 Measures No. 4) Determination 2025</w:t>
      </w:r>
      <w:r w:rsidR="009A18C3" w:rsidRPr="00573367">
        <w:rPr>
          <w:b w:val="0"/>
          <w:i/>
          <w:iCs/>
        </w:rPr>
        <w:t xml:space="preserve"> </w:t>
      </w:r>
      <w:r w:rsidR="009A18C3" w:rsidRPr="00573367">
        <w:rPr>
          <w:b w:val="0"/>
        </w:rPr>
        <w:t xml:space="preserve">(the </w:t>
      </w:r>
      <w:r w:rsidR="005E52AD" w:rsidRPr="00573367">
        <w:rPr>
          <w:b w:val="0"/>
        </w:rPr>
        <w:t>Amendment Determination)</w:t>
      </w:r>
      <w:r w:rsidR="00F57F44" w:rsidRPr="00573367">
        <w:rPr>
          <w:b w:val="0"/>
        </w:rPr>
        <w:t>.</w:t>
      </w:r>
    </w:p>
    <w:p w14:paraId="68DAA207" w14:textId="77777777" w:rsidR="00FD602D" w:rsidRPr="00573367" w:rsidRDefault="00FD602D" w:rsidP="00FD602D"/>
    <w:p w14:paraId="49D1E050" w14:textId="77777777" w:rsidR="007A4089" w:rsidRPr="00573367" w:rsidRDefault="00FE02C2" w:rsidP="000337CB">
      <w:pPr>
        <w:pStyle w:val="BodyText"/>
        <w:rPr>
          <w:b w:val="0"/>
          <w:szCs w:val="24"/>
          <w:u w:val="single"/>
        </w:rPr>
      </w:pPr>
      <w:r w:rsidRPr="00573367">
        <w:rPr>
          <w:b w:val="0"/>
          <w:szCs w:val="24"/>
          <w:u w:val="single"/>
        </w:rPr>
        <w:t xml:space="preserve">Section 2 – Commencement </w:t>
      </w:r>
    </w:p>
    <w:p w14:paraId="2DCE2ED0" w14:textId="77777777" w:rsidR="007A4089" w:rsidRPr="00573367" w:rsidRDefault="007A4089" w:rsidP="000337CB">
      <w:pPr>
        <w:pStyle w:val="BodyText"/>
        <w:rPr>
          <w:b w:val="0"/>
          <w:szCs w:val="24"/>
          <w:u w:val="single"/>
        </w:rPr>
      </w:pPr>
    </w:p>
    <w:p w14:paraId="2412D148" w14:textId="0C9EB389" w:rsidR="00510A4F" w:rsidRPr="00573367" w:rsidRDefault="00510A4F" w:rsidP="000337CB">
      <w:pPr>
        <w:pStyle w:val="BodyText"/>
        <w:rPr>
          <w:b w:val="0"/>
          <w:szCs w:val="24"/>
        </w:rPr>
      </w:pPr>
      <w:r w:rsidRPr="00573367">
        <w:rPr>
          <w:b w:val="0"/>
          <w:szCs w:val="24"/>
        </w:rPr>
        <w:t xml:space="preserve">Section 2 </w:t>
      </w:r>
      <w:r w:rsidR="00404F11" w:rsidRPr="00573367">
        <w:rPr>
          <w:b w:val="0"/>
        </w:rPr>
        <w:t xml:space="preserve">provides </w:t>
      </w:r>
      <w:r w:rsidR="1A4D75F3" w:rsidRPr="00573367">
        <w:rPr>
          <w:b w:val="0"/>
          <w:szCs w:val="24"/>
        </w:rPr>
        <w:t xml:space="preserve">for </w:t>
      </w:r>
      <w:r w:rsidR="00404F11" w:rsidRPr="00573367">
        <w:rPr>
          <w:b w:val="0"/>
          <w:szCs w:val="24"/>
        </w:rPr>
        <w:t xml:space="preserve">the </w:t>
      </w:r>
      <w:r w:rsidR="005E52AD" w:rsidRPr="00573367">
        <w:rPr>
          <w:b w:val="0"/>
          <w:szCs w:val="24"/>
        </w:rPr>
        <w:t xml:space="preserve">Amendment </w:t>
      </w:r>
      <w:r w:rsidR="008B2094" w:rsidRPr="00573367">
        <w:rPr>
          <w:b w:val="0"/>
          <w:szCs w:val="24"/>
        </w:rPr>
        <w:t xml:space="preserve">Determination </w:t>
      </w:r>
      <w:r w:rsidR="1A4D75F3" w:rsidRPr="00573367">
        <w:rPr>
          <w:b w:val="0"/>
          <w:szCs w:val="24"/>
        </w:rPr>
        <w:t>to commence</w:t>
      </w:r>
      <w:r w:rsidR="009F14BF" w:rsidRPr="00573367">
        <w:rPr>
          <w:b w:val="0"/>
          <w:szCs w:val="24"/>
        </w:rPr>
        <w:t xml:space="preserve"> immediately after the commencement of the </w:t>
      </w:r>
      <w:r w:rsidR="009F14BF" w:rsidRPr="00573367">
        <w:rPr>
          <w:b w:val="0"/>
          <w:i/>
          <w:iCs/>
          <w:szCs w:val="24"/>
        </w:rPr>
        <w:t>Health Insurance Legislation Amendment (2025 Measures No. 3) Regulations 2025</w:t>
      </w:r>
      <w:r w:rsidR="00F57F44" w:rsidRPr="00573367">
        <w:rPr>
          <w:b w:val="0"/>
          <w:szCs w:val="24"/>
        </w:rPr>
        <w:t>.</w:t>
      </w:r>
    </w:p>
    <w:p w14:paraId="16C03200" w14:textId="77777777" w:rsidR="007E0017" w:rsidRPr="00573367" w:rsidRDefault="007E0017" w:rsidP="000337CB">
      <w:pPr>
        <w:pStyle w:val="BodyText"/>
        <w:rPr>
          <w:b w:val="0"/>
          <w:szCs w:val="24"/>
        </w:rPr>
      </w:pPr>
    </w:p>
    <w:p w14:paraId="005D5660" w14:textId="77777777" w:rsidR="007A4089" w:rsidRPr="00573367" w:rsidRDefault="00FE02C2" w:rsidP="000337CB">
      <w:pPr>
        <w:pStyle w:val="BodyText"/>
        <w:rPr>
          <w:b w:val="0"/>
          <w:szCs w:val="24"/>
          <w:u w:val="single"/>
        </w:rPr>
      </w:pPr>
      <w:r w:rsidRPr="00573367">
        <w:rPr>
          <w:b w:val="0"/>
          <w:szCs w:val="24"/>
          <w:u w:val="single"/>
        </w:rPr>
        <w:t xml:space="preserve">Section 3 – </w:t>
      </w:r>
      <w:r w:rsidR="00E5798A" w:rsidRPr="00573367">
        <w:rPr>
          <w:b w:val="0"/>
          <w:szCs w:val="24"/>
          <w:u w:val="single"/>
        </w:rPr>
        <w:t>Authority</w:t>
      </w:r>
    </w:p>
    <w:p w14:paraId="53BFA098" w14:textId="77777777" w:rsidR="007A4089" w:rsidRPr="00573367" w:rsidRDefault="007A4089" w:rsidP="000337CB">
      <w:pPr>
        <w:pStyle w:val="BodyText"/>
        <w:rPr>
          <w:b w:val="0"/>
          <w:szCs w:val="24"/>
          <w:u w:val="single"/>
        </w:rPr>
      </w:pPr>
    </w:p>
    <w:p w14:paraId="2412D14B" w14:textId="66BA1F62" w:rsidR="00FE02C2" w:rsidRPr="00573367" w:rsidRDefault="00F83B6F" w:rsidP="000337CB">
      <w:pPr>
        <w:pStyle w:val="BodyText"/>
        <w:rPr>
          <w:b w:val="0"/>
        </w:rPr>
      </w:pPr>
      <w:r w:rsidRPr="00573367">
        <w:rPr>
          <w:b w:val="0"/>
        </w:rPr>
        <w:t xml:space="preserve">Section 3 provides that the </w:t>
      </w:r>
      <w:r w:rsidR="005E52AD" w:rsidRPr="00573367">
        <w:rPr>
          <w:b w:val="0"/>
        </w:rPr>
        <w:t xml:space="preserve">Amendment </w:t>
      </w:r>
      <w:r w:rsidR="008B2094" w:rsidRPr="00573367">
        <w:rPr>
          <w:b w:val="0"/>
          <w:szCs w:val="24"/>
        </w:rPr>
        <w:t xml:space="preserve">Determination </w:t>
      </w:r>
      <w:r w:rsidR="00E5798A" w:rsidRPr="00573367">
        <w:rPr>
          <w:b w:val="0"/>
        </w:rPr>
        <w:t xml:space="preserve">is made under </w:t>
      </w:r>
      <w:r w:rsidR="00367440" w:rsidRPr="00573367">
        <w:rPr>
          <w:b w:val="0"/>
        </w:rPr>
        <w:t xml:space="preserve">subsection </w:t>
      </w:r>
      <w:r w:rsidR="00E5798A" w:rsidRPr="00573367">
        <w:rPr>
          <w:b w:val="0"/>
        </w:rPr>
        <w:t>3</w:t>
      </w:r>
      <w:proofErr w:type="gramStart"/>
      <w:r w:rsidR="00E5798A" w:rsidRPr="00573367">
        <w:rPr>
          <w:b w:val="0"/>
        </w:rPr>
        <w:t>C(</w:t>
      </w:r>
      <w:proofErr w:type="gramEnd"/>
      <w:r w:rsidR="00E5798A" w:rsidRPr="00573367">
        <w:rPr>
          <w:b w:val="0"/>
        </w:rPr>
        <w:t xml:space="preserve">1) of the </w:t>
      </w:r>
      <w:r w:rsidR="00E5798A" w:rsidRPr="00573367">
        <w:rPr>
          <w:b w:val="0"/>
          <w:i/>
        </w:rPr>
        <w:t>Health Insurance Act 1973</w:t>
      </w:r>
      <w:r w:rsidR="00E5798A" w:rsidRPr="00573367">
        <w:rPr>
          <w:b w:val="0"/>
        </w:rPr>
        <w:t>.</w:t>
      </w:r>
    </w:p>
    <w:p w14:paraId="0DBF1241" w14:textId="77777777" w:rsidR="00E70355" w:rsidRPr="00573367" w:rsidRDefault="00E70355" w:rsidP="000337CB">
      <w:pPr>
        <w:pStyle w:val="BodyText"/>
        <w:rPr>
          <w:b w:val="0"/>
        </w:rPr>
      </w:pPr>
    </w:p>
    <w:p w14:paraId="20CBF84A" w14:textId="77777777" w:rsidR="00C63FDC" w:rsidRPr="00573367" w:rsidRDefault="00C63FDC" w:rsidP="00C63FDC">
      <w:pPr>
        <w:pStyle w:val="BodyText"/>
        <w:rPr>
          <w:b w:val="0"/>
          <w:szCs w:val="24"/>
          <w:u w:val="single"/>
        </w:rPr>
      </w:pPr>
      <w:r w:rsidRPr="00573367">
        <w:rPr>
          <w:b w:val="0"/>
          <w:szCs w:val="24"/>
          <w:u w:val="single"/>
        </w:rPr>
        <w:t>Section 4 – Schedules</w:t>
      </w:r>
    </w:p>
    <w:p w14:paraId="4C010161" w14:textId="77777777" w:rsidR="00C63FDC" w:rsidRPr="00573367" w:rsidRDefault="00C63FDC" w:rsidP="00C63FDC">
      <w:pPr>
        <w:pStyle w:val="BodyText"/>
        <w:rPr>
          <w:b w:val="0"/>
          <w:szCs w:val="24"/>
          <w:u w:val="single"/>
        </w:rPr>
      </w:pPr>
    </w:p>
    <w:p w14:paraId="5D9EBF8D" w14:textId="02CD951B" w:rsidR="00C63FDC" w:rsidRPr="00573367" w:rsidRDefault="00C63FDC" w:rsidP="00C63FDC">
      <w:pPr>
        <w:pStyle w:val="BodyText"/>
        <w:rPr>
          <w:b w:val="0"/>
          <w:szCs w:val="24"/>
        </w:rPr>
      </w:pPr>
      <w:r w:rsidRPr="00573367">
        <w:rPr>
          <w:b w:val="0"/>
          <w:szCs w:val="24"/>
        </w:rPr>
        <w:t>Section 4 provides that each instrument that is specified in a Schedule to th</w:t>
      </w:r>
      <w:r w:rsidR="005E52AD" w:rsidRPr="00573367">
        <w:rPr>
          <w:b w:val="0"/>
          <w:szCs w:val="24"/>
        </w:rPr>
        <w:t>e</w:t>
      </w:r>
      <w:r w:rsidRPr="00573367">
        <w:rPr>
          <w:b w:val="0"/>
          <w:szCs w:val="24"/>
        </w:rPr>
        <w:t xml:space="preserve"> </w:t>
      </w:r>
      <w:r w:rsidR="005E52AD" w:rsidRPr="00573367">
        <w:rPr>
          <w:b w:val="0"/>
          <w:szCs w:val="24"/>
        </w:rPr>
        <w:t xml:space="preserve">Amendment </w:t>
      </w:r>
      <w:r w:rsidRPr="00573367">
        <w:rPr>
          <w:b w:val="0"/>
          <w:szCs w:val="24"/>
        </w:rPr>
        <w:t>Determination is amended or repealed as set out in the applicable items in the Schedule concerned, and any other item in a Schedule to th</w:t>
      </w:r>
      <w:r w:rsidR="005E52AD" w:rsidRPr="00573367">
        <w:rPr>
          <w:b w:val="0"/>
          <w:szCs w:val="24"/>
        </w:rPr>
        <w:t>e</w:t>
      </w:r>
      <w:r w:rsidRPr="00573367">
        <w:rPr>
          <w:b w:val="0"/>
          <w:szCs w:val="24"/>
        </w:rPr>
        <w:t xml:space="preserve"> </w:t>
      </w:r>
      <w:r w:rsidR="005E52AD" w:rsidRPr="00573367">
        <w:rPr>
          <w:b w:val="0"/>
          <w:szCs w:val="24"/>
        </w:rPr>
        <w:t xml:space="preserve">Amendment </w:t>
      </w:r>
      <w:r w:rsidRPr="00573367">
        <w:rPr>
          <w:b w:val="0"/>
          <w:szCs w:val="24"/>
        </w:rPr>
        <w:t>Determination has effect according to its terms.</w:t>
      </w:r>
    </w:p>
    <w:p w14:paraId="0EBFFCF8" w14:textId="77777777" w:rsidR="00D500CD" w:rsidRPr="00573367" w:rsidRDefault="00D500CD" w:rsidP="00C63FDC">
      <w:pPr>
        <w:pStyle w:val="Header"/>
        <w:tabs>
          <w:tab w:val="num" w:pos="1080"/>
        </w:tabs>
        <w:rPr>
          <w:szCs w:val="24"/>
          <w:u w:val="single"/>
        </w:rPr>
      </w:pPr>
    </w:p>
    <w:p w14:paraId="2212E577" w14:textId="29364E50" w:rsidR="00C63FDC" w:rsidRPr="00573367" w:rsidRDefault="001C68CB" w:rsidP="00C63FDC">
      <w:pPr>
        <w:pStyle w:val="Header"/>
        <w:tabs>
          <w:tab w:val="num" w:pos="1080"/>
        </w:tabs>
        <w:rPr>
          <w:szCs w:val="24"/>
          <w:u w:val="single"/>
        </w:rPr>
      </w:pPr>
      <w:r w:rsidRPr="00573367">
        <w:rPr>
          <w:szCs w:val="24"/>
          <w:u w:val="single"/>
        </w:rPr>
        <w:t xml:space="preserve">Schedule 1—Better Access </w:t>
      </w:r>
      <w:r w:rsidR="00FB0F26" w:rsidRPr="00573367">
        <w:rPr>
          <w:szCs w:val="24"/>
          <w:u w:val="single"/>
        </w:rPr>
        <w:t>R</w:t>
      </w:r>
      <w:r w:rsidRPr="00573367">
        <w:rPr>
          <w:szCs w:val="24"/>
          <w:u w:val="single"/>
        </w:rPr>
        <w:t>edesign Amendments</w:t>
      </w:r>
    </w:p>
    <w:p w14:paraId="1B149FBD" w14:textId="77777777" w:rsidR="001C68CB" w:rsidRPr="00573367" w:rsidRDefault="001C68CB" w:rsidP="00C63FDC">
      <w:pPr>
        <w:pStyle w:val="Header"/>
        <w:tabs>
          <w:tab w:val="num" w:pos="1080"/>
        </w:tabs>
        <w:rPr>
          <w:szCs w:val="24"/>
          <w:u w:val="single"/>
        </w:rPr>
      </w:pPr>
    </w:p>
    <w:p w14:paraId="49F9BAC1" w14:textId="55F06FC4" w:rsidR="00C63FDC" w:rsidRPr="00573367" w:rsidRDefault="00F57F44" w:rsidP="00505F9A">
      <w:pPr>
        <w:pStyle w:val="Header"/>
        <w:tabs>
          <w:tab w:val="num" w:pos="1080"/>
        </w:tabs>
        <w:rPr>
          <w:iCs/>
          <w:szCs w:val="24"/>
        </w:rPr>
      </w:pPr>
      <w:r w:rsidRPr="00573367">
        <w:rPr>
          <w:i/>
        </w:rPr>
        <w:t>Health Insurance (Section 3C General Medical Services – Allied Health Services) Determination 2024</w:t>
      </w:r>
      <w:r w:rsidR="002963B5" w:rsidRPr="00573367">
        <w:rPr>
          <w:i/>
        </w:rPr>
        <w:t xml:space="preserve"> </w:t>
      </w:r>
      <w:r w:rsidR="002963B5" w:rsidRPr="00573367">
        <w:rPr>
          <w:iCs/>
        </w:rPr>
        <w:t>(Allied Health Determination)</w:t>
      </w:r>
    </w:p>
    <w:p w14:paraId="0C7E649E" w14:textId="77777777" w:rsidR="00C63FDC" w:rsidRPr="00573367" w:rsidRDefault="00C63FDC" w:rsidP="00C63FDC">
      <w:pPr>
        <w:pStyle w:val="Header"/>
        <w:tabs>
          <w:tab w:val="num" w:pos="1080"/>
        </w:tabs>
        <w:rPr>
          <w:iCs/>
          <w:szCs w:val="24"/>
        </w:rPr>
      </w:pPr>
    </w:p>
    <w:p w14:paraId="5A36C027" w14:textId="247AC712" w:rsidR="007708B3" w:rsidRPr="00573367" w:rsidRDefault="00F57F44" w:rsidP="00C63FDC">
      <w:pPr>
        <w:pStyle w:val="Header"/>
        <w:tabs>
          <w:tab w:val="num" w:pos="1080"/>
        </w:tabs>
        <w:rPr>
          <w:szCs w:val="24"/>
        </w:rPr>
      </w:pPr>
      <w:r w:rsidRPr="00573367">
        <w:rPr>
          <w:b/>
          <w:bCs/>
          <w:szCs w:val="24"/>
        </w:rPr>
        <w:t>Item 1</w:t>
      </w:r>
      <w:r w:rsidRPr="00573367">
        <w:rPr>
          <w:szCs w:val="24"/>
        </w:rPr>
        <w:t xml:space="preserve"> </w:t>
      </w:r>
      <w:r w:rsidR="004F4E22" w:rsidRPr="00573367">
        <w:rPr>
          <w:szCs w:val="24"/>
        </w:rPr>
        <w:t>inserts a definition for “</w:t>
      </w:r>
      <w:proofErr w:type="spellStart"/>
      <w:r w:rsidR="004F4E22" w:rsidRPr="00573367">
        <w:rPr>
          <w:szCs w:val="24"/>
        </w:rPr>
        <w:t>MyMedicare</w:t>
      </w:r>
      <w:proofErr w:type="spellEnd"/>
      <w:r w:rsidR="004F4E22" w:rsidRPr="00573367">
        <w:rPr>
          <w:szCs w:val="24"/>
        </w:rPr>
        <w:t xml:space="preserve">” into </w:t>
      </w:r>
      <w:r w:rsidR="002963B5" w:rsidRPr="00573367">
        <w:rPr>
          <w:szCs w:val="24"/>
        </w:rPr>
        <w:t xml:space="preserve">subsection 4(1) of </w:t>
      </w:r>
      <w:r w:rsidR="004F4E22" w:rsidRPr="00573367">
        <w:rPr>
          <w:szCs w:val="24"/>
        </w:rPr>
        <w:t>the</w:t>
      </w:r>
      <w:r w:rsidR="002963B5" w:rsidRPr="00573367">
        <w:rPr>
          <w:szCs w:val="24"/>
        </w:rPr>
        <w:t xml:space="preserve"> Allied Health Determination</w:t>
      </w:r>
      <w:r w:rsidR="004E13B2" w:rsidRPr="00573367">
        <w:rPr>
          <w:szCs w:val="24"/>
        </w:rPr>
        <w:t>.</w:t>
      </w:r>
      <w:r w:rsidR="00EF2331" w:rsidRPr="00573367">
        <w:rPr>
          <w:szCs w:val="24"/>
        </w:rPr>
        <w:t xml:space="preserve"> </w:t>
      </w:r>
    </w:p>
    <w:p w14:paraId="4FCE2FD7" w14:textId="77777777" w:rsidR="00F57F44" w:rsidRPr="00573367" w:rsidRDefault="00F57F44" w:rsidP="00C63FDC">
      <w:pPr>
        <w:pStyle w:val="Header"/>
        <w:tabs>
          <w:tab w:val="num" w:pos="1080"/>
        </w:tabs>
        <w:rPr>
          <w:szCs w:val="24"/>
        </w:rPr>
      </w:pPr>
    </w:p>
    <w:p w14:paraId="6437B511" w14:textId="72155953" w:rsidR="00E4255F" w:rsidRPr="00573367" w:rsidRDefault="00F57F44" w:rsidP="00C63FDC">
      <w:pPr>
        <w:pStyle w:val="Header"/>
        <w:tabs>
          <w:tab w:val="num" w:pos="1080"/>
        </w:tabs>
        <w:rPr>
          <w:szCs w:val="24"/>
        </w:rPr>
      </w:pPr>
      <w:r w:rsidRPr="00573367">
        <w:rPr>
          <w:b/>
          <w:bCs/>
          <w:szCs w:val="24"/>
        </w:rPr>
        <w:t xml:space="preserve">Item 2 </w:t>
      </w:r>
      <w:r w:rsidR="004F4E22" w:rsidRPr="00573367">
        <w:rPr>
          <w:szCs w:val="24"/>
        </w:rPr>
        <w:t>repeals and replaces</w:t>
      </w:r>
      <w:r w:rsidR="004F4E22" w:rsidRPr="00573367">
        <w:rPr>
          <w:b/>
          <w:bCs/>
          <w:szCs w:val="24"/>
        </w:rPr>
        <w:t xml:space="preserve"> </w:t>
      </w:r>
      <w:r w:rsidR="007C1570" w:rsidRPr="00573367">
        <w:rPr>
          <w:szCs w:val="24"/>
        </w:rPr>
        <w:t>s</w:t>
      </w:r>
      <w:r w:rsidR="004F4E22" w:rsidRPr="00573367">
        <w:rPr>
          <w:szCs w:val="24"/>
        </w:rPr>
        <w:t xml:space="preserve">ection 12 </w:t>
      </w:r>
      <w:r w:rsidR="00E4255F" w:rsidRPr="00573367">
        <w:rPr>
          <w:szCs w:val="24"/>
        </w:rPr>
        <w:t xml:space="preserve">of </w:t>
      </w:r>
      <w:r w:rsidR="00E54E74" w:rsidRPr="00573367">
        <w:rPr>
          <w:szCs w:val="24"/>
        </w:rPr>
        <w:t>the Allied Health Determination</w:t>
      </w:r>
      <w:r w:rsidR="00E4255F" w:rsidRPr="00573367">
        <w:rPr>
          <w:szCs w:val="24"/>
        </w:rPr>
        <w:t xml:space="preserve">, which deals with referral requirements for allied health </w:t>
      </w:r>
      <w:r w:rsidR="00841D5A" w:rsidRPr="00573367">
        <w:rPr>
          <w:szCs w:val="24"/>
        </w:rPr>
        <w:t xml:space="preserve">and other primary health care </w:t>
      </w:r>
      <w:r w:rsidR="00E4255F" w:rsidRPr="00573367">
        <w:rPr>
          <w:szCs w:val="24"/>
        </w:rPr>
        <w:t>services</w:t>
      </w:r>
      <w:r w:rsidR="00A81E11" w:rsidRPr="00573367">
        <w:rPr>
          <w:szCs w:val="24"/>
        </w:rPr>
        <w:t>,</w:t>
      </w:r>
      <w:r w:rsidR="001947ED" w:rsidRPr="00573367">
        <w:rPr>
          <w:szCs w:val="24"/>
        </w:rPr>
        <w:t xml:space="preserve"> to</w:t>
      </w:r>
      <w:r w:rsidR="00E4255F" w:rsidRPr="00573367">
        <w:rPr>
          <w:szCs w:val="24"/>
        </w:rPr>
        <w:t>:</w:t>
      </w:r>
    </w:p>
    <w:p w14:paraId="0A8E14C3" w14:textId="67DA7020" w:rsidR="00F520B7" w:rsidRPr="00573367" w:rsidRDefault="004F7142" w:rsidP="00F520B7">
      <w:pPr>
        <w:pStyle w:val="Header"/>
        <w:numPr>
          <w:ilvl w:val="0"/>
          <w:numId w:val="38"/>
        </w:numPr>
        <w:rPr>
          <w:szCs w:val="24"/>
        </w:rPr>
      </w:pPr>
      <w:r w:rsidRPr="00573367">
        <w:rPr>
          <w:szCs w:val="24"/>
        </w:rPr>
        <w:t>u</w:t>
      </w:r>
      <w:r w:rsidR="00F520B7" w:rsidRPr="00573367">
        <w:rPr>
          <w:szCs w:val="24"/>
        </w:rPr>
        <w:t xml:space="preserve">pdate the title of the section to reflect language used by the </w:t>
      </w:r>
      <w:proofErr w:type="gramStart"/>
      <w:r w:rsidR="00F520B7" w:rsidRPr="00573367">
        <w:rPr>
          <w:szCs w:val="24"/>
        </w:rPr>
        <w:t>sector</w:t>
      </w:r>
      <w:r w:rsidR="00C9430D" w:rsidRPr="00573367">
        <w:rPr>
          <w:szCs w:val="24"/>
        </w:rPr>
        <w:t>;</w:t>
      </w:r>
      <w:proofErr w:type="gramEnd"/>
      <w:r w:rsidR="00F520B7" w:rsidRPr="00573367">
        <w:rPr>
          <w:szCs w:val="24"/>
        </w:rPr>
        <w:t xml:space="preserve"> </w:t>
      </w:r>
    </w:p>
    <w:p w14:paraId="56CAB03E" w14:textId="6067EDD1" w:rsidR="004F4E22" w:rsidRPr="00573367" w:rsidRDefault="00A81E11" w:rsidP="004F4E22">
      <w:pPr>
        <w:pStyle w:val="Header"/>
        <w:numPr>
          <w:ilvl w:val="0"/>
          <w:numId w:val="38"/>
        </w:numPr>
        <w:rPr>
          <w:szCs w:val="24"/>
        </w:rPr>
      </w:pPr>
      <w:r w:rsidRPr="00573367">
        <w:rPr>
          <w:szCs w:val="24"/>
        </w:rPr>
        <w:t>i</w:t>
      </w:r>
      <w:r w:rsidR="001947ED" w:rsidRPr="00573367">
        <w:rPr>
          <w:szCs w:val="24"/>
        </w:rPr>
        <w:t>nsert subsection (1A)</w:t>
      </w:r>
      <w:r w:rsidR="00311829" w:rsidRPr="00573367">
        <w:rPr>
          <w:szCs w:val="24"/>
        </w:rPr>
        <w:t>, which</w:t>
      </w:r>
      <w:r w:rsidR="001947ED" w:rsidRPr="00573367">
        <w:rPr>
          <w:szCs w:val="24"/>
        </w:rPr>
        <w:t xml:space="preserve"> provides for transitional arrangements for referrals prepared on or after 1 November 2025</w:t>
      </w:r>
      <w:r w:rsidR="003F43AB" w:rsidRPr="00573367">
        <w:rPr>
          <w:szCs w:val="24"/>
        </w:rPr>
        <w:t xml:space="preserve"> for specified </w:t>
      </w:r>
      <w:proofErr w:type="gramStart"/>
      <w:r w:rsidR="003F43AB" w:rsidRPr="00573367">
        <w:rPr>
          <w:szCs w:val="24"/>
        </w:rPr>
        <w:t>services</w:t>
      </w:r>
      <w:r w:rsidR="00C9430D" w:rsidRPr="00573367">
        <w:rPr>
          <w:szCs w:val="24"/>
        </w:rPr>
        <w:t>;</w:t>
      </w:r>
      <w:proofErr w:type="gramEnd"/>
      <w:r w:rsidR="001947ED" w:rsidRPr="00573367">
        <w:rPr>
          <w:szCs w:val="24"/>
        </w:rPr>
        <w:t xml:space="preserve"> </w:t>
      </w:r>
    </w:p>
    <w:p w14:paraId="235E031C" w14:textId="6775F052" w:rsidR="001947ED" w:rsidRPr="00573367" w:rsidRDefault="00A81E11" w:rsidP="004F4E22">
      <w:pPr>
        <w:pStyle w:val="Header"/>
        <w:numPr>
          <w:ilvl w:val="0"/>
          <w:numId w:val="38"/>
        </w:numPr>
        <w:rPr>
          <w:szCs w:val="24"/>
        </w:rPr>
      </w:pPr>
      <w:r w:rsidRPr="00573367">
        <w:rPr>
          <w:szCs w:val="24"/>
        </w:rPr>
        <w:t>u</w:t>
      </w:r>
      <w:r w:rsidR="001947ED" w:rsidRPr="00573367">
        <w:rPr>
          <w:szCs w:val="24"/>
        </w:rPr>
        <w:t xml:space="preserve">pdate the definition of </w:t>
      </w:r>
      <w:r w:rsidR="00752D0E" w:rsidRPr="00573367">
        <w:rPr>
          <w:szCs w:val="24"/>
        </w:rPr>
        <w:t>“</w:t>
      </w:r>
      <w:r w:rsidR="001947ED" w:rsidRPr="00573367">
        <w:rPr>
          <w:szCs w:val="24"/>
        </w:rPr>
        <w:t>referring practitioner</w:t>
      </w:r>
      <w:r w:rsidR="00752D0E" w:rsidRPr="00573367">
        <w:rPr>
          <w:szCs w:val="24"/>
        </w:rPr>
        <w:t>”</w:t>
      </w:r>
      <w:r w:rsidR="001947ED" w:rsidRPr="00573367">
        <w:rPr>
          <w:szCs w:val="24"/>
        </w:rPr>
        <w:t xml:space="preserve"> at </w:t>
      </w:r>
      <w:r w:rsidR="00955250" w:rsidRPr="00573367">
        <w:rPr>
          <w:szCs w:val="24"/>
        </w:rPr>
        <w:t>p</w:t>
      </w:r>
      <w:r w:rsidR="001947ED" w:rsidRPr="00573367">
        <w:rPr>
          <w:szCs w:val="24"/>
        </w:rPr>
        <w:t>aragraph (5)(a) to include additional requirements for MBS items listed in Group M6 o</w:t>
      </w:r>
      <w:r w:rsidR="00955250" w:rsidRPr="00573367">
        <w:rPr>
          <w:szCs w:val="24"/>
        </w:rPr>
        <w:t>r</w:t>
      </w:r>
      <w:r w:rsidR="001947ED" w:rsidRPr="00573367">
        <w:rPr>
          <w:szCs w:val="24"/>
        </w:rPr>
        <w:t xml:space="preserve"> Subgroup 1 of Group </w:t>
      </w:r>
      <w:proofErr w:type="gramStart"/>
      <w:r w:rsidR="001947ED" w:rsidRPr="00573367">
        <w:rPr>
          <w:szCs w:val="24"/>
        </w:rPr>
        <w:t>M7</w:t>
      </w:r>
      <w:r w:rsidR="00C9430D" w:rsidRPr="00573367">
        <w:rPr>
          <w:szCs w:val="24"/>
        </w:rPr>
        <w:t>;</w:t>
      </w:r>
      <w:proofErr w:type="gramEnd"/>
      <w:r w:rsidR="001947ED" w:rsidRPr="00573367">
        <w:rPr>
          <w:szCs w:val="24"/>
        </w:rPr>
        <w:t xml:space="preserve"> </w:t>
      </w:r>
    </w:p>
    <w:p w14:paraId="1E51AB16" w14:textId="09C3CA66" w:rsidR="001947ED" w:rsidRPr="00573367" w:rsidRDefault="00A81E11" w:rsidP="004F4E22">
      <w:pPr>
        <w:pStyle w:val="Header"/>
        <w:numPr>
          <w:ilvl w:val="0"/>
          <w:numId w:val="38"/>
        </w:numPr>
        <w:rPr>
          <w:szCs w:val="24"/>
        </w:rPr>
      </w:pPr>
      <w:r w:rsidRPr="00573367">
        <w:rPr>
          <w:szCs w:val="24"/>
        </w:rPr>
        <w:t>i</w:t>
      </w:r>
      <w:r w:rsidR="001947ED" w:rsidRPr="00573367">
        <w:rPr>
          <w:szCs w:val="24"/>
        </w:rPr>
        <w:t xml:space="preserve">nsert </w:t>
      </w:r>
      <w:r w:rsidR="00075649" w:rsidRPr="00573367">
        <w:rPr>
          <w:szCs w:val="24"/>
        </w:rPr>
        <w:t>p</w:t>
      </w:r>
      <w:r w:rsidR="001947ED" w:rsidRPr="00573367">
        <w:rPr>
          <w:szCs w:val="24"/>
        </w:rPr>
        <w:t xml:space="preserve">aragraph (5)(c) to define that </w:t>
      </w:r>
      <w:r w:rsidR="00075649" w:rsidRPr="00573367">
        <w:rPr>
          <w:szCs w:val="24"/>
        </w:rPr>
        <w:t>“</w:t>
      </w:r>
      <w:r w:rsidR="001947ED" w:rsidRPr="00573367">
        <w:rPr>
          <w:szCs w:val="24"/>
        </w:rPr>
        <w:t>usual medical practitioner</w:t>
      </w:r>
      <w:r w:rsidR="00075649" w:rsidRPr="00573367">
        <w:rPr>
          <w:szCs w:val="24"/>
        </w:rPr>
        <w:t>”</w:t>
      </w:r>
      <w:r w:rsidR="001947ED" w:rsidRPr="00573367">
        <w:rPr>
          <w:szCs w:val="24"/>
        </w:rPr>
        <w:t xml:space="preserve"> has </w:t>
      </w:r>
      <w:r w:rsidR="001947ED" w:rsidRPr="00573367">
        <w:t>the meaning given by clause 7.1.1 of the general medical services table</w:t>
      </w:r>
      <w:r w:rsidR="00C9430D" w:rsidRPr="00573367">
        <w:t>;</w:t>
      </w:r>
      <w:r w:rsidR="003F43AB" w:rsidRPr="00573367">
        <w:t xml:space="preserve"> and</w:t>
      </w:r>
    </w:p>
    <w:p w14:paraId="33CB9595" w14:textId="3B5D5C4F" w:rsidR="00782881" w:rsidRPr="00573367" w:rsidRDefault="00A81E11" w:rsidP="000B0844">
      <w:pPr>
        <w:pStyle w:val="Header"/>
        <w:numPr>
          <w:ilvl w:val="0"/>
          <w:numId w:val="38"/>
        </w:numPr>
        <w:rPr>
          <w:szCs w:val="24"/>
        </w:rPr>
      </w:pPr>
      <w:r w:rsidRPr="00573367">
        <w:t>i</w:t>
      </w:r>
      <w:r w:rsidR="00782881" w:rsidRPr="00573367">
        <w:t xml:space="preserve">nsert subsection (7A) to </w:t>
      </w:r>
      <w:r w:rsidR="00C5405C" w:rsidRPr="00573367">
        <w:t>provide</w:t>
      </w:r>
      <w:r w:rsidR="00782881" w:rsidRPr="00573367">
        <w:t xml:space="preserve"> that referrals for services listed in </w:t>
      </w:r>
      <w:r w:rsidR="00F955CD" w:rsidRPr="00573367">
        <w:t>G</w:t>
      </w:r>
      <w:r w:rsidR="00782881" w:rsidRPr="00573367">
        <w:t>roup M6 o</w:t>
      </w:r>
      <w:r w:rsidR="00F955CD" w:rsidRPr="00573367">
        <w:t>r</w:t>
      </w:r>
      <w:r w:rsidR="00782881" w:rsidRPr="00573367">
        <w:t xml:space="preserve"> </w:t>
      </w:r>
      <w:r w:rsidR="00F955CD" w:rsidRPr="00573367">
        <w:t>S</w:t>
      </w:r>
      <w:r w:rsidR="00782881" w:rsidRPr="00573367">
        <w:t xml:space="preserve">ubgroup 1 of </w:t>
      </w:r>
      <w:r w:rsidR="00F955CD" w:rsidRPr="00573367">
        <w:t xml:space="preserve">Group </w:t>
      </w:r>
      <w:r w:rsidR="00782881" w:rsidRPr="00573367">
        <w:t>M7 are valid until the</w:t>
      </w:r>
      <w:r w:rsidR="004D47C1" w:rsidRPr="00573367">
        <w:t xml:space="preserve"> maximum</w:t>
      </w:r>
      <w:r w:rsidR="00782881" w:rsidRPr="00573367">
        <w:t xml:space="preserve"> number of sessions </w:t>
      </w:r>
      <w:r w:rsidR="005D2323" w:rsidRPr="00573367">
        <w:t>recommended by the referring practitioner</w:t>
      </w:r>
      <w:r w:rsidR="00782881" w:rsidRPr="00573367">
        <w:t xml:space="preserve"> </w:t>
      </w:r>
      <w:r w:rsidR="004D47C1" w:rsidRPr="00573367">
        <w:t>is</w:t>
      </w:r>
      <w:r w:rsidR="00782881" w:rsidRPr="00573367">
        <w:t xml:space="preserve"> completed.</w:t>
      </w:r>
    </w:p>
    <w:p w14:paraId="52E43E0B" w14:textId="77777777" w:rsidR="00F57F44" w:rsidRPr="00573367" w:rsidRDefault="00F57F44" w:rsidP="00C63FDC">
      <w:pPr>
        <w:pStyle w:val="Header"/>
        <w:tabs>
          <w:tab w:val="num" w:pos="1080"/>
        </w:tabs>
        <w:rPr>
          <w:szCs w:val="24"/>
        </w:rPr>
      </w:pPr>
    </w:p>
    <w:p w14:paraId="6DB34684" w14:textId="56714C9D" w:rsidR="00F57F44" w:rsidRPr="00573367" w:rsidRDefault="00F57F44" w:rsidP="00C63FDC">
      <w:pPr>
        <w:pStyle w:val="Header"/>
        <w:tabs>
          <w:tab w:val="num" w:pos="1080"/>
        </w:tabs>
        <w:rPr>
          <w:szCs w:val="24"/>
        </w:rPr>
      </w:pPr>
      <w:r w:rsidRPr="00573367">
        <w:rPr>
          <w:i/>
          <w:iCs/>
          <w:szCs w:val="24"/>
        </w:rPr>
        <w:lastRenderedPageBreak/>
        <w:t>Health Insurance (Section 3C General Medical Services – Telehealth Attendances) Determination 2021</w:t>
      </w:r>
      <w:r w:rsidR="00D500CD" w:rsidRPr="00573367">
        <w:rPr>
          <w:i/>
          <w:iCs/>
          <w:szCs w:val="24"/>
        </w:rPr>
        <w:t xml:space="preserve"> </w:t>
      </w:r>
      <w:r w:rsidR="00D500CD" w:rsidRPr="00573367">
        <w:rPr>
          <w:szCs w:val="24"/>
        </w:rPr>
        <w:t>(Telehealth Determination)</w:t>
      </w:r>
      <w:r w:rsidR="004E13B2" w:rsidRPr="00573367">
        <w:rPr>
          <w:szCs w:val="24"/>
        </w:rPr>
        <w:t>.</w:t>
      </w:r>
    </w:p>
    <w:p w14:paraId="371F01D6" w14:textId="77777777" w:rsidR="007708B3" w:rsidRPr="00573367" w:rsidRDefault="007708B3" w:rsidP="00C63FDC">
      <w:pPr>
        <w:pStyle w:val="Header"/>
        <w:tabs>
          <w:tab w:val="num" w:pos="1080"/>
        </w:tabs>
        <w:rPr>
          <w:bCs/>
          <w:szCs w:val="24"/>
        </w:rPr>
      </w:pPr>
    </w:p>
    <w:p w14:paraId="59444E1C" w14:textId="64358F56" w:rsidR="00F92107" w:rsidRPr="00573367" w:rsidRDefault="00F92107" w:rsidP="00F92107">
      <w:pPr>
        <w:pStyle w:val="Header"/>
        <w:tabs>
          <w:tab w:val="num" w:pos="1080"/>
        </w:tabs>
        <w:rPr>
          <w:szCs w:val="24"/>
        </w:rPr>
      </w:pPr>
      <w:r w:rsidRPr="00573367">
        <w:rPr>
          <w:b/>
          <w:bCs/>
          <w:szCs w:val="24"/>
        </w:rPr>
        <w:t>Item 3</w:t>
      </w:r>
      <w:r w:rsidRPr="00573367">
        <w:rPr>
          <w:szCs w:val="24"/>
        </w:rPr>
        <w:t xml:space="preserve"> amend</w:t>
      </w:r>
      <w:r w:rsidR="00F878F7" w:rsidRPr="00573367">
        <w:rPr>
          <w:szCs w:val="24"/>
        </w:rPr>
        <w:t>s</w:t>
      </w:r>
      <w:r w:rsidRPr="00573367">
        <w:rPr>
          <w:szCs w:val="24"/>
        </w:rPr>
        <w:t xml:space="preserve"> the definition of </w:t>
      </w:r>
      <w:r w:rsidR="00B37740" w:rsidRPr="00573367">
        <w:rPr>
          <w:szCs w:val="24"/>
        </w:rPr>
        <w:t>“</w:t>
      </w:r>
      <w:proofErr w:type="spellStart"/>
      <w:r w:rsidRPr="00573367">
        <w:rPr>
          <w:szCs w:val="24"/>
        </w:rPr>
        <w:t>MyMedicare</w:t>
      </w:r>
      <w:proofErr w:type="spellEnd"/>
      <w:r w:rsidR="00B37740" w:rsidRPr="00573367">
        <w:rPr>
          <w:szCs w:val="24"/>
        </w:rPr>
        <w:t>”</w:t>
      </w:r>
      <w:r w:rsidRPr="00573367">
        <w:rPr>
          <w:szCs w:val="24"/>
        </w:rPr>
        <w:t xml:space="preserve"> </w:t>
      </w:r>
      <w:r w:rsidR="00F878F7" w:rsidRPr="00573367">
        <w:rPr>
          <w:szCs w:val="24"/>
        </w:rPr>
        <w:t>to refer</w:t>
      </w:r>
      <w:r w:rsidRPr="00573367">
        <w:rPr>
          <w:szCs w:val="24"/>
        </w:rPr>
        <w:t xml:space="preserve"> to the correct clause in the </w:t>
      </w:r>
      <w:r w:rsidR="004B664D" w:rsidRPr="00573367">
        <w:rPr>
          <w:i/>
          <w:iCs/>
          <w:szCs w:val="24"/>
        </w:rPr>
        <w:t>Health Insurance (General Medical Services Table) Regulations 2021</w:t>
      </w:r>
      <w:r w:rsidR="004B664D" w:rsidRPr="00573367">
        <w:rPr>
          <w:szCs w:val="24"/>
        </w:rPr>
        <w:t xml:space="preserve"> </w:t>
      </w:r>
      <w:r w:rsidR="00F878F7" w:rsidRPr="00573367">
        <w:rPr>
          <w:szCs w:val="24"/>
        </w:rPr>
        <w:t>containing the definition</w:t>
      </w:r>
      <w:r w:rsidR="004E13B2" w:rsidRPr="00573367">
        <w:rPr>
          <w:szCs w:val="24"/>
        </w:rPr>
        <w:t>.</w:t>
      </w:r>
      <w:r w:rsidRPr="00573367">
        <w:rPr>
          <w:szCs w:val="24"/>
        </w:rPr>
        <w:t xml:space="preserve"> </w:t>
      </w:r>
    </w:p>
    <w:p w14:paraId="2C757B7D" w14:textId="77777777" w:rsidR="00F92107" w:rsidRPr="00573367" w:rsidRDefault="00F92107" w:rsidP="00F92107">
      <w:pPr>
        <w:pStyle w:val="Header"/>
        <w:tabs>
          <w:tab w:val="num" w:pos="1080"/>
        </w:tabs>
        <w:rPr>
          <w:szCs w:val="24"/>
        </w:rPr>
      </w:pPr>
    </w:p>
    <w:p w14:paraId="331B7C1B" w14:textId="07DCC9EA" w:rsidR="009207F5" w:rsidRPr="00573367" w:rsidRDefault="00BE21A0" w:rsidP="009207F5">
      <w:pPr>
        <w:pStyle w:val="Header"/>
        <w:tabs>
          <w:tab w:val="num" w:pos="1080"/>
        </w:tabs>
        <w:rPr>
          <w:szCs w:val="24"/>
        </w:rPr>
      </w:pPr>
      <w:r w:rsidRPr="00573367">
        <w:rPr>
          <w:b/>
          <w:bCs/>
          <w:szCs w:val="24"/>
        </w:rPr>
        <w:t>Item 4</w:t>
      </w:r>
      <w:r w:rsidR="009207F5" w:rsidRPr="00573367">
        <w:rPr>
          <w:szCs w:val="24"/>
        </w:rPr>
        <w:t xml:space="preserve"> repeals and replaces</w:t>
      </w:r>
      <w:r w:rsidR="009207F5" w:rsidRPr="00573367">
        <w:rPr>
          <w:b/>
          <w:bCs/>
          <w:szCs w:val="24"/>
        </w:rPr>
        <w:t xml:space="preserve"> </w:t>
      </w:r>
      <w:r w:rsidR="009207F5" w:rsidRPr="00573367">
        <w:rPr>
          <w:szCs w:val="24"/>
        </w:rPr>
        <w:t xml:space="preserve">section 9 of the Telehealth Determination, which deals with referral requirements for allied health </w:t>
      </w:r>
      <w:r w:rsidR="00841D5A" w:rsidRPr="00573367">
        <w:rPr>
          <w:szCs w:val="24"/>
        </w:rPr>
        <w:t xml:space="preserve">and other primary health care </w:t>
      </w:r>
      <w:r w:rsidR="009207F5" w:rsidRPr="00573367">
        <w:rPr>
          <w:szCs w:val="24"/>
        </w:rPr>
        <w:t>services, to:</w:t>
      </w:r>
    </w:p>
    <w:p w14:paraId="4074DA0C" w14:textId="77777777" w:rsidR="009207F5" w:rsidRPr="00573367" w:rsidRDefault="009207F5" w:rsidP="009207F5">
      <w:pPr>
        <w:pStyle w:val="Header"/>
        <w:numPr>
          <w:ilvl w:val="0"/>
          <w:numId w:val="38"/>
        </w:numPr>
        <w:rPr>
          <w:szCs w:val="24"/>
        </w:rPr>
      </w:pPr>
      <w:r w:rsidRPr="00573367">
        <w:rPr>
          <w:szCs w:val="24"/>
        </w:rPr>
        <w:t xml:space="preserve">update the title of the section to reflect language used by the </w:t>
      </w:r>
      <w:proofErr w:type="gramStart"/>
      <w:r w:rsidRPr="00573367">
        <w:rPr>
          <w:szCs w:val="24"/>
        </w:rPr>
        <w:t>sector;</w:t>
      </w:r>
      <w:proofErr w:type="gramEnd"/>
      <w:r w:rsidRPr="00573367">
        <w:rPr>
          <w:szCs w:val="24"/>
        </w:rPr>
        <w:t xml:space="preserve"> </w:t>
      </w:r>
    </w:p>
    <w:p w14:paraId="5DDDC7B6" w14:textId="67A2AC8D" w:rsidR="009207F5" w:rsidRPr="00573367" w:rsidRDefault="009207F5" w:rsidP="009207F5">
      <w:pPr>
        <w:pStyle w:val="Header"/>
        <w:numPr>
          <w:ilvl w:val="0"/>
          <w:numId w:val="38"/>
        </w:numPr>
        <w:rPr>
          <w:szCs w:val="24"/>
        </w:rPr>
      </w:pPr>
      <w:r w:rsidRPr="00573367">
        <w:rPr>
          <w:szCs w:val="24"/>
        </w:rPr>
        <w:t xml:space="preserve">insert subsection (1A), which provides for transitional arrangements for referrals prepared on or after 1 November 2025 for specified </w:t>
      </w:r>
      <w:proofErr w:type="gramStart"/>
      <w:r w:rsidRPr="00573367">
        <w:rPr>
          <w:szCs w:val="24"/>
        </w:rPr>
        <w:t>services;</w:t>
      </w:r>
      <w:proofErr w:type="gramEnd"/>
      <w:r w:rsidRPr="00573367">
        <w:rPr>
          <w:szCs w:val="24"/>
        </w:rPr>
        <w:t xml:space="preserve"> </w:t>
      </w:r>
    </w:p>
    <w:p w14:paraId="20438AA7" w14:textId="78F802D1" w:rsidR="009207F5" w:rsidRPr="00573367" w:rsidRDefault="009207F5" w:rsidP="009207F5">
      <w:pPr>
        <w:pStyle w:val="Header"/>
        <w:numPr>
          <w:ilvl w:val="0"/>
          <w:numId w:val="38"/>
        </w:numPr>
        <w:rPr>
          <w:szCs w:val="24"/>
        </w:rPr>
      </w:pPr>
      <w:r w:rsidRPr="00573367">
        <w:rPr>
          <w:szCs w:val="24"/>
        </w:rPr>
        <w:t xml:space="preserve">update the definition of “referring practitioner” at paragraph (5)(a) to include additional requirements for MBS items listed in </w:t>
      </w:r>
      <w:r w:rsidR="00100861" w:rsidRPr="00573367">
        <w:rPr>
          <w:szCs w:val="24"/>
        </w:rPr>
        <w:t xml:space="preserve">Subgroups 1, 2, 3, 4, 6, 7, 8 and 9 of Group </w:t>
      </w:r>
      <w:proofErr w:type="gramStart"/>
      <w:r w:rsidR="00100861" w:rsidRPr="00573367">
        <w:rPr>
          <w:szCs w:val="24"/>
        </w:rPr>
        <w:t>M18</w:t>
      </w:r>
      <w:r w:rsidRPr="00573367">
        <w:rPr>
          <w:szCs w:val="24"/>
        </w:rPr>
        <w:t>;</w:t>
      </w:r>
      <w:proofErr w:type="gramEnd"/>
      <w:r w:rsidRPr="00573367">
        <w:rPr>
          <w:szCs w:val="24"/>
        </w:rPr>
        <w:t xml:space="preserve"> </w:t>
      </w:r>
    </w:p>
    <w:p w14:paraId="5A2AF3F8" w14:textId="77777777" w:rsidR="009207F5" w:rsidRPr="00573367" w:rsidRDefault="009207F5" w:rsidP="009207F5">
      <w:pPr>
        <w:pStyle w:val="Header"/>
        <w:numPr>
          <w:ilvl w:val="0"/>
          <w:numId w:val="38"/>
        </w:numPr>
        <w:rPr>
          <w:szCs w:val="24"/>
        </w:rPr>
      </w:pPr>
      <w:r w:rsidRPr="00573367">
        <w:rPr>
          <w:szCs w:val="24"/>
        </w:rPr>
        <w:t xml:space="preserve">insert paragraph (5)(c) to define that “usual medical practitioner” has </w:t>
      </w:r>
      <w:r w:rsidRPr="00573367">
        <w:t>the meaning given by clause 7.1.1 of the general medical services table; and</w:t>
      </w:r>
    </w:p>
    <w:p w14:paraId="3CDE5FFD" w14:textId="363D871D" w:rsidR="009207F5" w:rsidRPr="00573367" w:rsidRDefault="009207F5" w:rsidP="009207F5">
      <w:pPr>
        <w:pStyle w:val="Header"/>
        <w:numPr>
          <w:ilvl w:val="0"/>
          <w:numId w:val="38"/>
        </w:numPr>
        <w:rPr>
          <w:szCs w:val="24"/>
        </w:rPr>
      </w:pPr>
      <w:r w:rsidRPr="00573367">
        <w:t xml:space="preserve">insert subsection (7A) to provide that referrals for services listed in </w:t>
      </w:r>
      <w:r w:rsidR="00B27A88" w:rsidRPr="00573367">
        <w:t>Subgroups 1, 2, 3, 4, 6, 7, 8 and 9 of Group M18</w:t>
      </w:r>
      <w:r w:rsidRPr="00573367">
        <w:t xml:space="preserve"> are valid until the maximum number of sessions recommended by the referring practitioner is completed.</w:t>
      </w:r>
    </w:p>
    <w:p w14:paraId="0B48C06A" w14:textId="77777777" w:rsidR="00BE21A0" w:rsidRPr="00573367" w:rsidRDefault="00BE21A0" w:rsidP="00F92107">
      <w:pPr>
        <w:pStyle w:val="Header"/>
        <w:tabs>
          <w:tab w:val="num" w:pos="1080"/>
        </w:tabs>
        <w:rPr>
          <w:szCs w:val="24"/>
        </w:rPr>
      </w:pPr>
    </w:p>
    <w:p w14:paraId="2EBEA6BF" w14:textId="769A06EC" w:rsidR="00265BC7" w:rsidRPr="00573367" w:rsidRDefault="00F57F44" w:rsidP="00C63FDC">
      <w:pPr>
        <w:pStyle w:val="Header"/>
        <w:tabs>
          <w:tab w:val="num" w:pos="1080"/>
        </w:tabs>
        <w:rPr>
          <w:szCs w:val="24"/>
        </w:rPr>
      </w:pPr>
      <w:r w:rsidRPr="00573367">
        <w:rPr>
          <w:b/>
          <w:bCs/>
          <w:szCs w:val="24"/>
        </w:rPr>
        <w:t xml:space="preserve">Item </w:t>
      </w:r>
      <w:r w:rsidR="004F24EC" w:rsidRPr="00573367">
        <w:rPr>
          <w:b/>
          <w:bCs/>
          <w:szCs w:val="24"/>
        </w:rPr>
        <w:t>5</w:t>
      </w:r>
      <w:r w:rsidRPr="00573367">
        <w:rPr>
          <w:b/>
          <w:bCs/>
          <w:szCs w:val="24"/>
        </w:rPr>
        <w:t xml:space="preserve"> </w:t>
      </w:r>
      <w:r w:rsidR="00EF2331" w:rsidRPr="00573367">
        <w:rPr>
          <w:szCs w:val="24"/>
        </w:rPr>
        <w:t>repeals and replaces clause 1.1.12</w:t>
      </w:r>
      <w:r w:rsidR="007C21F8" w:rsidRPr="00573367">
        <w:rPr>
          <w:szCs w:val="24"/>
        </w:rPr>
        <w:t xml:space="preserve"> of Schedule 1</w:t>
      </w:r>
      <w:r w:rsidR="004F01C8" w:rsidRPr="00573367">
        <w:rPr>
          <w:szCs w:val="24"/>
        </w:rPr>
        <w:t xml:space="preserve">, which deals with the application of </w:t>
      </w:r>
      <w:r w:rsidR="009601FA" w:rsidRPr="00573367">
        <w:rPr>
          <w:szCs w:val="24"/>
        </w:rPr>
        <w:t>specified items,</w:t>
      </w:r>
      <w:r w:rsidR="00265BC7" w:rsidRPr="00573367">
        <w:rPr>
          <w:szCs w:val="24"/>
        </w:rPr>
        <w:t xml:space="preserve"> to: </w:t>
      </w:r>
    </w:p>
    <w:p w14:paraId="75F7CF16" w14:textId="7F4B3A17" w:rsidR="00265BC7" w:rsidRPr="00573367" w:rsidRDefault="009601FA" w:rsidP="00265BC7">
      <w:pPr>
        <w:pStyle w:val="Header"/>
        <w:numPr>
          <w:ilvl w:val="0"/>
          <w:numId w:val="35"/>
        </w:numPr>
        <w:rPr>
          <w:szCs w:val="24"/>
        </w:rPr>
      </w:pPr>
      <w:bookmarkStart w:id="1" w:name="_Hlk207954288"/>
      <w:r w:rsidRPr="00573367">
        <w:rPr>
          <w:szCs w:val="24"/>
        </w:rPr>
        <w:t>r</w:t>
      </w:r>
      <w:r w:rsidR="00265BC7" w:rsidRPr="00573367">
        <w:rPr>
          <w:szCs w:val="24"/>
        </w:rPr>
        <w:t>emov</w:t>
      </w:r>
      <w:r w:rsidR="00200777" w:rsidRPr="00573367">
        <w:rPr>
          <w:szCs w:val="24"/>
        </w:rPr>
        <w:t>e</w:t>
      </w:r>
      <w:r w:rsidR="00265BC7" w:rsidRPr="00573367">
        <w:rPr>
          <w:szCs w:val="24"/>
        </w:rPr>
        <w:t xml:space="preserve"> reference to </w:t>
      </w:r>
      <w:r w:rsidR="001E020A" w:rsidRPr="00573367">
        <w:rPr>
          <w:szCs w:val="24"/>
        </w:rPr>
        <w:t>S</w:t>
      </w:r>
      <w:r w:rsidR="00265BC7" w:rsidRPr="00573367">
        <w:rPr>
          <w:szCs w:val="24"/>
        </w:rPr>
        <w:t>ubgroup 20</w:t>
      </w:r>
      <w:r w:rsidR="001E020A" w:rsidRPr="00573367">
        <w:rPr>
          <w:szCs w:val="24"/>
        </w:rPr>
        <w:t xml:space="preserve"> of Group A40,</w:t>
      </w:r>
      <w:r w:rsidR="00265BC7" w:rsidRPr="00573367">
        <w:rPr>
          <w:szCs w:val="24"/>
        </w:rPr>
        <w:t xml:space="preserve"> as all items within </w:t>
      </w:r>
      <w:r w:rsidR="001E020A" w:rsidRPr="00573367">
        <w:rPr>
          <w:szCs w:val="24"/>
        </w:rPr>
        <w:t>Subgroup 20</w:t>
      </w:r>
      <w:r w:rsidR="00265BC7" w:rsidRPr="00573367">
        <w:rPr>
          <w:szCs w:val="24"/>
        </w:rPr>
        <w:t xml:space="preserve"> are being ceased by amendment item </w:t>
      </w:r>
      <w:r w:rsidR="00FB74E5" w:rsidRPr="00573367">
        <w:rPr>
          <w:szCs w:val="24"/>
        </w:rPr>
        <w:t>7</w:t>
      </w:r>
      <w:r w:rsidR="001E020A" w:rsidRPr="00573367">
        <w:rPr>
          <w:szCs w:val="24"/>
        </w:rPr>
        <w:t xml:space="preserve"> of Schedule </w:t>
      </w:r>
      <w:r w:rsidR="00FB74E5" w:rsidRPr="00573367">
        <w:rPr>
          <w:szCs w:val="24"/>
        </w:rPr>
        <w:t>1</w:t>
      </w:r>
      <w:r w:rsidR="001E020A" w:rsidRPr="00573367">
        <w:rPr>
          <w:szCs w:val="24"/>
        </w:rPr>
        <w:t xml:space="preserve"> to the Amendment </w:t>
      </w:r>
      <w:proofErr w:type="gramStart"/>
      <w:r w:rsidR="001E020A" w:rsidRPr="00573367">
        <w:rPr>
          <w:szCs w:val="24"/>
        </w:rPr>
        <w:t>Determination</w:t>
      </w:r>
      <w:r w:rsidR="00265BC7" w:rsidRPr="00573367">
        <w:rPr>
          <w:szCs w:val="24"/>
        </w:rPr>
        <w:t>;</w:t>
      </w:r>
      <w:proofErr w:type="gramEnd"/>
    </w:p>
    <w:bookmarkEnd w:id="1"/>
    <w:p w14:paraId="6DA75A56" w14:textId="16E83BCC" w:rsidR="00F57F44" w:rsidRPr="00573367" w:rsidRDefault="00CF3EB6" w:rsidP="00265BC7">
      <w:pPr>
        <w:pStyle w:val="Header"/>
        <w:numPr>
          <w:ilvl w:val="0"/>
          <w:numId w:val="35"/>
        </w:numPr>
        <w:rPr>
          <w:szCs w:val="24"/>
        </w:rPr>
      </w:pPr>
      <w:r w:rsidRPr="00573367">
        <w:rPr>
          <w:szCs w:val="24"/>
        </w:rPr>
        <w:t>insert a</w:t>
      </w:r>
      <w:r w:rsidR="00265BC7" w:rsidRPr="00573367">
        <w:rPr>
          <w:szCs w:val="24"/>
        </w:rPr>
        <w:t xml:space="preserve"> definition of </w:t>
      </w:r>
      <w:r w:rsidR="00457D60" w:rsidRPr="00573367">
        <w:rPr>
          <w:szCs w:val="24"/>
        </w:rPr>
        <w:t>“</w:t>
      </w:r>
      <w:r w:rsidRPr="00573367">
        <w:rPr>
          <w:szCs w:val="24"/>
        </w:rPr>
        <w:t>u</w:t>
      </w:r>
      <w:r w:rsidR="00265BC7" w:rsidRPr="00573367">
        <w:rPr>
          <w:szCs w:val="24"/>
        </w:rPr>
        <w:t>sual medical practitioner</w:t>
      </w:r>
      <w:r w:rsidR="00457D60" w:rsidRPr="00573367">
        <w:rPr>
          <w:szCs w:val="24"/>
        </w:rPr>
        <w:t>”</w:t>
      </w:r>
      <w:r w:rsidR="00265BC7" w:rsidRPr="00573367">
        <w:rPr>
          <w:szCs w:val="24"/>
        </w:rPr>
        <w:t xml:space="preserve"> for items listed in </w:t>
      </w:r>
      <w:r w:rsidR="00457D60" w:rsidRPr="00573367">
        <w:rPr>
          <w:szCs w:val="24"/>
        </w:rPr>
        <w:t xml:space="preserve">Subgroup 19 of </w:t>
      </w:r>
      <w:r w:rsidR="00265BC7" w:rsidRPr="00573367">
        <w:rPr>
          <w:szCs w:val="24"/>
        </w:rPr>
        <w:t>Group</w:t>
      </w:r>
      <w:r w:rsidR="00457D60" w:rsidRPr="00573367">
        <w:rPr>
          <w:szCs w:val="24"/>
        </w:rPr>
        <w:t xml:space="preserve"> </w:t>
      </w:r>
      <w:proofErr w:type="gramStart"/>
      <w:r w:rsidR="00265BC7" w:rsidRPr="00573367">
        <w:rPr>
          <w:szCs w:val="24"/>
        </w:rPr>
        <w:t>A40;</w:t>
      </w:r>
      <w:proofErr w:type="gramEnd"/>
    </w:p>
    <w:p w14:paraId="27E12679" w14:textId="461AF993" w:rsidR="00064F72" w:rsidRPr="00573367" w:rsidRDefault="00064F72" w:rsidP="00265BC7">
      <w:pPr>
        <w:pStyle w:val="Header"/>
        <w:numPr>
          <w:ilvl w:val="0"/>
          <w:numId w:val="35"/>
        </w:numPr>
        <w:rPr>
          <w:szCs w:val="24"/>
        </w:rPr>
      </w:pPr>
      <w:r w:rsidRPr="00573367">
        <w:rPr>
          <w:szCs w:val="24"/>
        </w:rPr>
        <w:t>remov</w:t>
      </w:r>
      <w:r w:rsidR="00200777" w:rsidRPr="00573367">
        <w:rPr>
          <w:szCs w:val="24"/>
        </w:rPr>
        <w:t>e</w:t>
      </w:r>
      <w:r w:rsidRPr="00573367">
        <w:rPr>
          <w:szCs w:val="24"/>
        </w:rPr>
        <w:t xml:space="preserve"> the definition of “associated general practitioner” for items listed in Subgroup 19 of Group </w:t>
      </w:r>
      <w:proofErr w:type="gramStart"/>
      <w:r w:rsidRPr="00573367">
        <w:rPr>
          <w:szCs w:val="24"/>
        </w:rPr>
        <w:t>A40;</w:t>
      </w:r>
      <w:proofErr w:type="gramEnd"/>
      <w:r w:rsidRPr="00573367">
        <w:rPr>
          <w:szCs w:val="24"/>
        </w:rPr>
        <w:t xml:space="preserve"> </w:t>
      </w:r>
    </w:p>
    <w:p w14:paraId="64DB2A0E" w14:textId="7A433821" w:rsidR="00265BC7" w:rsidRPr="00573367" w:rsidRDefault="00BC616C" w:rsidP="00265BC7">
      <w:pPr>
        <w:pStyle w:val="Header"/>
        <w:numPr>
          <w:ilvl w:val="0"/>
          <w:numId w:val="35"/>
        </w:numPr>
        <w:rPr>
          <w:szCs w:val="24"/>
        </w:rPr>
      </w:pPr>
      <w:r w:rsidRPr="00573367">
        <w:rPr>
          <w:szCs w:val="24"/>
        </w:rPr>
        <w:t>remov</w:t>
      </w:r>
      <w:r w:rsidR="00200777" w:rsidRPr="00573367">
        <w:rPr>
          <w:szCs w:val="24"/>
        </w:rPr>
        <w:t>e</w:t>
      </w:r>
      <w:r w:rsidRPr="00573367">
        <w:rPr>
          <w:szCs w:val="24"/>
        </w:rPr>
        <w:t xml:space="preserve"> the </w:t>
      </w:r>
      <w:r w:rsidR="00265BC7" w:rsidRPr="00573367">
        <w:rPr>
          <w:szCs w:val="24"/>
        </w:rPr>
        <w:t xml:space="preserve">definition of </w:t>
      </w:r>
      <w:r w:rsidRPr="00573367">
        <w:rPr>
          <w:szCs w:val="24"/>
        </w:rPr>
        <w:t>“</w:t>
      </w:r>
      <w:r w:rsidR="00265BC7" w:rsidRPr="00573367">
        <w:rPr>
          <w:szCs w:val="24"/>
        </w:rPr>
        <w:t>associated medical practitioner</w:t>
      </w:r>
      <w:r w:rsidRPr="00573367">
        <w:rPr>
          <w:szCs w:val="24"/>
        </w:rPr>
        <w:t>”</w:t>
      </w:r>
      <w:r w:rsidR="0072337E" w:rsidRPr="00573367">
        <w:rPr>
          <w:szCs w:val="24"/>
        </w:rPr>
        <w:t xml:space="preserve"> for items 92118 and </w:t>
      </w:r>
      <w:proofErr w:type="gramStart"/>
      <w:r w:rsidR="0072337E" w:rsidRPr="00573367">
        <w:rPr>
          <w:szCs w:val="24"/>
        </w:rPr>
        <w:t>92133</w:t>
      </w:r>
      <w:r w:rsidR="00265BC7" w:rsidRPr="00573367">
        <w:rPr>
          <w:szCs w:val="24"/>
        </w:rPr>
        <w:t>;</w:t>
      </w:r>
      <w:proofErr w:type="gramEnd"/>
      <w:r w:rsidR="00CD02C2" w:rsidRPr="00573367">
        <w:rPr>
          <w:szCs w:val="24"/>
        </w:rPr>
        <w:t xml:space="preserve"> </w:t>
      </w:r>
    </w:p>
    <w:p w14:paraId="4B048A65" w14:textId="09E8899E" w:rsidR="00265BC7" w:rsidRPr="00573367" w:rsidRDefault="0072337E" w:rsidP="00CD02C2">
      <w:pPr>
        <w:pStyle w:val="Header"/>
        <w:numPr>
          <w:ilvl w:val="0"/>
          <w:numId w:val="35"/>
        </w:numPr>
        <w:rPr>
          <w:szCs w:val="24"/>
        </w:rPr>
      </w:pPr>
      <w:r w:rsidRPr="00573367">
        <w:rPr>
          <w:szCs w:val="24"/>
        </w:rPr>
        <w:t>r</w:t>
      </w:r>
      <w:r w:rsidR="00265BC7" w:rsidRPr="00573367">
        <w:rPr>
          <w:szCs w:val="24"/>
        </w:rPr>
        <w:t>emov</w:t>
      </w:r>
      <w:r w:rsidR="00200777" w:rsidRPr="00573367">
        <w:rPr>
          <w:szCs w:val="24"/>
        </w:rPr>
        <w:t>e</w:t>
      </w:r>
      <w:r w:rsidR="00265BC7" w:rsidRPr="00573367">
        <w:rPr>
          <w:szCs w:val="24"/>
        </w:rPr>
        <w:t xml:space="preserve"> reference to items being ceased by amendment item </w:t>
      </w:r>
      <w:r w:rsidR="00FB74E5" w:rsidRPr="00573367">
        <w:rPr>
          <w:szCs w:val="24"/>
        </w:rPr>
        <w:t>7</w:t>
      </w:r>
      <w:r w:rsidR="004B28A2" w:rsidRPr="00573367">
        <w:rPr>
          <w:szCs w:val="24"/>
        </w:rPr>
        <w:t xml:space="preserve"> of Schedule </w:t>
      </w:r>
      <w:r w:rsidR="00FB74E5" w:rsidRPr="00573367">
        <w:rPr>
          <w:szCs w:val="24"/>
        </w:rPr>
        <w:t>1</w:t>
      </w:r>
      <w:r w:rsidR="004B28A2" w:rsidRPr="00573367">
        <w:rPr>
          <w:szCs w:val="24"/>
        </w:rPr>
        <w:t xml:space="preserve"> to the Amendment Determination</w:t>
      </w:r>
      <w:r w:rsidR="00FB74E5" w:rsidRPr="00573367">
        <w:rPr>
          <w:szCs w:val="24"/>
        </w:rPr>
        <w:t>; and</w:t>
      </w:r>
    </w:p>
    <w:p w14:paraId="18E54AC2" w14:textId="538E13C2" w:rsidR="00FB74E5" w:rsidRPr="00573367" w:rsidRDefault="00FB74E5" w:rsidP="00FB74E5">
      <w:pPr>
        <w:pStyle w:val="Header"/>
        <w:numPr>
          <w:ilvl w:val="0"/>
          <w:numId w:val="35"/>
        </w:numPr>
        <w:rPr>
          <w:szCs w:val="24"/>
        </w:rPr>
      </w:pPr>
      <w:r w:rsidRPr="00573367">
        <w:rPr>
          <w:szCs w:val="24"/>
        </w:rPr>
        <w:t xml:space="preserve">Inserts subsection (5)(b), which specifies that an item in Subgroup 19 of Group 40 applies where a service meets the requirement for it to be provided by a general practitioner or prescribed medical practitioner at a patient’s </w:t>
      </w:r>
      <w:proofErr w:type="spellStart"/>
      <w:r w:rsidRPr="00573367">
        <w:rPr>
          <w:szCs w:val="24"/>
        </w:rPr>
        <w:t>MyMedicare</w:t>
      </w:r>
      <w:proofErr w:type="spellEnd"/>
      <w:r w:rsidRPr="00573367">
        <w:rPr>
          <w:szCs w:val="24"/>
        </w:rPr>
        <w:t xml:space="preserve"> registered practice or their usual medical practitioner.</w:t>
      </w:r>
    </w:p>
    <w:p w14:paraId="159CB054" w14:textId="77777777" w:rsidR="00E4255F" w:rsidRPr="00573367" w:rsidRDefault="00E4255F" w:rsidP="00C63FDC">
      <w:pPr>
        <w:pStyle w:val="Header"/>
        <w:tabs>
          <w:tab w:val="num" w:pos="1080"/>
        </w:tabs>
        <w:rPr>
          <w:szCs w:val="24"/>
        </w:rPr>
      </w:pPr>
    </w:p>
    <w:p w14:paraId="17A1A1A5" w14:textId="21F72F1E" w:rsidR="00F57F44" w:rsidRPr="00573367" w:rsidRDefault="00E4255F" w:rsidP="00C63FDC">
      <w:pPr>
        <w:pStyle w:val="Header"/>
        <w:tabs>
          <w:tab w:val="num" w:pos="1080"/>
        </w:tabs>
        <w:rPr>
          <w:szCs w:val="24"/>
        </w:rPr>
      </w:pPr>
      <w:r w:rsidRPr="00573367">
        <w:rPr>
          <w:b/>
          <w:bCs/>
          <w:szCs w:val="24"/>
        </w:rPr>
        <w:t xml:space="preserve">Item 6 </w:t>
      </w:r>
      <w:r w:rsidR="00EF2331" w:rsidRPr="00573367">
        <w:rPr>
          <w:szCs w:val="24"/>
        </w:rPr>
        <w:t>repeals clause 1.1.13 to remove the limitations on eating disorder services.</w:t>
      </w:r>
    </w:p>
    <w:p w14:paraId="70E3B6FD" w14:textId="77777777" w:rsidR="00F57F44" w:rsidRPr="00573367" w:rsidRDefault="00F57F44" w:rsidP="00C63FDC">
      <w:pPr>
        <w:pStyle w:val="Header"/>
        <w:tabs>
          <w:tab w:val="num" w:pos="1080"/>
        </w:tabs>
        <w:rPr>
          <w:szCs w:val="24"/>
        </w:rPr>
      </w:pPr>
    </w:p>
    <w:p w14:paraId="288B824C" w14:textId="3F7E9828" w:rsidR="00F57F44" w:rsidRPr="00573367" w:rsidRDefault="00D83F4F" w:rsidP="00F92107">
      <w:pPr>
        <w:pStyle w:val="Header"/>
        <w:tabs>
          <w:tab w:val="num" w:pos="1080"/>
        </w:tabs>
        <w:rPr>
          <w:szCs w:val="24"/>
        </w:rPr>
      </w:pPr>
      <w:r w:rsidRPr="00573367">
        <w:rPr>
          <w:b/>
          <w:bCs/>
          <w:szCs w:val="24"/>
        </w:rPr>
        <w:t xml:space="preserve">Item 7 </w:t>
      </w:r>
      <w:r w:rsidR="00F92107" w:rsidRPr="00573367">
        <w:rPr>
          <w:szCs w:val="24"/>
        </w:rPr>
        <w:t xml:space="preserve">repeals MBS items </w:t>
      </w:r>
      <w:r w:rsidRPr="00573367">
        <w:t xml:space="preserve">92114, 92115, 92120, 92121, </w:t>
      </w:r>
      <w:r w:rsidR="00F92107" w:rsidRPr="00573367">
        <w:rPr>
          <w:szCs w:val="24"/>
        </w:rPr>
        <w:t>92126, 92127, 92132</w:t>
      </w:r>
      <w:r w:rsidR="000331F0" w:rsidRPr="00573367">
        <w:rPr>
          <w:szCs w:val="24"/>
        </w:rPr>
        <w:t xml:space="preserve"> and</w:t>
      </w:r>
      <w:r w:rsidR="00F92107" w:rsidRPr="00573367">
        <w:rPr>
          <w:szCs w:val="24"/>
        </w:rPr>
        <w:t xml:space="preserve"> 92133</w:t>
      </w:r>
      <w:r w:rsidR="000331F0" w:rsidRPr="00573367">
        <w:rPr>
          <w:szCs w:val="24"/>
        </w:rPr>
        <w:t>, which are</w:t>
      </w:r>
      <w:r w:rsidR="00B440FB" w:rsidRPr="00573367">
        <w:rPr>
          <w:szCs w:val="24"/>
        </w:rPr>
        <w:t xml:space="preserve"> for </w:t>
      </w:r>
      <w:r w:rsidRPr="00573367">
        <w:rPr>
          <w:szCs w:val="24"/>
        </w:rPr>
        <w:t xml:space="preserve">video and </w:t>
      </w:r>
      <w:r w:rsidR="000331F0" w:rsidRPr="00573367">
        <w:rPr>
          <w:szCs w:val="24"/>
        </w:rPr>
        <w:t>p</w:t>
      </w:r>
      <w:r w:rsidR="00B440FB" w:rsidRPr="00573367">
        <w:rPr>
          <w:szCs w:val="24"/>
        </w:rPr>
        <w:t>hone</w:t>
      </w:r>
      <w:r w:rsidR="000331F0" w:rsidRPr="00573367">
        <w:rPr>
          <w:szCs w:val="24"/>
        </w:rPr>
        <w:t xml:space="preserve"> attendances</w:t>
      </w:r>
      <w:r w:rsidR="00FA65D4" w:rsidRPr="00573367">
        <w:rPr>
          <w:szCs w:val="24"/>
        </w:rPr>
        <w:t xml:space="preserve"> in relation to</w:t>
      </w:r>
      <w:r w:rsidR="00B440FB" w:rsidRPr="00573367">
        <w:rPr>
          <w:szCs w:val="24"/>
        </w:rPr>
        <w:t xml:space="preserve"> a </w:t>
      </w:r>
      <w:r w:rsidR="00FB74E5" w:rsidRPr="00573367">
        <w:rPr>
          <w:szCs w:val="24"/>
        </w:rPr>
        <w:t xml:space="preserve">review of a </w:t>
      </w:r>
      <w:r w:rsidR="00B440FB" w:rsidRPr="00573367">
        <w:rPr>
          <w:szCs w:val="24"/>
        </w:rPr>
        <w:t xml:space="preserve">GP Mental </w:t>
      </w:r>
      <w:r w:rsidR="00FA65D4" w:rsidRPr="00573367">
        <w:rPr>
          <w:szCs w:val="24"/>
        </w:rPr>
        <w:t>H</w:t>
      </w:r>
      <w:r w:rsidR="00B440FB" w:rsidRPr="00573367">
        <w:rPr>
          <w:szCs w:val="24"/>
        </w:rPr>
        <w:t xml:space="preserve">ealth </w:t>
      </w:r>
      <w:r w:rsidR="00FA65D4" w:rsidRPr="00573367">
        <w:rPr>
          <w:szCs w:val="24"/>
        </w:rPr>
        <w:t>T</w:t>
      </w:r>
      <w:r w:rsidR="00B440FB" w:rsidRPr="00573367">
        <w:rPr>
          <w:szCs w:val="24"/>
        </w:rPr>
        <w:t xml:space="preserve">reatment </w:t>
      </w:r>
      <w:r w:rsidR="00FA65D4" w:rsidRPr="00573367">
        <w:rPr>
          <w:szCs w:val="24"/>
        </w:rPr>
        <w:t>P</w:t>
      </w:r>
      <w:r w:rsidR="00B440FB" w:rsidRPr="00573367">
        <w:rPr>
          <w:szCs w:val="24"/>
        </w:rPr>
        <w:t>lan</w:t>
      </w:r>
      <w:r w:rsidR="00FB74E5" w:rsidRPr="00573367">
        <w:rPr>
          <w:szCs w:val="24"/>
        </w:rPr>
        <w:t xml:space="preserve"> and mental health consultation items</w:t>
      </w:r>
      <w:r w:rsidR="00B440FB" w:rsidRPr="00573367">
        <w:rPr>
          <w:szCs w:val="24"/>
        </w:rPr>
        <w:t xml:space="preserve">, as clinicians </w:t>
      </w:r>
      <w:r w:rsidR="00FB74E5" w:rsidRPr="00573367">
        <w:rPr>
          <w:szCs w:val="24"/>
        </w:rPr>
        <w:t xml:space="preserve">will </w:t>
      </w:r>
      <w:r w:rsidR="00B440FB" w:rsidRPr="00573367">
        <w:rPr>
          <w:szCs w:val="24"/>
        </w:rPr>
        <w:t>now</w:t>
      </w:r>
      <w:r w:rsidR="00CA7CC3" w:rsidRPr="00573367">
        <w:rPr>
          <w:szCs w:val="24"/>
        </w:rPr>
        <w:t xml:space="preserve"> </w:t>
      </w:r>
      <w:r w:rsidR="00B440FB" w:rsidRPr="00573367">
        <w:rPr>
          <w:szCs w:val="24"/>
        </w:rPr>
        <w:t xml:space="preserve">use the </w:t>
      </w:r>
      <w:r w:rsidR="00B440FB" w:rsidRPr="00573367">
        <w:rPr>
          <w:rFonts w:cstheme="minorHAnsi"/>
          <w:bCs/>
          <w:szCs w:val="24"/>
        </w:rPr>
        <w:t>most appropriate general attendance item</w:t>
      </w:r>
      <w:r w:rsidR="00FB74E5" w:rsidRPr="00573367">
        <w:rPr>
          <w:rFonts w:cstheme="minorHAnsi"/>
          <w:bCs/>
          <w:szCs w:val="24"/>
        </w:rPr>
        <w:t xml:space="preserve"> to deliver these services</w:t>
      </w:r>
      <w:r w:rsidR="00B440FB" w:rsidRPr="00573367">
        <w:rPr>
          <w:rFonts w:cstheme="minorHAnsi"/>
          <w:bCs/>
          <w:szCs w:val="24"/>
        </w:rPr>
        <w:t>.</w:t>
      </w:r>
    </w:p>
    <w:p w14:paraId="2D08A4C6" w14:textId="77777777" w:rsidR="00F57F44" w:rsidRPr="00573367" w:rsidRDefault="00F57F44" w:rsidP="00C63FDC">
      <w:pPr>
        <w:pStyle w:val="Header"/>
        <w:tabs>
          <w:tab w:val="num" w:pos="1080"/>
        </w:tabs>
        <w:rPr>
          <w:szCs w:val="24"/>
        </w:rPr>
      </w:pPr>
    </w:p>
    <w:p w14:paraId="6AB187B5" w14:textId="7D90D52B" w:rsidR="00D83F4F" w:rsidRPr="00573367" w:rsidRDefault="00D83F4F" w:rsidP="00C63FDC">
      <w:pPr>
        <w:pStyle w:val="Header"/>
        <w:tabs>
          <w:tab w:val="num" w:pos="1080"/>
        </w:tabs>
        <w:rPr>
          <w:szCs w:val="24"/>
        </w:rPr>
      </w:pPr>
      <w:r w:rsidRPr="00573367">
        <w:rPr>
          <w:b/>
          <w:bCs/>
          <w:szCs w:val="24"/>
        </w:rPr>
        <w:t xml:space="preserve">Item 8 </w:t>
      </w:r>
      <w:r w:rsidRPr="00573367">
        <w:rPr>
          <w:szCs w:val="24"/>
        </w:rPr>
        <w:t xml:space="preserve">repeals the </w:t>
      </w:r>
      <w:r w:rsidR="007757B9" w:rsidRPr="00573367">
        <w:rPr>
          <w:szCs w:val="24"/>
        </w:rPr>
        <w:t>sub</w:t>
      </w:r>
      <w:r w:rsidRPr="00573367">
        <w:rPr>
          <w:szCs w:val="24"/>
        </w:rPr>
        <w:t xml:space="preserve">heading of </w:t>
      </w:r>
      <w:r w:rsidR="007757B9" w:rsidRPr="00573367">
        <w:rPr>
          <w:szCs w:val="24"/>
        </w:rPr>
        <w:t>“</w:t>
      </w:r>
      <w:r w:rsidR="00167F46" w:rsidRPr="00573367">
        <w:rPr>
          <w:szCs w:val="24"/>
        </w:rPr>
        <w:t>S</w:t>
      </w:r>
      <w:r w:rsidRPr="00573367">
        <w:rPr>
          <w:szCs w:val="24"/>
        </w:rPr>
        <w:t xml:space="preserve">ubgroup 20 </w:t>
      </w:r>
      <w:r w:rsidR="007757B9" w:rsidRPr="00573367">
        <w:rPr>
          <w:szCs w:val="24"/>
        </w:rPr>
        <w:t>– GP Mental Health Treatment Plan - Phone Service”,</w:t>
      </w:r>
      <w:r w:rsidRPr="00573367">
        <w:rPr>
          <w:szCs w:val="24"/>
        </w:rPr>
        <w:t xml:space="preserve"> as all items within </w:t>
      </w:r>
      <w:r w:rsidR="007757B9" w:rsidRPr="00573367">
        <w:rPr>
          <w:szCs w:val="24"/>
        </w:rPr>
        <w:t>Subgroup 20</w:t>
      </w:r>
      <w:r w:rsidRPr="00573367">
        <w:rPr>
          <w:szCs w:val="24"/>
        </w:rPr>
        <w:t xml:space="preserve"> are ceased by </w:t>
      </w:r>
      <w:r w:rsidR="007757B9" w:rsidRPr="00573367">
        <w:rPr>
          <w:szCs w:val="24"/>
        </w:rPr>
        <w:t xml:space="preserve">amendment </w:t>
      </w:r>
      <w:r w:rsidRPr="00573367">
        <w:rPr>
          <w:szCs w:val="24"/>
        </w:rPr>
        <w:t>item 7.</w:t>
      </w:r>
    </w:p>
    <w:p w14:paraId="1462EC16" w14:textId="77777777" w:rsidR="00D83F4F" w:rsidRPr="00573367" w:rsidRDefault="00D83F4F" w:rsidP="00C63FDC">
      <w:pPr>
        <w:pStyle w:val="Header"/>
        <w:tabs>
          <w:tab w:val="num" w:pos="1080"/>
        </w:tabs>
        <w:rPr>
          <w:szCs w:val="24"/>
        </w:rPr>
      </w:pPr>
    </w:p>
    <w:p w14:paraId="7C1E55E2" w14:textId="2B439414" w:rsidR="00D83F4F" w:rsidRPr="00573367" w:rsidRDefault="00D83F4F" w:rsidP="00C63FDC">
      <w:pPr>
        <w:pStyle w:val="Header"/>
        <w:tabs>
          <w:tab w:val="num" w:pos="1080"/>
        </w:tabs>
        <w:rPr>
          <w:szCs w:val="24"/>
        </w:rPr>
      </w:pPr>
      <w:r w:rsidRPr="00573367">
        <w:rPr>
          <w:b/>
          <w:bCs/>
          <w:szCs w:val="24"/>
        </w:rPr>
        <w:t>Item 9</w:t>
      </w:r>
      <w:r w:rsidRPr="00573367">
        <w:rPr>
          <w:szCs w:val="24"/>
        </w:rPr>
        <w:t xml:space="preserve"> repeals and replaces</w:t>
      </w:r>
      <w:r w:rsidR="000B0844" w:rsidRPr="00573367">
        <w:rPr>
          <w:szCs w:val="24"/>
        </w:rPr>
        <w:t xml:space="preserve"> the heading of</w:t>
      </w:r>
      <w:r w:rsidRPr="00573367">
        <w:rPr>
          <w:szCs w:val="24"/>
        </w:rPr>
        <w:t xml:space="preserve"> clause 3.1.5 of Schedule 3</w:t>
      </w:r>
      <w:r w:rsidR="00B11DBA" w:rsidRPr="00573367">
        <w:rPr>
          <w:szCs w:val="24"/>
        </w:rPr>
        <w:t>to remove</w:t>
      </w:r>
      <w:r w:rsidR="00445238" w:rsidRPr="00573367">
        <w:rPr>
          <w:szCs w:val="24"/>
        </w:rPr>
        <w:t xml:space="preserve"> reference in this provision to referrals by general practitioners</w:t>
      </w:r>
      <w:r w:rsidR="00FB74E5" w:rsidRPr="00573367">
        <w:rPr>
          <w:szCs w:val="24"/>
        </w:rPr>
        <w:t xml:space="preserve"> as this clause relates to provision of referrals by specialists and consultant physicians</w:t>
      </w:r>
      <w:r w:rsidRPr="00573367">
        <w:rPr>
          <w:szCs w:val="24"/>
        </w:rPr>
        <w:t>.</w:t>
      </w:r>
    </w:p>
    <w:p w14:paraId="0C69D1DD" w14:textId="77777777" w:rsidR="005B18EE" w:rsidRPr="00573367" w:rsidRDefault="005B18EE" w:rsidP="00C63FDC">
      <w:pPr>
        <w:pStyle w:val="Header"/>
        <w:tabs>
          <w:tab w:val="num" w:pos="1080"/>
        </w:tabs>
        <w:rPr>
          <w:szCs w:val="24"/>
        </w:rPr>
      </w:pPr>
    </w:p>
    <w:p w14:paraId="5D2FA62D" w14:textId="0AD6592F" w:rsidR="00F57F44" w:rsidRPr="00573367" w:rsidRDefault="00F57F44" w:rsidP="00C63FDC">
      <w:pPr>
        <w:pStyle w:val="Header"/>
        <w:tabs>
          <w:tab w:val="num" w:pos="1080"/>
        </w:tabs>
        <w:rPr>
          <w:szCs w:val="24"/>
        </w:rPr>
      </w:pPr>
      <w:r w:rsidRPr="00573367">
        <w:rPr>
          <w:b/>
          <w:bCs/>
          <w:szCs w:val="24"/>
        </w:rPr>
        <w:lastRenderedPageBreak/>
        <w:t xml:space="preserve">Item </w:t>
      </w:r>
      <w:r w:rsidR="005B18EE" w:rsidRPr="00573367">
        <w:rPr>
          <w:b/>
          <w:bCs/>
          <w:szCs w:val="24"/>
        </w:rPr>
        <w:t>10</w:t>
      </w:r>
      <w:r w:rsidRPr="00573367">
        <w:rPr>
          <w:b/>
          <w:bCs/>
          <w:szCs w:val="24"/>
        </w:rPr>
        <w:t xml:space="preserve"> </w:t>
      </w:r>
      <w:r w:rsidR="005B18EE" w:rsidRPr="00573367">
        <w:rPr>
          <w:szCs w:val="24"/>
        </w:rPr>
        <w:t xml:space="preserve">repeals and replaces clause </w:t>
      </w:r>
      <w:proofErr w:type="gramStart"/>
      <w:r w:rsidR="005B18EE" w:rsidRPr="00573367">
        <w:rPr>
          <w:szCs w:val="24"/>
        </w:rPr>
        <w:t>3.1.9</w:t>
      </w:r>
      <w:r w:rsidR="002D63F7" w:rsidRPr="00573367">
        <w:rPr>
          <w:szCs w:val="24"/>
        </w:rPr>
        <w:t>,</w:t>
      </w:r>
      <w:r w:rsidR="005B18EE" w:rsidRPr="00573367">
        <w:rPr>
          <w:szCs w:val="24"/>
        </w:rPr>
        <w:t xml:space="preserve"> and</w:t>
      </w:r>
      <w:proofErr w:type="gramEnd"/>
      <w:r w:rsidR="005B18EE" w:rsidRPr="00573367">
        <w:rPr>
          <w:szCs w:val="24"/>
        </w:rPr>
        <w:t xml:space="preserve"> </w:t>
      </w:r>
      <w:r w:rsidR="0000361B" w:rsidRPr="00573367">
        <w:rPr>
          <w:szCs w:val="24"/>
        </w:rPr>
        <w:t xml:space="preserve">splits the clause to apply the application of psychological therapy and focussed psychological strategies health services to items 91166 to 91177, 91181 to 91188 and 91194 to 91205, which provides the meaning of “referring practitioner”. </w:t>
      </w:r>
      <w:r w:rsidR="005B18EE" w:rsidRPr="00573367">
        <w:rPr>
          <w:szCs w:val="24"/>
        </w:rPr>
        <w:t xml:space="preserve">Clause 3.1.9A </w:t>
      </w:r>
      <w:r w:rsidR="002014DE" w:rsidRPr="00573367">
        <w:rPr>
          <w:szCs w:val="24"/>
        </w:rPr>
        <w:t>provide</w:t>
      </w:r>
      <w:r w:rsidR="0000361B" w:rsidRPr="00573367">
        <w:rPr>
          <w:szCs w:val="24"/>
        </w:rPr>
        <w:t>s</w:t>
      </w:r>
      <w:r w:rsidR="002014DE" w:rsidRPr="00573367">
        <w:rPr>
          <w:szCs w:val="24"/>
        </w:rPr>
        <w:t xml:space="preserve"> for</w:t>
      </w:r>
      <w:r w:rsidR="00782881" w:rsidRPr="00573367">
        <w:rPr>
          <w:szCs w:val="24"/>
        </w:rPr>
        <w:t xml:space="preserve"> the a</w:t>
      </w:r>
      <w:r w:rsidR="005B18EE" w:rsidRPr="00573367">
        <w:rPr>
          <w:szCs w:val="24"/>
        </w:rPr>
        <w:t>pplication of psychological therapy and focussed psychological strategies health services provided to a person other than the patient</w:t>
      </w:r>
      <w:r w:rsidR="00782881" w:rsidRPr="00573367">
        <w:rPr>
          <w:szCs w:val="24"/>
        </w:rPr>
        <w:t>.</w:t>
      </w:r>
    </w:p>
    <w:p w14:paraId="7A0399B4" w14:textId="77777777" w:rsidR="00F57F44" w:rsidRPr="00573367" w:rsidRDefault="00F57F44" w:rsidP="00C63FDC">
      <w:pPr>
        <w:pStyle w:val="Header"/>
        <w:tabs>
          <w:tab w:val="num" w:pos="1080"/>
        </w:tabs>
        <w:rPr>
          <w:szCs w:val="24"/>
        </w:rPr>
      </w:pPr>
    </w:p>
    <w:p w14:paraId="184D02EE" w14:textId="1ECF106C" w:rsidR="00F57F44" w:rsidRPr="00573367" w:rsidRDefault="00F57F44" w:rsidP="00C63FDC">
      <w:pPr>
        <w:pStyle w:val="Header"/>
        <w:tabs>
          <w:tab w:val="num" w:pos="1080"/>
        </w:tabs>
        <w:rPr>
          <w:szCs w:val="24"/>
        </w:rPr>
      </w:pPr>
      <w:r w:rsidRPr="00573367">
        <w:rPr>
          <w:b/>
          <w:bCs/>
          <w:szCs w:val="24"/>
        </w:rPr>
        <w:t xml:space="preserve">Item </w:t>
      </w:r>
      <w:r w:rsidR="00D83F4F" w:rsidRPr="00573367">
        <w:rPr>
          <w:b/>
          <w:bCs/>
          <w:szCs w:val="24"/>
        </w:rPr>
        <w:t xml:space="preserve">11 to 14 </w:t>
      </w:r>
      <w:r w:rsidR="005B18EE" w:rsidRPr="00573367">
        <w:rPr>
          <w:szCs w:val="24"/>
        </w:rPr>
        <w:t>amends paragraph</w:t>
      </w:r>
      <w:r w:rsidR="00D34ACB" w:rsidRPr="00573367">
        <w:rPr>
          <w:szCs w:val="24"/>
        </w:rPr>
        <w:t>s</w:t>
      </w:r>
      <w:r w:rsidR="005B18EE" w:rsidRPr="00573367">
        <w:rPr>
          <w:szCs w:val="24"/>
        </w:rPr>
        <w:t xml:space="preserve"> (a), (b), (c), and (d) of </w:t>
      </w:r>
      <w:r w:rsidR="00FF24A2" w:rsidRPr="00573367">
        <w:rPr>
          <w:szCs w:val="24"/>
        </w:rPr>
        <w:t>MBS items</w:t>
      </w:r>
      <w:r w:rsidR="00F92107" w:rsidRPr="00573367">
        <w:rPr>
          <w:szCs w:val="24"/>
        </w:rPr>
        <w:t xml:space="preserve"> 91166, 91167, 91169, 91170, 91172, 91173, 91175, 91176, 91181, 91182, 91183, 91184, 91185, 91186, 91187 and 91188</w:t>
      </w:r>
      <w:r w:rsidR="005B18EE" w:rsidRPr="00573367">
        <w:rPr>
          <w:szCs w:val="24"/>
        </w:rPr>
        <w:t xml:space="preserve"> to align with their equivalent fac</w:t>
      </w:r>
      <w:r w:rsidR="00D34ACB" w:rsidRPr="00573367">
        <w:rPr>
          <w:szCs w:val="24"/>
        </w:rPr>
        <w:t>e</w:t>
      </w:r>
      <w:r w:rsidR="005B18EE" w:rsidRPr="00573367">
        <w:rPr>
          <w:szCs w:val="24"/>
        </w:rPr>
        <w:t xml:space="preserve"> to face MBS items</w:t>
      </w:r>
      <w:r w:rsidR="00504260" w:rsidRPr="00573367">
        <w:rPr>
          <w:szCs w:val="24"/>
        </w:rPr>
        <w:t>.</w:t>
      </w:r>
    </w:p>
    <w:p w14:paraId="7293F5A0" w14:textId="77777777" w:rsidR="00D500CD" w:rsidRPr="00573367" w:rsidRDefault="00D500CD" w:rsidP="00F57F44">
      <w:pPr>
        <w:pStyle w:val="Header"/>
        <w:tabs>
          <w:tab w:val="num" w:pos="1080"/>
        </w:tabs>
        <w:rPr>
          <w:szCs w:val="24"/>
          <w:u w:val="single"/>
        </w:rPr>
      </w:pPr>
    </w:p>
    <w:p w14:paraId="1BF4EC4C" w14:textId="7C3DF895" w:rsidR="00F57F44" w:rsidRPr="00573367" w:rsidRDefault="001C68CB" w:rsidP="00F57F44">
      <w:pPr>
        <w:pStyle w:val="Header"/>
        <w:tabs>
          <w:tab w:val="num" w:pos="1080"/>
        </w:tabs>
        <w:rPr>
          <w:szCs w:val="24"/>
          <w:u w:val="single"/>
        </w:rPr>
      </w:pPr>
      <w:r w:rsidRPr="00573367">
        <w:rPr>
          <w:szCs w:val="24"/>
          <w:u w:val="single"/>
        </w:rPr>
        <w:t>Schedule 2—</w:t>
      </w:r>
      <w:r w:rsidR="005A21DA" w:rsidRPr="00573367">
        <w:rPr>
          <w:szCs w:val="24"/>
          <w:u w:val="single"/>
        </w:rPr>
        <w:t xml:space="preserve"> Eligible Telehealth </w:t>
      </w:r>
      <w:r w:rsidRPr="00573367">
        <w:rPr>
          <w:szCs w:val="24"/>
          <w:u w:val="single"/>
        </w:rPr>
        <w:t>Amendments</w:t>
      </w:r>
    </w:p>
    <w:p w14:paraId="1E19DD81" w14:textId="77777777" w:rsidR="00F57F44" w:rsidRPr="00573367" w:rsidRDefault="00F57F44" w:rsidP="00F57F44">
      <w:pPr>
        <w:pStyle w:val="Header"/>
        <w:tabs>
          <w:tab w:val="num" w:pos="1080"/>
        </w:tabs>
        <w:rPr>
          <w:szCs w:val="24"/>
          <w:u w:val="single"/>
        </w:rPr>
      </w:pPr>
    </w:p>
    <w:p w14:paraId="11A6C0B8" w14:textId="77777777" w:rsidR="00F57F44" w:rsidRPr="00573367" w:rsidRDefault="00F57F44" w:rsidP="00F57F44">
      <w:pPr>
        <w:pStyle w:val="Header"/>
        <w:tabs>
          <w:tab w:val="num" w:pos="1080"/>
        </w:tabs>
        <w:rPr>
          <w:i/>
          <w:iCs/>
          <w:szCs w:val="24"/>
        </w:rPr>
      </w:pPr>
      <w:r w:rsidRPr="00573367">
        <w:rPr>
          <w:i/>
          <w:iCs/>
          <w:szCs w:val="24"/>
        </w:rPr>
        <w:t>Health Insurance (Section 3C General Medical Services – Telehealth Attendances) Determination 2021</w:t>
      </w:r>
    </w:p>
    <w:p w14:paraId="549805F3" w14:textId="77777777" w:rsidR="00F57F44" w:rsidRPr="00573367" w:rsidRDefault="00F57F44" w:rsidP="00F57F44">
      <w:pPr>
        <w:pStyle w:val="Header"/>
        <w:tabs>
          <w:tab w:val="num" w:pos="1080"/>
        </w:tabs>
        <w:rPr>
          <w:iCs/>
          <w:szCs w:val="24"/>
        </w:rPr>
      </w:pPr>
    </w:p>
    <w:p w14:paraId="67291736" w14:textId="0A7A26CE" w:rsidR="00F57F44" w:rsidRPr="00573367" w:rsidRDefault="00F57F44" w:rsidP="00F57F44">
      <w:pPr>
        <w:pStyle w:val="Header"/>
        <w:tabs>
          <w:tab w:val="num" w:pos="1080"/>
        </w:tabs>
        <w:rPr>
          <w:szCs w:val="24"/>
        </w:rPr>
      </w:pPr>
      <w:r w:rsidRPr="00573367">
        <w:rPr>
          <w:b/>
          <w:bCs/>
          <w:szCs w:val="24"/>
        </w:rPr>
        <w:t>Item 1</w:t>
      </w:r>
      <w:r w:rsidRPr="00573367">
        <w:rPr>
          <w:szCs w:val="24"/>
        </w:rPr>
        <w:t xml:space="preserve"> </w:t>
      </w:r>
      <w:r w:rsidR="005C4A68" w:rsidRPr="00573367">
        <w:rPr>
          <w:szCs w:val="24"/>
        </w:rPr>
        <w:t>a</w:t>
      </w:r>
      <w:r w:rsidR="00A67D78" w:rsidRPr="00573367">
        <w:rPr>
          <w:szCs w:val="24"/>
        </w:rPr>
        <w:t xml:space="preserve">dds Group </w:t>
      </w:r>
      <w:r w:rsidR="007461C2" w:rsidRPr="00573367">
        <w:rPr>
          <w:szCs w:val="24"/>
        </w:rPr>
        <w:t>M</w:t>
      </w:r>
      <w:r w:rsidR="00A67D78" w:rsidRPr="00573367">
        <w:rPr>
          <w:szCs w:val="24"/>
        </w:rPr>
        <w:t>18</w:t>
      </w:r>
      <w:r w:rsidR="00D96CAC" w:rsidRPr="00573367">
        <w:rPr>
          <w:szCs w:val="24"/>
        </w:rPr>
        <w:t>,</w:t>
      </w:r>
      <w:r w:rsidR="00A67D78" w:rsidRPr="00573367">
        <w:rPr>
          <w:szCs w:val="24"/>
        </w:rPr>
        <w:t xml:space="preserve"> </w:t>
      </w:r>
      <w:r w:rsidR="00D96CAC" w:rsidRPr="00573367">
        <w:rPr>
          <w:szCs w:val="24"/>
        </w:rPr>
        <w:t>S</w:t>
      </w:r>
      <w:r w:rsidR="00A67D78" w:rsidRPr="00573367">
        <w:rPr>
          <w:szCs w:val="24"/>
        </w:rPr>
        <w:t xml:space="preserve">ubgroup 5 </w:t>
      </w:r>
      <w:r w:rsidR="005C4A68" w:rsidRPr="00573367">
        <w:rPr>
          <w:szCs w:val="24"/>
        </w:rPr>
        <w:t xml:space="preserve">to </w:t>
      </w:r>
      <w:r w:rsidR="006B244F" w:rsidRPr="00573367">
        <w:rPr>
          <w:szCs w:val="24"/>
        </w:rPr>
        <w:t>subsection</w:t>
      </w:r>
      <w:r w:rsidR="005C4A68" w:rsidRPr="00573367">
        <w:rPr>
          <w:szCs w:val="24"/>
        </w:rPr>
        <w:t xml:space="preserve"> 7(5)</w:t>
      </w:r>
      <w:r w:rsidR="00490615" w:rsidRPr="00573367">
        <w:rPr>
          <w:szCs w:val="24"/>
        </w:rPr>
        <w:t xml:space="preserve">, </w:t>
      </w:r>
      <w:r w:rsidR="007461C2" w:rsidRPr="00573367">
        <w:rPr>
          <w:szCs w:val="24"/>
        </w:rPr>
        <w:t>which is intended to ensure that an item in Group M18 Subgroup 5</w:t>
      </w:r>
      <w:r w:rsidR="004E239A" w:rsidRPr="00573367">
        <w:rPr>
          <w:szCs w:val="24"/>
        </w:rPr>
        <w:t xml:space="preserve"> and Subgroup 10</w:t>
      </w:r>
      <w:r w:rsidR="007461C2" w:rsidRPr="00573367">
        <w:rPr>
          <w:szCs w:val="24"/>
        </w:rPr>
        <w:t xml:space="preserve"> </w:t>
      </w:r>
      <w:r w:rsidR="005F787A" w:rsidRPr="00573367">
        <w:rPr>
          <w:szCs w:val="24"/>
        </w:rPr>
        <w:t xml:space="preserve">(in addition to an item in Schedule 1 or 8 of the Telehealth Determination) also applies to a service performed by the patient’s </w:t>
      </w:r>
      <w:r w:rsidR="005A21DA" w:rsidRPr="00573367">
        <w:rPr>
          <w:szCs w:val="24"/>
        </w:rPr>
        <w:t>eligible telehealth</w:t>
      </w:r>
      <w:r w:rsidR="005A21DA" w:rsidRPr="00573367">
        <w:rPr>
          <w:szCs w:val="24"/>
          <w:u w:val="single"/>
        </w:rPr>
        <w:t xml:space="preserve"> </w:t>
      </w:r>
      <w:r w:rsidR="009E6F5B" w:rsidRPr="00573367">
        <w:rPr>
          <w:szCs w:val="24"/>
        </w:rPr>
        <w:t>practitioner.</w:t>
      </w:r>
      <w:r w:rsidR="007461C2" w:rsidRPr="00573367">
        <w:rPr>
          <w:szCs w:val="24"/>
        </w:rPr>
        <w:t xml:space="preserve"> </w:t>
      </w:r>
    </w:p>
    <w:p w14:paraId="2E6C6DF3" w14:textId="77777777" w:rsidR="00F57F44" w:rsidRPr="00573367" w:rsidRDefault="00F57F44" w:rsidP="00F57F44">
      <w:pPr>
        <w:pStyle w:val="Header"/>
        <w:tabs>
          <w:tab w:val="num" w:pos="1080"/>
        </w:tabs>
        <w:rPr>
          <w:szCs w:val="24"/>
        </w:rPr>
      </w:pPr>
    </w:p>
    <w:p w14:paraId="1E8CDADE" w14:textId="7102AC89" w:rsidR="00F57F44" w:rsidRPr="00573367" w:rsidRDefault="00F57F44" w:rsidP="00F57F44">
      <w:pPr>
        <w:pStyle w:val="Header"/>
        <w:tabs>
          <w:tab w:val="num" w:pos="1080"/>
        </w:tabs>
        <w:rPr>
          <w:szCs w:val="24"/>
        </w:rPr>
      </w:pPr>
      <w:r w:rsidRPr="00573367">
        <w:rPr>
          <w:b/>
          <w:bCs/>
          <w:szCs w:val="24"/>
        </w:rPr>
        <w:t>Item 2</w:t>
      </w:r>
      <w:r w:rsidRPr="00573367">
        <w:rPr>
          <w:szCs w:val="24"/>
        </w:rPr>
        <w:t xml:space="preserve"> </w:t>
      </w:r>
      <w:r w:rsidR="00B70939" w:rsidRPr="00573367">
        <w:rPr>
          <w:szCs w:val="24"/>
        </w:rPr>
        <w:t>repeals and substitutes subsection 7(6)</w:t>
      </w:r>
      <w:r w:rsidR="00554835" w:rsidRPr="00573367">
        <w:rPr>
          <w:szCs w:val="24"/>
        </w:rPr>
        <w:t xml:space="preserve">, which </w:t>
      </w:r>
      <w:r w:rsidR="00C72114" w:rsidRPr="00573367">
        <w:rPr>
          <w:szCs w:val="24"/>
        </w:rPr>
        <w:t xml:space="preserve">sets out circumstances in which subsection 7(5) does not apply. </w:t>
      </w:r>
      <w:r w:rsidR="008267D0" w:rsidRPr="00573367">
        <w:rPr>
          <w:szCs w:val="24"/>
        </w:rPr>
        <w:t>The former paragraphs 7(6)(b), (d) and (e)</w:t>
      </w:r>
      <w:r w:rsidR="009632BA" w:rsidRPr="00573367">
        <w:rPr>
          <w:szCs w:val="24"/>
        </w:rPr>
        <w:t xml:space="preserve"> are moved into the new subsection 7(6A) </w:t>
      </w:r>
      <w:r w:rsidR="00554835" w:rsidRPr="00573367">
        <w:rPr>
          <w:szCs w:val="24"/>
        </w:rPr>
        <w:t>(</w:t>
      </w:r>
      <w:r w:rsidR="009632BA" w:rsidRPr="00573367">
        <w:rPr>
          <w:szCs w:val="24"/>
        </w:rPr>
        <w:t xml:space="preserve">described below in </w:t>
      </w:r>
      <w:r w:rsidR="00554835" w:rsidRPr="00573367">
        <w:rPr>
          <w:szCs w:val="24"/>
        </w:rPr>
        <w:t xml:space="preserve">amendment </w:t>
      </w:r>
      <w:r w:rsidR="009632BA" w:rsidRPr="00573367">
        <w:rPr>
          <w:szCs w:val="24"/>
        </w:rPr>
        <w:t>item 3</w:t>
      </w:r>
      <w:r w:rsidR="00554835" w:rsidRPr="00573367">
        <w:rPr>
          <w:szCs w:val="24"/>
        </w:rPr>
        <w:t xml:space="preserve"> to Schedule 2 of the Amendment Determination)</w:t>
      </w:r>
      <w:r w:rsidR="009632BA" w:rsidRPr="00573367">
        <w:rPr>
          <w:szCs w:val="24"/>
        </w:rPr>
        <w:t xml:space="preserve">, and the former paragraph 7(6)(c) </w:t>
      </w:r>
      <w:r w:rsidR="00554835" w:rsidRPr="00573367">
        <w:rPr>
          <w:szCs w:val="24"/>
        </w:rPr>
        <w:t xml:space="preserve">is deleted. The new subsection 7(6) </w:t>
      </w:r>
      <w:r w:rsidR="00C72114" w:rsidRPr="00573367">
        <w:rPr>
          <w:szCs w:val="24"/>
        </w:rPr>
        <w:t xml:space="preserve">extends the operation of paragraph 7(6)(e) to include a nurse practitioner. </w:t>
      </w:r>
      <w:r w:rsidR="006A1616" w:rsidRPr="00573367">
        <w:rPr>
          <w:szCs w:val="24"/>
        </w:rPr>
        <w:t>Additionally, the new subsection 7(6) excludes references to Subgroups 19 and 20</w:t>
      </w:r>
      <w:r w:rsidR="00AA6B2A" w:rsidRPr="00573367">
        <w:rPr>
          <w:szCs w:val="24"/>
        </w:rPr>
        <w:t>of Group A40</w:t>
      </w:r>
      <w:r w:rsidR="006A1616" w:rsidRPr="00573367">
        <w:rPr>
          <w:szCs w:val="24"/>
        </w:rPr>
        <w:t xml:space="preserve">, as </w:t>
      </w:r>
      <w:r w:rsidR="00CC0FB7" w:rsidRPr="00573367">
        <w:rPr>
          <w:szCs w:val="24"/>
        </w:rPr>
        <w:t xml:space="preserve">this provision will no longer apply to items in Subgroup 19 of Group </w:t>
      </w:r>
      <w:r w:rsidR="00AA6B2A" w:rsidRPr="00573367">
        <w:rPr>
          <w:szCs w:val="24"/>
        </w:rPr>
        <w:t>A</w:t>
      </w:r>
      <w:r w:rsidR="00CC0FB7" w:rsidRPr="00573367">
        <w:rPr>
          <w:szCs w:val="24"/>
        </w:rPr>
        <w:t xml:space="preserve">40 and items in Subgroup 20 of Group </w:t>
      </w:r>
      <w:r w:rsidR="00AA6B2A" w:rsidRPr="00573367">
        <w:rPr>
          <w:szCs w:val="24"/>
        </w:rPr>
        <w:t>A</w:t>
      </w:r>
      <w:r w:rsidR="00CC0FB7" w:rsidRPr="00573367">
        <w:rPr>
          <w:szCs w:val="24"/>
        </w:rPr>
        <w:t xml:space="preserve">40 are being ceased by amendment item 7 of Schedule 1 to the Amendment </w:t>
      </w:r>
      <w:proofErr w:type="gramStart"/>
      <w:r w:rsidR="00CC0FB7" w:rsidRPr="00573367">
        <w:rPr>
          <w:szCs w:val="24"/>
        </w:rPr>
        <w:t xml:space="preserve">Determination </w:t>
      </w:r>
      <w:r w:rsidR="006A1616" w:rsidRPr="00573367">
        <w:rPr>
          <w:szCs w:val="24"/>
        </w:rPr>
        <w:t>.</w:t>
      </w:r>
      <w:proofErr w:type="gramEnd"/>
      <w:r w:rsidR="006A1616" w:rsidRPr="00573367">
        <w:rPr>
          <w:szCs w:val="24"/>
        </w:rPr>
        <w:t xml:space="preserve"> </w:t>
      </w:r>
    </w:p>
    <w:p w14:paraId="38D51B66" w14:textId="77777777" w:rsidR="00F57F44" w:rsidRPr="00573367" w:rsidRDefault="00F57F44" w:rsidP="00F57F44">
      <w:pPr>
        <w:pStyle w:val="Header"/>
        <w:tabs>
          <w:tab w:val="num" w:pos="1080"/>
        </w:tabs>
        <w:rPr>
          <w:szCs w:val="24"/>
        </w:rPr>
      </w:pPr>
    </w:p>
    <w:p w14:paraId="09D8A090" w14:textId="77777777" w:rsidR="0000361B" w:rsidRPr="00573367" w:rsidRDefault="0000361B" w:rsidP="0000361B">
      <w:pPr>
        <w:pStyle w:val="Header"/>
        <w:tabs>
          <w:tab w:val="num" w:pos="1080"/>
        </w:tabs>
      </w:pPr>
      <w:r w:rsidRPr="00573367">
        <w:rPr>
          <w:b/>
          <w:bCs/>
          <w:szCs w:val="24"/>
        </w:rPr>
        <w:t xml:space="preserve">Item 3 </w:t>
      </w:r>
      <w:r w:rsidRPr="00573367">
        <w:t xml:space="preserve">inserts new subsections 7(6A), (6B) and (6C). New subsection 7(6A) contains further circumstances in which subsection 7(5) does not apply, which were moved from the former paragraphs 7(6)(b), (d) and (e). New subsection (6B) provides that subsection 7(5) does not apply to Blood Borne Virus, Sexual and Reproductive Health Services for items in Subgroup 5 and 10 of Group M18, excluding if the service is provided to a patient for the purpose of, or in relation to, assisted reproductive technology or antenatal care. Finally, new subsection 7(6C) sets out the requirement that the provider of the service must, for the purposes of subsections 7(6), 7(6A), and (6B), document which exemption has been used and the relevant clinical justification. </w:t>
      </w:r>
    </w:p>
    <w:p w14:paraId="38AF4725" w14:textId="77777777" w:rsidR="00F57F44" w:rsidRPr="00573367" w:rsidRDefault="00F57F44" w:rsidP="00F57F44">
      <w:pPr>
        <w:pStyle w:val="Header"/>
        <w:tabs>
          <w:tab w:val="num" w:pos="1080"/>
        </w:tabs>
        <w:rPr>
          <w:szCs w:val="24"/>
        </w:rPr>
      </w:pPr>
    </w:p>
    <w:p w14:paraId="3749165B" w14:textId="4FD05CF2" w:rsidR="00F57F44" w:rsidRPr="00573367" w:rsidRDefault="00F57F44" w:rsidP="00F57F44">
      <w:pPr>
        <w:pStyle w:val="Header"/>
        <w:tabs>
          <w:tab w:val="num" w:pos="1080"/>
        </w:tabs>
        <w:rPr>
          <w:szCs w:val="24"/>
        </w:rPr>
      </w:pPr>
      <w:r w:rsidRPr="00573367">
        <w:rPr>
          <w:b/>
          <w:bCs/>
          <w:szCs w:val="24"/>
        </w:rPr>
        <w:t xml:space="preserve">Item </w:t>
      </w:r>
      <w:r w:rsidR="00344CE0" w:rsidRPr="00573367">
        <w:rPr>
          <w:b/>
          <w:bCs/>
          <w:szCs w:val="24"/>
        </w:rPr>
        <w:t>4</w:t>
      </w:r>
      <w:r w:rsidRPr="00573367">
        <w:rPr>
          <w:b/>
          <w:bCs/>
          <w:szCs w:val="24"/>
        </w:rPr>
        <w:t xml:space="preserve"> </w:t>
      </w:r>
      <w:r w:rsidR="004B45F8" w:rsidRPr="00573367">
        <w:rPr>
          <w:szCs w:val="24"/>
        </w:rPr>
        <w:t xml:space="preserve">repeals and replaces subsection 7(7) to amend </w:t>
      </w:r>
      <w:r w:rsidR="00B47543" w:rsidRPr="00573367">
        <w:rPr>
          <w:szCs w:val="24"/>
        </w:rPr>
        <w:t xml:space="preserve">the definition of a “patient’s </w:t>
      </w:r>
      <w:r w:rsidR="005A21DA" w:rsidRPr="00573367">
        <w:rPr>
          <w:szCs w:val="24"/>
        </w:rPr>
        <w:t>eligible telehealth</w:t>
      </w:r>
      <w:r w:rsidR="005A21DA" w:rsidRPr="00573367">
        <w:rPr>
          <w:szCs w:val="24"/>
          <w:u w:val="single"/>
        </w:rPr>
        <w:t xml:space="preserve"> </w:t>
      </w:r>
      <w:r w:rsidR="004B45F8" w:rsidRPr="00573367">
        <w:rPr>
          <w:szCs w:val="24"/>
        </w:rPr>
        <w:t>practitioner</w:t>
      </w:r>
      <w:r w:rsidR="00B47543" w:rsidRPr="00573367">
        <w:rPr>
          <w:szCs w:val="24"/>
        </w:rPr>
        <w:t xml:space="preserve">” to extend to a nurse practitioner, and to </w:t>
      </w:r>
      <w:r w:rsidR="00C900F7" w:rsidRPr="00573367">
        <w:rPr>
          <w:szCs w:val="24"/>
        </w:rPr>
        <w:t xml:space="preserve">expand eligibility to a include a service performed to a patient registered in </w:t>
      </w:r>
      <w:proofErr w:type="spellStart"/>
      <w:r w:rsidR="00C900F7" w:rsidRPr="00573367">
        <w:rPr>
          <w:szCs w:val="24"/>
        </w:rPr>
        <w:t>MyMedicare</w:t>
      </w:r>
      <w:proofErr w:type="spellEnd"/>
      <w:r w:rsidR="00C900F7" w:rsidRPr="00573367">
        <w:rPr>
          <w:szCs w:val="24"/>
        </w:rPr>
        <w:t xml:space="preserve">. </w:t>
      </w:r>
    </w:p>
    <w:p w14:paraId="5F693140" w14:textId="77777777" w:rsidR="00D500CD" w:rsidRPr="00573367" w:rsidRDefault="00D500CD" w:rsidP="00F57F44">
      <w:pPr>
        <w:pStyle w:val="Header"/>
        <w:tabs>
          <w:tab w:val="num" w:pos="1080"/>
        </w:tabs>
        <w:rPr>
          <w:szCs w:val="24"/>
          <w:u w:val="single"/>
        </w:rPr>
      </w:pPr>
    </w:p>
    <w:p w14:paraId="09664015" w14:textId="266CFBEC" w:rsidR="00F57F44" w:rsidRPr="00573367" w:rsidRDefault="00F57F44" w:rsidP="00F57F44">
      <w:pPr>
        <w:pStyle w:val="Header"/>
        <w:tabs>
          <w:tab w:val="num" w:pos="1080"/>
        </w:tabs>
        <w:rPr>
          <w:szCs w:val="24"/>
          <w:u w:val="single"/>
        </w:rPr>
      </w:pPr>
      <w:r w:rsidRPr="00573367">
        <w:rPr>
          <w:szCs w:val="24"/>
          <w:u w:val="single"/>
        </w:rPr>
        <w:t xml:space="preserve">Schedule 3—Subsequent </w:t>
      </w:r>
      <w:r w:rsidR="00A06931" w:rsidRPr="00573367">
        <w:rPr>
          <w:szCs w:val="24"/>
          <w:u w:val="single"/>
        </w:rPr>
        <w:t>P</w:t>
      </w:r>
      <w:r w:rsidRPr="00573367">
        <w:rPr>
          <w:szCs w:val="24"/>
          <w:u w:val="single"/>
        </w:rPr>
        <w:t xml:space="preserve">hone </w:t>
      </w:r>
      <w:r w:rsidR="00A06931" w:rsidRPr="00573367">
        <w:rPr>
          <w:szCs w:val="24"/>
          <w:u w:val="single"/>
        </w:rPr>
        <w:t>I</w:t>
      </w:r>
      <w:r w:rsidRPr="00573367">
        <w:rPr>
          <w:szCs w:val="24"/>
          <w:u w:val="single"/>
        </w:rPr>
        <w:t>tems Amendments</w:t>
      </w:r>
    </w:p>
    <w:p w14:paraId="73D0384D" w14:textId="77777777" w:rsidR="00F57F44" w:rsidRPr="00573367" w:rsidRDefault="00F57F44" w:rsidP="00F57F44">
      <w:pPr>
        <w:pStyle w:val="Header"/>
        <w:tabs>
          <w:tab w:val="num" w:pos="1080"/>
        </w:tabs>
        <w:rPr>
          <w:szCs w:val="24"/>
          <w:u w:val="single"/>
        </w:rPr>
      </w:pPr>
    </w:p>
    <w:p w14:paraId="32B51236" w14:textId="77777777" w:rsidR="00F57F44" w:rsidRPr="00573367" w:rsidRDefault="00F57F44" w:rsidP="00F57F44">
      <w:pPr>
        <w:pStyle w:val="Header"/>
        <w:tabs>
          <w:tab w:val="num" w:pos="1080"/>
        </w:tabs>
        <w:rPr>
          <w:i/>
          <w:iCs/>
          <w:szCs w:val="24"/>
        </w:rPr>
      </w:pPr>
      <w:r w:rsidRPr="00573367">
        <w:rPr>
          <w:i/>
          <w:iCs/>
          <w:szCs w:val="24"/>
        </w:rPr>
        <w:t>Health Insurance (Section 3C General Medical Services – Telehealth Attendances) Determination 2021</w:t>
      </w:r>
    </w:p>
    <w:p w14:paraId="67887E60" w14:textId="77777777" w:rsidR="00F57F44" w:rsidRPr="00573367" w:rsidRDefault="00F57F44" w:rsidP="00F57F44">
      <w:pPr>
        <w:pStyle w:val="Header"/>
        <w:tabs>
          <w:tab w:val="num" w:pos="1080"/>
        </w:tabs>
        <w:rPr>
          <w:iCs/>
          <w:szCs w:val="24"/>
        </w:rPr>
      </w:pPr>
    </w:p>
    <w:p w14:paraId="270BE94F" w14:textId="51F72F94" w:rsidR="00B246F1" w:rsidRPr="00573367" w:rsidRDefault="00B246F1" w:rsidP="00B246F1">
      <w:pPr>
        <w:pStyle w:val="Header"/>
        <w:tabs>
          <w:tab w:val="num" w:pos="1080"/>
        </w:tabs>
        <w:rPr>
          <w:szCs w:val="24"/>
        </w:rPr>
      </w:pPr>
      <w:r w:rsidRPr="00573367">
        <w:rPr>
          <w:b/>
          <w:bCs/>
          <w:szCs w:val="24"/>
        </w:rPr>
        <w:t>Item 1</w:t>
      </w:r>
      <w:r w:rsidRPr="00573367">
        <w:rPr>
          <w:szCs w:val="24"/>
        </w:rPr>
        <w:t xml:space="preserve"> inserts reference to item </w:t>
      </w:r>
      <w:r w:rsidRPr="00573367">
        <w:t xml:space="preserve">92440 </w:t>
      </w:r>
      <w:r w:rsidRPr="00573367">
        <w:rPr>
          <w:szCs w:val="24"/>
        </w:rPr>
        <w:t>into the co-claiming restriction for MBS item 92423 (column 2, paragraph (c)).</w:t>
      </w:r>
    </w:p>
    <w:p w14:paraId="587A897B" w14:textId="77777777" w:rsidR="00B246F1" w:rsidRPr="00573367" w:rsidRDefault="00B246F1" w:rsidP="00F57F44">
      <w:pPr>
        <w:pStyle w:val="Header"/>
        <w:tabs>
          <w:tab w:val="num" w:pos="1080"/>
        </w:tabs>
        <w:rPr>
          <w:szCs w:val="24"/>
        </w:rPr>
      </w:pPr>
    </w:p>
    <w:p w14:paraId="7A652421" w14:textId="078A8663" w:rsidR="00F57F44" w:rsidRPr="00573367" w:rsidRDefault="00F57F44" w:rsidP="00F57F44">
      <w:pPr>
        <w:pStyle w:val="Header"/>
        <w:tabs>
          <w:tab w:val="num" w:pos="1080"/>
        </w:tabs>
        <w:rPr>
          <w:szCs w:val="24"/>
        </w:rPr>
      </w:pPr>
      <w:r w:rsidRPr="00573367">
        <w:rPr>
          <w:b/>
          <w:bCs/>
          <w:szCs w:val="24"/>
        </w:rPr>
        <w:t xml:space="preserve">Item </w:t>
      </w:r>
      <w:r w:rsidR="00B246F1" w:rsidRPr="00573367">
        <w:rPr>
          <w:b/>
          <w:bCs/>
          <w:szCs w:val="24"/>
        </w:rPr>
        <w:t>2</w:t>
      </w:r>
      <w:r w:rsidRPr="00573367">
        <w:rPr>
          <w:szCs w:val="24"/>
        </w:rPr>
        <w:t xml:space="preserve"> </w:t>
      </w:r>
      <w:r w:rsidR="00646B6C" w:rsidRPr="00573367">
        <w:rPr>
          <w:szCs w:val="24"/>
        </w:rPr>
        <w:t>insert</w:t>
      </w:r>
      <w:r w:rsidR="00A8154C" w:rsidRPr="00573367">
        <w:rPr>
          <w:szCs w:val="24"/>
        </w:rPr>
        <w:t>s</w:t>
      </w:r>
      <w:r w:rsidR="007668F7" w:rsidRPr="00573367">
        <w:rPr>
          <w:szCs w:val="24"/>
        </w:rPr>
        <w:t xml:space="preserve"> reference to</w:t>
      </w:r>
      <w:r w:rsidR="00646B6C" w:rsidRPr="00573367">
        <w:rPr>
          <w:szCs w:val="24"/>
        </w:rPr>
        <w:t xml:space="preserve"> item</w:t>
      </w:r>
      <w:r w:rsidR="00EA1A76" w:rsidRPr="00573367">
        <w:rPr>
          <w:szCs w:val="24"/>
        </w:rPr>
        <w:t xml:space="preserve"> 92443</w:t>
      </w:r>
      <w:r w:rsidR="00646B6C" w:rsidRPr="00573367">
        <w:rPr>
          <w:szCs w:val="24"/>
        </w:rPr>
        <w:t xml:space="preserve"> into the co-claiming restriction </w:t>
      </w:r>
      <w:r w:rsidR="00080B7D" w:rsidRPr="00573367">
        <w:rPr>
          <w:szCs w:val="24"/>
        </w:rPr>
        <w:t xml:space="preserve">for </w:t>
      </w:r>
      <w:r w:rsidR="00646B6C" w:rsidRPr="00573367">
        <w:rPr>
          <w:szCs w:val="24"/>
        </w:rPr>
        <w:t>MBS item 92423</w:t>
      </w:r>
      <w:r w:rsidR="00080B7D" w:rsidRPr="00573367">
        <w:rPr>
          <w:szCs w:val="24"/>
        </w:rPr>
        <w:t xml:space="preserve"> (column 2, paragraph (f))</w:t>
      </w:r>
      <w:r w:rsidR="006C77A4" w:rsidRPr="00573367">
        <w:rPr>
          <w:szCs w:val="24"/>
        </w:rPr>
        <w:t>.</w:t>
      </w:r>
    </w:p>
    <w:p w14:paraId="1527FE7A" w14:textId="77777777" w:rsidR="00F57F44" w:rsidRPr="00573367" w:rsidRDefault="00F57F44" w:rsidP="00F57F44">
      <w:pPr>
        <w:pStyle w:val="Header"/>
        <w:tabs>
          <w:tab w:val="num" w:pos="1080"/>
        </w:tabs>
        <w:rPr>
          <w:szCs w:val="24"/>
        </w:rPr>
      </w:pPr>
    </w:p>
    <w:p w14:paraId="3A5A44CB" w14:textId="39299B3F" w:rsidR="00F57F44" w:rsidRPr="00573367" w:rsidRDefault="00F57F44" w:rsidP="00F57F44">
      <w:pPr>
        <w:pStyle w:val="Header"/>
        <w:tabs>
          <w:tab w:val="num" w:pos="1080"/>
        </w:tabs>
        <w:rPr>
          <w:szCs w:val="24"/>
        </w:rPr>
      </w:pPr>
      <w:r w:rsidRPr="00573367">
        <w:rPr>
          <w:b/>
          <w:bCs/>
          <w:szCs w:val="24"/>
        </w:rPr>
        <w:t xml:space="preserve">Item </w:t>
      </w:r>
      <w:r w:rsidR="00B246F1" w:rsidRPr="00573367">
        <w:rPr>
          <w:b/>
          <w:bCs/>
          <w:szCs w:val="24"/>
        </w:rPr>
        <w:t>3</w:t>
      </w:r>
      <w:r w:rsidRPr="00573367">
        <w:rPr>
          <w:szCs w:val="24"/>
        </w:rPr>
        <w:t xml:space="preserve"> </w:t>
      </w:r>
      <w:r w:rsidR="00646B6C" w:rsidRPr="00573367">
        <w:rPr>
          <w:szCs w:val="24"/>
        </w:rPr>
        <w:t>inserts</w:t>
      </w:r>
      <w:r w:rsidR="007668F7" w:rsidRPr="00573367">
        <w:rPr>
          <w:szCs w:val="24"/>
        </w:rPr>
        <w:t xml:space="preserve"> reference to</w:t>
      </w:r>
      <w:r w:rsidR="00646B6C" w:rsidRPr="00573367">
        <w:rPr>
          <w:szCs w:val="24"/>
        </w:rPr>
        <w:t xml:space="preserve"> item </w:t>
      </w:r>
      <w:r w:rsidR="006C77A4" w:rsidRPr="00573367">
        <w:rPr>
          <w:szCs w:val="24"/>
        </w:rPr>
        <w:t xml:space="preserve">92444 </w:t>
      </w:r>
      <w:r w:rsidR="00646B6C" w:rsidRPr="00573367">
        <w:rPr>
          <w:szCs w:val="24"/>
        </w:rPr>
        <w:t>into the co-claiming restriction for MBS item 924</w:t>
      </w:r>
      <w:r w:rsidR="006C77A4" w:rsidRPr="00573367">
        <w:rPr>
          <w:szCs w:val="24"/>
        </w:rPr>
        <w:t>36</w:t>
      </w:r>
      <w:r w:rsidR="00080B7D" w:rsidRPr="00573367">
        <w:rPr>
          <w:szCs w:val="24"/>
        </w:rPr>
        <w:t xml:space="preserve"> (column 2, paragraph (g))</w:t>
      </w:r>
      <w:r w:rsidR="006C77A4" w:rsidRPr="00573367">
        <w:rPr>
          <w:szCs w:val="24"/>
        </w:rPr>
        <w:t>.</w:t>
      </w:r>
    </w:p>
    <w:p w14:paraId="340DFB9C" w14:textId="77777777" w:rsidR="00F57F44" w:rsidRPr="00573367" w:rsidRDefault="00F57F44" w:rsidP="00F57F44">
      <w:pPr>
        <w:pStyle w:val="Header"/>
        <w:tabs>
          <w:tab w:val="num" w:pos="1080"/>
        </w:tabs>
        <w:rPr>
          <w:bCs/>
          <w:szCs w:val="24"/>
        </w:rPr>
      </w:pPr>
    </w:p>
    <w:p w14:paraId="177A5DAD" w14:textId="0C3590AA" w:rsidR="00F57F44" w:rsidRPr="00573367" w:rsidRDefault="00F57F44" w:rsidP="00646B6C">
      <w:pPr>
        <w:pStyle w:val="Header"/>
        <w:tabs>
          <w:tab w:val="num" w:pos="1080"/>
        </w:tabs>
        <w:rPr>
          <w:szCs w:val="24"/>
        </w:rPr>
      </w:pPr>
      <w:r w:rsidRPr="00573367">
        <w:rPr>
          <w:b/>
          <w:bCs/>
          <w:szCs w:val="24"/>
        </w:rPr>
        <w:t xml:space="preserve">Item </w:t>
      </w:r>
      <w:r w:rsidR="00B246F1" w:rsidRPr="00573367">
        <w:rPr>
          <w:b/>
          <w:bCs/>
          <w:szCs w:val="24"/>
        </w:rPr>
        <w:t>4</w:t>
      </w:r>
      <w:r w:rsidRPr="00573367">
        <w:rPr>
          <w:szCs w:val="24"/>
        </w:rPr>
        <w:t xml:space="preserve"> </w:t>
      </w:r>
      <w:r w:rsidR="00646B6C" w:rsidRPr="00573367">
        <w:rPr>
          <w:szCs w:val="24"/>
        </w:rPr>
        <w:t xml:space="preserve">inserts </w:t>
      </w:r>
      <w:r w:rsidR="00B4682E" w:rsidRPr="00573367">
        <w:rPr>
          <w:szCs w:val="24"/>
        </w:rPr>
        <w:t xml:space="preserve">new </w:t>
      </w:r>
      <w:r w:rsidR="00F83773" w:rsidRPr="00573367">
        <w:rPr>
          <w:szCs w:val="24"/>
        </w:rPr>
        <w:t xml:space="preserve">MBS items </w:t>
      </w:r>
      <w:r w:rsidR="00646B6C" w:rsidRPr="00573367">
        <w:rPr>
          <w:szCs w:val="24"/>
        </w:rPr>
        <w:t xml:space="preserve">92440 and 92443 </w:t>
      </w:r>
      <w:r w:rsidR="0054611A" w:rsidRPr="00573367">
        <w:rPr>
          <w:szCs w:val="24"/>
        </w:rPr>
        <w:t xml:space="preserve">into the Telehealth Determination, which are </w:t>
      </w:r>
      <w:r w:rsidR="00646B6C" w:rsidRPr="00573367">
        <w:rPr>
          <w:szCs w:val="24"/>
        </w:rPr>
        <w:t xml:space="preserve">for </w:t>
      </w:r>
      <w:r w:rsidR="00052597" w:rsidRPr="00573367">
        <w:rPr>
          <w:szCs w:val="24"/>
        </w:rPr>
        <w:t xml:space="preserve">subsequent phone attendance by a </w:t>
      </w:r>
      <w:r w:rsidR="00F83773" w:rsidRPr="00573367">
        <w:rPr>
          <w:szCs w:val="24"/>
        </w:rPr>
        <w:t>consultant physician in the practice of the consultant physician's specialty (other than psychiatry)</w:t>
      </w:r>
      <w:r w:rsidR="0054611A" w:rsidRPr="00573367">
        <w:rPr>
          <w:szCs w:val="24"/>
        </w:rPr>
        <w:t>.</w:t>
      </w:r>
      <w:r w:rsidR="00646B6C" w:rsidRPr="00573367">
        <w:rPr>
          <w:szCs w:val="24"/>
        </w:rPr>
        <w:t xml:space="preserve"> </w:t>
      </w:r>
      <w:r w:rsidR="00F107F6" w:rsidRPr="00573367">
        <w:rPr>
          <w:szCs w:val="24"/>
        </w:rPr>
        <w:t xml:space="preserve">These items are inserted into existing Subgroup 8 of Group A40. </w:t>
      </w:r>
    </w:p>
    <w:p w14:paraId="4C686CB2" w14:textId="77777777" w:rsidR="00F57F44" w:rsidRPr="00573367" w:rsidRDefault="00F57F44" w:rsidP="00F57F44">
      <w:pPr>
        <w:pStyle w:val="Header"/>
        <w:tabs>
          <w:tab w:val="num" w:pos="1080"/>
        </w:tabs>
        <w:rPr>
          <w:szCs w:val="24"/>
        </w:rPr>
      </w:pPr>
    </w:p>
    <w:p w14:paraId="7FDF231E" w14:textId="7DFB75E3" w:rsidR="00F57F44" w:rsidRPr="00573367" w:rsidRDefault="00F57F44" w:rsidP="00F57F44">
      <w:pPr>
        <w:pStyle w:val="Header"/>
        <w:tabs>
          <w:tab w:val="num" w:pos="1080"/>
        </w:tabs>
        <w:rPr>
          <w:szCs w:val="24"/>
        </w:rPr>
      </w:pPr>
      <w:r w:rsidRPr="00573367">
        <w:rPr>
          <w:b/>
          <w:bCs/>
          <w:szCs w:val="24"/>
        </w:rPr>
        <w:t xml:space="preserve">Item </w:t>
      </w:r>
      <w:r w:rsidR="00B246F1" w:rsidRPr="00573367">
        <w:rPr>
          <w:b/>
          <w:bCs/>
          <w:szCs w:val="24"/>
        </w:rPr>
        <w:t>5</w:t>
      </w:r>
      <w:r w:rsidRPr="00573367">
        <w:rPr>
          <w:b/>
          <w:bCs/>
          <w:szCs w:val="24"/>
        </w:rPr>
        <w:t xml:space="preserve"> </w:t>
      </w:r>
      <w:r w:rsidR="00646B6C" w:rsidRPr="00573367">
        <w:rPr>
          <w:szCs w:val="24"/>
        </w:rPr>
        <w:t xml:space="preserve">inserts </w:t>
      </w:r>
      <w:r w:rsidR="006821BF" w:rsidRPr="00573367">
        <w:rPr>
          <w:szCs w:val="24"/>
        </w:rPr>
        <w:t xml:space="preserve">new </w:t>
      </w:r>
      <w:r w:rsidR="00F83773" w:rsidRPr="00573367">
        <w:rPr>
          <w:szCs w:val="24"/>
        </w:rPr>
        <w:t xml:space="preserve">MBS items </w:t>
      </w:r>
      <w:r w:rsidR="00646B6C" w:rsidRPr="00573367">
        <w:rPr>
          <w:szCs w:val="24"/>
        </w:rPr>
        <w:t>92441 and 92442</w:t>
      </w:r>
      <w:r w:rsidR="00C279C7" w:rsidRPr="00573367">
        <w:rPr>
          <w:szCs w:val="24"/>
        </w:rPr>
        <w:t xml:space="preserve"> into the Telehealth Determination, which are</w:t>
      </w:r>
      <w:r w:rsidR="00F83773" w:rsidRPr="00573367">
        <w:rPr>
          <w:szCs w:val="24"/>
        </w:rPr>
        <w:t xml:space="preserve"> for </w:t>
      </w:r>
      <w:r w:rsidR="00532AD6" w:rsidRPr="00573367">
        <w:rPr>
          <w:szCs w:val="24"/>
        </w:rPr>
        <w:t xml:space="preserve">subsequent phone attendance </w:t>
      </w:r>
      <w:r w:rsidR="00F0489C" w:rsidRPr="00573367">
        <w:rPr>
          <w:szCs w:val="24"/>
        </w:rPr>
        <w:t xml:space="preserve">by a </w:t>
      </w:r>
      <w:r w:rsidR="00F83773" w:rsidRPr="00573367">
        <w:rPr>
          <w:szCs w:val="24"/>
        </w:rPr>
        <w:t>consultant physician in the practice of the consultant physician’s specialty of psychiatry</w:t>
      </w:r>
      <w:r w:rsidR="00F0489C" w:rsidRPr="00573367">
        <w:rPr>
          <w:szCs w:val="24"/>
        </w:rPr>
        <w:t>. These items are inserted into a new Subgroup 26</w:t>
      </w:r>
      <w:r w:rsidR="00F107F6" w:rsidRPr="00573367">
        <w:rPr>
          <w:szCs w:val="24"/>
        </w:rPr>
        <w:t xml:space="preserve"> of Group A40</w:t>
      </w:r>
      <w:r w:rsidR="00F0489C" w:rsidRPr="00573367">
        <w:rPr>
          <w:szCs w:val="24"/>
        </w:rPr>
        <w:t xml:space="preserve">. </w:t>
      </w:r>
    </w:p>
    <w:p w14:paraId="27F0948B" w14:textId="77777777" w:rsidR="00646B6C" w:rsidRPr="00573367" w:rsidRDefault="00646B6C" w:rsidP="00F57F44">
      <w:pPr>
        <w:pStyle w:val="Header"/>
        <w:tabs>
          <w:tab w:val="num" w:pos="1080"/>
        </w:tabs>
        <w:rPr>
          <w:szCs w:val="24"/>
        </w:rPr>
      </w:pPr>
    </w:p>
    <w:p w14:paraId="6DD108B0" w14:textId="32E68525" w:rsidR="0020203B" w:rsidRPr="00573367" w:rsidRDefault="00F57F44" w:rsidP="00F57F44">
      <w:pPr>
        <w:pStyle w:val="Header"/>
        <w:tabs>
          <w:tab w:val="num" w:pos="1080"/>
        </w:tabs>
      </w:pPr>
      <w:r w:rsidRPr="00573367">
        <w:rPr>
          <w:b/>
          <w:bCs/>
          <w:szCs w:val="24"/>
        </w:rPr>
        <w:t xml:space="preserve">Item </w:t>
      </w:r>
      <w:r w:rsidR="00B246F1" w:rsidRPr="00573367">
        <w:rPr>
          <w:b/>
          <w:bCs/>
          <w:szCs w:val="24"/>
        </w:rPr>
        <w:t>6</w:t>
      </w:r>
      <w:r w:rsidRPr="00573367">
        <w:rPr>
          <w:szCs w:val="24"/>
        </w:rPr>
        <w:t xml:space="preserve"> </w:t>
      </w:r>
      <w:r w:rsidR="0020203B" w:rsidRPr="00573367">
        <w:rPr>
          <w:szCs w:val="24"/>
        </w:rPr>
        <w:t xml:space="preserve">repeals and replaces MBS item </w:t>
      </w:r>
      <w:r w:rsidR="0020203B" w:rsidRPr="00573367">
        <w:t xml:space="preserve">92624 to: </w:t>
      </w:r>
    </w:p>
    <w:p w14:paraId="4ECCB24B" w14:textId="141DC444" w:rsidR="0020203B" w:rsidRPr="00573367" w:rsidRDefault="0020203B" w:rsidP="0020203B">
      <w:pPr>
        <w:pStyle w:val="Header"/>
        <w:numPr>
          <w:ilvl w:val="0"/>
          <w:numId w:val="35"/>
        </w:numPr>
        <w:rPr>
          <w:szCs w:val="24"/>
        </w:rPr>
      </w:pPr>
      <w:r w:rsidRPr="00573367">
        <w:rPr>
          <w:szCs w:val="24"/>
        </w:rPr>
        <w:t>remove reference to MBS item 92448, which ceased on 1 July 2022; and</w:t>
      </w:r>
    </w:p>
    <w:p w14:paraId="2E533B59" w14:textId="69CC5B1C" w:rsidR="00F57F44" w:rsidRPr="00573367" w:rsidRDefault="00646B6C" w:rsidP="0020203B">
      <w:pPr>
        <w:pStyle w:val="Header"/>
        <w:numPr>
          <w:ilvl w:val="0"/>
          <w:numId w:val="35"/>
        </w:numPr>
        <w:rPr>
          <w:szCs w:val="24"/>
        </w:rPr>
      </w:pPr>
      <w:r w:rsidRPr="00573367">
        <w:rPr>
          <w:szCs w:val="24"/>
        </w:rPr>
        <w:t>insert</w:t>
      </w:r>
      <w:r w:rsidR="007668F7" w:rsidRPr="00573367">
        <w:rPr>
          <w:szCs w:val="24"/>
        </w:rPr>
        <w:t xml:space="preserve"> reference to</w:t>
      </w:r>
      <w:r w:rsidRPr="00573367">
        <w:rPr>
          <w:szCs w:val="24"/>
        </w:rPr>
        <w:t xml:space="preserve"> item</w:t>
      </w:r>
      <w:r w:rsidR="00E062E4" w:rsidRPr="00573367">
        <w:rPr>
          <w:szCs w:val="24"/>
        </w:rPr>
        <w:t>s 14</w:t>
      </w:r>
      <w:r w:rsidR="007668F7" w:rsidRPr="00573367">
        <w:rPr>
          <w:szCs w:val="24"/>
        </w:rPr>
        <w:t xml:space="preserve">3 and 92448 </w:t>
      </w:r>
      <w:r w:rsidRPr="00573367">
        <w:rPr>
          <w:szCs w:val="24"/>
        </w:rPr>
        <w:t>into the co-claiming restriction for MBS item 92624</w:t>
      </w:r>
      <w:r w:rsidR="007B5424" w:rsidRPr="00573367">
        <w:rPr>
          <w:szCs w:val="24"/>
        </w:rPr>
        <w:t xml:space="preserve"> (column 2, paragraph (e)). </w:t>
      </w:r>
    </w:p>
    <w:p w14:paraId="4A188C24" w14:textId="77777777" w:rsidR="00F57F44" w:rsidRPr="00573367" w:rsidRDefault="00F57F44" w:rsidP="00F57F44">
      <w:pPr>
        <w:pStyle w:val="Header"/>
        <w:tabs>
          <w:tab w:val="num" w:pos="1080"/>
        </w:tabs>
        <w:rPr>
          <w:szCs w:val="24"/>
        </w:rPr>
      </w:pPr>
    </w:p>
    <w:p w14:paraId="31FF527A" w14:textId="508EA3B3" w:rsidR="00F57F44" w:rsidRPr="00573367" w:rsidRDefault="00F57F44" w:rsidP="00646B6C">
      <w:pPr>
        <w:pStyle w:val="Header"/>
        <w:tabs>
          <w:tab w:val="num" w:pos="1080"/>
        </w:tabs>
        <w:rPr>
          <w:szCs w:val="24"/>
        </w:rPr>
      </w:pPr>
      <w:r w:rsidRPr="00573367">
        <w:rPr>
          <w:b/>
          <w:bCs/>
          <w:szCs w:val="24"/>
        </w:rPr>
        <w:t xml:space="preserve">Item </w:t>
      </w:r>
      <w:r w:rsidR="00B246F1" w:rsidRPr="00573367">
        <w:rPr>
          <w:b/>
          <w:bCs/>
          <w:szCs w:val="24"/>
        </w:rPr>
        <w:t>7</w:t>
      </w:r>
      <w:r w:rsidRPr="00573367">
        <w:rPr>
          <w:b/>
          <w:bCs/>
          <w:szCs w:val="24"/>
        </w:rPr>
        <w:t xml:space="preserve"> </w:t>
      </w:r>
      <w:r w:rsidR="00646B6C" w:rsidRPr="00573367">
        <w:rPr>
          <w:szCs w:val="24"/>
        </w:rPr>
        <w:t xml:space="preserve">inserts </w:t>
      </w:r>
      <w:r w:rsidR="006821BF" w:rsidRPr="00573367">
        <w:rPr>
          <w:szCs w:val="24"/>
        </w:rPr>
        <w:t xml:space="preserve">new </w:t>
      </w:r>
      <w:r w:rsidR="00646B6C" w:rsidRPr="00573367">
        <w:rPr>
          <w:szCs w:val="24"/>
        </w:rPr>
        <w:t xml:space="preserve">MBS items 92445, 92446 and 92447 </w:t>
      </w:r>
      <w:r w:rsidR="0044635E" w:rsidRPr="00573367">
        <w:rPr>
          <w:szCs w:val="24"/>
        </w:rPr>
        <w:t xml:space="preserve">into the Telehealth Determination, which are </w:t>
      </w:r>
      <w:r w:rsidR="00646B6C" w:rsidRPr="00573367">
        <w:rPr>
          <w:szCs w:val="24"/>
        </w:rPr>
        <w:t xml:space="preserve">for </w:t>
      </w:r>
      <w:r w:rsidR="0032140B" w:rsidRPr="00573367">
        <w:rPr>
          <w:szCs w:val="24"/>
        </w:rPr>
        <w:t>subsequent phone attendance</w:t>
      </w:r>
      <w:r w:rsidR="0044635E" w:rsidRPr="00573367">
        <w:rPr>
          <w:szCs w:val="24"/>
        </w:rPr>
        <w:t xml:space="preserve"> by a specialist in the practice of</w:t>
      </w:r>
      <w:r w:rsidR="0032140B" w:rsidRPr="00573367">
        <w:rPr>
          <w:szCs w:val="24"/>
        </w:rPr>
        <w:t xml:space="preserve"> </w:t>
      </w:r>
      <w:r w:rsidR="00F83773" w:rsidRPr="00573367">
        <w:t>neurosurgery</w:t>
      </w:r>
      <w:r w:rsidR="0044635E" w:rsidRPr="00573367">
        <w:t xml:space="preserve">. These items are inserted into </w:t>
      </w:r>
      <w:r w:rsidR="001911AE" w:rsidRPr="00573367">
        <w:t>existing Subgroup 36 of Group A40.</w:t>
      </w:r>
    </w:p>
    <w:p w14:paraId="2B0BF11B" w14:textId="77777777" w:rsidR="00F57F44" w:rsidRPr="00573367" w:rsidRDefault="00F57F44" w:rsidP="00F57F44">
      <w:pPr>
        <w:pStyle w:val="Header"/>
        <w:tabs>
          <w:tab w:val="num" w:pos="1080"/>
        </w:tabs>
        <w:rPr>
          <w:szCs w:val="24"/>
        </w:rPr>
      </w:pPr>
    </w:p>
    <w:p w14:paraId="042D6A09" w14:textId="0B2AD9E8" w:rsidR="00F57F44" w:rsidRPr="00573367" w:rsidRDefault="00F57F44" w:rsidP="00F57F44">
      <w:pPr>
        <w:pStyle w:val="Header"/>
        <w:tabs>
          <w:tab w:val="num" w:pos="1080"/>
        </w:tabs>
        <w:rPr>
          <w:szCs w:val="24"/>
        </w:rPr>
      </w:pPr>
      <w:r w:rsidRPr="00573367">
        <w:rPr>
          <w:b/>
          <w:bCs/>
          <w:szCs w:val="24"/>
        </w:rPr>
        <w:t xml:space="preserve">Item </w:t>
      </w:r>
      <w:r w:rsidR="00B246F1" w:rsidRPr="00573367">
        <w:rPr>
          <w:b/>
          <w:bCs/>
          <w:szCs w:val="24"/>
        </w:rPr>
        <w:t>8</w:t>
      </w:r>
      <w:r w:rsidRPr="00573367">
        <w:rPr>
          <w:b/>
          <w:bCs/>
          <w:szCs w:val="24"/>
        </w:rPr>
        <w:t xml:space="preserve"> </w:t>
      </w:r>
      <w:r w:rsidR="00646B6C" w:rsidRPr="00573367">
        <w:rPr>
          <w:szCs w:val="24"/>
        </w:rPr>
        <w:t xml:space="preserve">inserts </w:t>
      </w:r>
      <w:r w:rsidR="00F83773" w:rsidRPr="00573367">
        <w:rPr>
          <w:szCs w:val="24"/>
        </w:rPr>
        <w:t>MBS item</w:t>
      </w:r>
      <w:r w:rsidR="00646B6C" w:rsidRPr="00573367">
        <w:rPr>
          <w:szCs w:val="24"/>
        </w:rPr>
        <w:t xml:space="preserve"> 92444 </w:t>
      </w:r>
      <w:r w:rsidR="00B26D2A" w:rsidRPr="00573367">
        <w:rPr>
          <w:szCs w:val="24"/>
        </w:rPr>
        <w:t xml:space="preserve">into the Telehealth Determination, which is </w:t>
      </w:r>
      <w:r w:rsidR="00F83773" w:rsidRPr="00573367">
        <w:rPr>
          <w:szCs w:val="24"/>
        </w:rPr>
        <w:t xml:space="preserve">for </w:t>
      </w:r>
      <w:r w:rsidR="00B26D2A" w:rsidRPr="00573367">
        <w:rPr>
          <w:szCs w:val="24"/>
        </w:rPr>
        <w:t xml:space="preserve">subsequent phone attendance by a </w:t>
      </w:r>
      <w:r w:rsidR="00F83773" w:rsidRPr="00573367">
        <w:rPr>
          <w:szCs w:val="24"/>
        </w:rPr>
        <w:t>consultant physician in the practice of the consultant physician’s specialty of psychiatry</w:t>
      </w:r>
      <w:r w:rsidR="00B26D2A" w:rsidRPr="00573367">
        <w:rPr>
          <w:szCs w:val="24"/>
        </w:rPr>
        <w:t xml:space="preserve">. Item 92444 is inserted into </w:t>
      </w:r>
      <w:r w:rsidR="008A62FE" w:rsidRPr="00573367">
        <w:rPr>
          <w:szCs w:val="24"/>
        </w:rPr>
        <w:t>existing Subgroup 9 of Group A40.</w:t>
      </w:r>
    </w:p>
    <w:p w14:paraId="5D498AD9" w14:textId="77777777" w:rsidR="00F57F44" w:rsidRPr="00573367" w:rsidRDefault="00F57F44" w:rsidP="00F57F44">
      <w:pPr>
        <w:pStyle w:val="Header"/>
        <w:tabs>
          <w:tab w:val="num" w:pos="1080"/>
        </w:tabs>
        <w:rPr>
          <w:szCs w:val="24"/>
        </w:rPr>
      </w:pPr>
    </w:p>
    <w:p w14:paraId="79D6E862" w14:textId="05F63E86" w:rsidR="002B6F3D" w:rsidRPr="00573367" w:rsidRDefault="00F57F44" w:rsidP="002B6F3D">
      <w:pPr>
        <w:pStyle w:val="Header"/>
        <w:tabs>
          <w:tab w:val="num" w:pos="1080"/>
        </w:tabs>
        <w:rPr>
          <w:szCs w:val="24"/>
        </w:rPr>
      </w:pPr>
      <w:r w:rsidRPr="00573367">
        <w:rPr>
          <w:b/>
          <w:bCs/>
          <w:szCs w:val="24"/>
        </w:rPr>
        <w:t xml:space="preserve">Item </w:t>
      </w:r>
      <w:r w:rsidR="00B246F1" w:rsidRPr="00573367">
        <w:rPr>
          <w:b/>
          <w:bCs/>
          <w:szCs w:val="24"/>
        </w:rPr>
        <w:t>9</w:t>
      </w:r>
      <w:r w:rsidRPr="00573367">
        <w:rPr>
          <w:b/>
          <w:bCs/>
          <w:szCs w:val="24"/>
        </w:rPr>
        <w:t xml:space="preserve"> </w:t>
      </w:r>
      <w:r w:rsidR="00646B6C" w:rsidRPr="00573367">
        <w:rPr>
          <w:szCs w:val="24"/>
        </w:rPr>
        <w:t xml:space="preserve">inserts </w:t>
      </w:r>
      <w:bookmarkStart w:id="2" w:name="_Hlk89258381"/>
      <w:r w:rsidR="006821BF" w:rsidRPr="00573367">
        <w:rPr>
          <w:szCs w:val="24"/>
        </w:rPr>
        <w:t xml:space="preserve">new </w:t>
      </w:r>
      <w:r w:rsidR="00F83773" w:rsidRPr="00573367">
        <w:rPr>
          <w:szCs w:val="24"/>
        </w:rPr>
        <w:t xml:space="preserve">MBS item </w:t>
      </w:r>
      <w:r w:rsidR="00646B6C" w:rsidRPr="00573367">
        <w:t>92448</w:t>
      </w:r>
      <w:bookmarkEnd w:id="2"/>
      <w:r w:rsidR="00646B6C" w:rsidRPr="00573367">
        <w:rPr>
          <w:szCs w:val="24"/>
        </w:rPr>
        <w:t xml:space="preserve"> </w:t>
      </w:r>
      <w:r w:rsidR="000628FE" w:rsidRPr="00573367">
        <w:rPr>
          <w:szCs w:val="24"/>
        </w:rPr>
        <w:t xml:space="preserve">into the Telehealth Determination, which is for subsequent phone attendance </w:t>
      </w:r>
      <w:r w:rsidR="00646B6C" w:rsidRPr="00573367">
        <w:rPr>
          <w:szCs w:val="24"/>
        </w:rPr>
        <w:t xml:space="preserve">for geriatric medicine </w:t>
      </w:r>
      <w:r w:rsidR="00BF3462" w:rsidRPr="00573367">
        <w:rPr>
          <w:szCs w:val="24"/>
        </w:rPr>
        <w:t xml:space="preserve">for </w:t>
      </w:r>
      <w:r w:rsidR="00646B6C" w:rsidRPr="00573367">
        <w:rPr>
          <w:szCs w:val="24"/>
        </w:rPr>
        <w:t>review</w:t>
      </w:r>
      <w:r w:rsidR="00BF3462" w:rsidRPr="00573367">
        <w:rPr>
          <w:szCs w:val="24"/>
        </w:rPr>
        <w:t xml:space="preserve"> </w:t>
      </w:r>
      <w:r w:rsidR="00B71F6F" w:rsidRPr="00573367">
        <w:rPr>
          <w:szCs w:val="24"/>
        </w:rPr>
        <w:t xml:space="preserve">of </w:t>
      </w:r>
      <w:r w:rsidR="00BF3462" w:rsidRPr="00573367">
        <w:rPr>
          <w:szCs w:val="24"/>
        </w:rPr>
        <w:t>a management plan</w:t>
      </w:r>
      <w:r w:rsidR="00B71F6F" w:rsidRPr="00573367">
        <w:rPr>
          <w:szCs w:val="24"/>
        </w:rPr>
        <w:t xml:space="preserve"> by a consultant physician or specialist in the practice of the consultant physician’s or specialist’s specialty of geriatric medicine</w:t>
      </w:r>
      <w:r w:rsidR="00BF3462" w:rsidRPr="00573367">
        <w:rPr>
          <w:szCs w:val="24"/>
        </w:rPr>
        <w:t xml:space="preserve">. </w:t>
      </w:r>
      <w:r w:rsidR="00B71F6F" w:rsidRPr="00573367">
        <w:rPr>
          <w:szCs w:val="24"/>
        </w:rPr>
        <w:t>Item 92448 is inserted into new Subgroup 32 of Group A40.</w:t>
      </w:r>
    </w:p>
    <w:p w14:paraId="0F2E0DB8" w14:textId="77777777" w:rsidR="00D500CD" w:rsidRPr="00573367" w:rsidRDefault="00D500CD" w:rsidP="008D5EC0">
      <w:pPr>
        <w:pStyle w:val="Header"/>
        <w:tabs>
          <w:tab w:val="num" w:pos="1080"/>
        </w:tabs>
        <w:rPr>
          <w:szCs w:val="24"/>
          <w:u w:val="single"/>
        </w:rPr>
      </w:pPr>
    </w:p>
    <w:p w14:paraId="4658F0CE" w14:textId="5B20AA31" w:rsidR="008D5EC0" w:rsidRPr="00573367" w:rsidRDefault="008D5EC0" w:rsidP="008D5EC0">
      <w:pPr>
        <w:pStyle w:val="Header"/>
        <w:tabs>
          <w:tab w:val="num" w:pos="1080"/>
        </w:tabs>
        <w:rPr>
          <w:szCs w:val="24"/>
          <w:u w:val="single"/>
        </w:rPr>
      </w:pPr>
      <w:r w:rsidRPr="00573367">
        <w:rPr>
          <w:szCs w:val="24"/>
          <w:u w:val="single"/>
        </w:rPr>
        <w:t>Schedule 4—Administrative Amendments</w:t>
      </w:r>
    </w:p>
    <w:p w14:paraId="5D1AE1B5" w14:textId="77777777" w:rsidR="008D5EC0" w:rsidRPr="00573367" w:rsidRDefault="008D5EC0" w:rsidP="008D5EC0">
      <w:pPr>
        <w:pStyle w:val="Header"/>
        <w:tabs>
          <w:tab w:val="num" w:pos="1080"/>
        </w:tabs>
        <w:rPr>
          <w:szCs w:val="24"/>
          <w:u w:val="single"/>
        </w:rPr>
      </w:pPr>
    </w:p>
    <w:p w14:paraId="6B51B28B" w14:textId="77777777" w:rsidR="008D5EC0" w:rsidRPr="00573367" w:rsidRDefault="008D5EC0" w:rsidP="008D5EC0">
      <w:pPr>
        <w:pStyle w:val="Header"/>
        <w:tabs>
          <w:tab w:val="num" w:pos="1080"/>
        </w:tabs>
        <w:rPr>
          <w:i/>
          <w:iCs/>
          <w:szCs w:val="24"/>
        </w:rPr>
      </w:pPr>
      <w:r w:rsidRPr="00573367">
        <w:rPr>
          <w:i/>
          <w:iCs/>
          <w:szCs w:val="24"/>
        </w:rPr>
        <w:t>Health Insurance (Section 3C General Medical Services – Telehealth Attendances) Determination 2021</w:t>
      </w:r>
    </w:p>
    <w:p w14:paraId="165B4453" w14:textId="77777777" w:rsidR="008D5EC0" w:rsidRPr="00573367" w:rsidRDefault="008D5EC0" w:rsidP="00F57F44">
      <w:pPr>
        <w:pStyle w:val="Header"/>
        <w:tabs>
          <w:tab w:val="num" w:pos="1080"/>
        </w:tabs>
        <w:rPr>
          <w:szCs w:val="24"/>
        </w:rPr>
      </w:pPr>
    </w:p>
    <w:p w14:paraId="2D8A5343" w14:textId="66EFE8B9" w:rsidR="00ED39EA" w:rsidRPr="00573367" w:rsidRDefault="008D5EC0" w:rsidP="008D5EC0">
      <w:pPr>
        <w:pStyle w:val="Header"/>
        <w:tabs>
          <w:tab w:val="num" w:pos="1080"/>
        </w:tabs>
      </w:pPr>
      <w:r w:rsidRPr="00573367">
        <w:rPr>
          <w:b/>
          <w:bCs/>
          <w:szCs w:val="24"/>
        </w:rPr>
        <w:t>Item 1</w:t>
      </w:r>
      <w:r w:rsidRPr="00573367">
        <w:rPr>
          <w:szCs w:val="24"/>
        </w:rPr>
        <w:t xml:space="preserve"> amends the heading of clause 1.1.06 to more accurately reflect the content of the clause</w:t>
      </w:r>
      <w:r w:rsidR="00257873" w:rsidRPr="00573367">
        <w:rPr>
          <w:szCs w:val="24"/>
        </w:rPr>
        <w:t>, aligning it with the equivalent clause 2.16.12 of the</w:t>
      </w:r>
      <w:r w:rsidR="006F1EB1" w:rsidRPr="00573367">
        <w:rPr>
          <w:szCs w:val="24"/>
        </w:rPr>
        <w:t xml:space="preserve"> </w:t>
      </w:r>
      <w:r w:rsidR="00ED39EA" w:rsidRPr="00573367">
        <w:rPr>
          <w:i/>
          <w:iCs/>
        </w:rPr>
        <w:t>Health Insurance (General Medical Services Table) Regulations 2021</w:t>
      </w:r>
      <w:r w:rsidR="00ED39EA" w:rsidRPr="00573367">
        <w:t xml:space="preserve"> </w:t>
      </w:r>
      <w:r w:rsidR="00257873" w:rsidRPr="00573367">
        <w:t>(</w:t>
      </w:r>
      <w:r w:rsidR="00ED39EA" w:rsidRPr="00573367">
        <w:t>which lists restrictions for the fac</w:t>
      </w:r>
      <w:r w:rsidR="00257873" w:rsidRPr="00573367">
        <w:t>e</w:t>
      </w:r>
      <w:r w:rsidR="00ED39EA" w:rsidRPr="00573367">
        <w:t xml:space="preserve"> to fac</w:t>
      </w:r>
      <w:r w:rsidR="00257873" w:rsidRPr="00573367">
        <w:t>e</w:t>
      </w:r>
      <w:r w:rsidR="00ED39EA" w:rsidRPr="00573367">
        <w:t xml:space="preserve"> equivalent MBS items</w:t>
      </w:r>
      <w:r w:rsidR="00257873" w:rsidRPr="00573367">
        <w:t>)</w:t>
      </w:r>
      <w:r w:rsidR="00ED39EA" w:rsidRPr="00573367">
        <w:t>.</w:t>
      </w:r>
    </w:p>
    <w:p w14:paraId="77A56D40" w14:textId="77777777" w:rsidR="00257873" w:rsidRPr="00573367" w:rsidRDefault="00257873" w:rsidP="008D5EC0">
      <w:pPr>
        <w:pStyle w:val="Header"/>
        <w:tabs>
          <w:tab w:val="num" w:pos="1080"/>
        </w:tabs>
        <w:rPr>
          <w:szCs w:val="24"/>
        </w:rPr>
      </w:pPr>
    </w:p>
    <w:p w14:paraId="6D1FF828" w14:textId="1766B75A" w:rsidR="008D5EC0" w:rsidRPr="00573367" w:rsidRDefault="008D5EC0" w:rsidP="008D5EC0">
      <w:pPr>
        <w:pStyle w:val="Header"/>
        <w:tabs>
          <w:tab w:val="num" w:pos="1080"/>
        </w:tabs>
        <w:rPr>
          <w:szCs w:val="24"/>
        </w:rPr>
      </w:pPr>
      <w:r w:rsidRPr="00573367">
        <w:rPr>
          <w:b/>
          <w:bCs/>
          <w:szCs w:val="24"/>
        </w:rPr>
        <w:t>Item 2</w:t>
      </w:r>
      <w:r w:rsidRPr="00573367">
        <w:rPr>
          <w:szCs w:val="24"/>
        </w:rPr>
        <w:t xml:space="preserve"> amends subclause 1.1.06(1) to clarify </w:t>
      </w:r>
      <w:r w:rsidR="005F77DD" w:rsidRPr="00573367">
        <w:rPr>
          <w:szCs w:val="24"/>
        </w:rPr>
        <w:t>that “</w:t>
      </w:r>
      <w:r w:rsidR="00500B36" w:rsidRPr="00573367">
        <w:rPr>
          <w:szCs w:val="24"/>
        </w:rPr>
        <w:t xml:space="preserve">This clause” </w:t>
      </w:r>
      <w:r w:rsidRPr="00573367">
        <w:rPr>
          <w:szCs w:val="24"/>
        </w:rPr>
        <w:t xml:space="preserve">refers to subclause </w:t>
      </w:r>
      <w:r w:rsidR="00500B36" w:rsidRPr="00573367">
        <w:rPr>
          <w:szCs w:val="24"/>
        </w:rPr>
        <w:t>1.1.06</w:t>
      </w:r>
      <w:r w:rsidRPr="00573367">
        <w:rPr>
          <w:szCs w:val="24"/>
        </w:rPr>
        <w:t>(2)</w:t>
      </w:r>
      <w:r w:rsidR="00500B36" w:rsidRPr="00573367">
        <w:rPr>
          <w:szCs w:val="24"/>
        </w:rPr>
        <w:t>.</w:t>
      </w:r>
    </w:p>
    <w:p w14:paraId="7E800246" w14:textId="77777777" w:rsidR="008D5EC0" w:rsidRPr="00573367" w:rsidRDefault="008D5EC0" w:rsidP="008D5EC0">
      <w:pPr>
        <w:pStyle w:val="Header"/>
        <w:tabs>
          <w:tab w:val="num" w:pos="1080"/>
        </w:tabs>
        <w:rPr>
          <w:bCs/>
          <w:szCs w:val="24"/>
        </w:rPr>
      </w:pPr>
    </w:p>
    <w:p w14:paraId="0FE43F6E" w14:textId="094054CE" w:rsidR="008D5EC0" w:rsidRPr="00573367" w:rsidRDefault="008D5EC0" w:rsidP="008D5EC0">
      <w:pPr>
        <w:pStyle w:val="Header"/>
        <w:tabs>
          <w:tab w:val="num" w:pos="1080"/>
        </w:tabs>
        <w:rPr>
          <w:szCs w:val="24"/>
        </w:rPr>
      </w:pPr>
      <w:r w:rsidRPr="00573367">
        <w:rPr>
          <w:b/>
          <w:bCs/>
          <w:szCs w:val="24"/>
        </w:rPr>
        <w:t>Item 3</w:t>
      </w:r>
      <w:r w:rsidRPr="00573367">
        <w:rPr>
          <w:szCs w:val="24"/>
        </w:rPr>
        <w:t xml:space="preserve"> </w:t>
      </w:r>
      <w:r w:rsidR="002174CF" w:rsidRPr="00573367">
        <w:rPr>
          <w:szCs w:val="24"/>
        </w:rPr>
        <w:t>repeals and replaces subclause 1.1.06(2) to clarify</w:t>
      </w:r>
      <w:r w:rsidR="00500B36" w:rsidRPr="00573367">
        <w:rPr>
          <w:szCs w:val="24"/>
        </w:rPr>
        <w:t xml:space="preserve"> that</w:t>
      </w:r>
      <w:r w:rsidR="002174CF" w:rsidRPr="00573367">
        <w:rPr>
          <w:szCs w:val="24"/>
        </w:rPr>
        <w:t xml:space="preserve"> the table at subclause 1.1.06(3) lists </w:t>
      </w:r>
      <w:r w:rsidR="00500B36" w:rsidRPr="00573367">
        <w:rPr>
          <w:szCs w:val="24"/>
        </w:rPr>
        <w:t xml:space="preserve">relevant </w:t>
      </w:r>
      <w:r w:rsidR="002174CF" w:rsidRPr="00573367">
        <w:rPr>
          <w:szCs w:val="24"/>
        </w:rPr>
        <w:t xml:space="preserve">MBS items and </w:t>
      </w:r>
      <w:r w:rsidR="00393F3E" w:rsidRPr="00573367">
        <w:rPr>
          <w:szCs w:val="24"/>
        </w:rPr>
        <w:t xml:space="preserve">the </w:t>
      </w:r>
      <w:r w:rsidR="002174CF" w:rsidRPr="00573367">
        <w:rPr>
          <w:szCs w:val="24"/>
        </w:rPr>
        <w:t xml:space="preserve">circumstances </w:t>
      </w:r>
      <w:r w:rsidR="00393F3E" w:rsidRPr="00573367">
        <w:rPr>
          <w:szCs w:val="24"/>
        </w:rPr>
        <w:t xml:space="preserve">in which those items apply. </w:t>
      </w:r>
    </w:p>
    <w:p w14:paraId="42620626" w14:textId="77777777" w:rsidR="008D5EC0" w:rsidRPr="00573367" w:rsidRDefault="008D5EC0" w:rsidP="008D5EC0">
      <w:pPr>
        <w:pStyle w:val="Header"/>
        <w:tabs>
          <w:tab w:val="num" w:pos="1080"/>
        </w:tabs>
        <w:rPr>
          <w:szCs w:val="24"/>
        </w:rPr>
      </w:pPr>
    </w:p>
    <w:p w14:paraId="4592B992" w14:textId="423FB78B" w:rsidR="008D5EC0" w:rsidRPr="00573367" w:rsidRDefault="008D5EC0" w:rsidP="008D5EC0">
      <w:pPr>
        <w:pStyle w:val="Header"/>
        <w:tabs>
          <w:tab w:val="num" w:pos="1080"/>
        </w:tabs>
        <w:rPr>
          <w:szCs w:val="24"/>
        </w:rPr>
      </w:pPr>
      <w:r w:rsidRPr="00573367">
        <w:rPr>
          <w:b/>
          <w:bCs/>
          <w:szCs w:val="24"/>
        </w:rPr>
        <w:lastRenderedPageBreak/>
        <w:t xml:space="preserve">Item 4 </w:t>
      </w:r>
      <w:r w:rsidR="002174CF" w:rsidRPr="00573367">
        <w:rPr>
          <w:szCs w:val="24"/>
        </w:rPr>
        <w:t xml:space="preserve">amends subclause 1.1.06(3) to clarify the subclause provides the definition of </w:t>
      </w:r>
      <w:r w:rsidR="002174CF" w:rsidRPr="00573367">
        <w:rPr>
          <w:b/>
          <w:bCs/>
          <w:i/>
          <w:iCs/>
          <w:szCs w:val="24"/>
        </w:rPr>
        <w:t>exceptional circumstances</w:t>
      </w:r>
      <w:r w:rsidR="002174CF" w:rsidRPr="00573367">
        <w:rPr>
          <w:szCs w:val="24"/>
        </w:rPr>
        <w:t xml:space="preserve"> for the purposes of subclause 1.1.06(1)</w:t>
      </w:r>
      <w:r w:rsidR="004C099B" w:rsidRPr="00573367">
        <w:rPr>
          <w:szCs w:val="24"/>
        </w:rPr>
        <w:t>.</w:t>
      </w:r>
    </w:p>
    <w:p w14:paraId="28E5E0BF" w14:textId="77777777" w:rsidR="008D5EC0" w:rsidRPr="00573367" w:rsidRDefault="008D5EC0" w:rsidP="008D5EC0">
      <w:pPr>
        <w:pStyle w:val="Header"/>
        <w:tabs>
          <w:tab w:val="num" w:pos="1080"/>
        </w:tabs>
        <w:rPr>
          <w:szCs w:val="24"/>
        </w:rPr>
      </w:pPr>
    </w:p>
    <w:p w14:paraId="0EC673A0" w14:textId="365C6389" w:rsidR="008D5EC0" w:rsidRPr="00573367" w:rsidRDefault="008D5EC0" w:rsidP="008D5EC0">
      <w:pPr>
        <w:pStyle w:val="Header"/>
        <w:tabs>
          <w:tab w:val="num" w:pos="1080"/>
        </w:tabs>
        <w:rPr>
          <w:szCs w:val="24"/>
        </w:rPr>
      </w:pPr>
      <w:r w:rsidRPr="00573367">
        <w:rPr>
          <w:b/>
          <w:bCs/>
          <w:szCs w:val="24"/>
        </w:rPr>
        <w:t xml:space="preserve">Item 5 </w:t>
      </w:r>
      <w:r w:rsidR="002174CF" w:rsidRPr="00573367">
        <w:rPr>
          <w:szCs w:val="24"/>
        </w:rPr>
        <w:t>amends the heading of the table at subclause 1.1.06(3) to more accurately reflect the content of the table</w:t>
      </w:r>
      <w:r w:rsidR="00393F3E" w:rsidRPr="00573367">
        <w:rPr>
          <w:szCs w:val="24"/>
        </w:rPr>
        <w:t>.</w:t>
      </w:r>
    </w:p>
    <w:p w14:paraId="051FEBF9" w14:textId="77777777" w:rsidR="002174CF" w:rsidRPr="00573367" w:rsidRDefault="002174CF" w:rsidP="008D5EC0">
      <w:pPr>
        <w:pStyle w:val="Header"/>
        <w:tabs>
          <w:tab w:val="num" w:pos="1080"/>
        </w:tabs>
        <w:rPr>
          <w:szCs w:val="24"/>
        </w:rPr>
      </w:pPr>
    </w:p>
    <w:p w14:paraId="6E4E6A09" w14:textId="56A4DAD5" w:rsidR="008D5EC0" w:rsidRPr="00573367" w:rsidRDefault="008D5EC0" w:rsidP="008D5EC0">
      <w:pPr>
        <w:pStyle w:val="Header"/>
        <w:tabs>
          <w:tab w:val="num" w:pos="1080"/>
        </w:tabs>
        <w:rPr>
          <w:szCs w:val="24"/>
        </w:rPr>
      </w:pPr>
      <w:r w:rsidRPr="00573367">
        <w:rPr>
          <w:b/>
          <w:bCs/>
          <w:szCs w:val="24"/>
        </w:rPr>
        <w:t xml:space="preserve">Item 6 </w:t>
      </w:r>
      <w:r w:rsidR="00CB3E03" w:rsidRPr="00573367">
        <w:rPr>
          <w:szCs w:val="24"/>
        </w:rPr>
        <w:t>amends</w:t>
      </w:r>
      <w:r w:rsidR="005850B1" w:rsidRPr="00573367">
        <w:rPr>
          <w:szCs w:val="24"/>
        </w:rPr>
        <w:t xml:space="preserve"> table</w:t>
      </w:r>
      <w:r w:rsidR="00CB3E03" w:rsidRPr="00573367">
        <w:rPr>
          <w:szCs w:val="24"/>
        </w:rPr>
        <w:t xml:space="preserve"> item 1</w:t>
      </w:r>
      <w:r w:rsidR="005850B1" w:rsidRPr="00573367">
        <w:rPr>
          <w:szCs w:val="24"/>
        </w:rPr>
        <w:t>,</w:t>
      </w:r>
      <w:r w:rsidR="00CB3E03" w:rsidRPr="00573367">
        <w:rPr>
          <w:szCs w:val="24"/>
        </w:rPr>
        <w:t xml:space="preserve"> column 2</w:t>
      </w:r>
      <w:r w:rsidR="005850B1" w:rsidRPr="00573367">
        <w:rPr>
          <w:szCs w:val="24"/>
        </w:rPr>
        <w:t>,</w:t>
      </w:r>
      <w:r w:rsidR="00CB3E03" w:rsidRPr="00573367">
        <w:rPr>
          <w:szCs w:val="24"/>
        </w:rPr>
        <w:t xml:space="preserve"> paragraph (</w:t>
      </w:r>
      <w:r w:rsidR="005850B1" w:rsidRPr="00573367">
        <w:rPr>
          <w:szCs w:val="24"/>
        </w:rPr>
        <w:t>a</w:t>
      </w:r>
      <w:r w:rsidR="00CB3E03" w:rsidRPr="00573367">
        <w:rPr>
          <w:szCs w:val="24"/>
        </w:rPr>
        <w:t>)</w:t>
      </w:r>
      <w:r w:rsidR="005850B1" w:rsidRPr="00573367">
        <w:rPr>
          <w:szCs w:val="24"/>
        </w:rPr>
        <w:t xml:space="preserve"> </w:t>
      </w:r>
      <w:r w:rsidR="00CB3E03" w:rsidRPr="00573367">
        <w:rPr>
          <w:szCs w:val="24"/>
        </w:rPr>
        <w:t>of the table at subclause 1.1.06(3) to remove reference to MBS items 231 and 729</w:t>
      </w:r>
      <w:r w:rsidR="002840E4" w:rsidRPr="00573367">
        <w:rPr>
          <w:szCs w:val="24"/>
        </w:rPr>
        <w:t xml:space="preserve">. This is to </w:t>
      </w:r>
      <w:r w:rsidR="004A7656" w:rsidRPr="00573367">
        <w:rPr>
          <w:szCs w:val="24"/>
        </w:rPr>
        <w:t xml:space="preserve">reflect the intention </w:t>
      </w:r>
      <w:r w:rsidR="002840E4" w:rsidRPr="00573367">
        <w:rPr>
          <w:szCs w:val="24"/>
        </w:rPr>
        <w:t xml:space="preserve">that </w:t>
      </w:r>
      <w:r w:rsidR="00C1214E" w:rsidRPr="00573367">
        <w:rPr>
          <w:szCs w:val="24"/>
        </w:rPr>
        <w:t>items 92026 and 92057</w:t>
      </w:r>
      <w:r w:rsidR="008B4BDB" w:rsidRPr="00573367">
        <w:rPr>
          <w:szCs w:val="24"/>
        </w:rPr>
        <w:t xml:space="preserve"> apply</w:t>
      </w:r>
      <w:r w:rsidR="00C1214E" w:rsidRPr="00573367">
        <w:rPr>
          <w:szCs w:val="24"/>
        </w:rPr>
        <w:t xml:space="preserve"> </w:t>
      </w:r>
      <w:r w:rsidR="008B4BDB" w:rsidRPr="00573367">
        <w:rPr>
          <w:szCs w:val="24"/>
        </w:rPr>
        <w:t>in circumstances where a service</w:t>
      </w:r>
      <w:r w:rsidR="002840E4" w:rsidRPr="00573367">
        <w:rPr>
          <w:szCs w:val="24"/>
        </w:rPr>
        <w:t xml:space="preserve"> </w:t>
      </w:r>
      <w:r w:rsidR="008B4BDB" w:rsidRPr="00573367">
        <w:rPr>
          <w:szCs w:val="24"/>
        </w:rPr>
        <w:t xml:space="preserve">to </w:t>
      </w:r>
      <w:r w:rsidR="002840E4" w:rsidRPr="00573367">
        <w:rPr>
          <w:szCs w:val="24"/>
        </w:rPr>
        <w:t xml:space="preserve">which item 231 </w:t>
      </w:r>
      <w:r w:rsidR="008B4BDB" w:rsidRPr="00573367">
        <w:rPr>
          <w:szCs w:val="24"/>
        </w:rPr>
        <w:t>or</w:t>
      </w:r>
      <w:r w:rsidR="002840E4" w:rsidRPr="00573367">
        <w:rPr>
          <w:szCs w:val="24"/>
        </w:rPr>
        <w:t xml:space="preserve"> 729 applies has not been </w:t>
      </w:r>
      <w:r w:rsidR="00601E59" w:rsidRPr="00573367">
        <w:rPr>
          <w:szCs w:val="24"/>
        </w:rPr>
        <w:t xml:space="preserve">provided to the patient in the preceding 12 months (rather than the preceding 3 months). </w:t>
      </w:r>
      <w:r w:rsidR="008B4BDB" w:rsidRPr="00573367">
        <w:rPr>
          <w:szCs w:val="24"/>
        </w:rPr>
        <w:t>I</w:t>
      </w:r>
      <w:r w:rsidR="0033607D" w:rsidRPr="00573367">
        <w:rPr>
          <w:szCs w:val="24"/>
        </w:rPr>
        <w:t>tems</w:t>
      </w:r>
      <w:r w:rsidR="008B4BDB" w:rsidRPr="00573367">
        <w:rPr>
          <w:szCs w:val="24"/>
        </w:rPr>
        <w:t xml:space="preserve"> </w:t>
      </w:r>
      <w:r w:rsidR="00C03F52" w:rsidRPr="00573367">
        <w:rPr>
          <w:szCs w:val="24"/>
        </w:rPr>
        <w:t>231 and 729</w:t>
      </w:r>
      <w:r w:rsidR="00CB3E03" w:rsidRPr="00573367">
        <w:rPr>
          <w:szCs w:val="24"/>
        </w:rPr>
        <w:t xml:space="preserve"> are the face to face equivalent service</w:t>
      </w:r>
      <w:r w:rsidR="005850B1" w:rsidRPr="00573367">
        <w:rPr>
          <w:szCs w:val="24"/>
        </w:rPr>
        <w:t>s</w:t>
      </w:r>
      <w:r w:rsidR="00CB3E03" w:rsidRPr="00573367">
        <w:rPr>
          <w:szCs w:val="24"/>
        </w:rPr>
        <w:t xml:space="preserve"> for MBS items 92026 and 92057 and are added to subparagraph (b)(ii) </w:t>
      </w:r>
      <w:r w:rsidR="00C03F52" w:rsidRPr="00573367">
        <w:rPr>
          <w:szCs w:val="24"/>
        </w:rPr>
        <w:t xml:space="preserve">of column 2 of table item 1 </w:t>
      </w:r>
      <w:r w:rsidR="00CB3E03" w:rsidRPr="00573367">
        <w:rPr>
          <w:szCs w:val="24"/>
        </w:rPr>
        <w:t xml:space="preserve">by </w:t>
      </w:r>
      <w:r w:rsidR="007700BD" w:rsidRPr="00573367">
        <w:rPr>
          <w:szCs w:val="24"/>
        </w:rPr>
        <w:t xml:space="preserve">amendment </w:t>
      </w:r>
      <w:r w:rsidR="00CB3E03" w:rsidRPr="00573367">
        <w:rPr>
          <w:szCs w:val="24"/>
        </w:rPr>
        <w:t>item 8</w:t>
      </w:r>
      <w:r w:rsidR="007700BD" w:rsidRPr="00573367">
        <w:rPr>
          <w:szCs w:val="24"/>
        </w:rPr>
        <w:t xml:space="preserve"> of Schedule 4 to the Amendment Determination. </w:t>
      </w:r>
    </w:p>
    <w:p w14:paraId="5146BBDA" w14:textId="77777777" w:rsidR="008D5EC0" w:rsidRPr="00573367" w:rsidRDefault="008D5EC0" w:rsidP="008D5EC0">
      <w:pPr>
        <w:pStyle w:val="Header"/>
        <w:tabs>
          <w:tab w:val="num" w:pos="1080"/>
        </w:tabs>
        <w:rPr>
          <w:szCs w:val="24"/>
        </w:rPr>
      </w:pPr>
    </w:p>
    <w:p w14:paraId="21A17948" w14:textId="4DA6F8B1" w:rsidR="008D5EC0" w:rsidRPr="00573367" w:rsidRDefault="008D5EC0" w:rsidP="008D5EC0">
      <w:pPr>
        <w:pStyle w:val="Header"/>
        <w:tabs>
          <w:tab w:val="num" w:pos="1080"/>
        </w:tabs>
        <w:rPr>
          <w:szCs w:val="24"/>
        </w:rPr>
      </w:pPr>
      <w:r w:rsidRPr="00573367">
        <w:rPr>
          <w:b/>
          <w:bCs/>
          <w:szCs w:val="24"/>
        </w:rPr>
        <w:t xml:space="preserve">Item 7 </w:t>
      </w:r>
      <w:r w:rsidR="00CB3E03" w:rsidRPr="00573367">
        <w:rPr>
          <w:szCs w:val="24"/>
        </w:rPr>
        <w:t>amends item 1</w:t>
      </w:r>
      <w:r w:rsidR="00393F3E" w:rsidRPr="00573367">
        <w:rPr>
          <w:szCs w:val="24"/>
        </w:rPr>
        <w:t>,</w:t>
      </w:r>
      <w:r w:rsidR="00CB3E03" w:rsidRPr="00573367">
        <w:rPr>
          <w:szCs w:val="24"/>
        </w:rPr>
        <w:t xml:space="preserve"> column 2</w:t>
      </w:r>
      <w:r w:rsidR="00393F3E" w:rsidRPr="00573367">
        <w:rPr>
          <w:szCs w:val="24"/>
        </w:rPr>
        <w:t>,</w:t>
      </w:r>
      <w:r w:rsidR="00CB3E03" w:rsidRPr="00573367">
        <w:rPr>
          <w:szCs w:val="24"/>
        </w:rPr>
        <w:t xml:space="preserve"> subparagraph (b)(</w:t>
      </w:r>
      <w:proofErr w:type="spellStart"/>
      <w:r w:rsidR="00CB3E03" w:rsidRPr="00573367">
        <w:rPr>
          <w:szCs w:val="24"/>
        </w:rPr>
        <w:t>i</w:t>
      </w:r>
      <w:proofErr w:type="spellEnd"/>
      <w:r w:rsidR="00CB3E03" w:rsidRPr="00573367">
        <w:rPr>
          <w:szCs w:val="24"/>
        </w:rPr>
        <w:t xml:space="preserve">) of the table at subclause 1.1.06(3) to remove reference to MBS items 231, 729 and </w:t>
      </w:r>
      <w:r w:rsidR="00CB3E03" w:rsidRPr="00573367">
        <w:t>92026</w:t>
      </w:r>
      <w:r w:rsidR="00B4621C" w:rsidRPr="00573367">
        <w:t>,</w:t>
      </w:r>
      <w:r w:rsidR="00CB3E03" w:rsidRPr="00573367">
        <w:rPr>
          <w:szCs w:val="24"/>
        </w:rPr>
        <w:t xml:space="preserve"> as these items should only be listed in subparagraph (b)(ii)</w:t>
      </w:r>
      <w:r w:rsidR="00AA16E3" w:rsidRPr="00573367">
        <w:rPr>
          <w:szCs w:val="24"/>
        </w:rPr>
        <w:t xml:space="preserve"> of column 2 of table item 1.</w:t>
      </w:r>
    </w:p>
    <w:p w14:paraId="4AB685E3" w14:textId="77777777" w:rsidR="008D5EC0" w:rsidRPr="00573367" w:rsidRDefault="008D5EC0" w:rsidP="008D5EC0">
      <w:pPr>
        <w:pStyle w:val="Header"/>
        <w:tabs>
          <w:tab w:val="num" w:pos="1080"/>
        </w:tabs>
        <w:rPr>
          <w:szCs w:val="24"/>
        </w:rPr>
      </w:pPr>
    </w:p>
    <w:p w14:paraId="2CFC8F57" w14:textId="28509069" w:rsidR="008D5EC0" w:rsidRPr="00573367" w:rsidRDefault="008D5EC0" w:rsidP="00F57F44">
      <w:pPr>
        <w:pStyle w:val="Header"/>
        <w:tabs>
          <w:tab w:val="num" w:pos="1080"/>
        </w:tabs>
        <w:rPr>
          <w:szCs w:val="24"/>
        </w:rPr>
      </w:pPr>
      <w:r w:rsidRPr="00573367">
        <w:rPr>
          <w:b/>
          <w:bCs/>
          <w:szCs w:val="24"/>
        </w:rPr>
        <w:t xml:space="preserve">Item 8 </w:t>
      </w:r>
      <w:r w:rsidR="00CB3E03" w:rsidRPr="00573367">
        <w:rPr>
          <w:szCs w:val="24"/>
        </w:rPr>
        <w:t xml:space="preserve">amends item 1 column 2 subparagraph (b)(ii) of the table at subclause 1.1.06(3) to insert MBS items </w:t>
      </w:r>
      <w:r w:rsidR="00CB3E03" w:rsidRPr="00573367">
        <w:t>231 and 729</w:t>
      </w:r>
      <w:r w:rsidR="00064363" w:rsidRPr="00573367">
        <w:t>,</w:t>
      </w:r>
      <w:r w:rsidR="00CB3E03" w:rsidRPr="00573367">
        <w:t xml:space="preserve"> as they are the </w:t>
      </w:r>
      <w:r w:rsidR="00CB3E03" w:rsidRPr="00573367">
        <w:rPr>
          <w:szCs w:val="24"/>
        </w:rPr>
        <w:t>face to face equivalent service for MBS items 92026 and 92057</w:t>
      </w:r>
      <w:r w:rsidR="00064363" w:rsidRPr="00573367">
        <w:rPr>
          <w:szCs w:val="24"/>
        </w:rPr>
        <w:t>.</w:t>
      </w:r>
    </w:p>
    <w:p w14:paraId="21DF9DDC" w14:textId="1767E1F1" w:rsidR="00331752" w:rsidRPr="00573367" w:rsidRDefault="00331752">
      <w:pPr>
        <w:spacing w:after="200" w:line="276" w:lineRule="auto"/>
        <w:rPr>
          <w:szCs w:val="24"/>
          <w:u w:val="single"/>
        </w:rPr>
      </w:pPr>
      <w:r w:rsidRPr="00573367">
        <w:rPr>
          <w:szCs w:val="24"/>
          <w:u w:val="single"/>
        </w:rPr>
        <w:br w:type="page"/>
      </w:r>
    </w:p>
    <w:p w14:paraId="2412D14E" w14:textId="632B4BE9" w:rsidR="00A17F2C" w:rsidRPr="00573367" w:rsidRDefault="00A17F2C" w:rsidP="008D136F">
      <w:pPr>
        <w:pStyle w:val="Header"/>
        <w:tabs>
          <w:tab w:val="num" w:pos="1080"/>
        </w:tabs>
        <w:jc w:val="center"/>
        <w:rPr>
          <w:b/>
          <w:sz w:val="28"/>
          <w:szCs w:val="28"/>
        </w:rPr>
      </w:pPr>
      <w:r w:rsidRPr="00573367">
        <w:rPr>
          <w:b/>
          <w:sz w:val="28"/>
          <w:szCs w:val="28"/>
        </w:rPr>
        <w:lastRenderedPageBreak/>
        <w:t>Statement of Compatibility with Human Rights</w:t>
      </w:r>
    </w:p>
    <w:p w14:paraId="2412D14F" w14:textId="77777777" w:rsidR="00A17F2C" w:rsidRPr="00573367" w:rsidRDefault="00A17F2C" w:rsidP="000337CB">
      <w:pPr>
        <w:spacing w:before="120" w:after="120"/>
        <w:jc w:val="center"/>
        <w:rPr>
          <w:szCs w:val="24"/>
        </w:rPr>
      </w:pPr>
      <w:r w:rsidRPr="00573367">
        <w:rPr>
          <w:i/>
          <w:szCs w:val="24"/>
        </w:rPr>
        <w:t>Prepared in accordance with Part 3 of the Human Rights (Parliamentary Scrutiny) Act 2011</w:t>
      </w:r>
    </w:p>
    <w:p w14:paraId="751DE726" w14:textId="77777777" w:rsidR="002A6C77" w:rsidRPr="00573367" w:rsidRDefault="002A6C77" w:rsidP="000337CB">
      <w:pPr>
        <w:tabs>
          <w:tab w:val="left" w:pos="1418"/>
        </w:tabs>
        <w:ind w:left="851"/>
        <w:jc w:val="center"/>
        <w:rPr>
          <w:bCs/>
        </w:rPr>
      </w:pPr>
    </w:p>
    <w:p w14:paraId="3A52A4B2" w14:textId="4879F896" w:rsidR="00C6094D" w:rsidRPr="00573367" w:rsidRDefault="00F57F44" w:rsidP="007708B3">
      <w:pPr>
        <w:tabs>
          <w:tab w:val="left" w:pos="1418"/>
        </w:tabs>
        <w:jc w:val="center"/>
        <w:rPr>
          <w:i/>
        </w:rPr>
      </w:pPr>
      <w:r w:rsidRPr="00573367">
        <w:rPr>
          <w:i/>
        </w:rPr>
        <w:t xml:space="preserve">Health Insurance </w:t>
      </w:r>
      <w:r w:rsidR="002E7204" w:rsidRPr="00573367">
        <w:rPr>
          <w:i/>
        </w:rPr>
        <w:t xml:space="preserve">Legislation </w:t>
      </w:r>
      <w:r w:rsidRPr="00573367">
        <w:rPr>
          <w:i/>
        </w:rPr>
        <w:t>Amendment (2025 Measures No. 4) Determination 2025</w:t>
      </w:r>
    </w:p>
    <w:p w14:paraId="1BF56C38" w14:textId="77777777" w:rsidR="007708B3" w:rsidRPr="00573367" w:rsidRDefault="007708B3" w:rsidP="000337CB">
      <w:pPr>
        <w:tabs>
          <w:tab w:val="left" w:pos="1418"/>
        </w:tabs>
        <w:ind w:left="851"/>
        <w:jc w:val="center"/>
        <w:rPr>
          <w:bCs/>
          <w:iCs/>
          <w:szCs w:val="24"/>
        </w:rPr>
      </w:pPr>
    </w:p>
    <w:p w14:paraId="2412D153" w14:textId="7AFD921D" w:rsidR="00A17F2C" w:rsidRPr="00573367" w:rsidRDefault="00A17F2C" w:rsidP="000337CB">
      <w:pPr>
        <w:jc w:val="center"/>
        <w:rPr>
          <w:szCs w:val="24"/>
        </w:rPr>
      </w:pPr>
      <w:r w:rsidRPr="00573367">
        <w:rPr>
          <w:szCs w:val="24"/>
        </w:rPr>
        <w:t xml:space="preserve">This </w:t>
      </w:r>
      <w:r w:rsidR="0046022A" w:rsidRPr="00573367">
        <w:rPr>
          <w:szCs w:val="24"/>
        </w:rPr>
        <w:t>instrument</w:t>
      </w:r>
      <w:r w:rsidRPr="00573367">
        <w:rPr>
          <w:szCs w:val="24"/>
        </w:rPr>
        <w:t xml:space="preserve"> is compatible with the human rights and freedoms recognised or declared in the international instruments listed in section 3 of the </w:t>
      </w:r>
      <w:r w:rsidRPr="00573367">
        <w:rPr>
          <w:i/>
          <w:szCs w:val="24"/>
        </w:rPr>
        <w:t>Human Rights (Parliamentary Scrutiny) Act 2011</w:t>
      </w:r>
      <w:r w:rsidRPr="00573367">
        <w:rPr>
          <w:szCs w:val="24"/>
        </w:rPr>
        <w:t>.</w:t>
      </w:r>
    </w:p>
    <w:p w14:paraId="7EDA9098" w14:textId="306A78E1" w:rsidR="006E6BBF" w:rsidRPr="00573367" w:rsidRDefault="006E6BBF" w:rsidP="008734F5">
      <w:pPr>
        <w:spacing w:before="120" w:after="120"/>
        <w:rPr>
          <w:b/>
          <w:szCs w:val="24"/>
        </w:rPr>
      </w:pPr>
      <w:r w:rsidRPr="00573367">
        <w:rPr>
          <w:b/>
          <w:szCs w:val="24"/>
        </w:rPr>
        <w:t xml:space="preserve">Overview of the </w:t>
      </w:r>
      <w:r w:rsidR="00B86A9F" w:rsidRPr="00573367">
        <w:rPr>
          <w:b/>
          <w:szCs w:val="24"/>
        </w:rPr>
        <w:t>Determination</w:t>
      </w:r>
    </w:p>
    <w:p w14:paraId="6E423543" w14:textId="77777777" w:rsidR="004F69A8" w:rsidRPr="00573367" w:rsidRDefault="004F69A8" w:rsidP="004F69A8">
      <w:pPr>
        <w:shd w:val="clear" w:color="auto" w:fill="FFFFFF"/>
      </w:pPr>
      <w:r w:rsidRPr="00573367">
        <w:t>The purpose of the </w:t>
      </w:r>
      <w:r w:rsidRPr="00573367">
        <w:rPr>
          <w:i/>
          <w:iCs/>
        </w:rPr>
        <w:t>Health Insurance Legislation Amendment (2025 Measures No. 4) Determination 2025</w:t>
      </w:r>
      <w:r w:rsidRPr="00573367">
        <w:t xml:space="preserve"> (the Amendment Determination) is to amend from 1 November 2025 the </w:t>
      </w:r>
      <w:r w:rsidRPr="00573367">
        <w:rPr>
          <w:i/>
          <w:iCs/>
        </w:rPr>
        <w:t>Health Insurance (Section 3C General Medical Services – Allied Health Services) Determination 2024 </w:t>
      </w:r>
      <w:r w:rsidRPr="00573367">
        <w:t>(the Allied Health Determination) and the </w:t>
      </w:r>
      <w:r w:rsidRPr="00573367">
        <w:rPr>
          <w:i/>
          <w:iCs/>
        </w:rPr>
        <w:t>Health Insurance (Section 3C General Medical Services – Telehealth Attendances) Determination 2021</w:t>
      </w:r>
      <w:r w:rsidRPr="00573367">
        <w:t> (the Telehealth Determination).</w:t>
      </w:r>
    </w:p>
    <w:p w14:paraId="7D02391B" w14:textId="77777777" w:rsidR="004F69A8" w:rsidRPr="00573367" w:rsidRDefault="004F69A8" w:rsidP="004F69A8">
      <w:pPr>
        <w:shd w:val="clear" w:color="auto" w:fill="FFFFFF"/>
      </w:pPr>
    </w:p>
    <w:p w14:paraId="4A759ADA" w14:textId="6D91D774" w:rsidR="004F69A8" w:rsidRPr="00573367" w:rsidRDefault="004F69A8" w:rsidP="004F69A8">
      <w:pPr>
        <w:shd w:val="clear" w:color="auto" w:fill="FFFFFF"/>
        <w:rPr>
          <w:rFonts w:cstheme="minorHAnsi"/>
          <w:bCs/>
          <w:szCs w:val="24"/>
        </w:rPr>
      </w:pPr>
      <w:r w:rsidRPr="00573367">
        <w:t xml:space="preserve">The purpose of Schedule 1 of the Amendment Determination is to amend the Allied Health Determination and Telehealth Determination to implement recommendations from the Better Access Evaluation. </w:t>
      </w:r>
      <w:r w:rsidRPr="00573367">
        <w:rPr>
          <w:rFonts w:cstheme="minorHAnsi"/>
          <w:bCs/>
          <w:szCs w:val="24"/>
        </w:rPr>
        <w:t xml:space="preserve">These changes are intended to enhance continuity of care by linking the preparation of a Mental Health Treatment Plan (MHTP), referrals for treatment, and reviews of a MHTP to a patient’s General Practitioner (GP) or Prescribed Medical Practitioner (PMP) at a patient’s </w:t>
      </w:r>
      <w:proofErr w:type="spellStart"/>
      <w:r w:rsidRPr="00573367">
        <w:rPr>
          <w:rFonts w:cstheme="minorHAnsi"/>
          <w:bCs/>
          <w:szCs w:val="24"/>
        </w:rPr>
        <w:t>MyMedicare</w:t>
      </w:r>
      <w:proofErr w:type="spellEnd"/>
      <w:r w:rsidRPr="00573367">
        <w:rPr>
          <w:rFonts w:cstheme="minorHAnsi"/>
          <w:bCs/>
          <w:szCs w:val="24"/>
        </w:rPr>
        <w:t xml:space="preserve"> practice or their usual medical practitioner. </w:t>
      </w:r>
      <w:r w:rsidR="00556946" w:rsidRPr="00573367">
        <w:rPr>
          <w:rFonts w:cstheme="minorHAnsi"/>
          <w:bCs/>
          <w:szCs w:val="24"/>
        </w:rPr>
        <w:t>They will also better integrate a patient’s physical and mental health care needs as the removal of these items clarifies that GPs and PMPs general attendance items can be used to undertake MHTP review and mental health consultation services.</w:t>
      </w:r>
    </w:p>
    <w:p w14:paraId="1CC28533" w14:textId="77777777" w:rsidR="004F69A8" w:rsidRPr="00573367" w:rsidRDefault="004F69A8" w:rsidP="004F69A8">
      <w:pPr>
        <w:shd w:val="clear" w:color="auto" w:fill="FFFFFF"/>
        <w:rPr>
          <w:rFonts w:cstheme="minorHAnsi"/>
          <w:bCs/>
          <w:szCs w:val="24"/>
        </w:rPr>
      </w:pPr>
    </w:p>
    <w:p w14:paraId="6D7CAD7F" w14:textId="77777777" w:rsidR="004F69A8" w:rsidRPr="00573367" w:rsidRDefault="004F69A8" w:rsidP="004F69A8">
      <w:pPr>
        <w:shd w:val="clear" w:color="auto" w:fill="FFFFFF"/>
        <w:rPr>
          <w:rFonts w:cstheme="minorHAnsi"/>
          <w:bCs/>
          <w:szCs w:val="24"/>
        </w:rPr>
      </w:pPr>
      <w:r w:rsidRPr="00573367">
        <w:rPr>
          <w:rFonts w:cstheme="minorHAnsi"/>
          <w:bCs/>
          <w:szCs w:val="24"/>
        </w:rPr>
        <w:t>The purpose of Schedules 2 and 3 of the Amendment Determination is to amend the Telehealth Determination in line with the</w:t>
      </w:r>
      <w:r w:rsidRPr="00573367">
        <w:rPr>
          <w:bCs/>
          <w:iCs/>
          <w:szCs w:val="24"/>
        </w:rPr>
        <w:t xml:space="preserve"> broader findings of the Medicare Benefits Schedule (MBS) Review Advisory Committee (MRAC) post-implementation review of MBS telehealth items. Schedule 2 will</w:t>
      </w:r>
      <w:r w:rsidRPr="00573367">
        <w:rPr>
          <w:rFonts w:cstheme="minorHAnsi"/>
          <w:bCs/>
          <w:szCs w:val="24"/>
        </w:rPr>
        <w:t xml:space="preserve"> update and extend the eligibility criteria for MBS GP telehealth items to include </w:t>
      </w:r>
      <w:proofErr w:type="spellStart"/>
      <w:r w:rsidRPr="00573367">
        <w:rPr>
          <w:rFonts w:cstheme="minorHAnsi"/>
          <w:bCs/>
          <w:szCs w:val="24"/>
        </w:rPr>
        <w:t>MyMedicare</w:t>
      </w:r>
      <w:proofErr w:type="spellEnd"/>
      <w:r w:rsidRPr="00573367">
        <w:rPr>
          <w:rFonts w:cstheme="minorHAnsi"/>
          <w:bCs/>
          <w:szCs w:val="24"/>
        </w:rPr>
        <w:t xml:space="preserve"> as an alternative pathway for patients to qualify for MBS GP telehealth consultations. Through this change, a patient will be eligible to access GP telehealth if they either meet the eligible telehealth practitioner requirement or the service performed is with their registered </w:t>
      </w:r>
      <w:proofErr w:type="spellStart"/>
      <w:r w:rsidRPr="00573367">
        <w:rPr>
          <w:rFonts w:cstheme="minorHAnsi"/>
          <w:bCs/>
          <w:szCs w:val="24"/>
        </w:rPr>
        <w:t>MyMedicare</w:t>
      </w:r>
      <w:proofErr w:type="spellEnd"/>
      <w:r w:rsidRPr="00573367">
        <w:rPr>
          <w:rFonts w:cstheme="minorHAnsi"/>
          <w:bCs/>
          <w:szCs w:val="24"/>
        </w:rPr>
        <w:t xml:space="preserve"> practice. </w:t>
      </w:r>
    </w:p>
    <w:p w14:paraId="6318D546" w14:textId="77777777" w:rsidR="004F69A8" w:rsidRPr="00573367" w:rsidRDefault="004F69A8" w:rsidP="004F69A8">
      <w:pPr>
        <w:shd w:val="clear" w:color="auto" w:fill="FFFFFF"/>
        <w:rPr>
          <w:rFonts w:cstheme="minorHAnsi"/>
          <w:bCs/>
          <w:szCs w:val="24"/>
        </w:rPr>
      </w:pPr>
    </w:p>
    <w:p w14:paraId="4ABACD40" w14:textId="77777777" w:rsidR="004F69A8" w:rsidRPr="00573367" w:rsidRDefault="004F69A8" w:rsidP="004F69A8">
      <w:pPr>
        <w:shd w:val="clear" w:color="auto" w:fill="FFFFFF"/>
        <w:rPr>
          <w:rFonts w:cstheme="minorHAnsi"/>
          <w:bCs/>
          <w:szCs w:val="24"/>
        </w:rPr>
      </w:pPr>
      <w:proofErr w:type="gramStart"/>
      <w:r w:rsidRPr="00573367">
        <w:rPr>
          <w:rFonts w:cstheme="minorHAnsi"/>
          <w:bCs/>
          <w:szCs w:val="24"/>
        </w:rPr>
        <w:t>Also</w:t>
      </w:r>
      <w:proofErr w:type="gramEnd"/>
      <w:r w:rsidRPr="00573367">
        <w:rPr>
          <w:rFonts w:cstheme="minorHAnsi"/>
          <w:bCs/>
          <w:szCs w:val="24"/>
        </w:rPr>
        <w:t xml:space="preserve"> under Schedule 2 of the Amendment Determination, Nurse Practitioners (NP) </w:t>
      </w:r>
      <w:r w:rsidRPr="00573367">
        <w:rPr>
          <w:bCs/>
          <w:szCs w:val="24"/>
        </w:rPr>
        <w:t xml:space="preserve">will now be subject to the eligible telehealth practitioner criteria unless the service is exempt. Relevant exemptions are Blood Borne Virus and Sexual and Reproductive Health consultations. The change will more closely align patient eligibility requirements and exemptions for NP and GP telehealth consultations that are similar. </w:t>
      </w:r>
      <w:r w:rsidRPr="00573367">
        <w:t xml:space="preserve">The inclusion of nurse practitioners in what was formally known in legislation as the “usual medical practitioner rule”, will now be amended to “eligible telehealth practitioner”. This is not only </w:t>
      </w:r>
      <w:r w:rsidRPr="00573367">
        <w:rPr>
          <w:bCs/>
          <w:szCs w:val="24"/>
        </w:rPr>
        <w:t xml:space="preserve">to include </w:t>
      </w:r>
      <w:r w:rsidRPr="00573367">
        <w:t xml:space="preserve">nurse practitioners but also to reduce confusion as another rule is titled, “usual medical practitioner” in the GMST for chronic condition management and better </w:t>
      </w:r>
      <w:proofErr w:type="gramStart"/>
      <w:r w:rsidRPr="00573367">
        <w:t>access..</w:t>
      </w:r>
      <w:proofErr w:type="gramEnd"/>
    </w:p>
    <w:p w14:paraId="7B60DC86" w14:textId="77777777" w:rsidR="004F69A8" w:rsidRPr="00573367" w:rsidRDefault="004F69A8" w:rsidP="004F69A8">
      <w:pPr>
        <w:shd w:val="clear" w:color="auto" w:fill="FFFFFF"/>
      </w:pPr>
    </w:p>
    <w:p w14:paraId="4DF8FD6F" w14:textId="77777777" w:rsidR="004F69A8" w:rsidRPr="00573367" w:rsidRDefault="004F69A8" w:rsidP="004F69A8">
      <w:pPr>
        <w:shd w:val="clear" w:color="auto" w:fill="FFFFFF"/>
      </w:pPr>
      <w:r w:rsidRPr="00573367">
        <w:t>The purpose of Schedule 4 is to make minor administrative amendments to clarify the operation of clause 1.1.06 of the Telehealth Determination, which deals with conditions relating to timing of services where exceptional services do not exist.</w:t>
      </w:r>
    </w:p>
    <w:p w14:paraId="1F6F2990" w14:textId="77777777" w:rsidR="007708B3" w:rsidRPr="00573367" w:rsidRDefault="007708B3" w:rsidP="00421BEA">
      <w:pPr>
        <w:spacing w:after="200" w:line="276" w:lineRule="auto"/>
        <w:rPr>
          <w:iCs/>
        </w:rPr>
      </w:pPr>
    </w:p>
    <w:p w14:paraId="2412D15C" w14:textId="50D38E8B" w:rsidR="00A17F2C" w:rsidRPr="00573367" w:rsidRDefault="00A17F2C" w:rsidP="002A6C77">
      <w:pPr>
        <w:ind w:right="-482"/>
        <w:rPr>
          <w:b/>
          <w:szCs w:val="24"/>
        </w:rPr>
      </w:pPr>
      <w:r w:rsidRPr="00573367">
        <w:rPr>
          <w:b/>
          <w:szCs w:val="24"/>
        </w:rPr>
        <w:t>Human rights implications</w:t>
      </w:r>
    </w:p>
    <w:p w14:paraId="449665F0" w14:textId="2ED3F54B" w:rsidR="00806020" w:rsidRPr="00573367" w:rsidRDefault="00806020" w:rsidP="00806020">
      <w:pPr>
        <w:spacing w:before="120" w:after="120"/>
        <w:rPr>
          <w:szCs w:val="24"/>
        </w:rPr>
      </w:pPr>
      <w:r w:rsidRPr="00573367">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573367" w:rsidRDefault="00A17F2C" w:rsidP="00806020">
      <w:pPr>
        <w:spacing w:before="120" w:after="120"/>
        <w:rPr>
          <w:i/>
          <w:szCs w:val="24"/>
        </w:rPr>
      </w:pPr>
      <w:r w:rsidRPr="00573367">
        <w:rPr>
          <w:i/>
          <w:szCs w:val="24"/>
        </w:rPr>
        <w:t>The Right to Health</w:t>
      </w:r>
    </w:p>
    <w:p w14:paraId="2412D15F" w14:textId="77777777" w:rsidR="00A17F2C" w:rsidRPr="00573367" w:rsidRDefault="00A17F2C" w:rsidP="000337CB">
      <w:pPr>
        <w:spacing w:before="120" w:after="120"/>
        <w:rPr>
          <w:szCs w:val="24"/>
        </w:rPr>
      </w:pPr>
      <w:r w:rsidRPr="00573367">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w:t>
      </w:r>
      <w:proofErr w:type="gramStart"/>
      <w:r w:rsidRPr="00573367">
        <w:rPr>
          <w:szCs w:val="24"/>
        </w:rPr>
        <w:t>each individual</w:t>
      </w:r>
      <w:proofErr w:type="gramEnd"/>
      <w:r w:rsidRPr="00573367">
        <w:rPr>
          <w:szCs w:val="24"/>
        </w:rPr>
        <w:t xml:space="preserve"> to be </w:t>
      </w:r>
      <w:proofErr w:type="gramStart"/>
      <w:r w:rsidRPr="00573367">
        <w:rPr>
          <w:szCs w:val="24"/>
        </w:rPr>
        <w:t>healthy, but</w:t>
      </w:r>
      <w:proofErr w:type="gramEnd"/>
      <w:r w:rsidRPr="00573367">
        <w:rPr>
          <w:szCs w:val="24"/>
        </w:rPr>
        <w:t xml:space="preserve"> is a right to a system of health protection which provides equality of opportunity for people to enjoy the highest attainable level of health. </w:t>
      </w:r>
    </w:p>
    <w:p w14:paraId="2412D160" w14:textId="77777777" w:rsidR="00A17F2C" w:rsidRPr="00573367" w:rsidRDefault="00A17F2C" w:rsidP="000337CB">
      <w:pPr>
        <w:spacing w:before="120" w:after="120"/>
        <w:rPr>
          <w:szCs w:val="24"/>
        </w:rPr>
      </w:pPr>
      <w:r w:rsidRPr="00573367">
        <w:rPr>
          <w:szCs w:val="24"/>
        </w:rPr>
        <w:t xml:space="preserve">The Committee reports that the </w:t>
      </w:r>
      <w:r w:rsidRPr="00573367">
        <w:rPr>
          <w:i/>
          <w:szCs w:val="24"/>
        </w:rPr>
        <w:t>‘highest attainable standard of health’</w:t>
      </w:r>
      <w:r w:rsidRPr="00573367">
        <w:rPr>
          <w:szCs w:val="24"/>
        </w:rPr>
        <w:t xml:space="preserve"> </w:t>
      </w:r>
      <w:proofErr w:type="gramStart"/>
      <w:r w:rsidRPr="00573367">
        <w:rPr>
          <w:szCs w:val="24"/>
        </w:rPr>
        <w:t>takes into account</w:t>
      </w:r>
      <w:proofErr w:type="gramEnd"/>
      <w:r w:rsidRPr="00573367">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573367" w:rsidRDefault="00A17F2C" w:rsidP="000337CB">
      <w:pPr>
        <w:spacing w:before="120" w:after="120"/>
        <w:rPr>
          <w:i/>
          <w:szCs w:val="24"/>
        </w:rPr>
      </w:pPr>
      <w:r w:rsidRPr="00573367">
        <w:rPr>
          <w:i/>
          <w:szCs w:val="24"/>
        </w:rPr>
        <w:t xml:space="preserve">The Right to Social Security </w:t>
      </w:r>
    </w:p>
    <w:p w14:paraId="2412D162" w14:textId="77777777" w:rsidR="00A17F2C" w:rsidRPr="00573367" w:rsidRDefault="00A17F2C" w:rsidP="000337CB">
      <w:pPr>
        <w:spacing w:before="120" w:after="120"/>
        <w:rPr>
          <w:szCs w:val="24"/>
        </w:rPr>
      </w:pPr>
      <w:r w:rsidRPr="00573367">
        <w:rPr>
          <w:szCs w:val="24"/>
        </w:rPr>
        <w:t>The right to social security is contained in Article 9 of the ICESCR. It requires that a country must, within its maximum available resources, ensure access to a social security scheme that</w:t>
      </w:r>
      <w:r w:rsidR="00BA69CB" w:rsidRPr="00573367">
        <w:rPr>
          <w:szCs w:val="24"/>
        </w:rPr>
        <w:t xml:space="preserve"> </w:t>
      </w:r>
      <w:r w:rsidRPr="00573367">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573367">
        <w:rPr>
          <w:szCs w:val="24"/>
        </w:rPr>
        <w:t>in an effort to</w:t>
      </w:r>
      <w:proofErr w:type="gramEnd"/>
      <w:r w:rsidRPr="00573367">
        <w:rPr>
          <w:szCs w:val="24"/>
        </w:rPr>
        <w:t xml:space="preserve"> satisfy, as a matter of priority, this minimum obligation.</w:t>
      </w:r>
    </w:p>
    <w:p w14:paraId="0345FFEA" w14:textId="2A5A9406" w:rsidR="00A46B56" w:rsidRPr="00573367" w:rsidRDefault="00A17F2C" w:rsidP="000337CB">
      <w:pPr>
        <w:spacing w:before="120" w:after="120"/>
        <w:rPr>
          <w:szCs w:val="24"/>
        </w:rPr>
      </w:pPr>
      <w:r w:rsidRPr="00573367">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573367">
        <w:rPr>
          <w:szCs w:val="24"/>
        </w:rPr>
        <w:t>Government</w:t>
      </w:r>
      <w:proofErr w:type="gramEnd"/>
      <w:r w:rsidRPr="00573367">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573367" w:rsidRDefault="00A46B56" w:rsidP="00A46B56">
      <w:pPr>
        <w:shd w:val="clear" w:color="auto" w:fill="FFFFFF"/>
        <w:spacing w:before="120" w:after="120"/>
        <w:rPr>
          <w:color w:val="000000"/>
          <w:szCs w:val="24"/>
        </w:rPr>
      </w:pPr>
      <w:r w:rsidRPr="00573367">
        <w:rPr>
          <w:i/>
          <w:iCs/>
          <w:color w:val="000000"/>
          <w:szCs w:val="24"/>
        </w:rPr>
        <w:t>The right of equality and non-discrimination</w:t>
      </w:r>
    </w:p>
    <w:p w14:paraId="11907FD2" w14:textId="2CEFABAB" w:rsidR="00A46B56" w:rsidRPr="00573367" w:rsidRDefault="00A46B56" w:rsidP="00A46B56">
      <w:pPr>
        <w:spacing w:before="120" w:after="120"/>
        <w:rPr>
          <w:szCs w:val="24"/>
        </w:rPr>
      </w:pPr>
      <w:r w:rsidRPr="00573367">
        <w:rPr>
          <w:color w:val="000000"/>
          <w:szCs w:val="24"/>
        </w:rPr>
        <w:t xml:space="preserve">The rights of equality and non-discrimination are contained in </w:t>
      </w:r>
      <w:r w:rsidR="001F28E4" w:rsidRPr="00573367">
        <w:rPr>
          <w:color w:val="000000"/>
          <w:szCs w:val="24"/>
        </w:rPr>
        <w:t>A</w:t>
      </w:r>
      <w:r w:rsidRPr="00573367">
        <w:rPr>
          <w:color w:val="000000"/>
          <w:szCs w:val="24"/>
        </w:rPr>
        <w:t xml:space="preserve">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w:t>
      </w:r>
      <w:r w:rsidRPr="00573367">
        <w:rPr>
          <w:szCs w:val="24"/>
        </w:rPr>
        <w:t>or other status.</w:t>
      </w:r>
    </w:p>
    <w:p w14:paraId="2412D164" w14:textId="1BF78036" w:rsidR="00A17F2C" w:rsidRPr="00573367" w:rsidRDefault="00A17F2C" w:rsidP="000337CB">
      <w:pPr>
        <w:spacing w:before="120" w:after="120"/>
        <w:rPr>
          <w:szCs w:val="24"/>
          <w:u w:val="single"/>
        </w:rPr>
      </w:pPr>
      <w:r w:rsidRPr="00573367">
        <w:rPr>
          <w:szCs w:val="24"/>
          <w:u w:val="single"/>
        </w:rPr>
        <w:t xml:space="preserve">Analysis </w:t>
      </w:r>
    </w:p>
    <w:p w14:paraId="5CED5F70" w14:textId="3EE12C11" w:rsidR="0079191B" w:rsidRPr="00573367" w:rsidRDefault="00806020" w:rsidP="00302F5C">
      <w:pPr>
        <w:rPr>
          <w:szCs w:val="24"/>
        </w:rPr>
      </w:pPr>
      <w:r w:rsidRPr="00573367">
        <w:rPr>
          <w:szCs w:val="24"/>
        </w:rPr>
        <w:t xml:space="preserve">This instrument will </w:t>
      </w:r>
      <w:r w:rsidR="00B15781" w:rsidRPr="00573367">
        <w:rPr>
          <w:szCs w:val="24"/>
        </w:rPr>
        <w:t xml:space="preserve">reflect </w:t>
      </w:r>
      <w:r w:rsidR="00B15781" w:rsidRPr="00573367">
        <w:t>contemporary clinical practice</w:t>
      </w:r>
      <w:r w:rsidR="00BE5242" w:rsidRPr="00573367">
        <w:t xml:space="preserve"> by</w:t>
      </w:r>
      <w:r w:rsidR="00021588" w:rsidRPr="00573367">
        <w:t xml:space="preserve"> implementing recommendations from the Evaluation of the Better Access initiative</w:t>
      </w:r>
      <w:r w:rsidR="00B51D62" w:rsidRPr="00573367">
        <w:t xml:space="preserve">, and </w:t>
      </w:r>
      <w:r w:rsidR="00D55202" w:rsidRPr="00573367">
        <w:t xml:space="preserve">by </w:t>
      </w:r>
      <w:r w:rsidR="00786A22" w:rsidRPr="00573367">
        <w:t>amending the Telehealth Determination in line with the broader findings of the MRAC post-implem</w:t>
      </w:r>
      <w:r w:rsidR="00B51D62" w:rsidRPr="00573367">
        <w:t>en</w:t>
      </w:r>
      <w:r w:rsidR="00786A22" w:rsidRPr="00573367">
        <w:t>tation review of MBS telehealth items</w:t>
      </w:r>
      <w:r w:rsidR="004E7603" w:rsidRPr="00573367">
        <w:t>.</w:t>
      </w:r>
      <w:r w:rsidR="00B51D62" w:rsidRPr="00573367">
        <w:t xml:space="preserve"> </w:t>
      </w:r>
      <w:r w:rsidR="006C2D13" w:rsidRPr="00573367">
        <w:t>More s</w:t>
      </w:r>
      <w:r w:rsidR="004E02F3" w:rsidRPr="00573367">
        <w:t xml:space="preserve">pecifically, this is </w:t>
      </w:r>
      <w:r w:rsidR="00D55202" w:rsidRPr="00573367">
        <w:t>through</w:t>
      </w:r>
      <w:r w:rsidR="00B51D62" w:rsidRPr="00573367">
        <w:t xml:space="preserve"> </w:t>
      </w:r>
      <w:r w:rsidR="007257F2" w:rsidRPr="00573367">
        <w:t xml:space="preserve">updating </w:t>
      </w:r>
      <w:r w:rsidR="00DC4513" w:rsidRPr="00573367">
        <w:t xml:space="preserve">and </w:t>
      </w:r>
      <w:r w:rsidR="007257F2" w:rsidRPr="00573367">
        <w:t>extending the eligibility criteria for MBS GP telehealth items</w:t>
      </w:r>
      <w:r w:rsidR="00B51D62" w:rsidRPr="00573367">
        <w:t xml:space="preserve"> and</w:t>
      </w:r>
      <w:r w:rsidR="00BE5242" w:rsidRPr="00573367">
        <w:t xml:space="preserve"> </w:t>
      </w:r>
      <w:r w:rsidR="00021588" w:rsidRPr="00573367">
        <w:t>introducing nine new MBS items for subsequent phone attendances for relevant consultant physicians and specialists.</w:t>
      </w:r>
      <w:r w:rsidR="00B15781" w:rsidRPr="00573367">
        <w:rPr>
          <w:szCs w:val="24"/>
        </w:rPr>
        <w:t xml:space="preserve"> </w:t>
      </w:r>
      <w:r w:rsidR="00BE5242" w:rsidRPr="00573367">
        <w:rPr>
          <w:szCs w:val="24"/>
        </w:rPr>
        <w:t>Th</w:t>
      </w:r>
      <w:r w:rsidR="00747D66" w:rsidRPr="00573367">
        <w:rPr>
          <w:szCs w:val="24"/>
        </w:rPr>
        <w:t xml:space="preserve">ese </w:t>
      </w:r>
      <w:proofErr w:type="gramStart"/>
      <w:r w:rsidR="00747D66" w:rsidRPr="00573367">
        <w:rPr>
          <w:szCs w:val="24"/>
        </w:rPr>
        <w:t>changes</w:t>
      </w:r>
      <w:r w:rsidR="00BE5242" w:rsidRPr="00573367">
        <w:rPr>
          <w:szCs w:val="24"/>
        </w:rPr>
        <w:t xml:space="preserve"> </w:t>
      </w:r>
      <w:r w:rsidR="00B15781" w:rsidRPr="00573367">
        <w:rPr>
          <w:szCs w:val="24"/>
        </w:rPr>
        <w:t xml:space="preserve"> ensure</w:t>
      </w:r>
      <w:proofErr w:type="gramEnd"/>
      <w:r w:rsidR="00B15781" w:rsidRPr="00573367">
        <w:rPr>
          <w:szCs w:val="24"/>
        </w:rPr>
        <w:t xml:space="preserve"> that </w:t>
      </w:r>
      <w:r w:rsidR="00B15781" w:rsidRPr="00573367">
        <w:rPr>
          <w:szCs w:val="24"/>
        </w:rPr>
        <w:lastRenderedPageBreak/>
        <w:t xml:space="preserve">patients </w:t>
      </w:r>
      <w:r w:rsidR="007C7403" w:rsidRPr="00573367">
        <w:rPr>
          <w:szCs w:val="24"/>
        </w:rPr>
        <w:t xml:space="preserve">continue to </w:t>
      </w:r>
      <w:r w:rsidR="00B15781" w:rsidRPr="00573367">
        <w:rPr>
          <w:szCs w:val="24"/>
        </w:rPr>
        <w:t>have access to</w:t>
      </w:r>
      <w:r w:rsidRPr="00573367">
        <w:rPr>
          <w:szCs w:val="24"/>
        </w:rPr>
        <w:t xml:space="preserve"> health and social security </w:t>
      </w:r>
      <w:r w:rsidR="00B15781" w:rsidRPr="00573367">
        <w:rPr>
          <w:szCs w:val="24"/>
        </w:rPr>
        <w:t xml:space="preserve">through relevant </w:t>
      </w:r>
      <w:r w:rsidR="00C67BC7" w:rsidRPr="00573367">
        <w:rPr>
          <w:szCs w:val="24"/>
        </w:rPr>
        <w:t xml:space="preserve">subsidised pathology services </w:t>
      </w:r>
      <w:r w:rsidR="0039170C" w:rsidRPr="00573367">
        <w:rPr>
          <w:szCs w:val="24"/>
        </w:rPr>
        <w:t xml:space="preserve">on the </w:t>
      </w:r>
      <w:r w:rsidR="00E870CA" w:rsidRPr="00573367">
        <w:rPr>
          <w:szCs w:val="24"/>
        </w:rPr>
        <w:t>MBS</w:t>
      </w:r>
      <w:r w:rsidR="0039170C" w:rsidRPr="00573367">
        <w:rPr>
          <w:szCs w:val="24"/>
        </w:rPr>
        <w:t xml:space="preserve">. </w:t>
      </w:r>
    </w:p>
    <w:p w14:paraId="1404C896" w14:textId="77777777" w:rsidR="00BE5242" w:rsidRPr="00573367" w:rsidRDefault="00BE5242" w:rsidP="00302F5C">
      <w:pPr>
        <w:rPr>
          <w:szCs w:val="24"/>
        </w:rPr>
      </w:pPr>
    </w:p>
    <w:p w14:paraId="2412D166" w14:textId="1973400E" w:rsidR="00A17F2C" w:rsidRPr="00573367" w:rsidRDefault="00A17F2C" w:rsidP="004B7CB9">
      <w:pPr>
        <w:spacing w:before="120" w:after="120" w:line="276" w:lineRule="auto"/>
        <w:rPr>
          <w:rFonts w:eastAsia="Calibri"/>
          <w:b/>
          <w:szCs w:val="24"/>
          <w:lang w:eastAsia="en-US"/>
        </w:rPr>
      </w:pPr>
      <w:r w:rsidRPr="00573367">
        <w:rPr>
          <w:rFonts w:eastAsia="Calibri"/>
          <w:b/>
          <w:szCs w:val="24"/>
          <w:lang w:eastAsia="en-US"/>
        </w:rPr>
        <w:t xml:space="preserve">Conclusion </w:t>
      </w:r>
    </w:p>
    <w:p w14:paraId="2412D167" w14:textId="30FFAE27" w:rsidR="00A17F2C" w:rsidRPr="00573367" w:rsidRDefault="006E6BBF" w:rsidP="000337CB">
      <w:pPr>
        <w:rPr>
          <w:szCs w:val="24"/>
        </w:rPr>
      </w:pPr>
      <w:r w:rsidRPr="00573367">
        <w:rPr>
          <w:szCs w:val="24"/>
        </w:rPr>
        <w:t xml:space="preserve">This </w:t>
      </w:r>
      <w:r w:rsidR="0046022A" w:rsidRPr="00573367">
        <w:rPr>
          <w:szCs w:val="24"/>
        </w:rPr>
        <w:t>instrument</w:t>
      </w:r>
      <w:r w:rsidRPr="00573367">
        <w:rPr>
          <w:szCs w:val="24"/>
        </w:rPr>
        <w:t xml:space="preserve"> </w:t>
      </w:r>
      <w:r w:rsidR="00F15284" w:rsidRPr="00573367">
        <w:rPr>
          <w:szCs w:val="24"/>
        </w:rPr>
        <w:t xml:space="preserve">is compatible with human rights as it </w:t>
      </w:r>
      <w:r w:rsidR="007C7403" w:rsidRPr="00573367">
        <w:rPr>
          <w:szCs w:val="24"/>
        </w:rPr>
        <w:t xml:space="preserve">maintains the </w:t>
      </w:r>
      <w:r w:rsidR="00910EF6" w:rsidRPr="00573367">
        <w:rPr>
          <w:szCs w:val="24"/>
        </w:rPr>
        <w:t>right to health</w:t>
      </w:r>
      <w:r w:rsidR="00AF0951" w:rsidRPr="00573367">
        <w:rPr>
          <w:szCs w:val="24"/>
        </w:rPr>
        <w:t>,</w:t>
      </w:r>
      <w:r w:rsidR="00910EF6" w:rsidRPr="00573367">
        <w:rPr>
          <w:szCs w:val="24"/>
        </w:rPr>
        <w:t xml:space="preserve"> the right to social security</w:t>
      </w:r>
      <w:r w:rsidR="00AF0951" w:rsidRPr="00573367">
        <w:rPr>
          <w:szCs w:val="24"/>
        </w:rPr>
        <w:t>,</w:t>
      </w:r>
      <w:r w:rsidR="005C394E" w:rsidRPr="00573367">
        <w:rPr>
          <w:szCs w:val="24"/>
        </w:rPr>
        <w:t xml:space="preserve"> </w:t>
      </w:r>
      <w:bookmarkStart w:id="3" w:name="_Hlk129952180"/>
      <w:r w:rsidR="005C394E" w:rsidRPr="00573367">
        <w:rPr>
          <w:szCs w:val="24"/>
        </w:rPr>
        <w:t>and the right of equality and non-discrimination</w:t>
      </w:r>
      <w:bookmarkEnd w:id="3"/>
      <w:r w:rsidR="00910EF6" w:rsidRPr="00573367">
        <w:rPr>
          <w:szCs w:val="24"/>
        </w:rPr>
        <w:t>.</w:t>
      </w:r>
    </w:p>
    <w:p w14:paraId="2412D168" w14:textId="77777777" w:rsidR="00F15284" w:rsidRPr="00573367" w:rsidRDefault="00F15284" w:rsidP="000337CB">
      <w:pPr>
        <w:rPr>
          <w:rFonts w:eastAsia="Calibri"/>
          <w:szCs w:val="24"/>
          <w:lang w:eastAsia="en-US"/>
        </w:rPr>
      </w:pPr>
    </w:p>
    <w:p w14:paraId="75A46380" w14:textId="77777777" w:rsidR="00C67BC7" w:rsidRPr="00573367" w:rsidRDefault="00C67BC7" w:rsidP="000F2948">
      <w:pPr>
        <w:jc w:val="center"/>
      </w:pPr>
    </w:p>
    <w:p w14:paraId="0237357E" w14:textId="26D644D7" w:rsidR="0020703D" w:rsidRPr="00573367" w:rsidRDefault="0020703D" w:rsidP="0020703D">
      <w:pPr>
        <w:shd w:val="clear" w:color="auto" w:fill="FFFFFF"/>
        <w:spacing w:line="240" w:lineRule="atLeast"/>
        <w:ind w:right="-23"/>
        <w:jc w:val="center"/>
        <w:rPr>
          <w:b/>
          <w:bCs/>
          <w:szCs w:val="22"/>
        </w:rPr>
      </w:pPr>
      <w:r w:rsidRPr="00573367">
        <w:rPr>
          <w:b/>
          <w:bCs/>
          <w:szCs w:val="22"/>
        </w:rPr>
        <w:t>Louise Riley</w:t>
      </w:r>
    </w:p>
    <w:p w14:paraId="1B0BE5D6" w14:textId="77777777" w:rsidR="0020703D" w:rsidRPr="00573367" w:rsidRDefault="0020703D" w:rsidP="0020703D">
      <w:pPr>
        <w:shd w:val="clear" w:color="auto" w:fill="FFFFFF"/>
        <w:spacing w:line="240" w:lineRule="atLeast"/>
        <w:ind w:right="-23"/>
        <w:jc w:val="center"/>
        <w:rPr>
          <w:b/>
          <w:bCs/>
          <w:szCs w:val="22"/>
        </w:rPr>
      </w:pPr>
      <w:r w:rsidRPr="00573367">
        <w:rPr>
          <w:b/>
          <w:bCs/>
          <w:szCs w:val="22"/>
        </w:rPr>
        <w:t>Assistant Secretary</w:t>
      </w:r>
    </w:p>
    <w:p w14:paraId="327D0C07" w14:textId="594A9973" w:rsidR="0020703D" w:rsidRPr="00573367" w:rsidRDefault="0020703D" w:rsidP="0020703D">
      <w:pPr>
        <w:shd w:val="clear" w:color="auto" w:fill="FFFFFF"/>
        <w:spacing w:line="240" w:lineRule="atLeast"/>
        <w:ind w:right="-23"/>
        <w:jc w:val="center"/>
        <w:rPr>
          <w:b/>
          <w:bCs/>
          <w:szCs w:val="22"/>
        </w:rPr>
      </w:pPr>
      <w:r w:rsidRPr="00573367">
        <w:rPr>
          <w:b/>
          <w:bCs/>
          <w:szCs w:val="22"/>
        </w:rPr>
        <w:t>MBS Policy and Review</w:t>
      </w:r>
      <w:r w:rsidR="00AA23E3" w:rsidRPr="00573367">
        <w:rPr>
          <w:b/>
          <w:bCs/>
          <w:szCs w:val="22"/>
        </w:rPr>
        <w:t>s</w:t>
      </w:r>
      <w:r w:rsidRPr="00573367">
        <w:rPr>
          <w:b/>
          <w:bCs/>
          <w:szCs w:val="22"/>
        </w:rPr>
        <w:t xml:space="preserve"> </w:t>
      </w:r>
      <w:r w:rsidR="00AA23E3" w:rsidRPr="00573367">
        <w:rPr>
          <w:b/>
          <w:bCs/>
          <w:szCs w:val="22"/>
        </w:rPr>
        <w:t>Branch</w:t>
      </w:r>
    </w:p>
    <w:p w14:paraId="02432564" w14:textId="281A6F87" w:rsidR="0020703D" w:rsidRPr="00573367" w:rsidRDefault="0020703D" w:rsidP="0020703D">
      <w:pPr>
        <w:shd w:val="clear" w:color="auto" w:fill="FFFFFF"/>
        <w:spacing w:line="240" w:lineRule="atLeast"/>
        <w:ind w:right="-23"/>
        <w:jc w:val="center"/>
        <w:rPr>
          <w:b/>
          <w:bCs/>
          <w:szCs w:val="22"/>
        </w:rPr>
      </w:pPr>
      <w:r w:rsidRPr="00573367">
        <w:rPr>
          <w:b/>
          <w:bCs/>
          <w:szCs w:val="22"/>
        </w:rPr>
        <w:t>Medica</w:t>
      </w:r>
      <w:r w:rsidR="007B7D1C" w:rsidRPr="00573367">
        <w:rPr>
          <w:b/>
          <w:bCs/>
          <w:szCs w:val="22"/>
        </w:rPr>
        <w:t>re</w:t>
      </w:r>
      <w:r w:rsidRPr="00573367">
        <w:rPr>
          <w:b/>
          <w:bCs/>
          <w:szCs w:val="22"/>
        </w:rPr>
        <w:t xml:space="preserve"> Benefits </w:t>
      </w:r>
      <w:r w:rsidR="00080E8B" w:rsidRPr="00573367">
        <w:rPr>
          <w:b/>
          <w:bCs/>
          <w:szCs w:val="22"/>
        </w:rPr>
        <w:t xml:space="preserve">and Digital Health </w:t>
      </w:r>
      <w:r w:rsidRPr="00573367">
        <w:rPr>
          <w:b/>
          <w:bCs/>
          <w:szCs w:val="22"/>
        </w:rPr>
        <w:t>Division</w:t>
      </w:r>
    </w:p>
    <w:p w14:paraId="3B4C05A6" w14:textId="56BE4E10" w:rsidR="00101689" w:rsidRPr="00573367" w:rsidRDefault="00101689" w:rsidP="0020703D">
      <w:pPr>
        <w:shd w:val="clear" w:color="auto" w:fill="FFFFFF"/>
        <w:spacing w:line="240" w:lineRule="atLeast"/>
        <w:ind w:right="-23"/>
        <w:jc w:val="center"/>
        <w:rPr>
          <w:b/>
          <w:bCs/>
          <w:szCs w:val="22"/>
        </w:rPr>
      </w:pPr>
      <w:r w:rsidRPr="00573367">
        <w:rPr>
          <w:b/>
          <w:bCs/>
          <w:szCs w:val="22"/>
        </w:rPr>
        <w:t>Health Resourcing Group</w:t>
      </w:r>
    </w:p>
    <w:p w14:paraId="2412D16E" w14:textId="6F60F0B9" w:rsidR="00636C51" w:rsidRPr="0020703D" w:rsidRDefault="000F2948" w:rsidP="61DF509E">
      <w:pPr>
        <w:jc w:val="center"/>
        <w:rPr>
          <w:rFonts w:eastAsia="Calibri"/>
          <w:lang w:eastAsia="en-US"/>
        </w:rPr>
      </w:pPr>
      <w:r w:rsidRPr="00573367">
        <w:rPr>
          <w:b/>
          <w:bCs/>
        </w:rPr>
        <w:t>Department of Health</w:t>
      </w:r>
      <w:r w:rsidR="2D84EE07" w:rsidRPr="00573367">
        <w:rPr>
          <w:b/>
          <w:bCs/>
        </w:rPr>
        <w:t>, Disability and Ageing</w:t>
      </w:r>
    </w:p>
    <w:sectPr w:rsidR="00636C51" w:rsidRPr="0020703D" w:rsidSect="00B15781">
      <w:headerReference w:type="even" r:id="rId16"/>
      <w:headerReference w:type="default" r:id="rId17"/>
      <w:footerReference w:type="even" r:id="rId18"/>
      <w:footerReference w:type="default" r:id="rId19"/>
      <w:headerReference w:type="first" r:id="rId20"/>
      <w:footerReference w:type="first" r:id="rId21"/>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CD134" w14:textId="77777777" w:rsidR="00464326" w:rsidRDefault="00464326">
      <w:r>
        <w:separator/>
      </w:r>
    </w:p>
  </w:endnote>
  <w:endnote w:type="continuationSeparator" w:id="0">
    <w:p w14:paraId="12AFC8E5" w14:textId="77777777" w:rsidR="00464326" w:rsidRDefault="0046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3309" w14:textId="52549859" w:rsidR="00C85000" w:rsidRDefault="006A6B6E">
    <w:pPr>
      <w:pStyle w:val="Footer"/>
    </w:pPr>
    <w:r>
      <w:rPr>
        <w:noProof/>
      </w:rPr>
      <mc:AlternateContent>
        <mc:Choice Requires="wps">
          <w:drawing>
            <wp:anchor distT="0" distB="0" distL="0" distR="0" simplePos="0" relativeHeight="251677696" behindDoc="0" locked="0" layoutInCell="1" allowOverlap="1" wp14:anchorId="126568EC" wp14:editId="36E3767D">
              <wp:simplePos x="635" y="635"/>
              <wp:positionH relativeFrom="page">
                <wp:align>center</wp:align>
              </wp:positionH>
              <wp:positionV relativeFrom="page">
                <wp:align>bottom</wp:align>
              </wp:positionV>
              <wp:extent cx="551815" cy="376555"/>
              <wp:effectExtent l="0" t="0" r="635" b="0"/>
              <wp:wrapNone/>
              <wp:docPr id="187602119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EFF655" w14:textId="78C9C67C"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568EC" id="_x0000_t202" coordsize="21600,21600" o:spt="202" path="m,l,21600r21600,l21600,xe">
              <v:stroke joinstyle="miter"/>
              <v:path gradientshapeok="t" o:connecttype="rect"/>
            </v:shapetype>
            <v:shape id="Text Box 8" o:spid="_x0000_s1027"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8EFF655" w14:textId="78C9C67C"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FE37" w14:textId="248E1372" w:rsidR="00C85000" w:rsidRDefault="006A6B6E">
    <w:pPr>
      <w:pStyle w:val="Footer"/>
    </w:pPr>
    <w:r>
      <w:rPr>
        <w:noProof/>
      </w:rPr>
      <mc:AlternateContent>
        <mc:Choice Requires="wps">
          <w:drawing>
            <wp:anchor distT="0" distB="0" distL="0" distR="0" simplePos="0" relativeHeight="251676672" behindDoc="0" locked="0" layoutInCell="1" allowOverlap="1" wp14:anchorId="798CCA1D" wp14:editId="548D2566">
              <wp:simplePos x="635" y="635"/>
              <wp:positionH relativeFrom="page">
                <wp:align>center</wp:align>
              </wp:positionH>
              <wp:positionV relativeFrom="page">
                <wp:align>bottom</wp:align>
              </wp:positionV>
              <wp:extent cx="551815" cy="376555"/>
              <wp:effectExtent l="0" t="0" r="635" b="0"/>
              <wp:wrapNone/>
              <wp:docPr id="131725143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86C0A0" w14:textId="4A987205"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8CCA1D" id="_x0000_t202" coordsize="21600,21600" o:spt="202" path="m,l,21600r21600,l21600,xe">
              <v:stroke joinstyle="miter"/>
              <v:path gradientshapeok="t" o:connecttype="rect"/>
            </v:shapetype>
            <v:shape id="Text Box 7" o:spid="_x0000_s1029" type="#_x0000_t202" alt="OFFICIAL" style="position:absolute;margin-left:0;margin-top:0;width:43.45pt;height:29.6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86C0A0" w14:textId="4A987205"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C3FE" w14:textId="3BC7BBAC" w:rsidR="00C85000" w:rsidRDefault="006A6B6E">
    <w:pPr>
      <w:pStyle w:val="Footer"/>
    </w:pPr>
    <w:r>
      <w:rPr>
        <w:noProof/>
      </w:rPr>
      <mc:AlternateContent>
        <mc:Choice Requires="wps">
          <w:drawing>
            <wp:anchor distT="0" distB="0" distL="0" distR="0" simplePos="0" relativeHeight="251680768" behindDoc="0" locked="0" layoutInCell="1" allowOverlap="1" wp14:anchorId="7877885A" wp14:editId="6D92E439">
              <wp:simplePos x="635" y="635"/>
              <wp:positionH relativeFrom="page">
                <wp:align>center</wp:align>
              </wp:positionH>
              <wp:positionV relativeFrom="page">
                <wp:align>bottom</wp:align>
              </wp:positionV>
              <wp:extent cx="551815" cy="376555"/>
              <wp:effectExtent l="0" t="0" r="635" b="0"/>
              <wp:wrapNone/>
              <wp:docPr id="2368088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DCE449" w14:textId="6B2E9D3B"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77885A" id="_x0000_t202" coordsize="21600,21600" o:spt="202" path="m,l,21600r21600,l21600,xe">
              <v:stroke joinstyle="miter"/>
              <v:path gradientshapeok="t" o:connecttype="rect"/>
            </v:shapetype>
            <v:shape id="Text Box 11" o:spid="_x0000_s1031" type="#_x0000_t202" alt="OFFICIAL" style="position:absolute;margin-left:0;margin-top:0;width:43.45pt;height:29.6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DCE449" w14:textId="6B2E9D3B"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DE8D" w14:textId="6E5C43BD" w:rsidR="00C85000" w:rsidRDefault="00C85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157E" w14:textId="6B9B353F" w:rsidR="00C85000" w:rsidRDefault="00C8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09124" w14:textId="77777777" w:rsidR="00464326" w:rsidRDefault="00464326">
      <w:r>
        <w:separator/>
      </w:r>
    </w:p>
  </w:footnote>
  <w:footnote w:type="continuationSeparator" w:id="0">
    <w:p w14:paraId="31ED10F8" w14:textId="77777777" w:rsidR="00464326" w:rsidRDefault="0046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EC12" w14:textId="6631F81D" w:rsidR="00C85000" w:rsidRDefault="006A6B6E">
    <w:pPr>
      <w:pStyle w:val="Header"/>
    </w:pPr>
    <w:r>
      <w:rPr>
        <w:noProof/>
      </w:rPr>
      <mc:AlternateContent>
        <mc:Choice Requires="wps">
          <w:drawing>
            <wp:anchor distT="0" distB="0" distL="0" distR="0" simplePos="0" relativeHeight="251671552" behindDoc="0" locked="0" layoutInCell="1" allowOverlap="1" wp14:anchorId="26085577" wp14:editId="2FCF25C0">
              <wp:simplePos x="635" y="635"/>
              <wp:positionH relativeFrom="page">
                <wp:align>center</wp:align>
              </wp:positionH>
              <wp:positionV relativeFrom="page">
                <wp:align>top</wp:align>
              </wp:positionV>
              <wp:extent cx="551815" cy="376555"/>
              <wp:effectExtent l="0" t="0" r="635" b="4445"/>
              <wp:wrapNone/>
              <wp:docPr id="6344668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950A10" w14:textId="43B00D7C"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85577"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F950A10" w14:textId="43B00D7C"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6" w14:textId="7C37D548"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CACD" w14:textId="4ABD55BF" w:rsidR="00C85000" w:rsidRDefault="006A6B6E">
    <w:pPr>
      <w:pStyle w:val="Header"/>
    </w:pPr>
    <w:r>
      <w:rPr>
        <w:noProof/>
      </w:rPr>
      <mc:AlternateContent>
        <mc:Choice Requires="wps">
          <w:drawing>
            <wp:anchor distT="0" distB="0" distL="0" distR="0" simplePos="0" relativeHeight="251670528" behindDoc="0" locked="0" layoutInCell="1" allowOverlap="1" wp14:anchorId="5C8F6829" wp14:editId="6FA6CD4F">
              <wp:simplePos x="635" y="635"/>
              <wp:positionH relativeFrom="page">
                <wp:align>center</wp:align>
              </wp:positionH>
              <wp:positionV relativeFrom="page">
                <wp:align>top</wp:align>
              </wp:positionV>
              <wp:extent cx="551815" cy="376555"/>
              <wp:effectExtent l="0" t="0" r="635" b="4445"/>
              <wp:wrapNone/>
              <wp:docPr id="12477822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6E2613" w14:textId="1EB79473"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8F682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A6E2613" w14:textId="1EB79473"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8" w14:textId="17E1B9F5" w:rsidR="001C35BC" w:rsidRDefault="006A6B6E" w:rsidP="009D3773">
    <w:pPr>
      <w:pStyle w:val="Header"/>
      <w:framePr w:wrap="around" w:vAnchor="text" w:hAnchor="margin" w:xAlign="center" w:y="1"/>
      <w:rPr>
        <w:rStyle w:val="PageNumber"/>
      </w:rPr>
    </w:pPr>
    <w:r>
      <w:rPr>
        <w:noProof/>
      </w:rPr>
      <mc:AlternateContent>
        <mc:Choice Requires="wps">
          <w:drawing>
            <wp:anchor distT="0" distB="0" distL="0" distR="0" simplePos="0" relativeHeight="251674624" behindDoc="0" locked="0" layoutInCell="1" allowOverlap="1" wp14:anchorId="49A79AD5" wp14:editId="55F5B642">
              <wp:simplePos x="635" y="635"/>
              <wp:positionH relativeFrom="page">
                <wp:align>center</wp:align>
              </wp:positionH>
              <wp:positionV relativeFrom="page">
                <wp:align>top</wp:align>
              </wp:positionV>
              <wp:extent cx="551815" cy="376555"/>
              <wp:effectExtent l="0" t="0" r="635" b="4445"/>
              <wp:wrapNone/>
              <wp:docPr id="49914344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9E5EE3B" w14:textId="24F1046F"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79AD5"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9E5EE3B" w14:textId="24F1046F" w:rsidR="006A6B6E" w:rsidRPr="006A6B6E" w:rsidRDefault="006A6B6E" w:rsidP="006A6B6E">
                    <w:pPr>
                      <w:rPr>
                        <w:rFonts w:ascii="Calibri" w:eastAsia="Calibri" w:hAnsi="Calibri" w:cs="Calibri"/>
                        <w:noProof/>
                        <w:color w:val="FF0000"/>
                        <w:szCs w:val="24"/>
                      </w:rPr>
                    </w:pPr>
                    <w:r w:rsidRPr="006A6B6E">
                      <w:rPr>
                        <w:rFonts w:ascii="Calibri" w:eastAsia="Calibri" w:hAnsi="Calibri" w:cs="Calibri"/>
                        <w:noProof/>
                        <w:color w:val="FF0000"/>
                        <w:szCs w:val="24"/>
                      </w:rPr>
                      <w:t>OFFICIAL</w:t>
                    </w:r>
                  </w:p>
                </w:txbxContent>
              </v:textbox>
              <w10:wrap anchorx="page" anchory="page"/>
            </v:shape>
          </w:pict>
        </mc:Fallback>
      </mc:AlternateContent>
    </w:r>
    <w:r w:rsidR="001C35BC">
      <w:rPr>
        <w:rStyle w:val="PageNumber"/>
      </w:rPr>
      <w:fldChar w:fldCharType="begin"/>
    </w:r>
    <w:r w:rsidR="001C35BC">
      <w:rPr>
        <w:rStyle w:val="PageNumber"/>
      </w:rPr>
      <w:instrText xml:space="preserve">PAGE  </w:instrText>
    </w:r>
    <w:r w:rsidR="001C35BC">
      <w:rPr>
        <w:rStyle w:val="PageNumber"/>
      </w:rPr>
      <w:fldChar w:fldCharType="separate"/>
    </w:r>
    <w:r w:rsidR="001C35BC">
      <w:rPr>
        <w:rStyle w:val="PageNumber"/>
        <w:noProof/>
      </w:rPr>
      <w:t>3</w:t>
    </w:r>
    <w:r w:rsidR="001C35BC">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A" w14:textId="07639DF2" w:rsidR="00E23B6B" w:rsidRDefault="00000000">
    <w:pPr>
      <w:pStyle w:val="Header"/>
      <w:jc w:val="center"/>
    </w:pPr>
    <w:sdt>
      <w:sdtPr>
        <w:id w:val="-581527589"/>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4</w:t>
        </w:r>
        <w:r w:rsidR="00E23B6B">
          <w:rPr>
            <w:noProof/>
          </w:rPr>
          <w:fldChar w:fldCharType="end"/>
        </w:r>
      </w:sdtContent>
    </w:sdt>
  </w:p>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D17C" w14:textId="211D3B5E" w:rsidR="00E23B6B" w:rsidRDefault="00000000">
    <w:pPr>
      <w:pStyle w:val="Header"/>
      <w:jc w:val="center"/>
    </w:pPr>
    <w:sdt>
      <w:sdtPr>
        <w:id w:val="-412389212"/>
        <w:docPartObj>
          <w:docPartGallery w:val="Page Numbers (Top of Page)"/>
          <w:docPartUnique/>
        </w:docPartObj>
      </w:sdtPr>
      <w:sdtEndPr>
        <w:rPr>
          <w:noProof/>
        </w:rPr>
      </w:sdtEndPr>
      <w:sdtContent>
        <w:r w:rsidR="00E23B6B">
          <w:fldChar w:fldCharType="begin"/>
        </w:r>
        <w:r w:rsidR="00E23B6B">
          <w:instrText xml:space="preserve"> PAGE   \* MERGEFORMAT </w:instrText>
        </w:r>
        <w:r w:rsidR="00E23B6B">
          <w:fldChar w:fldCharType="separate"/>
        </w:r>
        <w:r w:rsidR="00476510">
          <w:rPr>
            <w:noProof/>
          </w:rPr>
          <w:t>3</w:t>
        </w:r>
        <w:r w:rsidR="00E23B6B">
          <w:rPr>
            <w:noProof/>
          </w:rPr>
          <w:fldChar w:fldCharType="end"/>
        </w:r>
      </w:sdtContent>
    </w:sdt>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1580409"/>
    <w:multiLevelType w:val="hybridMultilevel"/>
    <w:tmpl w:val="E4EE273C"/>
    <w:lvl w:ilvl="0" w:tplc="04090001">
      <w:start w:val="1"/>
      <w:numFmt w:val="bullet"/>
      <w:lvlText w:val=""/>
      <w:lvlJc w:val="left"/>
      <w:pPr>
        <w:ind w:left="717" w:hanging="360"/>
      </w:pPr>
      <w:rPr>
        <w:rFonts w:ascii="Symbol" w:hAnsi="Symbol" w:hint="default"/>
      </w:rPr>
    </w:lvl>
    <w:lvl w:ilvl="1" w:tplc="04090003">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0A76BA"/>
    <w:multiLevelType w:val="hybridMultilevel"/>
    <w:tmpl w:val="403A5814"/>
    <w:lvl w:ilvl="0" w:tplc="77EE51A2">
      <w:start w:val="1"/>
      <w:numFmt w:val="bullet"/>
      <w:lvlText w:val=""/>
      <w:lvlJc w:val="left"/>
      <w:pPr>
        <w:ind w:left="720" w:hanging="360"/>
      </w:pPr>
      <w:rPr>
        <w:rFonts w:ascii="Symbol" w:hAnsi="Symbol"/>
      </w:rPr>
    </w:lvl>
    <w:lvl w:ilvl="1" w:tplc="19B0B87E">
      <w:start w:val="1"/>
      <w:numFmt w:val="bullet"/>
      <w:lvlText w:val=""/>
      <w:lvlJc w:val="left"/>
      <w:pPr>
        <w:ind w:left="720" w:hanging="360"/>
      </w:pPr>
      <w:rPr>
        <w:rFonts w:ascii="Symbol" w:hAnsi="Symbol"/>
      </w:rPr>
    </w:lvl>
    <w:lvl w:ilvl="2" w:tplc="57BA0608">
      <w:start w:val="1"/>
      <w:numFmt w:val="bullet"/>
      <w:lvlText w:val=""/>
      <w:lvlJc w:val="left"/>
      <w:pPr>
        <w:ind w:left="720" w:hanging="360"/>
      </w:pPr>
      <w:rPr>
        <w:rFonts w:ascii="Symbol" w:hAnsi="Symbol"/>
      </w:rPr>
    </w:lvl>
    <w:lvl w:ilvl="3" w:tplc="C9C88026">
      <w:start w:val="1"/>
      <w:numFmt w:val="bullet"/>
      <w:lvlText w:val=""/>
      <w:lvlJc w:val="left"/>
      <w:pPr>
        <w:ind w:left="720" w:hanging="360"/>
      </w:pPr>
      <w:rPr>
        <w:rFonts w:ascii="Symbol" w:hAnsi="Symbol"/>
      </w:rPr>
    </w:lvl>
    <w:lvl w:ilvl="4" w:tplc="B69899EC">
      <w:start w:val="1"/>
      <w:numFmt w:val="bullet"/>
      <w:lvlText w:val=""/>
      <w:lvlJc w:val="left"/>
      <w:pPr>
        <w:ind w:left="720" w:hanging="360"/>
      </w:pPr>
      <w:rPr>
        <w:rFonts w:ascii="Symbol" w:hAnsi="Symbol"/>
      </w:rPr>
    </w:lvl>
    <w:lvl w:ilvl="5" w:tplc="8BCC9480">
      <w:start w:val="1"/>
      <w:numFmt w:val="bullet"/>
      <w:lvlText w:val=""/>
      <w:lvlJc w:val="left"/>
      <w:pPr>
        <w:ind w:left="720" w:hanging="360"/>
      </w:pPr>
      <w:rPr>
        <w:rFonts w:ascii="Symbol" w:hAnsi="Symbol"/>
      </w:rPr>
    </w:lvl>
    <w:lvl w:ilvl="6" w:tplc="84009646">
      <w:start w:val="1"/>
      <w:numFmt w:val="bullet"/>
      <w:lvlText w:val=""/>
      <w:lvlJc w:val="left"/>
      <w:pPr>
        <w:ind w:left="720" w:hanging="360"/>
      </w:pPr>
      <w:rPr>
        <w:rFonts w:ascii="Symbol" w:hAnsi="Symbol"/>
      </w:rPr>
    </w:lvl>
    <w:lvl w:ilvl="7" w:tplc="7F08BB0C">
      <w:start w:val="1"/>
      <w:numFmt w:val="bullet"/>
      <w:lvlText w:val=""/>
      <w:lvlJc w:val="left"/>
      <w:pPr>
        <w:ind w:left="720" w:hanging="360"/>
      </w:pPr>
      <w:rPr>
        <w:rFonts w:ascii="Symbol" w:hAnsi="Symbol"/>
      </w:rPr>
    </w:lvl>
    <w:lvl w:ilvl="8" w:tplc="726C252E">
      <w:start w:val="1"/>
      <w:numFmt w:val="bullet"/>
      <w:lvlText w:val=""/>
      <w:lvlJc w:val="left"/>
      <w:pPr>
        <w:ind w:left="720" w:hanging="360"/>
      </w:pPr>
      <w:rPr>
        <w:rFonts w:ascii="Symbol" w:hAnsi="Symbol"/>
      </w:rPr>
    </w:lvl>
  </w:abstractNum>
  <w:abstractNum w:abstractNumId="6"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1B0362"/>
    <w:multiLevelType w:val="hybridMultilevel"/>
    <w:tmpl w:val="3DC40EA6"/>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B85B25"/>
    <w:multiLevelType w:val="hybridMultilevel"/>
    <w:tmpl w:val="C1649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6148A2"/>
    <w:multiLevelType w:val="hybridMultilevel"/>
    <w:tmpl w:val="CB004CD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8655C1"/>
    <w:multiLevelType w:val="hybridMultilevel"/>
    <w:tmpl w:val="D100732C"/>
    <w:lvl w:ilvl="0" w:tplc="386C09B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3386835">
    <w:abstractNumId w:val="27"/>
  </w:num>
  <w:num w:numId="2" w16cid:durableId="1840731472">
    <w:abstractNumId w:val="1"/>
  </w:num>
  <w:num w:numId="3" w16cid:durableId="1214273109">
    <w:abstractNumId w:val="2"/>
  </w:num>
  <w:num w:numId="4" w16cid:durableId="791556886">
    <w:abstractNumId w:val="14"/>
  </w:num>
  <w:num w:numId="5" w16cid:durableId="2106728815">
    <w:abstractNumId w:val="20"/>
  </w:num>
  <w:num w:numId="6" w16cid:durableId="377632740">
    <w:abstractNumId w:val="12"/>
  </w:num>
  <w:num w:numId="7" w16cid:durableId="2129160499">
    <w:abstractNumId w:val="32"/>
  </w:num>
  <w:num w:numId="8" w16cid:durableId="1887984510">
    <w:abstractNumId w:val="8"/>
  </w:num>
  <w:num w:numId="9" w16cid:durableId="137036203">
    <w:abstractNumId w:val="7"/>
  </w:num>
  <w:num w:numId="10" w16cid:durableId="1360158027">
    <w:abstractNumId w:val="36"/>
  </w:num>
  <w:num w:numId="11" w16cid:durableId="2059470832">
    <w:abstractNumId w:val="31"/>
  </w:num>
  <w:num w:numId="12" w16cid:durableId="927420952">
    <w:abstractNumId w:val="15"/>
  </w:num>
  <w:num w:numId="13" w16cid:durableId="2121608524">
    <w:abstractNumId w:val="17"/>
  </w:num>
  <w:num w:numId="14" w16cid:durableId="1914663123">
    <w:abstractNumId w:val="29"/>
  </w:num>
  <w:num w:numId="15" w16cid:durableId="1836451044">
    <w:abstractNumId w:val="9"/>
  </w:num>
  <w:num w:numId="16" w16cid:durableId="326175898">
    <w:abstractNumId w:val="22"/>
  </w:num>
  <w:num w:numId="17" w16cid:durableId="1782915729">
    <w:abstractNumId w:val="25"/>
  </w:num>
  <w:num w:numId="18" w16cid:durableId="944728949">
    <w:abstractNumId w:val="23"/>
  </w:num>
  <w:num w:numId="19" w16cid:durableId="1459880850">
    <w:abstractNumId w:val="4"/>
  </w:num>
  <w:num w:numId="20" w16cid:durableId="1215699147">
    <w:abstractNumId w:val="13"/>
  </w:num>
  <w:num w:numId="21" w16cid:durableId="5092953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4620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9315588">
    <w:abstractNumId w:val="0"/>
  </w:num>
  <w:num w:numId="24" w16cid:durableId="785388106">
    <w:abstractNumId w:val="24"/>
  </w:num>
  <w:num w:numId="25" w16cid:durableId="783496827">
    <w:abstractNumId w:val="11"/>
  </w:num>
  <w:num w:numId="26" w16cid:durableId="2118284868">
    <w:abstractNumId w:val="6"/>
  </w:num>
  <w:num w:numId="27" w16cid:durableId="85804723">
    <w:abstractNumId w:val="18"/>
  </w:num>
  <w:num w:numId="28" w16cid:durableId="586041879">
    <w:abstractNumId w:val="35"/>
  </w:num>
  <w:num w:numId="29" w16cid:durableId="1913193692">
    <w:abstractNumId w:val="19"/>
  </w:num>
  <w:num w:numId="30" w16cid:durableId="585261133">
    <w:abstractNumId w:val="30"/>
  </w:num>
  <w:num w:numId="31" w16cid:durableId="377825405">
    <w:abstractNumId w:val="16"/>
  </w:num>
  <w:num w:numId="32" w16cid:durableId="849488075">
    <w:abstractNumId w:val="28"/>
  </w:num>
  <w:num w:numId="33" w16cid:durableId="1447653498">
    <w:abstractNumId w:val="5"/>
  </w:num>
  <w:num w:numId="34" w16cid:durableId="1438212079">
    <w:abstractNumId w:val="3"/>
  </w:num>
  <w:num w:numId="35" w16cid:durableId="107552118">
    <w:abstractNumId w:val="33"/>
  </w:num>
  <w:num w:numId="36" w16cid:durableId="1204369690">
    <w:abstractNumId w:val="26"/>
  </w:num>
  <w:num w:numId="37" w16cid:durableId="268316328">
    <w:abstractNumId w:val="34"/>
  </w:num>
  <w:num w:numId="38" w16cid:durableId="1493982394">
    <w:abstractNumId w:val="10"/>
  </w:num>
  <w:num w:numId="39" w16cid:durableId="1145901374">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2B4"/>
    <w:rsid w:val="0000361B"/>
    <w:rsid w:val="00003D66"/>
    <w:rsid w:val="0000441D"/>
    <w:rsid w:val="00004E17"/>
    <w:rsid w:val="0000541D"/>
    <w:rsid w:val="00005906"/>
    <w:rsid w:val="00007B65"/>
    <w:rsid w:val="00010199"/>
    <w:rsid w:val="00012B9E"/>
    <w:rsid w:val="00014639"/>
    <w:rsid w:val="00014B38"/>
    <w:rsid w:val="00014E40"/>
    <w:rsid w:val="00016774"/>
    <w:rsid w:val="000203B4"/>
    <w:rsid w:val="00021588"/>
    <w:rsid w:val="00021EFA"/>
    <w:rsid w:val="00024158"/>
    <w:rsid w:val="00024A1D"/>
    <w:rsid w:val="00025F64"/>
    <w:rsid w:val="0002704E"/>
    <w:rsid w:val="0002728B"/>
    <w:rsid w:val="00027830"/>
    <w:rsid w:val="000319EF"/>
    <w:rsid w:val="0003237B"/>
    <w:rsid w:val="00033034"/>
    <w:rsid w:val="000331F0"/>
    <w:rsid w:val="000337CB"/>
    <w:rsid w:val="0003591F"/>
    <w:rsid w:val="00041849"/>
    <w:rsid w:val="0004426E"/>
    <w:rsid w:val="00044A2A"/>
    <w:rsid w:val="00050623"/>
    <w:rsid w:val="000509BA"/>
    <w:rsid w:val="0005224B"/>
    <w:rsid w:val="00052597"/>
    <w:rsid w:val="00054F46"/>
    <w:rsid w:val="0005533C"/>
    <w:rsid w:val="000628FE"/>
    <w:rsid w:val="00063242"/>
    <w:rsid w:val="000640CF"/>
    <w:rsid w:val="00064363"/>
    <w:rsid w:val="00064BA4"/>
    <w:rsid w:val="00064F72"/>
    <w:rsid w:val="00067F59"/>
    <w:rsid w:val="000710DD"/>
    <w:rsid w:val="0007187A"/>
    <w:rsid w:val="0007236F"/>
    <w:rsid w:val="000727E0"/>
    <w:rsid w:val="00073983"/>
    <w:rsid w:val="00073BC9"/>
    <w:rsid w:val="00075649"/>
    <w:rsid w:val="00076C34"/>
    <w:rsid w:val="00076FE3"/>
    <w:rsid w:val="00080116"/>
    <w:rsid w:val="00080157"/>
    <w:rsid w:val="00080B7D"/>
    <w:rsid w:val="00080E8B"/>
    <w:rsid w:val="00081188"/>
    <w:rsid w:val="00081C37"/>
    <w:rsid w:val="00082D12"/>
    <w:rsid w:val="00085C3E"/>
    <w:rsid w:val="00087826"/>
    <w:rsid w:val="0009514A"/>
    <w:rsid w:val="000969EF"/>
    <w:rsid w:val="00096C71"/>
    <w:rsid w:val="000A199B"/>
    <w:rsid w:val="000A31F2"/>
    <w:rsid w:val="000A45BE"/>
    <w:rsid w:val="000A467F"/>
    <w:rsid w:val="000A6FB3"/>
    <w:rsid w:val="000A7B9B"/>
    <w:rsid w:val="000B0844"/>
    <w:rsid w:val="000B208E"/>
    <w:rsid w:val="000B2CE8"/>
    <w:rsid w:val="000B3452"/>
    <w:rsid w:val="000B60AF"/>
    <w:rsid w:val="000C1226"/>
    <w:rsid w:val="000C12EE"/>
    <w:rsid w:val="000C3BA7"/>
    <w:rsid w:val="000C3D8A"/>
    <w:rsid w:val="000C46E6"/>
    <w:rsid w:val="000C4B3D"/>
    <w:rsid w:val="000C5BA2"/>
    <w:rsid w:val="000C6797"/>
    <w:rsid w:val="000C6FF8"/>
    <w:rsid w:val="000C7FE1"/>
    <w:rsid w:val="000D118C"/>
    <w:rsid w:val="000D1325"/>
    <w:rsid w:val="000D1A87"/>
    <w:rsid w:val="000D2300"/>
    <w:rsid w:val="000D3B79"/>
    <w:rsid w:val="000D46A5"/>
    <w:rsid w:val="000D7803"/>
    <w:rsid w:val="000E0AAF"/>
    <w:rsid w:val="000E0C87"/>
    <w:rsid w:val="000E1ACD"/>
    <w:rsid w:val="000E1EB3"/>
    <w:rsid w:val="000E3444"/>
    <w:rsid w:val="000E4AFA"/>
    <w:rsid w:val="000E534F"/>
    <w:rsid w:val="000E66FA"/>
    <w:rsid w:val="000E7163"/>
    <w:rsid w:val="000E72BC"/>
    <w:rsid w:val="000F0982"/>
    <w:rsid w:val="000F14A0"/>
    <w:rsid w:val="000F1575"/>
    <w:rsid w:val="000F162A"/>
    <w:rsid w:val="000F1714"/>
    <w:rsid w:val="000F249E"/>
    <w:rsid w:val="000F2948"/>
    <w:rsid w:val="000F2AFC"/>
    <w:rsid w:val="000F37A0"/>
    <w:rsid w:val="000F3849"/>
    <w:rsid w:val="000F548E"/>
    <w:rsid w:val="000F5E76"/>
    <w:rsid w:val="000F6853"/>
    <w:rsid w:val="001000CE"/>
    <w:rsid w:val="00100861"/>
    <w:rsid w:val="00101689"/>
    <w:rsid w:val="00104751"/>
    <w:rsid w:val="0010617D"/>
    <w:rsid w:val="00106763"/>
    <w:rsid w:val="00107F36"/>
    <w:rsid w:val="0011066E"/>
    <w:rsid w:val="00110D12"/>
    <w:rsid w:val="00113B2E"/>
    <w:rsid w:val="00120766"/>
    <w:rsid w:val="00121189"/>
    <w:rsid w:val="00121A66"/>
    <w:rsid w:val="00122144"/>
    <w:rsid w:val="00132087"/>
    <w:rsid w:val="00133B32"/>
    <w:rsid w:val="00134734"/>
    <w:rsid w:val="00134B27"/>
    <w:rsid w:val="00135D0D"/>
    <w:rsid w:val="001400C4"/>
    <w:rsid w:val="00141323"/>
    <w:rsid w:val="00141E8C"/>
    <w:rsid w:val="00143685"/>
    <w:rsid w:val="00143943"/>
    <w:rsid w:val="001448F2"/>
    <w:rsid w:val="001455E7"/>
    <w:rsid w:val="00145918"/>
    <w:rsid w:val="00145D25"/>
    <w:rsid w:val="00145DED"/>
    <w:rsid w:val="001504C2"/>
    <w:rsid w:val="001519E4"/>
    <w:rsid w:val="00154FC4"/>
    <w:rsid w:val="001551FE"/>
    <w:rsid w:val="0015521F"/>
    <w:rsid w:val="001603DB"/>
    <w:rsid w:val="00163F22"/>
    <w:rsid w:val="001641C0"/>
    <w:rsid w:val="00164A69"/>
    <w:rsid w:val="0016646C"/>
    <w:rsid w:val="00167DA1"/>
    <w:rsid w:val="00167F46"/>
    <w:rsid w:val="0017187F"/>
    <w:rsid w:val="00173864"/>
    <w:rsid w:val="00174031"/>
    <w:rsid w:val="00174E96"/>
    <w:rsid w:val="001762A6"/>
    <w:rsid w:val="001770D9"/>
    <w:rsid w:val="0017759F"/>
    <w:rsid w:val="0018012F"/>
    <w:rsid w:val="00180206"/>
    <w:rsid w:val="0018029B"/>
    <w:rsid w:val="00180742"/>
    <w:rsid w:val="00181B3E"/>
    <w:rsid w:val="00181F74"/>
    <w:rsid w:val="001822E1"/>
    <w:rsid w:val="00183C10"/>
    <w:rsid w:val="0018451D"/>
    <w:rsid w:val="001865F8"/>
    <w:rsid w:val="00186752"/>
    <w:rsid w:val="001867EA"/>
    <w:rsid w:val="00187EE5"/>
    <w:rsid w:val="00190FC9"/>
    <w:rsid w:val="001911AE"/>
    <w:rsid w:val="0019289B"/>
    <w:rsid w:val="001929C3"/>
    <w:rsid w:val="001932F6"/>
    <w:rsid w:val="0019464A"/>
    <w:rsid w:val="001947ED"/>
    <w:rsid w:val="00195A6A"/>
    <w:rsid w:val="001965DA"/>
    <w:rsid w:val="0019711F"/>
    <w:rsid w:val="001978CE"/>
    <w:rsid w:val="001A43A5"/>
    <w:rsid w:val="001A4BE2"/>
    <w:rsid w:val="001A5BC0"/>
    <w:rsid w:val="001A6E3C"/>
    <w:rsid w:val="001A7249"/>
    <w:rsid w:val="001A7EF8"/>
    <w:rsid w:val="001B0111"/>
    <w:rsid w:val="001B28B0"/>
    <w:rsid w:val="001B3714"/>
    <w:rsid w:val="001B4BBC"/>
    <w:rsid w:val="001B5ED9"/>
    <w:rsid w:val="001B6095"/>
    <w:rsid w:val="001B66AF"/>
    <w:rsid w:val="001B7092"/>
    <w:rsid w:val="001C1B86"/>
    <w:rsid w:val="001C35BC"/>
    <w:rsid w:val="001C51D8"/>
    <w:rsid w:val="001C5FC1"/>
    <w:rsid w:val="001C6713"/>
    <w:rsid w:val="001C68CB"/>
    <w:rsid w:val="001C768C"/>
    <w:rsid w:val="001D0C04"/>
    <w:rsid w:val="001D53B0"/>
    <w:rsid w:val="001D6B46"/>
    <w:rsid w:val="001D778A"/>
    <w:rsid w:val="001D7D62"/>
    <w:rsid w:val="001E014D"/>
    <w:rsid w:val="001E020A"/>
    <w:rsid w:val="001E2D6D"/>
    <w:rsid w:val="001E3B02"/>
    <w:rsid w:val="001E5391"/>
    <w:rsid w:val="001E5787"/>
    <w:rsid w:val="001E57BC"/>
    <w:rsid w:val="001E5DE7"/>
    <w:rsid w:val="001E63F3"/>
    <w:rsid w:val="001E7C25"/>
    <w:rsid w:val="001F004A"/>
    <w:rsid w:val="001F0923"/>
    <w:rsid w:val="001F1F27"/>
    <w:rsid w:val="001F28E4"/>
    <w:rsid w:val="00200145"/>
    <w:rsid w:val="002003CA"/>
    <w:rsid w:val="002003F7"/>
    <w:rsid w:val="00200777"/>
    <w:rsid w:val="00200971"/>
    <w:rsid w:val="002014DE"/>
    <w:rsid w:val="0020203B"/>
    <w:rsid w:val="0020245D"/>
    <w:rsid w:val="00203952"/>
    <w:rsid w:val="00203F23"/>
    <w:rsid w:val="00204413"/>
    <w:rsid w:val="0020703D"/>
    <w:rsid w:val="00210EE7"/>
    <w:rsid w:val="00213177"/>
    <w:rsid w:val="00215191"/>
    <w:rsid w:val="00216C44"/>
    <w:rsid w:val="002174CF"/>
    <w:rsid w:val="00217EBF"/>
    <w:rsid w:val="00220EE3"/>
    <w:rsid w:val="00221C4B"/>
    <w:rsid w:val="002227DF"/>
    <w:rsid w:val="0022342C"/>
    <w:rsid w:val="0022384B"/>
    <w:rsid w:val="00224164"/>
    <w:rsid w:val="00225B50"/>
    <w:rsid w:val="00225D8E"/>
    <w:rsid w:val="002264F4"/>
    <w:rsid w:val="002322A8"/>
    <w:rsid w:val="0023311C"/>
    <w:rsid w:val="00233BEB"/>
    <w:rsid w:val="00235B6C"/>
    <w:rsid w:val="00236DF2"/>
    <w:rsid w:val="002403A8"/>
    <w:rsid w:val="0024152E"/>
    <w:rsid w:val="002427DC"/>
    <w:rsid w:val="00242974"/>
    <w:rsid w:val="002429F6"/>
    <w:rsid w:val="00244D84"/>
    <w:rsid w:val="00250061"/>
    <w:rsid w:val="00250642"/>
    <w:rsid w:val="00251E4A"/>
    <w:rsid w:val="00251F50"/>
    <w:rsid w:val="002538F6"/>
    <w:rsid w:val="00253E30"/>
    <w:rsid w:val="0025493F"/>
    <w:rsid w:val="00257459"/>
    <w:rsid w:val="00257873"/>
    <w:rsid w:val="00257E4D"/>
    <w:rsid w:val="00260EAA"/>
    <w:rsid w:val="00262865"/>
    <w:rsid w:val="00263279"/>
    <w:rsid w:val="002643FC"/>
    <w:rsid w:val="00265673"/>
    <w:rsid w:val="00265BC7"/>
    <w:rsid w:val="002726F4"/>
    <w:rsid w:val="00274073"/>
    <w:rsid w:val="0027545F"/>
    <w:rsid w:val="0027610D"/>
    <w:rsid w:val="00276DF4"/>
    <w:rsid w:val="002806A1"/>
    <w:rsid w:val="00281918"/>
    <w:rsid w:val="00282E7E"/>
    <w:rsid w:val="002840E4"/>
    <w:rsid w:val="00284483"/>
    <w:rsid w:val="00284749"/>
    <w:rsid w:val="00285256"/>
    <w:rsid w:val="002863F6"/>
    <w:rsid w:val="00287AEF"/>
    <w:rsid w:val="00287B08"/>
    <w:rsid w:val="00290B98"/>
    <w:rsid w:val="002944D4"/>
    <w:rsid w:val="002963B5"/>
    <w:rsid w:val="00296763"/>
    <w:rsid w:val="0029737E"/>
    <w:rsid w:val="002979ED"/>
    <w:rsid w:val="00297AD0"/>
    <w:rsid w:val="002A0CC8"/>
    <w:rsid w:val="002A11CA"/>
    <w:rsid w:val="002A1E2C"/>
    <w:rsid w:val="002A1F75"/>
    <w:rsid w:val="002A3243"/>
    <w:rsid w:val="002A5CDF"/>
    <w:rsid w:val="002A68B3"/>
    <w:rsid w:val="002A6C77"/>
    <w:rsid w:val="002B1A3A"/>
    <w:rsid w:val="002B2AC5"/>
    <w:rsid w:val="002B2E78"/>
    <w:rsid w:val="002B48CA"/>
    <w:rsid w:val="002B49DE"/>
    <w:rsid w:val="002B4E4D"/>
    <w:rsid w:val="002B53D3"/>
    <w:rsid w:val="002B6F3D"/>
    <w:rsid w:val="002B7177"/>
    <w:rsid w:val="002C1BFE"/>
    <w:rsid w:val="002C4F5B"/>
    <w:rsid w:val="002C54A1"/>
    <w:rsid w:val="002C5DCD"/>
    <w:rsid w:val="002D03AB"/>
    <w:rsid w:val="002D0DD1"/>
    <w:rsid w:val="002D2A4E"/>
    <w:rsid w:val="002D5294"/>
    <w:rsid w:val="002D59E0"/>
    <w:rsid w:val="002D5DFC"/>
    <w:rsid w:val="002D5E92"/>
    <w:rsid w:val="002D6269"/>
    <w:rsid w:val="002D629A"/>
    <w:rsid w:val="002D63F7"/>
    <w:rsid w:val="002D68E1"/>
    <w:rsid w:val="002D69C3"/>
    <w:rsid w:val="002E12C3"/>
    <w:rsid w:val="002E3493"/>
    <w:rsid w:val="002E35BF"/>
    <w:rsid w:val="002E5708"/>
    <w:rsid w:val="002E5F5C"/>
    <w:rsid w:val="002E6FD5"/>
    <w:rsid w:val="002E7204"/>
    <w:rsid w:val="002E7D88"/>
    <w:rsid w:val="002F0434"/>
    <w:rsid w:val="002F1707"/>
    <w:rsid w:val="002F2F33"/>
    <w:rsid w:val="002F3A26"/>
    <w:rsid w:val="002F449C"/>
    <w:rsid w:val="002F4CD2"/>
    <w:rsid w:val="002F6069"/>
    <w:rsid w:val="002F70B1"/>
    <w:rsid w:val="002F7549"/>
    <w:rsid w:val="00301D49"/>
    <w:rsid w:val="00301D4B"/>
    <w:rsid w:val="003025C7"/>
    <w:rsid w:val="00302F5C"/>
    <w:rsid w:val="00303289"/>
    <w:rsid w:val="0030397B"/>
    <w:rsid w:val="00304080"/>
    <w:rsid w:val="00305A6B"/>
    <w:rsid w:val="0031124D"/>
    <w:rsid w:val="00311829"/>
    <w:rsid w:val="00312ED1"/>
    <w:rsid w:val="00313554"/>
    <w:rsid w:val="0031791F"/>
    <w:rsid w:val="00317B55"/>
    <w:rsid w:val="0032140B"/>
    <w:rsid w:val="0032155B"/>
    <w:rsid w:val="003239D0"/>
    <w:rsid w:val="00324399"/>
    <w:rsid w:val="00324908"/>
    <w:rsid w:val="00327911"/>
    <w:rsid w:val="00331752"/>
    <w:rsid w:val="00332AF9"/>
    <w:rsid w:val="003332C9"/>
    <w:rsid w:val="0033493D"/>
    <w:rsid w:val="0033607D"/>
    <w:rsid w:val="003364F8"/>
    <w:rsid w:val="00336CD2"/>
    <w:rsid w:val="00337DE1"/>
    <w:rsid w:val="00340BDB"/>
    <w:rsid w:val="00340E39"/>
    <w:rsid w:val="00341145"/>
    <w:rsid w:val="003412CB"/>
    <w:rsid w:val="00344CE0"/>
    <w:rsid w:val="0035214B"/>
    <w:rsid w:val="003527D6"/>
    <w:rsid w:val="00353351"/>
    <w:rsid w:val="00353622"/>
    <w:rsid w:val="0035389C"/>
    <w:rsid w:val="00357CD8"/>
    <w:rsid w:val="0036001E"/>
    <w:rsid w:val="0036105C"/>
    <w:rsid w:val="003617DF"/>
    <w:rsid w:val="00361ADE"/>
    <w:rsid w:val="00363306"/>
    <w:rsid w:val="0036495A"/>
    <w:rsid w:val="00366990"/>
    <w:rsid w:val="00366C2C"/>
    <w:rsid w:val="00367440"/>
    <w:rsid w:val="00370BE6"/>
    <w:rsid w:val="0037182F"/>
    <w:rsid w:val="00371F67"/>
    <w:rsid w:val="00372174"/>
    <w:rsid w:val="0037451D"/>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3F3E"/>
    <w:rsid w:val="00397A97"/>
    <w:rsid w:val="003A22D4"/>
    <w:rsid w:val="003A280D"/>
    <w:rsid w:val="003A5A70"/>
    <w:rsid w:val="003A6230"/>
    <w:rsid w:val="003A6299"/>
    <w:rsid w:val="003B1976"/>
    <w:rsid w:val="003B1D46"/>
    <w:rsid w:val="003B27BA"/>
    <w:rsid w:val="003B366C"/>
    <w:rsid w:val="003B38C1"/>
    <w:rsid w:val="003B59A9"/>
    <w:rsid w:val="003B6B63"/>
    <w:rsid w:val="003B7C31"/>
    <w:rsid w:val="003B7E32"/>
    <w:rsid w:val="003C02D4"/>
    <w:rsid w:val="003C37E3"/>
    <w:rsid w:val="003C4CBD"/>
    <w:rsid w:val="003C546B"/>
    <w:rsid w:val="003C7719"/>
    <w:rsid w:val="003D0FBD"/>
    <w:rsid w:val="003D2A6D"/>
    <w:rsid w:val="003D6894"/>
    <w:rsid w:val="003D7F73"/>
    <w:rsid w:val="003E005B"/>
    <w:rsid w:val="003E04DA"/>
    <w:rsid w:val="003E1249"/>
    <w:rsid w:val="003E3544"/>
    <w:rsid w:val="003E35A8"/>
    <w:rsid w:val="003E44DE"/>
    <w:rsid w:val="003E4F2D"/>
    <w:rsid w:val="003E57BE"/>
    <w:rsid w:val="003E77CB"/>
    <w:rsid w:val="003F2388"/>
    <w:rsid w:val="003F43AB"/>
    <w:rsid w:val="003F47FD"/>
    <w:rsid w:val="003F4B52"/>
    <w:rsid w:val="003F73BA"/>
    <w:rsid w:val="003F73F0"/>
    <w:rsid w:val="00401423"/>
    <w:rsid w:val="00403105"/>
    <w:rsid w:val="00404F11"/>
    <w:rsid w:val="00405890"/>
    <w:rsid w:val="00405EF4"/>
    <w:rsid w:val="00405F98"/>
    <w:rsid w:val="00406D7A"/>
    <w:rsid w:val="00411365"/>
    <w:rsid w:val="0041237F"/>
    <w:rsid w:val="00412B6C"/>
    <w:rsid w:val="004133F7"/>
    <w:rsid w:val="00414613"/>
    <w:rsid w:val="00415B19"/>
    <w:rsid w:val="0041767B"/>
    <w:rsid w:val="00420205"/>
    <w:rsid w:val="00421BEA"/>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238"/>
    <w:rsid w:val="004456A4"/>
    <w:rsid w:val="00445A6D"/>
    <w:rsid w:val="0044635E"/>
    <w:rsid w:val="00446A6B"/>
    <w:rsid w:val="00447523"/>
    <w:rsid w:val="0045189C"/>
    <w:rsid w:val="00451A88"/>
    <w:rsid w:val="004524A0"/>
    <w:rsid w:val="00456B1D"/>
    <w:rsid w:val="00457D60"/>
    <w:rsid w:val="0046022A"/>
    <w:rsid w:val="004636B4"/>
    <w:rsid w:val="004641DC"/>
    <w:rsid w:val="00464326"/>
    <w:rsid w:val="00464AC7"/>
    <w:rsid w:val="004669A4"/>
    <w:rsid w:val="00466A5B"/>
    <w:rsid w:val="0046799A"/>
    <w:rsid w:val="0047494B"/>
    <w:rsid w:val="00475A85"/>
    <w:rsid w:val="00475ABD"/>
    <w:rsid w:val="00476510"/>
    <w:rsid w:val="00476F13"/>
    <w:rsid w:val="004776D6"/>
    <w:rsid w:val="00477C74"/>
    <w:rsid w:val="00480561"/>
    <w:rsid w:val="004806B3"/>
    <w:rsid w:val="004815AF"/>
    <w:rsid w:val="00481E5E"/>
    <w:rsid w:val="004828A9"/>
    <w:rsid w:val="004849DE"/>
    <w:rsid w:val="00484A65"/>
    <w:rsid w:val="00484E4F"/>
    <w:rsid w:val="0048728A"/>
    <w:rsid w:val="004876DF"/>
    <w:rsid w:val="00490615"/>
    <w:rsid w:val="00492341"/>
    <w:rsid w:val="00492DBE"/>
    <w:rsid w:val="00495322"/>
    <w:rsid w:val="00496163"/>
    <w:rsid w:val="004962CC"/>
    <w:rsid w:val="004963B7"/>
    <w:rsid w:val="00497EC1"/>
    <w:rsid w:val="004A0313"/>
    <w:rsid w:val="004A0A89"/>
    <w:rsid w:val="004A0BE6"/>
    <w:rsid w:val="004A2249"/>
    <w:rsid w:val="004A26E0"/>
    <w:rsid w:val="004A4159"/>
    <w:rsid w:val="004A524A"/>
    <w:rsid w:val="004A56D3"/>
    <w:rsid w:val="004A6B0F"/>
    <w:rsid w:val="004A7656"/>
    <w:rsid w:val="004B1ECE"/>
    <w:rsid w:val="004B28A2"/>
    <w:rsid w:val="004B38C8"/>
    <w:rsid w:val="004B3D57"/>
    <w:rsid w:val="004B45F8"/>
    <w:rsid w:val="004B5C2E"/>
    <w:rsid w:val="004B664D"/>
    <w:rsid w:val="004B7CB9"/>
    <w:rsid w:val="004C099B"/>
    <w:rsid w:val="004C10BA"/>
    <w:rsid w:val="004C27EB"/>
    <w:rsid w:val="004C33D9"/>
    <w:rsid w:val="004C357A"/>
    <w:rsid w:val="004C405B"/>
    <w:rsid w:val="004C5B35"/>
    <w:rsid w:val="004C68D1"/>
    <w:rsid w:val="004C6AE7"/>
    <w:rsid w:val="004C72E8"/>
    <w:rsid w:val="004D04DF"/>
    <w:rsid w:val="004D1BF4"/>
    <w:rsid w:val="004D30F8"/>
    <w:rsid w:val="004D3E23"/>
    <w:rsid w:val="004D47C1"/>
    <w:rsid w:val="004D480B"/>
    <w:rsid w:val="004D7821"/>
    <w:rsid w:val="004E02F3"/>
    <w:rsid w:val="004E10C5"/>
    <w:rsid w:val="004E13B2"/>
    <w:rsid w:val="004E22A7"/>
    <w:rsid w:val="004E239A"/>
    <w:rsid w:val="004E3005"/>
    <w:rsid w:val="004E39E6"/>
    <w:rsid w:val="004E71DC"/>
    <w:rsid w:val="004E7603"/>
    <w:rsid w:val="004E7F97"/>
    <w:rsid w:val="004F01C8"/>
    <w:rsid w:val="004F1563"/>
    <w:rsid w:val="004F20B0"/>
    <w:rsid w:val="004F24EC"/>
    <w:rsid w:val="004F4BAD"/>
    <w:rsid w:val="004F4E22"/>
    <w:rsid w:val="004F5025"/>
    <w:rsid w:val="004F69A8"/>
    <w:rsid w:val="004F7142"/>
    <w:rsid w:val="004F7682"/>
    <w:rsid w:val="00500B36"/>
    <w:rsid w:val="005012BC"/>
    <w:rsid w:val="00502156"/>
    <w:rsid w:val="00502277"/>
    <w:rsid w:val="00504260"/>
    <w:rsid w:val="005042B5"/>
    <w:rsid w:val="0050568A"/>
    <w:rsid w:val="00505C67"/>
    <w:rsid w:val="00505F92"/>
    <w:rsid w:val="00505F9A"/>
    <w:rsid w:val="00510A4F"/>
    <w:rsid w:val="005119E9"/>
    <w:rsid w:val="00512A65"/>
    <w:rsid w:val="005130BE"/>
    <w:rsid w:val="005140F2"/>
    <w:rsid w:val="00514ADD"/>
    <w:rsid w:val="00516F39"/>
    <w:rsid w:val="0051709B"/>
    <w:rsid w:val="0052165A"/>
    <w:rsid w:val="00521802"/>
    <w:rsid w:val="0052181A"/>
    <w:rsid w:val="005225C1"/>
    <w:rsid w:val="0052430B"/>
    <w:rsid w:val="00525D51"/>
    <w:rsid w:val="00532AD6"/>
    <w:rsid w:val="00532CD3"/>
    <w:rsid w:val="00533316"/>
    <w:rsid w:val="005345A9"/>
    <w:rsid w:val="00534D8A"/>
    <w:rsid w:val="005378EB"/>
    <w:rsid w:val="0054004F"/>
    <w:rsid w:val="00540C67"/>
    <w:rsid w:val="00542913"/>
    <w:rsid w:val="005440AB"/>
    <w:rsid w:val="005440E4"/>
    <w:rsid w:val="00545241"/>
    <w:rsid w:val="005452CD"/>
    <w:rsid w:val="0054588E"/>
    <w:rsid w:val="0054611A"/>
    <w:rsid w:val="00546DB4"/>
    <w:rsid w:val="005474A5"/>
    <w:rsid w:val="00547D82"/>
    <w:rsid w:val="005504B4"/>
    <w:rsid w:val="00550DAB"/>
    <w:rsid w:val="00552105"/>
    <w:rsid w:val="0055354D"/>
    <w:rsid w:val="00554543"/>
    <w:rsid w:val="00554835"/>
    <w:rsid w:val="005555B8"/>
    <w:rsid w:val="005567CF"/>
    <w:rsid w:val="00556946"/>
    <w:rsid w:val="005642D9"/>
    <w:rsid w:val="00564C2B"/>
    <w:rsid w:val="00564C37"/>
    <w:rsid w:val="00564D84"/>
    <w:rsid w:val="00565660"/>
    <w:rsid w:val="00566E3C"/>
    <w:rsid w:val="00570F2B"/>
    <w:rsid w:val="0057189D"/>
    <w:rsid w:val="0057258C"/>
    <w:rsid w:val="00573367"/>
    <w:rsid w:val="00573651"/>
    <w:rsid w:val="00574E71"/>
    <w:rsid w:val="005811D8"/>
    <w:rsid w:val="00581904"/>
    <w:rsid w:val="00581F13"/>
    <w:rsid w:val="00582B3F"/>
    <w:rsid w:val="00583643"/>
    <w:rsid w:val="005850B1"/>
    <w:rsid w:val="00585309"/>
    <w:rsid w:val="005857E8"/>
    <w:rsid w:val="005858CB"/>
    <w:rsid w:val="0058699E"/>
    <w:rsid w:val="00586CE9"/>
    <w:rsid w:val="00590B04"/>
    <w:rsid w:val="00590B95"/>
    <w:rsid w:val="00592F78"/>
    <w:rsid w:val="00594EB6"/>
    <w:rsid w:val="0059798F"/>
    <w:rsid w:val="00597EC9"/>
    <w:rsid w:val="005A0300"/>
    <w:rsid w:val="005A163F"/>
    <w:rsid w:val="005A21DA"/>
    <w:rsid w:val="005A3D73"/>
    <w:rsid w:val="005A3D8D"/>
    <w:rsid w:val="005A445D"/>
    <w:rsid w:val="005A4518"/>
    <w:rsid w:val="005B0903"/>
    <w:rsid w:val="005B0EA3"/>
    <w:rsid w:val="005B18EE"/>
    <w:rsid w:val="005B1B0A"/>
    <w:rsid w:val="005B5062"/>
    <w:rsid w:val="005B6234"/>
    <w:rsid w:val="005B7596"/>
    <w:rsid w:val="005C394E"/>
    <w:rsid w:val="005C3CFD"/>
    <w:rsid w:val="005C4A68"/>
    <w:rsid w:val="005C4A91"/>
    <w:rsid w:val="005C5824"/>
    <w:rsid w:val="005C6118"/>
    <w:rsid w:val="005C68A8"/>
    <w:rsid w:val="005C7AD2"/>
    <w:rsid w:val="005D2323"/>
    <w:rsid w:val="005D3575"/>
    <w:rsid w:val="005D3CED"/>
    <w:rsid w:val="005D538F"/>
    <w:rsid w:val="005D63D9"/>
    <w:rsid w:val="005D68D1"/>
    <w:rsid w:val="005E293A"/>
    <w:rsid w:val="005E44A6"/>
    <w:rsid w:val="005E49E7"/>
    <w:rsid w:val="005E52AD"/>
    <w:rsid w:val="005E56FE"/>
    <w:rsid w:val="005E62D6"/>
    <w:rsid w:val="005E6A82"/>
    <w:rsid w:val="005E7398"/>
    <w:rsid w:val="005F04DC"/>
    <w:rsid w:val="005F0F6C"/>
    <w:rsid w:val="005F146B"/>
    <w:rsid w:val="005F1A7F"/>
    <w:rsid w:val="005F37FF"/>
    <w:rsid w:val="005F6EEA"/>
    <w:rsid w:val="005F77DD"/>
    <w:rsid w:val="005F787A"/>
    <w:rsid w:val="00601165"/>
    <w:rsid w:val="00601E59"/>
    <w:rsid w:val="00607971"/>
    <w:rsid w:val="00611A4E"/>
    <w:rsid w:val="006122C0"/>
    <w:rsid w:val="0061248B"/>
    <w:rsid w:val="0061281D"/>
    <w:rsid w:val="00613C46"/>
    <w:rsid w:val="00614085"/>
    <w:rsid w:val="00616889"/>
    <w:rsid w:val="00617F77"/>
    <w:rsid w:val="00623004"/>
    <w:rsid w:val="006237CC"/>
    <w:rsid w:val="0062496C"/>
    <w:rsid w:val="006253EF"/>
    <w:rsid w:val="00625EA6"/>
    <w:rsid w:val="00627C91"/>
    <w:rsid w:val="00635031"/>
    <w:rsid w:val="006369D4"/>
    <w:rsid w:val="00636C51"/>
    <w:rsid w:val="006407FA"/>
    <w:rsid w:val="00642537"/>
    <w:rsid w:val="006427B2"/>
    <w:rsid w:val="00642BEB"/>
    <w:rsid w:val="00646B6C"/>
    <w:rsid w:val="00647426"/>
    <w:rsid w:val="00647590"/>
    <w:rsid w:val="006526F5"/>
    <w:rsid w:val="00656275"/>
    <w:rsid w:val="006575D6"/>
    <w:rsid w:val="00657702"/>
    <w:rsid w:val="006619F5"/>
    <w:rsid w:val="006629F9"/>
    <w:rsid w:val="006639F0"/>
    <w:rsid w:val="0066562D"/>
    <w:rsid w:val="0066578D"/>
    <w:rsid w:val="0066727B"/>
    <w:rsid w:val="00670998"/>
    <w:rsid w:val="00672050"/>
    <w:rsid w:val="00673872"/>
    <w:rsid w:val="00674A34"/>
    <w:rsid w:val="00675FB5"/>
    <w:rsid w:val="006821BF"/>
    <w:rsid w:val="00685515"/>
    <w:rsid w:val="0068642A"/>
    <w:rsid w:val="00692616"/>
    <w:rsid w:val="00694C76"/>
    <w:rsid w:val="00694F4A"/>
    <w:rsid w:val="006A029B"/>
    <w:rsid w:val="006A1616"/>
    <w:rsid w:val="006A17A1"/>
    <w:rsid w:val="006A61C5"/>
    <w:rsid w:val="006A63ED"/>
    <w:rsid w:val="006A6B6E"/>
    <w:rsid w:val="006A710D"/>
    <w:rsid w:val="006B0F31"/>
    <w:rsid w:val="006B13BC"/>
    <w:rsid w:val="006B244F"/>
    <w:rsid w:val="006B32FE"/>
    <w:rsid w:val="006B3959"/>
    <w:rsid w:val="006B3DE6"/>
    <w:rsid w:val="006B4B58"/>
    <w:rsid w:val="006B6925"/>
    <w:rsid w:val="006C026A"/>
    <w:rsid w:val="006C138D"/>
    <w:rsid w:val="006C2D13"/>
    <w:rsid w:val="006C3807"/>
    <w:rsid w:val="006C4677"/>
    <w:rsid w:val="006C6821"/>
    <w:rsid w:val="006C7491"/>
    <w:rsid w:val="006C761B"/>
    <w:rsid w:val="006C76B5"/>
    <w:rsid w:val="006C77A4"/>
    <w:rsid w:val="006D03ED"/>
    <w:rsid w:val="006D237E"/>
    <w:rsid w:val="006D2B37"/>
    <w:rsid w:val="006D3D81"/>
    <w:rsid w:val="006D46A1"/>
    <w:rsid w:val="006D4AA4"/>
    <w:rsid w:val="006D54FB"/>
    <w:rsid w:val="006D5816"/>
    <w:rsid w:val="006D627E"/>
    <w:rsid w:val="006D62A9"/>
    <w:rsid w:val="006D62D4"/>
    <w:rsid w:val="006E0F68"/>
    <w:rsid w:val="006E1A62"/>
    <w:rsid w:val="006E320C"/>
    <w:rsid w:val="006E3D84"/>
    <w:rsid w:val="006E527B"/>
    <w:rsid w:val="006E5C6B"/>
    <w:rsid w:val="006E6377"/>
    <w:rsid w:val="006E6640"/>
    <w:rsid w:val="006E6BBF"/>
    <w:rsid w:val="006E7529"/>
    <w:rsid w:val="006F1EB1"/>
    <w:rsid w:val="006F2E4F"/>
    <w:rsid w:val="006F463E"/>
    <w:rsid w:val="006F5CDC"/>
    <w:rsid w:val="006F6EC2"/>
    <w:rsid w:val="0070054C"/>
    <w:rsid w:val="0070058D"/>
    <w:rsid w:val="00702854"/>
    <w:rsid w:val="00704585"/>
    <w:rsid w:val="00704A1A"/>
    <w:rsid w:val="00705833"/>
    <w:rsid w:val="00705924"/>
    <w:rsid w:val="00707B77"/>
    <w:rsid w:val="00707CE9"/>
    <w:rsid w:val="00710055"/>
    <w:rsid w:val="007103BC"/>
    <w:rsid w:val="007104FE"/>
    <w:rsid w:val="0071184F"/>
    <w:rsid w:val="00712189"/>
    <w:rsid w:val="007134A2"/>
    <w:rsid w:val="00713FB2"/>
    <w:rsid w:val="00717B45"/>
    <w:rsid w:val="007202C4"/>
    <w:rsid w:val="0072331C"/>
    <w:rsid w:val="0072337E"/>
    <w:rsid w:val="007257F2"/>
    <w:rsid w:val="00726CFA"/>
    <w:rsid w:val="0072758A"/>
    <w:rsid w:val="0073022F"/>
    <w:rsid w:val="007304D5"/>
    <w:rsid w:val="00730965"/>
    <w:rsid w:val="00733599"/>
    <w:rsid w:val="00733F09"/>
    <w:rsid w:val="00734E13"/>
    <w:rsid w:val="00735753"/>
    <w:rsid w:val="00735CCC"/>
    <w:rsid w:val="007368DC"/>
    <w:rsid w:val="00736AC9"/>
    <w:rsid w:val="00741A4E"/>
    <w:rsid w:val="00742E97"/>
    <w:rsid w:val="007452E0"/>
    <w:rsid w:val="00745BD4"/>
    <w:rsid w:val="007461C2"/>
    <w:rsid w:val="00747D66"/>
    <w:rsid w:val="00750378"/>
    <w:rsid w:val="007505FB"/>
    <w:rsid w:val="00751D8E"/>
    <w:rsid w:val="007524B0"/>
    <w:rsid w:val="00752997"/>
    <w:rsid w:val="00752D0E"/>
    <w:rsid w:val="00752DCA"/>
    <w:rsid w:val="007533EC"/>
    <w:rsid w:val="00754E64"/>
    <w:rsid w:val="00756FEA"/>
    <w:rsid w:val="00757618"/>
    <w:rsid w:val="007614DB"/>
    <w:rsid w:val="00762606"/>
    <w:rsid w:val="00762B45"/>
    <w:rsid w:val="0076544A"/>
    <w:rsid w:val="00765B29"/>
    <w:rsid w:val="007668F7"/>
    <w:rsid w:val="00767402"/>
    <w:rsid w:val="007700BD"/>
    <w:rsid w:val="0077044D"/>
    <w:rsid w:val="007708B3"/>
    <w:rsid w:val="007710A8"/>
    <w:rsid w:val="007721B6"/>
    <w:rsid w:val="0077360E"/>
    <w:rsid w:val="00774454"/>
    <w:rsid w:val="00774ABF"/>
    <w:rsid w:val="007757B9"/>
    <w:rsid w:val="00776E17"/>
    <w:rsid w:val="00780589"/>
    <w:rsid w:val="00780C09"/>
    <w:rsid w:val="00782881"/>
    <w:rsid w:val="00782D07"/>
    <w:rsid w:val="007859F8"/>
    <w:rsid w:val="00786A22"/>
    <w:rsid w:val="00791384"/>
    <w:rsid w:val="0079160E"/>
    <w:rsid w:val="0079191B"/>
    <w:rsid w:val="00791C27"/>
    <w:rsid w:val="0079239C"/>
    <w:rsid w:val="007934F3"/>
    <w:rsid w:val="00795A80"/>
    <w:rsid w:val="00796464"/>
    <w:rsid w:val="00796F15"/>
    <w:rsid w:val="007A0403"/>
    <w:rsid w:val="007A12F5"/>
    <w:rsid w:val="007A15F0"/>
    <w:rsid w:val="007A4089"/>
    <w:rsid w:val="007A5936"/>
    <w:rsid w:val="007A5B55"/>
    <w:rsid w:val="007A5F41"/>
    <w:rsid w:val="007A5FEC"/>
    <w:rsid w:val="007B08D1"/>
    <w:rsid w:val="007B161A"/>
    <w:rsid w:val="007B29C6"/>
    <w:rsid w:val="007B37E0"/>
    <w:rsid w:val="007B4EAA"/>
    <w:rsid w:val="007B5424"/>
    <w:rsid w:val="007B790F"/>
    <w:rsid w:val="007B7D1C"/>
    <w:rsid w:val="007C1570"/>
    <w:rsid w:val="007C20FA"/>
    <w:rsid w:val="007C21F8"/>
    <w:rsid w:val="007C27D3"/>
    <w:rsid w:val="007C2C95"/>
    <w:rsid w:val="007C6927"/>
    <w:rsid w:val="007C7403"/>
    <w:rsid w:val="007C767F"/>
    <w:rsid w:val="007C79FB"/>
    <w:rsid w:val="007D3891"/>
    <w:rsid w:val="007D4492"/>
    <w:rsid w:val="007D4584"/>
    <w:rsid w:val="007D4A14"/>
    <w:rsid w:val="007D4B66"/>
    <w:rsid w:val="007E0017"/>
    <w:rsid w:val="007E0D9D"/>
    <w:rsid w:val="007E3E56"/>
    <w:rsid w:val="007E4B14"/>
    <w:rsid w:val="007E4B4C"/>
    <w:rsid w:val="007E6457"/>
    <w:rsid w:val="007E7ABF"/>
    <w:rsid w:val="007F0907"/>
    <w:rsid w:val="007F0D24"/>
    <w:rsid w:val="007F10B5"/>
    <w:rsid w:val="007F1C81"/>
    <w:rsid w:val="007F34A8"/>
    <w:rsid w:val="007F6ABA"/>
    <w:rsid w:val="00800D76"/>
    <w:rsid w:val="0080144C"/>
    <w:rsid w:val="00801B90"/>
    <w:rsid w:val="00804A3C"/>
    <w:rsid w:val="00804A98"/>
    <w:rsid w:val="00805C3A"/>
    <w:rsid w:val="00806020"/>
    <w:rsid w:val="008061B8"/>
    <w:rsid w:val="008100CF"/>
    <w:rsid w:val="00810456"/>
    <w:rsid w:val="008129B1"/>
    <w:rsid w:val="00817A12"/>
    <w:rsid w:val="00820734"/>
    <w:rsid w:val="0082437E"/>
    <w:rsid w:val="008259FD"/>
    <w:rsid w:val="00825B2C"/>
    <w:rsid w:val="00825D67"/>
    <w:rsid w:val="008267D0"/>
    <w:rsid w:val="00826C1C"/>
    <w:rsid w:val="00832E86"/>
    <w:rsid w:val="00833BAB"/>
    <w:rsid w:val="00833FCC"/>
    <w:rsid w:val="008356E6"/>
    <w:rsid w:val="008360AA"/>
    <w:rsid w:val="00837412"/>
    <w:rsid w:val="00840877"/>
    <w:rsid w:val="0084180A"/>
    <w:rsid w:val="0084197A"/>
    <w:rsid w:val="00841D5A"/>
    <w:rsid w:val="00841EDA"/>
    <w:rsid w:val="00843425"/>
    <w:rsid w:val="008451E9"/>
    <w:rsid w:val="00845708"/>
    <w:rsid w:val="00846239"/>
    <w:rsid w:val="00846484"/>
    <w:rsid w:val="0084744A"/>
    <w:rsid w:val="008478EE"/>
    <w:rsid w:val="00852CE9"/>
    <w:rsid w:val="00852FB1"/>
    <w:rsid w:val="0085475F"/>
    <w:rsid w:val="00855C39"/>
    <w:rsid w:val="00856225"/>
    <w:rsid w:val="0085681C"/>
    <w:rsid w:val="008604B1"/>
    <w:rsid w:val="008609B1"/>
    <w:rsid w:val="008645C4"/>
    <w:rsid w:val="00866138"/>
    <w:rsid w:val="00867884"/>
    <w:rsid w:val="00870EDB"/>
    <w:rsid w:val="008734F5"/>
    <w:rsid w:val="00874DE6"/>
    <w:rsid w:val="00875104"/>
    <w:rsid w:val="008774D2"/>
    <w:rsid w:val="00880E40"/>
    <w:rsid w:val="00881518"/>
    <w:rsid w:val="00883771"/>
    <w:rsid w:val="00883C9D"/>
    <w:rsid w:val="00883EFE"/>
    <w:rsid w:val="008869CA"/>
    <w:rsid w:val="008870CD"/>
    <w:rsid w:val="008905BA"/>
    <w:rsid w:val="0089375C"/>
    <w:rsid w:val="0089513F"/>
    <w:rsid w:val="00895699"/>
    <w:rsid w:val="008A153F"/>
    <w:rsid w:val="008A3683"/>
    <w:rsid w:val="008A54A9"/>
    <w:rsid w:val="008A6188"/>
    <w:rsid w:val="008A62FE"/>
    <w:rsid w:val="008A79C6"/>
    <w:rsid w:val="008B2094"/>
    <w:rsid w:val="008B28F2"/>
    <w:rsid w:val="008B444F"/>
    <w:rsid w:val="008B4BDB"/>
    <w:rsid w:val="008B683E"/>
    <w:rsid w:val="008C0EF7"/>
    <w:rsid w:val="008C11A2"/>
    <w:rsid w:val="008C20F7"/>
    <w:rsid w:val="008C5F1C"/>
    <w:rsid w:val="008D06D8"/>
    <w:rsid w:val="008D0C67"/>
    <w:rsid w:val="008D136F"/>
    <w:rsid w:val="008D172D"/>
    <w:rsid w:val="008D1B01"/>
    <w:rsid w:val="008D25D7"/>
    <w:rsid w:val="008D2A83"/>
    <w:rsid w:val="008D2D7B"/>
    <w:rsid w:val="008D2D98"/>
    <w:rsid w:val="008D44EB"/>
    <w:rsid w:val="008D5EC0"/>
    <w:rsid w:val="008D6051"/>
    <w:rsid w:val="008E1AD0"/>
    <w:rsid w:val="008E3E1A"/>
    <w:rsid w:val="008E4039"/>
    <w:rsid w:val="008E43AF"/>
    <w:rsid w:val="008E4A37"/>
    <w:rsid w:val="008F1AA9"/>
    <w:rsid w:val="008F706C"/>
    <w:rsid w:val="008F76CB"/>
    <w:rsid w:val="008F7C5B"/>
    <w:rsid w:val="00901C4E"/>
    <w:rsid w:val="00904502"/>
    <w:rsid w:val="009049C0"/>
    <w:rsid w:val="00906257"/>
    <w:rsid w:val="009069D6"/>
    <w:rsid w:val="00910EF6"/>
    <w:rsid w:val="00912380"/>
    <w:rsid w:val="009124F6"/>
    <w:rsid w:val="00912BC1"/>
    <w:rsid w:val="00913B67"/>
    <w:rsid w:val="009151EA"/>
    <w:rsid w:val="0091520D"/>
    <w:rsid w:val="00915B08"/>
    <w:rsid w:val="009207F5"/>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517E"/>
    <w:rsid w:val="00955250"/>
    <w:rsid w:val="00956F7F"/>
    <w:rsid w:val="009574A8"/>
    <w:rsid w:val="009574C6"/>
    <w:rsid w:val="009601FA"/>
    <w:rsid w:val="0096143D"/>
    <w:rsid w:val="00961795"/>
    <w:rsid w:val="009632BA"/>
    <w:rsid w:val="009632FC"/>
    <w:rsid w:val="009648F3"/>
    <w:rsid w:val="00964D68"/>
    <w:rsid w:val="00965025"/>
    <w:rsid w:val="009654C8"/>
    <w:rsid w:val="00967E51"/>
    <w:rsid w:val="00971039"/>
    <w:rsid w:val="00971B7B"/>
    <w:rsid w:val="00971D3B"/>
    <w:rsid w:val="009726C3"/>
    <w:rsid w:val="00972D48"/>
    <w:rsid w:val="00975E68"/>
    <w:rsid w:val="00977A95"/>
    <w:rsid w:val="0098115A"/>
    <w:rsid w:val="00982585"/>
    <w:rsid w:val="00983FD9"/>
    <w:rsid w:val="00985DC9"/>
    <w:rsid w:val="00985FA9"/>
    <w:rsid w:val="00987A99"/>
    <w:rsid w:val="009902F7"/>
    <w:rsid w:val="00991EDB"/>
    <w:rsid w:val="0099448D"/>
    <w:rsid w:val="00995A06"/>
    <w:rsid w:val="00996BF2"/>
    <w:rsid w:val="009A18C3"/>
    <w:rsid w:val="009A222A"/>
    <w:rsid w:val="009A26CA"/>
    <w:rsid w:val="009A6181"/>
    <w:rsid w:val="009A6FE7"/>
    <w:rsid w:val="009B1BCA"/>
    <w:rsid w:val="009B1FD2"/>
    <w:rsid w:val="009B3AEB"/>
    <w:rsid w:val="009B7AE2"/>
    <w:rsid w:val="009C3EB5"/>
    <w:rsid w:val="009C42BD"/>
    <w:rsid w:val="009C444B"/>
    <w:rsid w:val="009C7033"/>
    <w:rsid w:val="009D30BB"/>
    <w:rsid w:val="009D3773"/>
    <w:rsid w:val="009D499D"/>
    <w:rsid w:val="009D6CA8"/>
    <w:rsid w:val="009D72AA"/>
    <w:rsid w:val="009D7484"/>
    <w:rsid w:val="009D7E3A"/>
    <w:rsid w:val="009E0078"/>
    <w:rsid w:val="009E14BA"/>
    <w:rsid w:val="009E2AEA"/>
    <w:rsid w:val="009E3183"/>
    <w:rsid w:val="009E36E1"/>
    <w:rsid w:val="009E3783"/>
    <w:rsid w:val="009E3EA3"/>
    <w:rsid w:val="009E3ED4"/>
    <w:rsid w:val="009E6F5B"/>
    <w:rsid w:val="009F0715"/>
    <w:rsid w:val="009F14BF"/>
    <w:rsid w:val="009F1615"/>
    <w:rsid w:val="009F4352"/>
    <w:rsid w:val="009F45FE"/>
    <w:rsid w:val="009F4E4E"/>
    <w:rsid w:val="009F6717"/>
    <w:rsid w:val="00A01C1C"/>
    <w:rsid w:val="00A01F6A"/>
    <w:rsid w:val="00A0321B"/>
    <w:rsid w:val="00A045CA"/>
    <w:rsid w:val="00A04DC3"/>
    <w:rsid w:val="00A0597B"/>
    <w:rsid w:val="00A05DAD"/>
    <w:rsid w:val="00A06931"/>
    <w:rsid w:val="00A06FB4"/>
    <w:rsid w:val="00A12DD3"/>
    <w:rsid w:val="00A14878"/>
    <w:rsid w:val="00A1707B"/>
    <w:rsid w:val="00A1739A"/>
    <w:rsid w:val="00A17694"/>
    <w:rsid w:val="00A17F2C"/>
    <w:rsid w:val="00A232B9"/>
    <w:rsid w:val="00A24F4B"/>
    <w:rsid w:val="00A3185E"/>
    <w:rsid w:val="00A31E42"/>
    <w:rsid w:val="00A33893"/>
    <w:rsid w:val="00A34C9A"/>
    <w:rsid w:val="00A34D89"/>
    <w:rsid w:val="00A3611E"/>
    <w:rsid w:val="00A41364"/>
    <w:rsid w:val="00A41F72"/>
    <w:rsid w:val="00A4278E"/>
    <w:rsid w:val="00A4292D"/>
    <w:rsid w:val="00A43155"/>
    <w:rsid w:val="00A43D76"/>
    <w:rsid w:val="00A44A25"/>
    <w:rsid w:val="00A46B56"/>
    <w:rsid w:val="00A473C3"/>
    <w:rsid w:val="00A534DF"/>
    <w:rsid w:val="00A54891"/>
    <w:rsid w:val="00A54CA1"/>
    <w:rsid w:val="00A56516"/>
    <w:rsid w:val="00A62031"/>
    <w:rsid w:val="00A65D80"/>
    <w:rsid w:val="00A662A7"/>
    <w:rsid w:val="00A66849"/>
    <w:rsid w:val="00A6729E"/>
    <w:rsid w:val="00A672A7"/>
    <w:rsid w:val="00A67D78"/>
    <w:rsid w:val="00A700AE"/>
    <w:rsid w:val="00A714DD"/>
    <w:rsid w:val="00A715AE"/>
    <w:rsid w:val="00A73044"/>
    <w:rsid w:val="00A7379C"/>
    <w:rsid w:val="00A73CF1"/>
    <w:rsid w:val="00A74456"/>
    <w:rsid w:val="00A75C9A"/>
    <w:rsid w:val="00A77EB0"/>
    <w:rsid w:val="00A8154C"/>
    <w:rsid w:val="00A81E11"/>
    <w:rsid w:val="00A835D4"/>
    <w:rsid w:val="00A853D1"/>
    <w:rsid w:val="00A85AA3"/>
    <w:rsid w:val="00A86302"/>
    <w:rsid w:val="00A86D69"/>
    <w:rsid w:val="00A90614"/>
    <w:rsid w:val="00A90EE0"/>
    <w:rsid w:val="00A9123D"/>
    <w:rsid w:val="00A918D2"/>
    <w:rsid w:val="00A91DC0"/>
    <w:rsid w:val="00A91EEC"/>
    <w:rsid w:val="00A92534"/>
    <w:rsid w:val="00A927C4"/>
    <w:rsid w:val="00A92BCA"/>
    <w:rsid w:val="00A93B9E"/>
    <w:rsid w:val="00AA0F9E"/>
    <w:rsid w:val="00AA16E3"/>
    <w:rsid w:val="00AA1CE7"/>
    <w:rsid w:val="00AA23E3"/>
    <w:rsid w:val="00AA2734"/>
    <w:rsid w:val="00AA3015"/>
    <w:rsid w:val="00AA3E46"/>
    <w:rsid w:val="00AA4399"/>
    <w:rsid w:val="00AA4D97"/>
    <w:rsid w:val="00AA59AF"/>
    <w:rsid w:val="00AA6B2A"/>
    <w:rsid w:val="00AA74B7"/>
    <w:rsid w:val="00AB05D5"/>
    <w:rsid w:val="00AB1416"/>
    <w:rsid w:val="00AB22A6"/>
    <w:rsid w:val="00AB2611"/>
    <w:rsid w:val="00AB35DC"/>
    <w:rsid w:val="00AB419D"/>
    <w:rsid w:val="00AB52D0"/>
    <w:rsid w:val="00AB64FA"/>
    <w:rsid w:val="00AC046B"/>
    <w:rsid w:val="00AC04E9"/>
    <w:rsid w:val="00AC0521"/>
    <w:rsid w:val="00AC1E16"/>
    <w:rsid w:val="00AC1EDB"/>
    <w:rsid w:val="00AC3A0C"/>
    <w:rsid w:val="00AC3EEC"/>
    <w:rsid w:val="00AC50EE"/>
    <w:rsid w:val="00AC54F8"/>
    <w:rsid w:val="00AC57A5"/>
    <w:rsid w:val="00AC681D"/>
    <w:rsid w:val="00AC6FF1"/>
    <w:rsid w:val="00AC7B34"/>
    <w:rsid w:val="00AD0F67"/>
    <w:rsid w:val="00AD1A30"/>
    <w:rsid w:val="00AD7E8E"/>
    <w:rsid w:val="00AE0487"/>
    <w:rsid w:val="00AE0F81"/>
    <w:rsid w:val="00AE330D"/>
    <w:rsid w:val="00AE7A51"/>
    <w:rsid w:val="00AF09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1A34"/>
    <w:rsid w:val="00B11DBA"/>
    <w:rsid w:val="00B14C3A"/>
    <w:rsid w:val="00B15781"/>
    <w:rsid w:val="00B167A2"/>
    <w:rsid w:val="00B174E3"/>
    <w:rsid w:val="00B20415"/>
    <w:rsid w:val="00B214CC"/>
    <w:rsid w:val="00B246F1"/>
    <w:rsid w:val="00B2646F"/>
    <w:rsid w:val="00B26D2A"/>
    <w:rsid w:val="00B2772E"/>
    <w:rsid w:val="00B27A5B"/>
    <w:rsid w:val="00B27A88"/>
    <w:rsid w:val="00B316E7"/>
    <w:rsid w:val="00B3398C"/>
    <w:rsid w:val="00B34BDE"/>
    <w:rsid w:val="00B34EF9"/>
    <w:rsid w:val="00B3578F"/>
    <w:rsid w:val="00B35DAD"/>
    <w:rsid w:val="00B36EB3"/>
    <w:rsid w:val="00B37740"/>
    <w:rsid w:val="00B40E17"/>
    <w:rsid w:val="00B41AE8"/>
    <w:rsid w:val="00B440FB"/>
    <w:rsid w:val="00B445D0"/>
    <w:rsid w:val="00B45C4D"/>
    <w:rsid w:val="00B4621C"/>
    <w:rsid w:val="00B4682E"/>
    <w:rsid w:val="00B47543"/>
    <w:rsid w:val="00B5097B"/>
    <w:rsid w:val="00B50E59"/>
    <w:rsid w:val="00B51D62"/>
    <w:rsid w:val="00B51EB3"/>
    <w:rsid w:val="00B521BA"/>
    <w:rsid w:val="00B53F82"/>
    <w:rsid w:val="00B53FF2"/>
    <w:rsid w:val="00B54620"/>
    <w:rsid w:val="00B55CDD"/>
    <w:rsid w:val="00B56E4F"/>
    <w:rsid w:val="00B63345"/>
    <w:rsid w:val="00B63A7A"/>
    <w:rsid w:val="00B652B0"/>
    <w:rsid w:val="00B70939"/>
    <w:rsid w:val="00B70D13"/>
    <w:rsid w:val="00B7119B"/>
    <w:rsid w:val="00B71CF1"/>
    <w:rsid w:val="00B71F6F"/>
    <w:rsid w:val="00B72847"/>
    <w:rsid w:val="00B73A3D"/>
    <w:rsid w:val="00B74168"/>
    <w:rsid w:val="00B746F1"/>
    <w:rsid w:val="00B7481E"/>
    <w:rsid w:val="00B748AE"/>
    <w:rsid w:val="00B75DB2"/>
    <w:rsid w:val="00B7681E"/>
    <w:rsid w:val="00B81EB1"/>
    <w:rsid w:val="00B832A3"/>
    <w:rsid w:val="00B835C3"/>
    <w:rsid w:val="00B83AFF"/>
    <w:rsid w:val="00B84886"/>
    <w:rsid w:val="00B84958"/>
    <w:rsid w:val="00B86A9F"/>
    <w:rsid w:val="00B90E4C"/>
    <w:rsid w:val="00B910E8"/>
    <w:rsid w:val="00B93137"/>
    <w:rsid w:val="00B9328C"/>
    <w:rsid w:val="00B94CD8"/>
    <w:rsid w:val="00B96F16"/>
    <w:rsid w:val="00B97A54"/>
    <w:rsid w:val="00BA0974"/>
    <w:rsid w:val="00BA09BF"/>
    <w:rsid w:val="00BA1526"/>
    <w:rsid w:val="00BA3D73"/>
    <w:rsid w:val="00BA5640"/>
    <w:rsid w:val="00BA58AC"/>
    <w:rsid w:val="00BA67DC"/>
    <w:rsid w:val="00BA69CB"/>
    <w:rsid w:val="00BA7150"/>
    <w:rsid w:val="00BA7C49"/>
    <w:rsid w:val="00BB00BA"/>
    <w:rsid w:val="00BB112B"/>
    <w:rsid w:val="00BB1B81"/>
    <w:rsid w:val="00BB1CDA"/>
    <w:rsid w:val="00BB1F95"/>
    <w:rsid w:val="00BB25B1"/>
    <w:rsid w:val="00BB2CD8"/>
    <w:rsid w:val="00BB4114"/>
    <w:rsid w:val="00BB41FF"/>
    <w:rsid w:val="00BB49CB"/>
    <w:rsid w:val="00BB6375"/>
    <w:rsid w:val="00BC2D71"/>
    <w:rsid w:val="00BC459E"/>
    <w:rsid w:val="00BC4AAE"/>
    <w:rsid w:val="00BC4E9D"/>
    <w:rsid w:val="00BC5DCD"/>
    <w:rsid w:val="00BC616C"/>
    <w:rsid w:val="00BC626B"/>
    <w:rsid w:val="00BC7397"/>
    <w:rsid w:val="00BD0628"/>
    <w:rsid w:val="00BD304A"/>
    <w:rsid w:val="00BD64EE"/>
    <w:rsid w:val="00BD7FD9"/>
    <w:rsid w:val="00BE1022"/>
    <w:rsid w:val="00BE21A0"/>
    <w:rsid w:val="00BE283F"/>
    <w:rsid w:val="00BE2ECA"/>
    <w:rsid w:val="00BE2EFA"/>
    <w:rsid w:val="00BE4A1D"/>
    <w:rsid w:val="00BE5242"/>
    <w:rsid w:val="00BE597C"/>
    <w:rsid w:val="00BE6870"/>
    <w:rsid w:val="00BE71FD"/>
    <w:rsid w:val="00BE7B19"/>
    <w:rsid w:val="00BE7CBB"/>
    <w:rsid w:val="00BF23A6"/>
    <w:rsid w:val="00BF3462"/>
    <w:rsid w:val="00BF3B3D"/>
    <w:rsid w:val="00BF564D"/>
    <w:rsid w:val="00BF591D"/>
    <w:rsid w:val="00BF5A87"/>
    <w:rsid w:val="00BF6341"/>
    <w:rsid w:val="00C0045E"/>
    <w:rsid w:val="00C00FC7"/>
    <w:rsid w:val="00C00FD8"/>
    <w:rsid w:val="00C03F52"/>
    <w:rsid w:val="00C05E84"/>
    <w:rsid w:val="00C05F57"/>
    <w:rsid w:val="00C06C48"/>
    <w:rsid w:val="00C073E4"/>
    <w:rsid w:val="00C07C31"/>
    <w:rsid w:val="00C07C34"/>
    <w:rsid w:val="00C1214E"/>
    <w:rsid w:val="00C13962"/>
    <w:rsid w:val="00C151EA"/>
    <w:rsid w:val="00C15379"/>
    <w:rsid w:val="00C154E6"/>
    <w:rsid w:val="00C158B5"/>
    <w:rsid w:val="00C16E23"/>
    <w:rsid w:val="00C17ED8"/>
    <w:rsid w:val="00C2082B"/>
    <w:rsid w:val="00C20DBA"/>
    <w:rsid w:val="00C23920"/>
    <w:rsid w:val="00C23B22"/>
    <w:rsid w:val="00C25ACB"/>
    <w:rsid w:val="00C279C7"/>
    <w:rsid w:val="00C33771"/>
    <w:rsid w:val="00C3411B"/>
    <w:rsid w:val="00C34230"/>
    <w:rsid w:val="00C3661B"/>
    <w:rsid w:val="00C42112"/>
    <w:rsid w:val="00C435EB"/>
    <w:rsid w:val="00C45768"/>
    <w:rsid w:val="00C4692B"/>
    <w:rsid w:val="00C46A0C"/>
    <w:rsid w:val="00C473F7"/>
    <w:rsid w:val="00C501E5"/>
    <w:rsid w:val="00C5100A"/>
    <w:rsid w:val="00C51884"/>
    <w:rsid w:val="00C530DC"/>
    <w:rsid w:val="00C5405C"/>
    <w:rsid w:val="00C549BC"/>
    <w:rsid w:val="00C54F71"/>
    <w:rsid w:val="00C56251"/>
    <w:rsid w:val="00C5667B"/>
    <w:rsid w:val="00C56A65"/>
    <w:rsid w:val="00C56FE0"/>
    <w:rsid w:val="00C575EE"/>
    <w:rsid w:val="00C6072B"/>
    <w:rsid w:val="00C6094D"/>
    <w:rsid w:val="00C62733"/>
    <w:rsid w:val="00C62FDC"/>
    <w:rsid w:val="00C63FDC"/>
    <w:rsid w:val="00C66034"/>
    <w:rsid w:val="00C67BC7"/>
    <w:rsid w:val="00C72114"/>
    <w:rsid w:val="00C724F5"/>
    <w:rsid w:val="00C73066"/>
    <w:rsid w:val="00C743D2"/>
    <w:rsid w:val="00C77A1F"/>
    <w:rsid w:val="00C80647"/>
    <w:rsid w:val="00C80836"/>
    <w:rsid w:val="00C8118D"/>
    <w:rsid w:val="00C84DDE"/>
    <w:rsid w:val="00C85000"/>
    <w:rsid w:val="00C85162"/>
    <w:rsid w:val="00C86F77"/>
    <w:rsid w:val="00C87864"/>
    <w:rsid w:val="00C900F7"/>
    <w:rsid w:val="00C90EAC"/>
    <w:rsid w:val="00C913C0"/>
    <w:rsid w:val="00C917FD"/>
    <w:rsid w:val="00C93D01"/>
    <w:rsid w:val="00C9430D"/>
    <w:rsid w:val="00C958FA"/>
    <w:rsid w:val="00C96958"/>
    <w:rsid w:val="00C96A6B"/>
    <w:rsid w:val="00CA62C0"/>
    <w:rsid w:val="00CA7252"/>
    <w:rsid w:val="00CA73CB"/>
    <w:rsid w:val="00CA79BB"/>
    <w:rsid w:val="00CA7CC3"/>
    <w:rsid w:val="00CB14D9"/>
    <w:rsid w:val="00CB3E03"/>
    <w:rsid w:val="00CB4161"/>
    <w:rsid w:val="00CB43A2"/>
    <w:rsid w:val="00CB4712"/>
    <w:rsid w:val="00CB6DE1"/>
    <w:rsid w:val="00CB7730"/>
    <w:rsid w:val="00CC0FB7"/>
    <w:rsid w:val="00CC12A0"/>
    <w:rsid w:val="00CC26A8"/>
    <w:rsid w:val="00CC2999"/>
    <w:rsid w:val="00CC4CED"/>
    <w:rsid w:val="00CC6EBB"/>
    <w:rsid w:val="00CD02C2"/>
    <w:rsid w:val="00CD4A21"/>
    <w:rsid w:val="00CE2C48"/>
    <w:rsid w:val="00CE3A6F"/>
    <w:rsid w:val="00CE63F9"/>
    <w:rsid w:val="00CF0A31"/>
    <w:rsid w:val="00CF1E87"/>
    <w:rsid w:val="00CF240F"/>
    <w:rsid w:val="00CF34FA"/>
    <w:rsid w:val="00CF3A20"/>
    <w:rsid w:val="00CF3EB6"/>
    <w:rsid w:val="00CF4B5F"/>
    <w:rsid w:val="00CF4FAD"/>
    <w:rsid w:val="00CF5C15"/>
    <w:rsid w:val="00CF6201"/>
    <w:rsid w:val="00CF6B2F"/>
    <w:rsid w:val="00D01D5A"/>
    <w:rsid w:val="00D0279E"/>
    <w:rsid w:val="00D054A5"/>
    <w:rsid w:val="00D0597B"/>
    <w:rsid w:val="00D05CAA"/>
    <w:rsid w:val="00D05DD5"/>
    <w:rsid w:val="00D06129"/>
    <w:rsid w:val="00D114E6"/>
    <w:rsid w:val="00D1198D"/>
    <w:rsid w:val="00D15F17"/>
    <w:rsid w:val="00D161BE"/>
    <w:rsid w:val="00D162D9"/>
    <w:rsid w:val="00D17BDD"/>
    <w:rsid w:val="00D24F7B"/>
    <w:rsid w:val="00D27FC6"/>
    <w:rsid w:val="00D30F03"/>
    <w:rsid w:val="00D33180"/>
    <w:rsid w:val="00D34061"/>
    <w:rsid w:val="00D34ACB"/>
    <w:rsid w:val="00D34E5E"/>
    <w:rsid w:val="00D358B9"/>
    <w:rsid w:val="00D37CE7"/>
    <w:rsid w:val="00D37CF1"/>
    <w:rsid w:val="00D4044B"/>
    <w:rsid w:val="00D4046C"/>
    <w:rsid w:val="00D41D2D"/>
    <w:rsid w:val="00D42638"/>
    <w:rsid w:val="00D44316"/>
    <w:rsid w:val="00D448E6"/>
    <w:rsid w:val="00D46EB9"/>
    <w:rsid w:val="00D4743F"/>
    <w:rsid w:val="00D500CD"/>
    <w:rsid w:val="00D5065B"/>
    <w:rsid w:val="00D51CBC"/>
    <w:rsid w:val="00D548E4"/>
    <w:rsid w:val="00D55202"/>
    <w:rsid w:val="00D56338"/>
    <w:rsid w:val="00D565F8"/>
    <w:rsid w:val="00D56ABB"/>
    <w:rsid w:val="00D571B1"/>
    <w:rsid w:val="00D57944"/>
    <w:rsid w:val="00D57EFC"/>
    <w:rsid w:val="00D602E0"/>
    <w:rsid w:val="00D63CD1"/>
    <w:rsid w:val="00D63EFF"/>
    <w:rsid w:val="00D64096"/>
    <w:rsid w:val="00D644BD"/>
    <w:rsid w:val="00D65500"/>
    <w:rsid w:val="00D65F8F"/>
    <w:rsid w:val="00D664A9"/>
    <w:rsid w:val="00D66520"/>
    <w:rsid w:val="00D66C5B"/>
    <w:rsid w:val="00D671E2"/>
    <w:rsid w:val="00D67E0A"/>
    <w:rsid w:val="00D712E9"/>
    <w:rsid w:val="00D7566A"/>
    <w:rsid w:val="00D83F4F"/>
    <w:rsid w:val="00D85008"/>
    <w:rsid w:val="00D853CC"/>
    <w:rsid w:val="00D865C6"/>
    <w:rsid w:val="00D87426"/>
    <w:rsid w:val="00D8754D"/>
    <w:rsid w:val="00D92717"/>
    <w:rsid w:val="00D93E05"/>
    <w:rsid w:val="00D93F44"/>
    <w:rsid w:val="00D9515D"/>
    <w:rsid w:val="00D96CAC"/>
    <w:rsid w:val="00DA3A08"/>
    <w:rsid w:val="00DA4715"/>
    <w:rsid w:val="00DA62DF"/>
    <w:rsid w:val="00DA7439"/>
    <w:rsid w:val="00DB0BAF"/>
    <w:rsid w:val="00DB0DA9"/>
    <w:rsid w:val="00DB108A"/>
    <w:rsid w:val="00DB173F"/>
    <w:rsid w:val="00DB5EDA"/>
    <w:rsid w:val="00DC1776"/>
    <w:rsid w:val="00DC33A5"/>
    <w:rsid w:val="00DC3FE3"/>
    <w:rsid w:val="00DC4340"/>
    <w:rsid w:val="00DC4513"/>
    <w:rsid w:val="00DC7898"/>
    <w:rsid w:val="00DD19F8"/>
    <w:rsid w:val="00DD1C70"/>
    <w:rsid w:val="00DD3239"/>
    <w:rsid w:val="00DE07E4"/>
    <w:rsid w:val="00DE0877"/>
    <w:rsid w:val="00DE0FF8"/>
    <w:rsid w:val="00DE3EBF"/>
    <w:rsid w:val="00DE4940"/>
    <w:rsid w:val="00DE5AFC"/>
    <w:rsid w:val="00DE6D39"/>
    <w:rsid w:val="00DE7345"/>
    <w:rsid w:val="00DE75DE"/>
    <w:rsid w:val="00DE76EB"/>
    <w:rsid w:val="00DF1979"/>
    <w:rsid w:val="00DF51CA"/>
    <w:rsid w:val="00DF5581"/>
    <w:rsid w:val="00DF7501"/>
    <w:rsid w:val="00DF7936"/>
    <w:rsid w:val="00E004EF"/>
    <w:rsid w:val="00E04B6F"/>
    <w:rsid w:val="00E05026"/>
    <w:rsid w:val="00E055C7"/>
    <w:rsid w:val="00E062E4"/>
    <w:rsid w:val="00E13833"/>
    <w:rsid w:val="00E17001"/>
    <w:rsid w:val="00E17406"/>
    <w:rsid w:val="00E20AE5"/>
    <w:rsid w:val="00E20F00"/>
    <w:rsid w:val="00E21297"/>
    <w:rsid w:val="00E221E2"/>
    <w:rsid w:val="00E23A38"/>
    <w:rsid w:val="00E23B6B"/>
    <w:rsid w:val="00E24721"/>
    <w:rsid w:val="00E25139"/>
    <w:rsid w:val="00E25B56"/>
    <w:rsid w:val="00E265A0"/>
    <w:rsid w:val="00E266DE"/>
    <w:rsid w:val="00E311F5"/>
    <w:rsid w:val="00E34BF8"/>
    <w:rsid w:val="00E35B1E"/>
    <w:rsid w:val="00E41CA0"/>
    <w:rsid w:val="00E4250F"/>
    <w:rsid w:val="00E4255F"/>
    <w:rsid w:val="00E44A7E"/>
    <w:rsid w:val="00E46A7E"/>
    <w:rsid w:val="00E46CE8"/>
    <w:rsid w:val="00E51559"/>
    <w:rsid w:val="00E548DB"/>
    <w:rsid w:val="00E54E74"/>
    <w:rsid w:val="00E552BD"/>
    <w:rsid w:val="00E55649"/>
    <w:rsid w:val="00E56A50"/>
    <w:rsid w:val="00E5798A"/>
    <w:rsid w:val="00E57A3E"/>
    <w:rsid w:val="00E57A49"/>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870CA"/>
    <w:rsid w:val="00E90558"/>
    <w:rsid w:val="00E909CD"/>
    <w:rsid w:val="00E9112B"/>
    <w:rsid w:val="00E92248"/>
    <w:rsid w:val="00E92BD1"/>
    <w:rsid w:val="00E92CAA"/>
    <w:rsid w:val="00E935A1"/>
    <w:rsid w:val="00E93FB6"/>
    <w:rsid w:val="00E941FB"/>
    <w:rsid w:val="00E94BB6"/>
    <w:rsid w:val="00EA1715"/>
    <w:rsid w:val="00EA1A76"/>
    <w:rsid w:val="00EA215E"/>
    <w:rsid w:val="00EA2EE8"/>
    <w:rsid w:val="00EA31FD"/>
    <w:rsid w:val="00EA4349"/>
    <w:rsid w:val="00EA4EE4"/>
    <w:rsid w:val="00EA5A32"/>
    <w:rsid w:val="00EB03D2"/>
    <w:rsid w:val="00EB2F51"/>
    <w:rsid w:val="00EB3BF0"/>
    <w:rsid w:val="00EB4DA6"/>
    <w:rsid w:val="00EB601D"/>
    <w:rsid w:val="00EB6CCD"/>
    <w:rsid w:val="00EB6D4A"/>
    <w:rsid w:val="00EC0273"/>
    <w:rsid w:val="00EC25BA"/>
    <w:rsid w:val="00ED0AD5"/>
    <w:rsid w:val="00ED1723"/>
    <w:rsid w:val="00ED1DE2"/>
    <w:rsid w:val="00ED1F31"/>
    <w:rsid w:val="00ED3630"/>
    <w:rsid w:val="00ED39EA"/>
    <w:rsid w:val="00ED4988"/>
    <w:rsid w:val="00ED5AED"/>
    <w:rsid w:val="00ED7140"/>
    <w:rsid w:val="00ED77E5"/>
    <w:rsid w:val="00EE026E"/>
    <w:rsid w:val="00EE3C59"/>
    <w:rsid w:val="00EE5B70"/>
    <w:rsid w:val="00EE66B6"/>
    <w:rsid w:val="00EE7B48"/>
    <w:rsid w:val="00EF0AFA"/>
    <w:rsid w:val="00EF2331"/>
    <w:rsid w:val="00EF38E5"/>
    <w:rsid w:val="00EF5C33"/>
    <w:rsid w:val="00EF629C"/>
    <w:rsid w:val="00EF6508"/>
    <w:rsid w:val="00EF6AB8"/>
    <w:rsid w:val="00EF7C6E"/>
    <w:rsid w:val="00F012F4"/>
    <w:rsid w:val="00F01592"/>
    <w:rsid w:val="00F01632"/>
    <w:rsid w:val="00F0489C"/>
    <w:rsid w:val="00F0546E"/>
    <w:rsid w:val="00F0625D"/>
    <w:rsid w:val="00F0672D"/>
    <w:rsid w:val="00F072E1"/>
    <w:rsid w:val="00F107F6"/>
    <w:rsid w:val="00F11185"/>
    <w:rsid w:val="00F11A82"/>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20B7"/>
    <w:rsid w:val="00F547E3"/>
    <w:rsid w:val="00F55285"/>
    <w:rsid w:val="00F570AB"/>
    <w:rsid w:val="00F571A5"/>
    <w:rsid w:val="00F5739E"/>
    <w:rsid w:val="00F57A71"/>
    <w:rsid w:val="00F57F44"/>
    <w:rsid w:val="00F61C28"/>
    <w:rsid w:val="00F61E69"/>
    <w:rsid w:val="00F633B7"/>
    <w:rsid w:val="00F63860"/>
    <w:rsid w:val="00F645F1"/>
    <w:rsid w:val="00F6591A"/>
    <w:rsid w:val="00F70D35"/>
    <w:rsid w:val="00F718F9"/>
    <w:rsid w:val="00F7311B"/>
    <w:rsid w:val="00F7546C"/>
    <w:rsid w:val="00F77B00"/>
    <w:rsid w:val="00F83773"/>
    <w:rsid w:val="00F83B6F"/>
    <w:rsid w:val="00F84470"/>
    <w:rsid w:val="00F857BC"/>
    <w:rsid w:val="00F878F7"/>
    <w:rsid w:val="00F90273"/>
    <w:rsid w:val="00F90B26"/>
    <w:rsid w:val="00F90BD0"/>
    <w:rsid w:val="00F91A5F"/>
    <w:rsid w:val="00F92107"/>
    <w:rsid w:val="00F93ACB"/>
    <w:rsid w:val="00F93C4F"/>
    <w:rsid w:val="00F955CD"/>
    <w:rsid w:val="00F95994"/>
    <w:rsid w:val="00FA2611"/>
    <w:rsid w:val="00FA29C9"/>
    <w:rsid w:val="00FA2D81"/>
    <w:rsid w:val="00FA3F17"/>
    <w:rsid w:val="00FA49C5"/>
    <w:rsid w:val="00FA5BD2"/>
    <w:rsid w:val="00FA5C51"/>
    <w:rsid w:val="00FA6175"/>
    <w:rsid w:val="00FA65D4"/>
    <w:rsid w:val="00FA6784"/>
    <w:rsid w:val="00FA7E00"/>
    <w:rsid w:val="00FB0F26"/>
    <w:rsid w:val="00FB1780"/>
    <w:rsid w:val="00FB35C6"/>
    <w:rsid w:val="00FB4C5A"/>
    <w:rsid w:val="00FB5BFA"/>
    <w:rsid w:val="00FB6F79"/>
    <w:rsid w:val="00FB74E5"/>
    <w:rsid w:val="00FC10F6"/>
    <w:rsid w:val="00FC33A2"/>
    <w:rsid w:val="00FC7C25"/>
    <w:rsid w:val="00FD1C2E"/>
    <w:rsid w:val="00FD3574"/>
    <w:rsid w:val="00FD602D"/>
    <w:rsid w:val="00FD60D2"/>
    <w:rsid w:val="00FD6A7D"/>
    <w:rsid w:val="00FD6FC9"/>
    <w:rsid w:val="00FE02C2"/>
    <w:rsid w:val="00FE2D34"/>
    <w:rsid w:val="00FF24A2"/>
    <w:rsid w:val="00FF26F6"/>
    <w:rsid w:val="00FF35E2"/>
    <w:rsid w:val="00FF7848"/>
    <w:rsid w:val="1A4D75F3"/>
    <w:rsid w:val="2B3FB57B"/>
    <w:rsid w:val="2D84EE07"/>
    <w:rsid w:val="2ED9830C"/>
    <w:rsid w:val="47F77DFF"/>
    <w:rsid w:val="50088904"/>
    <w:rsid w:val="5418D043"/>
    <w:rsid w:val="61DF509E"/>
    <w:rsid w:val="6270D379"/>
    <w:rsid w:val="74C12694"/>
    <w:rsid w:val="76A989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9A8"/>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29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CABNETParagraph">
    <w:name w:val="CABNET Paragraph."/>
    <w:basedOn w:val="Normal"/>
    <w:link w:val="CABNETParagraphChar"/>
    <w:uiPriority w:val="98"/>
    <w:qFormat/>
    <w:rsid w:val="00324399"/>
    <w:pPr>
      <w:spacing w:before="120" w:after="120"/>
    </w:pPr>
    <w:rPr>
      <w:rFonts w:ascii="Arial" w:eastAsiaTheme="minorHAnsi" w:hAnsi="Arial" w:cstheme="minorHAnsi"/>
      <w:sz w:val="22"/>
      <w:szCs w:val="22"/>
      <w:lang w:eastAsia="en-US"/>
    </w:rPr>
  </w:style>
  <w:style w:type="character" w:customStyle="1" w:styleId="CABNETParagraphChar">
    <w:name w:val="CABNET Paragraph. Char"/>
    <w:basedOn w:val="DefaultParagraphFont"/>
    <w:link w:val="CABNETParagraph"/>
    <w:uiPriority w:val="98"/>
    <w:rsid w:val="00324399"/>
    <w:rPr>
      <w:rFonts w:ascii="Arial" w:hAnsi="Arial" w:cstheme="minorHAnsi"/>
    </w:rPr>
  </w:style>
  <w:style w:type="character" w:customStyle="1" w:styleId="CharAmSchNo">
    <w:name w:val="CharAmSchNo"/>
    <w:basedOn w:val="DefaultParagraphFont"/>
    <w:uiPriority w:val="1"/>
    <w:qFormat/>
    <w:rsid w:val="008D5EC0"/>
  </w:style>
  <w:style w:type="character" w:customStyle="1" w:styleId="Heading3Char">
    <w:name w:val="Heading 3 Char"/>
    <w:basedOn w:val="DefaultParagraphFont"/>
    <w:link w:val="Heading3"/>
    <w:uiPriority w:val="9"/>
    <w:semiHidden/>
    <w:rsid w:val="00CC2999"/>
    <w:rPr>
      <w:rFonts w:asciiTheme="majorHAnsi" w:eastAsiaTheme="majorEastAsia" w:hAnsiTheme="majorHAnsi" w:cstheme="majorBidi"/>
      <w:color w:val="243F60" w:themeColor="accent1" w:themeShade="7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1185771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73901571">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371274978">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72331535">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844971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98859901">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431330">
      <w:bodyDiv w:val="1"/>
      <w:marLeft w:val="0"/>
      <w:marRight w:val="0"/>
      <w:marTop w:val="0"/>
      <w:marBottom w:val="0"/>
      <w:divBdr>
        <w:top w:val="none" w:sz="0" w:space="0" w:color="auto"/>
        <w:left w:val="none" w:sz="0" w:space="0" w:color="auto"/>
        <w:bottom w:val="none" w:sz="0" w:space="0" w:color="auto"/>
        <w:right w:val="none" w:sz="0" w:space="0" w:color="auto"/>
      </w:divBdr>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238100">
      <w:bodyDiv w:val="1"/>
      <w:marLeft w:val="0"/>
      <w:marRight w:val="0"/>
      <w:marTop w:val="0"/>
      <w:marBottom w:val="0"/>
      <w:divBdr>
        <w:top w:val="none" w:sz="0" w:space="0" w:color="auto"/>
        <w:left w:val="none" w:sz="0" w:space="0" w:color="auto"/>
        <w:bottom w:val="none" w:sz="0" w:space="0" w:color="auto"/>
        <w:right w:val="none" w:sz="0" w:space="0" w:color="auto"/>
      </w:divBdr>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20752586">
      <w:bodyDiv w:val="1"/>
      <w:marLeft w:val="0"/>
      <w:marRight w:val="0"/>
      <w:marTop w:val="0"/>
      <w:marBottom w:val="0"/>
      <w:divBdr>
        <w:top w:val="none" w:sz="0" w:space="0" w:color="auto"/>
        <w:left w:val="none" w:sz="0" w:space="0" w:color="auto"/>
        <w:bottom w:val="none" w:sz="0" w:space="0" w:color="auto"/>
        <w:right w:val="none" w:sz="0" w:space="0" w:color="auto"/>
      </w:divBdr>
    </w:div>
    <w:div w:id="1970013476">
      <w:bodyDiv w:val="1"/>
      <w:marLeft w:val="0"/>
      <w:marRight w:val="0"/>
      <w:marTop w:val="0"/>
      <w:marBottom w:val="0"/>
      <w:divBdr>
        <w:top w:val="none" w:sz="0" w:space="0" w:color="auto"/>
        <w:left w:val="none" w:sz="0" w:space="0" w:color="auto"/>
        <w:bottom w:val="none" w:sz="0" w:space="0" w:color="auto"/>
        <w:right w:val="none" w:sz="0" w:space="0" w:color="auto"/>
      </w:divBdr>
    </w:div>
    <w:div w:id="2085177630">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7" ma:contentTypeDescription="Create a new document." ma:contentTypeScope="" ma:versionID="c0df9632bc0fe4eaa55144c0c8edbfb1">
  <xsd:schema xmlns:xsd="http://www.w3.org/2001/XMLSchema" xmlns:xs="http://www.w3.org/2001/XMLSchema" xmlns:p="http://schemas.microsoft.com/office/2006/metadata/properties" xmlns:ns2="2410a292-e042-440d-aef8-ab5a9bd10e41" xmlns:ns3="f482729e-2cfb-42d6-a767-262eef245714" targetNamespace="http://schemas.microsoft.com/office/2006/metadata/properties" ma:root="true" ma:fieldsID="38ba360e6ffcc520751d64f80753cb72" ns2:_="" ns3:_="">
    <xsd:import namespace="2410a292-e042-440d-aef8-ab5a9bd10e41"/>
    <xsd:import namespace="f482729e-2cfb-42d6-a767-262eef2457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d8873d-5bb8-4886-b080-ba0220c906b5}"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D9ECECBA-F60B-4E6A-A444-7157185C9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0a292-e042-440d-aef8-ab5a9bd10e41"/>
    <ds:schemaRef ds:uri="f482729e-2cfb-42d6-a767-262eef245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Diana</cp:lastModifiedBy>
  <cp:revision>10</cp:revision>
  <cp:lastPrinted>2019-09-23T06:46:00Z</cp:lastPrinted>
  <dcterms:created xsi:type="dcterms:W3CDTF">2025-09-10T06:28:00Z</dcterms:created>
  <dcterms:modified xsi:type="dcterms:W3CDTF">2025-09-15T02:40:00Z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0x010100EFE0E35EFD4F464680E6AF1C0D13EB20</vt:lpwstr>
  </property>
  <property fmtid="{D5CDD505-2E9C-101B-9397-08002B2CF9AE}" pid="9" name="MediaServiceImageTags">
    <vt:lpwstr/>
  </property>
  <property fmtid="{D5CDD505-2E9C-101B-9397-08002B2CF9AE}" pid="10" name="ClassificationContentMarkingHeaderShapeIds">
    <vt:lpwstr>4a5fa57f,25d131f2,2c2f9e1c,1c106a23,1dc05315,7518540d</vt:lpwstr>
  </property>
  <property fmtid="{D5CDD505-2E9C-101B-9397-08002B2CF9AE}" pid="11" name="ClassificationContentMarkingHeaderFontProps">
    <vt:lpwstr>#ff0000,12,Calibri</vt:lpwstr>
  </property>
  <property fmtid="{D5CDD505-2E9C-101B-9397-08002B2CF9AE}" pid="12" name="ClassificationContentMarkingHeaderText">
    <vt:lpwstr>OFFICIAL</vt:lpwstr>
  </property>
  <property fmtid="{D5CDD505-2E9C-101B-9397-08002B2CF9AE}" pid="13" name="ClassificationContentMarkingFooterShapeIds">
    <vt:lpwstr>4e83a96c,6fd1cfc6,77f428a9,5da57fb3,1695775,674cddc6</vt:lpwstr>
  </property>
  <property fmtid="{D5CDD505-2E9C-101B-9397-08002B2CF9AE}" pid="14" name="ClassificationContentMarkingFooterFontProps">
    <vt:lpwstr>#ff0000,12,Calibri</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2025-09-08T04:10:04Z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0ed9e530-08ab-4424-8772-3ee6dd9ef89d</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