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A552" w14:textId="77777777" w:rsidR="001F2A16" w:rsidRPr="00510CF2" w:rsidRDefault="001F2A16" w:rsidP="00EB02C4">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510CF2">
        <w:rPr>
          <w:rFonts w:ascii="Arial" w:hAnsi="Arial" w:cs="Arial"/>
          <w:sz w:val="34"/>
          <w:szCs w:val="34"/>
        </w:rPr>
        <w:t>Explanatory Statement</w:t>
      </w:r>
    </w:p>
    <w:p w14:paraId="3F738386" w14:textId="6D0BD2DF" w:rsidR="005D7D53" w:rsidRPr="00510CF2" w:rsidRDefault="005D7D53" w:rsidP="00EB02C4">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510CF2">
        <w:rPr>
          <w:rFonts w:ascii="Arial" w:hAnsi="Arial" w:cs="Arial"/>
          <w:sz w:val="34"/>
          <w:szCs w:val="34"/>
        </w:rPr>
        <w:t>A New Tax System (Goods and Services Tax) (Acquisitions of Second-hand Goods)</w:t>
      </w:r>
      <w:r w:rsidR="00EB02C4" w:rsidRPr="00510CF2">
        <w:rPr>
          <w:rFonts w:ascii="Arial" w:hAnsi="Arial" w:cs="Arial"/>
          <w:sz w:val="34"/>
          <w:szCs w:val="34"/>
        </w:rPr>
        <w:t xml:space="preserve"> </w:t>
      </w:r>
      <w:r w:rsidRPr="00510CF2">
        <w:rPr>
          <w:rFonts w:ascii="Arial" w:hAnsi="Arial" w:cs="Arial"/>
          <w:sz w:val="34"/>
          <w:szCs w:val="34"/>
        </w:rPr>
        <w:t>Determination</w:t>
      </w:r>
      <w:r w:rsidR="00EB02C4" w:rsidRPr="00510CF2">
        <w:rPr>
          <w:rFonts w:ascii="Arial" w:hAnsi="Arial" w:cs="Arial"/>
          <w:sz w:val="34"/>
          <w:szCs w:val="34"/>
        </w:rPr>
        <w:t> </w:t>
      </w:r>
      <w:r w:rsidRPr="00510CF2">
        <w:rPr>
          <w:rFonts w:ascii="Arial" w:hAnsi="Arial" w:cs="Arial"/>
          <w:sz w:val="34"/>
          <w:szCs w:val="34"/>
        </w:rPr>
        <w:t>2025</w:t>
      </w:r>
    </w:p>
    <w:p w14:paraId="15F98DD4" w14:textId="77777777" w:rsidR="001F2A16" w:rsidRPr="00272B28" w:rsidRDefault="001F2A16" w:rsidP="00873997">
      <w:pPr>
        <w:pStyle w:val="Header"/>
        <w:tabs>
          <w:tab w:val="clear" w:pos="4153"/>
          <w:tab w:val="clear" w:pos="8306"/>
        </w:tabs>
        <w:jc w:val="center"/>
        <w:rPr>
          <w:rFonts w:ascii="Arial" w:hAnsi="Arial" w:cs="Arial"/>
          <w:sz w:val="22"/>
          <w:szCs w:val="22"/>
        </w:rPr>
      </w:pPr>
    </w:p>
    <w:p w14:paraId="79477B8B" w14:textId="08E4EC55" w:rsidR="00640CC2" w:rsidRPr="00272B28" w:rsidRDefault="00486653" w:rsidP="00EA0DAB">
      <w:pPr>
        <w:pStyle w:val="Heading2"/>
      </w:pPr>
      <w:r w:rsidRPr="00272B28">
        <w:t xml:space="preserve">General </w:t>
      </w:r>
      <w:r w:rsidR="00C620E9" w:rsidRPr="00272B28">
        <w:t>o</w:t>
      </w:r>
      <w:r w:rsidRPr="00272B28">
        <w:t xml:space="preserve">utline of </w:t>
      </w:r>
      <w:r w:rsidR="00C620E9" w:rsidRPr="00272B28">
        <w:t>i</w:t>
      </w:r>
      <w:r w:rsidRPr="00272B28">
        <w:t>nstrument</w:t>
      </w:r>
    </w:p>
    <w:p w14:paraId="6CE0D60A" w14:textId="75372B9E" w:rsidR="00F208D6" w:rsidRPr="00272B28" w:rsidRDefault="00486653" w:rsidP="00EB02C4">
      <w:pPr>
        <w:pStyle w:val="Numberedtext"/>
      </w:pPr>
      <w:r w:rsidRPr="00272B28">
        <w:t>This instrument is made under</w:t>
      </w:r>
      <w:r w:rsidR="00F208D6" w:rsidRPr="00272B28">
        <w:t xml:space="preserve"> </w:t>
      </w:r>
      <w:bookmarkStart w:id="0" w:name="_Hlk200459348"/>
      <w:r w:rsidR="00F208D6" w:rsidRPr="00272B28">
        <w:t xml:space="preserve">paragraph 66-70(1)(a) of the </w:t>
      </w:r>
      <w:r w:rsidR="00F208D6" w:rsidRPr="00272B28">
        <w:rPr>
          <w:i/>
          <w:iCs/>
        </w:rPr>
        <w:t>A New Tax System (Goods and Services Tax) Act 1999</w:t>
      </w:r>
      <w:r w:rsidR="00B54851" w:rsidRPr="00272B28">
        <w:rPr>
          <w:i/>
          <w:iCs/>
        </w:rPr>
        <w:t xml:space="preserve"> </w:t>
      </w:r>
      <w:r w:rsidR="00B54851" w:rsidRPr="00272B28">
        <w:t>(the Act)</w:t>
      </w:r>
      <w:r w:rsidR="00F208D6" w:rsidRPr="00272B28">
        <w:rPr>
          <w:i/>
          <w:iCs/>
        </w:rPr>
        <w:t>.</w:t>
      </w:r>
    </w:p>
    <w:bookmarkEnd w:id="0"/>
    <w:p w14:paraId="5F1FF82E" w14:textId="7843FBC7" w:rsidR="009371D0" w:rsidRPr="00272B28" w:rsidRDefault="00F208D6" w:rsidP="00EB02C4">
      <w:pPr>
        <w:pStyle w:val="Numberedtext"/>
      </w:pPr>
      <w:r w:rsidRPr="00272B28">
        <w:rPr>
          <w:shd w:val="clear" w:color="auto" w:fill="FFFFFF"/>
        </w:rPr>
        <w:t>Th</w:t>
      </w:r>
      <w:r w:rsidR="00E16DEF" w:rsidRPr="00272B28">
        <w:rPr>
          <w:shd w:val="clear" w:color="auto" w:fill="FFFFFF"/>
        </w:rPr>
        <w:t>e</w:t>
      </w:r>
      <w:r w:rsidRPr="00272B28">
        <w:rPr>
          <w:shd w:val="clear" w:color="auto" w:fill="FFFFFF"/>
        </w:rPr>
        <w:t xml:space="preserve"> </w:t>
      </w:r>
      <w:r w:rsidR="00E16DEF" w:rsidRPr="00272B28">
        <w:rPr>
          <w:shd w:val="clear" w:color="auto" w:fill="FFFFFF"/>
        </w:rPr>
        <w:t>i</w:t>
      </w:r>
      <w:r w:rsidRPr="00272B28">
        <w:rPr>
          <w:shd w:val="clear" w:color="auto" w:fill="FFFFFF"/>
        </w:rPr>
        <w:t xml:space="preserve">nstrument </w:t>
      </w:r>
      <w:r w:rsidR="00CA35C8" w:rsidRPr="00272B28">
        <w:rPr>
          <w:shd w:val="clear" w:color="auto" w:fill="FFFFFF"/>
        </w:rPr>
        <w:t>allows</w:t>
      </w:r>
      <w:r w:rsidRPr="00272B28">
        <w:rPr>
          <w:shd w:val="clear" w:color="auto" w:fill="FFFFFF"/>
        </w:rPr>
        <w:t xml:space="preserve"> GST registered </w:t>
      </w:r>
      <w:r w:rsidR="00D10899" w:rsidRPr="00272B28">
        <w:rPr>
          <w:shd w:val="clear" w:color="auto" w:fill="FFFFFF"/>
        </w:rPr>
        <w:t>entities</w:t>
      </w:r>
      <w:r w:rsidRPr="00272B28">
        <w:rPr>
          <w:shd w:val="clear" w:color="auto" w:fill="FFFFFF"/>
        </w:rPr>
        <w:t xml:space="preserve"> to </w:t>
      </w:r>
      <w:r w:rsidRPr="00272B28">
        <w:t>apply a global</w:t>
      </w:r>
      <w:r w:rsidRPr="00272B28">
        <w:rPr>
          <w:shd w:val="clear" w:color="auto" w:fill="FFFFFF"/>
        </w:rPr>
        <w:t xml:space="preserve"> </w:t>
      </w:r>
      <w:r w:rsidRPr="00272B28">
        <w:t>accounting method</w:t>
      </w:r>
      <w:r w:rsidRPr="00272B28">
        <w:rPr>
          <w:shd w:val="clear" w:color="auto" w:fill="FFFFFF"/>
        </w:rPr>
        <w:t xml:space="preserve"> (pooling of credits and GST) for acquisitions of second-hand goods </w:t>
      </w:r>
      <w:r w:rsidRPr="00272B28">
        <w:t>of a kind</w:t>
      </w:r>
      <w:r w:rsidR="00924413" w:rsidRPr="00272B28">
        <w:rPr>
          <w:shd w:val="clear" w:color="auto" w:fill="FFFFFF"/>
        </w:rPr>
        <w:t xml:space="preserve"> </w:t>
      </w:r>
      <w:r w:rsidR="00924413" w:rsidRPr="00272B28">
        <w:t>specified in the instrument</w:t>
      </w:r>
      <w:r w:rsidRPr="00272B28">
        <w:rPr>
          <w:color w:val="0000FF"/>
        </w:rPr>
        <w:t>.</w:t>
      </w:r>
    </w:p>
    <w:p w14:paraId="6880E755" w14:textId="2D827960" w:rsidR="00486653" w:rsidRPr="00272B28" w:rsidRDefault="00486653" w:rsidP="00EB02C4">
      <w:pPr>
        <w:pStyle w:val="Numberedtext"/>
      </w:pPr>
      <w:r w:rsidRPr="00272B28">
        <w:t xml:space="preserve">The instrument is a legislative instrument for the purposes of the </w:t>
      </w:r>
      <w:bookmarkStart w:id="1" w:name="_Hlk200459369"/>
      <w:r w:rsidR="00C4143E" w:rsidRPr="00272B28">
        <w:rPr>
          <w:i/>
        </w:rPr>
        <w:t xml:space="preserve">Legislation </w:t>
      </w:r>
      <w:r w:rsidRPr="00272B28">
        <w:rPr>
          <w:i/>
        </w:rPr>
        <w:t>Act</w:t>
      </w:r>
      <w:r w:rsidR="00C620E9" w:rsidRPr="00272B28">
        <w:rPr>
          <w:i/>
        </w:rPr>
        <w:t> </w:t>
      </w:r>
      <w:r w:rsidRPr="00272B28">
        <w:rPr>
          <w:i/>
        </w:rPr>
        <w:t>2003</w:t>
      </w:r>
      <w:r w:rsidRPr="00272B28">
        <w:t>.</w:t>
      </w:r>
      <w:bookmarkEnd w:id="1"/>
    </w:p>
    <w:p w14:paraId="343793ED" w14:textId="017724C1" w:rsidR="00B31550" w:rsidRPr="00272B28" w:rsidRDefault="00B31550" w:rsidP="00EB02C4">
      <w:pPr>
        <w:pStyle w:val="Numberedtext"/>
      </w:pPr>
      <w:r w:rsidRPr="00272B28">
        <w:t xml:space="preserve">Under </w:t>
      </w:r>
      <w:bookmarkStart w:id="2" w:name="_Hlk200459398"/>
      <w:bookmarkStart w:id="3" w:name="_Hlk200459383"/>
      <w:r w:rsidRPr="00272B28">
        <w:t xml:space="preserve">subsection 33(3) of the </w:t>
      </w:r>
      <w:r w:rsidRPr="00272B28">
        <w:rPr>
          <w:i/>
        </w:rPr>
        <w:t>Acts Interpretation Act 1901</w:t>
      </w:r>
      <w:bookmarkEnd w:id="2"/>
      <w:r w:rsidRPr="00272B28">
        <w:t xml:space="preserve">, </w:t>
      </w:r>
      <w:bookmarkEnd w:id="3"/>
      <w:r w:rsidRPr="00272B28">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332C217" w14:textId="77777777" w:rsidR="006302F7" w:rsidRPr="00272B28" w:rsidRDefault="006302F7" w:rsidP="001E7E5D">
      <w:pPr>
        <w:spacing w:after="120"/>
        <w:jc w:val="both"/>
        <w:rPr>
          <w:rFonts w:ascii="Arial" w:hAnsi="Arial" w:cs="Arial"/>
          <w:sz w:val="22"/>
          <w:szCs w:val="22"/>
        </w:rPr>
      </w:pPr>
    </w:p>
    <w:p w14:paraId="5D4CC1C6" w14:textId="77777777" w:rsidR="001D02E6" w:rsidRPr="00272B28" w:rsidRDefault="001D02E6" w:rsidP="00EA0DAB">
      <w:pPr>
        <w:pStyle w:val="Heading2"/>
      </w:pPr>
      <w:r w:rsidRPr="00272B28">
        <w:t>Date of effect</w:t>
      </w:r>
    </w:p>
    <w:p w14:paraId="00C9030C" w14:textId="34D6B31A" w:rsidR="001D02E6" w:rsidRPr="00272B28" w:rsidRDefault="00222AFB" w:rsidP="00577FB4">
      <w:pPr>
        <w:pStyle w:val="Numberedtext"/>
      </w:pPr>
      <w:r w:rsidRPr="00272B28">
        <w:t>This instrument commences on the day after it is registered on the Federal Register of Legislation.</w:t>
      </w:r>
    </w:p>
    <w:p w14:paraId="56661841" w14:textId="43714458" w:rsidR="00F579AF" w:rsidRPr="00272B28" w:rsidRDefault="00F579AF" w:rsidP="00577FB4">
      <w:pPr>
        <w:pStyle w:val="Numberedtext"/>
      </w:pPr>
      <w:r w:rsidRPr="00272B28">
        <w:t xml:space="preserve">This instrument repeals and replaces the instrument titled </w:t>
      </w:r>
      <w:r w:rsidRPr="00272B28">
        <w:rPr>
          <w:i/>
          <w:iCs/>
        </w:rPr>
        <w:t>A New Tax System (Goods and Services Tax) Act 1999 Rules for Applying Subdivision 66-B Determination (No.31) 2015</w:t>
      </w:r>
      <w:r w:rsidRPr="00272B28">
        <w:t xml:space="preserve"> which would </w:t>
      </w:r>
      <w:proofErr w:type="gramStart"/>
      <w:r w:rsidRPr="00272B28">
        <w:t>otherwise</w:t>
      </w:r>
      <w:proofErr w:type="gramEnd"/>
      <w:r w:rsidRPr="00272B28">
        <w:t xml:space="preserve"> sunset on 1 October 2025. The instrument has the same substantive effect as the one it is replacing.</w:t>
      </w:r>
    </w:p>
    <w:p w14:paraId="3A86A3CC" w14:textId="77777777" w:rsidR="00486653" w:rsidRPr="00272B28" w:rsidRDefault="00486653" w:rsidP="001E7E5D">
      <w:pPr>
        <w:spacing w:after="120"/>
        <w:jc w:val="both"/>
        <w:rPr>
          <w:rFonts w:ascii="Arial" w:hAnsi="Arial" w:cs="Arial"/>
          <w:sz w:val="22"/>
          <w:szCs w:val="22"/>
        </w:rPr>
      </w:pPr>
    </w:p>
    <w:p w14:paraId="3C6AB0FB" w14:textId="77777777" w:rsidR="009E3465" w:rsidRPr="00272B28" w:rsidRDefault="009E3465" w:rsidP="00EA0DAB">
      <w:pPr>
        <w:pStyle w:val="Heading2"/>
      </w:pPr>
      <w:r w:rsidRPr="00272B28">
        <w:t>Background</w:t>
      </w:r>
    </w:p>
    <w:p w14:paraId="0081B0E8" w14:textId="5A3D0E0C" w:rsidR="00F010FA" w:rsidRPr="00272B28" w:rsidRDefault="00F010FA" w:rsidP="00577FB4">
      <w:pPr>
        <w:pStyle w:val="Numberedtext"/>
      </w:pPr>
      <w:r w:rsidRPr="00272B28">
        <w:t xml:space="preserve">Normally, registered entities can only claim an input tax credit for the acquisition of goods where the supply of the goods to them was a taxable supply. Where an entity acquires second-hand goods from an unregistered </w:t>
      </w:r>
      <w:r w:rsidR="0078617B" w:rsidRPr="00272B28">
        <w:t>supplier</w:t>
      </w:r>
      <w:r w:rsidRPr="00272B28">
        <w:t xml:space="preserve">, the supply will not be a taxable </w:t>
      </w:r>
      <w:proofErr w:type="gramStart"/>
      <w:r w:rsidRPr="00272B28">
        <w:t>supply</w:t>
      </w:r>
      <w:proofErr w:type="gramEnd"/>
      <w:r w:rsidRPr="00272B28">
        <w:t xml:space="preserve"> and the</w:t>
      </w:r>
      <w:r w:rsidR="0078617B" w:rsidRPr="00272B28">
        <w:t xml:space="preserve"> </w:t>
      </w:r>
      <w:r w:rsidRPr="00272B28">
        <w:t>re</w:t>
      </w:r>
      <w:r w:rsidR="0078617B" w:rsidRPr="00272B28">
        <w:t>gistered entity</w:t>
      </w:r>
      <w:r w:rsidRPr="00272B28">
        <w:t xml:space="preserve"> will no</w:t>
      </w:r>
      <w:r w:rsidR="0078617B" w:rsidRPr="00272B28">
        <w:t>t be</w:t>
      </w:r>
      <w:r w:rsidRPr="00272B28">
        <w:t xml:space="preserve"> entitle</w:t>
      </w:r>
      <w:r w:rsidR="0078617B" w:rsidRPr="00272B28">
        <w:t>d</w:t>
      </w:r>
      <w:r w:rsidRPr="00272B28">
        <w:t xml:space="preserve"> to an input tax credit.</w:t>
      </w:r>
    </w:p>
    <w:p w14:paraId="3FBEC90C" w14:textId="4AE1209B" w:rsidR="0078617B" w:rsidRPr="00272B28" w:rsidRDefault="0078617B" w:rsidP="00577FB4">
      <w:pPr>
        <w:pStyle w:val="Numberedtext"/>
      </w:pPr>
      <w:r w:rsidRPr="00272B28">
        <w:t>The unregistered supplier will normally have paid GST for their earlier acquisition of the goods and would not have been able to claim an input tax credit. Therefore, an amount of GST will be embedded in the price paid by registered entities acquiring these goods second-hand for which they cannot claim an input tax credit.</w:t>
      </w:r>
    </w:p>
    <w:p w14:paraId="52255CD2" w14:textId="6B57BC75" w:rsidR="001011E9" w:rsidRPr="00272B28" w:rsidRDefault="001011E9" w:rsidP="00EB02C4">
      <w:pPr>
        <w:pStyle w:val="Numberedtext"/>
      </w:pPr>
      <w:r w:rsidRPr="00272B28">
        <w:t>Subdivision 66-A of the Act allows GST registered entities to claim an input tax credit for certain acquisitions of second</w:t>
      </w:r>
      <w:r w:rsidR="00DC3A7A" w:rsidRPr="00272B28">
        <w:t>-</w:t>
      </w:r>
      <w:r w:rsidRPr="00272B28">
        <w:t xml:space="preserve">hand goods even though GST was not included in the purchase price. This </w:t>
      </w:r>
      <w:r w:rsidR="0078617B" w:rsidRPr="00272B28">
        <w:t>usually will</w:t>
      </w:r>
      <w:r w:rsidRPr="00272B28">
        <w:t xml:space="preserve"> be the case where the acquisition was made from an unregistered supplier. </w:t>
      </w:r>
      <w:r w:rsidR="00476FDC" w:rsidRPr="00272B28">
        <w:t>Generally, the input tax credit for the acquisition cannot be claimed until the entity makes a subsequent taxable supply of the second-hand good. This requires the entity to track and keep records of the acquisition and subsequent sale of each individual second-hand good.</w:t>
      </w:r>
    </w:p>
    <w:p w14:paraId="1BC5BF50" w14:textId="5DB6409C" w:rsidR="00BD1263" w:rsidRPr="00272B28" w:rsidRDefault="00BD1263" w:rsidP="00EB02C4">
      <w:pPr>
        <w:pStyle w:val="Numberedtext"/>
      </w:pPr>
      <w:r w:rsidRPr="00272B28">
        <w:lastRenderedPageBreak/>
        <w:t xml:space="preserve">Some second-hand goods dealers buy goods in one lot and then subdivide them into separate parts before on selling to various </w:t>
      </w:r>
      <w:r w:rsidR="0080026F" w:rsidRPr="00272B28">
        <w:t>purchasers. In these situations, it is not practical to track each acquisition and its subsequent sale.</w:t>
      </w:r>
    </w:p>
    <w:p w14:paraId="64147269" w14:textId="6EDDB684" w:rsidR="009E3465" w:rsidRPr="00272B28" w:rsidRDefault="0080026F" w:rsidP="00EB02C4">
      <w:pPr>
        <w:pStyle w:val="Numberedtext"/>
      </w:pPr>
      <w:r w:rsidRPr="00272B28">
        <w:rPr>
          <w:shd w:val="clear" w:color="auto" w:fill="FFFFFF"/>
        </w:rPr>
        <w:t xml:space="preserve">To alleviate this impracticality, </w:t>
      </w:r>
      <w:r w:rsidR="009E3465" w:rsidRPr="00272B28">
        <w:rPr>
          <w:shd w:val="clear" w:color="auto" w:fill="FFFFFF"/>
        </w:rPr>
        <w:t xml:space="preserve">Subdivision 66-B of the Act </w:t>
      </w:r>
      <w:r w:rsidR="001011E9" w:rsidRPr="00272B28">
        <w:rPr>
          <w:shd w:val="clear" w:color="auto" w:fill="FFFFFF"/>
        </w:rPr>
        <w:t>provides</w:t>
      </w:r>
      <w:r w:rsidR="009E3465" w:rsidRPr="00272B28">
        <w:rPr>
          <w:shd w:val="clear" w:color="auto" w:fill="FFFFFF"/>
        </w:rPr>
        <w:t xml:space="preserve"> GST registered suppliers of second-hand goods </w:t>
      </w:r>
      <w:r w:rsidR="001011E9" w:rsidRPr="00272B28">
        <w:rPr>
          <w:shd w:val="clear" w:color="auto" w:fill="FFFFFF"/>
        </w:rPr>
        <w:t>with</w:t>
      </w:r>
      <w:r w:rsidR="009E3465" w:rsidRPr="00272B28">
        <w:rPr>
          <w:shd w:val="clear" w:color="auto" w:fill="FFFFFF"/>
        </w:rPr>
        <w:t xml:space="preserve"> a global accounting method</w:t>
      </w:r>
      <w:r w:rsidR="001011E9" w:rsidRPr="00272B28">
        <w:rPr>
          <w:shd w:val="clear" w:color="auto" w:fill="FFFFFF"/>
        </w:rPr>
        <w:t xml:space="preserve"> for calculating their GST liabilities</w:t>
      </w:r>
      <w:r w:rsidR="009E3465" w:rsidRPr="00272B28">
        <w:rPr>
          <w:shd w:val="clear" w:color="auto" w:fill="FFFFFF"/>
        </w:rPr>
        <w:t xml:space="preserve"> where they acquire second-hand goods </w:t>
      </w:r>
      <w:r w:rsidR="005612B9" w:rsidRPr="00272B28">
        <w:rPr>
          <w:shd w:val="clear" w:color="auto" w:fill="FFFFFF"/>
        </w:rPr>
        <w:t>where GST was not included in the purchase price</w:t>
      </w:r>
      <w:r w:rsidR="009E3465" w:rsidRPr="00272B28">
        <w:rPr>
          <w:shd w:val="clear" w:color="auto" w:fill="FFFFFF"/>
        </w:rPr>
        <w:t xml:space="preserve"> and those goods are divided up before resale. This helps to remove the need to track individual goods as required under Subdivision 66-A of the GST Act.</w:t>
      </w:r>
    </w:p>
    <w:p w14:paraId="29BE883D" w14:textId="656D04FE" w:rsidR="0076663A" w:rsidRPr="00272B28" w:rsidRDefault="0076663A" w:rsidP="00EB02C4">
      <w:pPr>
        <w:pStyle w:val="Numberedtext"/>
      </w:pPr>
      <w:r w:rsidRPr="00272B28">
        <w:rPr>
          <w:shd w:val="clear" w:color="auto" w:fill="FFFFFF"/>
        </w:rPr>
        <w:t>Under the global accounting method, entities ‘pool’ their input tax credits for eligible acquisitions and then offset this against the GST payable on subsequent sales made from those acquisitions. GST is only payable when the pool of input tax credits is exhausted.</w:t>
      </w:r>
    </w:p>
    <w:p w14:paraId="7F760F31" w14:textId="77777777" w:rsidR="009E3465" w:rsidRPr="00272B28" w:rsidRDefault="009E3465" w:rsidP="00EB02C4">
      <w:pPr>
        <w:pStyle w:val="Numberedtext"/>
      </w:pPr>
      <w:r w:rsidRPr="00272B28">
        <w:t xml:space="preserve">Paragraph 66-70(1)(a) of the Act allows the Commissioner to determine that acquisitions of second-hand goods of a specified kind are acquisitions of second-hand goods to which </w:t>
      </w:r>
      <w:r w:rsidRPr="00272B28">
        <w:rPr>
          <w:color w:val="000000"/>
          <w:shd w:val="clear" w:color="auto" w:fill="FFFFFF"/>
        </w:rPr>
        <w:t>Subdivision 66-B of the Act applies.</w:t>
      </w:r>
    </w:p>
    <w:p w14:paraId="3025AB35" w14:textId="77777777" w:rsidR="009E3465" w:rsidRPr="00272B28" w:rsidRDefault="009E3465" w:rsidP="00A50AB3">
      <w:pPr>
        <w:spacing w:after="120"/>
        <w:jc w:val="both"/>
        <w:rPr>
          <w:rFonts w:ascii="Arial" w:hAnsi="Arial" w:cs="Arial"/>
          <w:sz w:val="22"/>
          <w:szCs w:val="22"/>
        </w:rPr>
      </w:pPr>
    </w:p>
    <w:p w14:paraId="5A46AB0A" w14:textId="77777777" w:rsidR="00486653" w:rsidRPr="00272B28" w:rsidRDefault="003B547B" w:rsidP="00EA0DAB">
      <w:pPr>
        <w:pStyle w:val="Heading2"/>
      </w:pPr>
      <w:r w:rsidRPr="00272B28">
        <w:t>E</w:t>
      </w:r>
      <w:r w:rsidR="00486653" w:rsidRPr="00272B28">
        <w:t>ffect of this instrument</w:t>
      </w:r>
    </w:p>
    <w:p w14:paraId="3C25DD16" w14:textId="33D98AFF" w:rsidR="00C11BC0" w:rsidRPr="00272B28" w:rsidRDefault="003B547B" w:rsidP="00781277">
      <w:pPr>
        <w:pStyle w:val="Numberedtext"/>
      </w:pPr>
      <w:r w:rsidRPr="00272B28">
        <w:t>T</w:t>
      </w:r>
      <w:r w:rsidR="00486653" w:rsidRPr="00272B28">
        <w:t>his instrument</w:t>
      </w:r>
      <w:r w:rsidR="00850F5E" w:rsidRPr="00272B28">
        <w:t xml:space="preserve"> specifies kinds of second-hand goods to which Subdivision 66-B of the Act applies</w:t>
      </w:r>
      <w:r w:rsidR="00825434" w:rsidRPr="00272B28">
        <w:t xml:space="preserve"> where it otherwise would</w:t>
      </w:r>
      <w:r w:rsidR="00B42E9A" w:rsidRPr="00272B28">
        <w:t xml:space="preserve"> </w:t>
      </w:r>
      <w:r w:rsidR="00825434" w:rsidRPr="00272B28">
        <w:t>n</w:t>
      </w:r>
      <w:r w:rsidR="00B42E9A" w:rsidRPr="00272B28">
        <w:t>o</w:t>
      </w:r>
      <w:r w:rsidR="00825434" w:rsidRPr="00272B28">
        <w:t>t</w:t>
      </w:r>
      <w:r w:rsidR="00850F5E" w:rsidRPr="00272B28">
        <w:t>.</w:t>
      </w:r>
    </w:p>
    <w:p w14:paraId="4C411994" w14:textId="3BB628D0" w:rsidR="007223BA" w:rsidRPr="00577FB4" w:rsidRDefault="00F208D6" w:rsidP="00781277">
      <w:pPr>
        <w:pStyle w:val="Numberedtext"/>
      </w:pPr>
      <w:r w:rsidRPr="00510CF2">
        <w:rPr>
          <w:shd w:val="clear" w:color="auto" w:fill="FFFFFF"/>
        </w:rPr>
        <w:t xml:space="preserve">GST registered </w:t>
      </w:r>
      <w:r w:rsidR="00D10899" w:rsidRPr="00510CF2">
        <w:rPr>
          <w:shd w:val="clear" w:color="auto" w:fill="FFFFFF"/>
        </w:rPr>
        <w:t>entities</w:t>
      </w:r>
      <w:r w:rsidR="00F864AC" w:rsidRPr="00510CF2">
        <w:rPr>
          <w:shd w:val="clear" w:color="auto" w:fill="FFFFFF"/>
        </w:rPr>
        <w:t xml:space="preserve"> </w:t>
      </w:r>
      <w:r w:rsidR="00C11BC0" w:rsidRPr="00510CF2">
        <w:rPr>
          <w:shd w:val="clear" w:color="auto" w:fill="FFFFFF"/>
        </w:rPr>
        <w:t xml:space="preserve">may </w:t>
      </w:r>
      <w:r w:rsidR="00F864AC" w:rsidRPr="00510CF2">
        <w:rPr>
          <w:shd w:val="clear" w:color="auto" w:fill="FFFFFF"/>
        </w:rPr>
        <w:t xml:space="preserve">choose </w:t>
      </w:r>
      <w:r w:rsidRPr="00510CF2">
        <w:rPr>
          <w:shd w:val="clear" w:color="auto" w:fill="FFFFFF"/>
        </w:rPr>
        <w:t xml:space="preserve">to </w:t>
      </w:r>
      <w:r w:rsidRPr="00577FB4">
        <w:t xml:space="preserve">apply </w:t>
      </w:r>
      <w:r w:rsidR="00825434" w:rsidRPr="00577FB4">
        <w:t>the</w:t>
      </w:r>
      <w:r w:rsidRPr="00577FB4">
        <w:t xml:space="preserve"> global accounting method </w:t>
      </w:r>
      <w:r w:rsidR="000E0C50" w:rsidRPr="00577FB4">
        <w:t xml:space="preserve">to some or </w:t>
      </w:r>
      <w:proofErr w:type="gramStart"/>
      <w:r w:rsidR="000E0C50" w:rsidRPr="00577FB4">
        <w:t>all of</w:t>
      </w:r>
      <w:proofErr w:type="gramEnd"/>
      <w:r w:rsidR="000E0C50" w:rsidRPr="00577FB4">
        <w:t xml:space="preserve"> its</w:t>
      </w:r>
      <w:r w:rsidRPr="00577FB4">
        <w:t xml:space="preserve"> acquisitions of </w:t>
      </w:r>
      <w:r w:rsidR="00850F5E" w:rsidRPr="00577FB4">
        <w:t xml:space="preserve">those specified </w:t>
      </w:r>
      <w:r w:rsidRPr="00577FB4">
        <w:t>second-hand goods.</w:t>
      </w:r>
      <w:r w:rsidR="00B419CC" w:rsidRPr="00577FB4">
        <w:t xml:space="preserve"> </w:t>
      </w:r>
      <w:r w:rsidR="000E0C50" w:rsidRPr="00577FB4">
        <w:t>Where an entity does apply the global accounting method to an acquisition</w:t>
      </w:r>
      <w:r w:rsidR="00B419CC" w:rsidRPr="00577FB4">
        <w:t xml:space="preserve">, </w:t>
      </w:r>
      <w:r w:rsidR="000E0C50" w:rsidRPr="00577FB4">
        <w:t>it</w:t>
      </w:r>
      <w:r w:rsidR="00B419CC" w:rsidRPr="00577FB4">
        <w:t xml:space="preserve"> is required to add the input tax credits attributable to the acquisition </w:t>
      </w:r>
      <w:r w:rsidR="0024313F" w:rsidRPr="00577FB4">
        <w:t>to their total Subdivision 66-B credit amount. The GST payable on any subsequent supply of the goods is worked out in accordance with section</w:t>
      </w:r>
      <w:r w:rsidR="00751970" w:rsidRPr="00577FB4">
        <w:t>s</w:t>
      </w:r>
      <w:r w:rsidR="0024313F" w:rsidRPr="00577FB4">
        <w:t xml:space="preserve"> 66-45 and 66-50 of the Act. GST </w:t>
      </w:r>
      <w:r w:rsidR="002D27C8" w:rsidRPr="00577FB4">
        <w:t xml:space="preserve">is only </w:t>
      </w:r>
      <w:r w:rsidR="007B3C2A" w:rsidRPr="00577FB4">
        <w:t xml:space="preserve">payable </w:t>
      </w:r>
      <w:r w:rsidR="002D27C8" w:rsidRPr="00577FB4">
        <w:t xml:space="preserve">and </w:t>
      </w:r>
      <w:r w:rsidR="0024313F" w:rsidRPr="00577FB4">
        <w:t>added to the entit</w:t>
      </w:r>
      <w:r w:rsidR="00FD4D27" w:rsidRPr="00577FB4">
        <w:t>y’</w:t>
      </w:r>
      <w:r w:rsidR="0024313F" w:rsidRPr="00577FB4">
        <w:t>s net amount when the</w:t>
      </w:r>
      <w:r w:rsidR="00856EB3" w:rsidRPr="00577FB4">
        <w:t>ir</w:t>
      </w:r>
      <w:r w:rsidR="0024313F" w:rsidRPr="00577FB4">
        <w:t xml:space="preserve"> total Subdivision 66-B amount (GST payable on subseq</w:t>
      </w:r>
      <w:r w:rsidR="00856EB3" w:rsidRPr="00577FB4">
        <w:t>uent supplies) exceeds their total Subdivision 66</w:t>
      </w:r>
      <w:r w:rsidR="00856EB3" w:rsidRPr="00DD0DDA">
        <w:t>-B</w:t>
      </w:r>
      <w:r w:rsidR="00856EB3" w:rsidRPr="00510CF2">
        <w:rPr>
          <w:i/>
          <w:iCs/>
        </w:rPr>
        <w:t xml:space="preserve"> </w:t>
      </w:r>
      <w:r w:rsidR="00856EB3" w:rsidRPr="00DD0DDA">
        <w:t>credit amount</w:t>
      </w:r>
      <w:r w:rsidR="00856EB3" w:rsidRPr="00510CF2">
        <w:rPr>
          <w:i/>
          <w:iCs/>
        </w:rPr>
        <w:t>.</w:t>
      </w:r>
    </w:p>
    <w:p w14:paraId="641C9372" w14:textId="793D4583" w:rsidR="009371D0" w:rsidRPr="00272B28" w:rsidRDefault="007223BA" w:rsidP="00781277">
      <w:pPr>
        <w:pStyle w:val="Numberedtext"/>
      </w:pPr>
      <w:r w:rsidRPr="00272B28">
        <w:rPr>
          <w:color w:val="000000"/>
          <w:shd w:val="clear" w:color="auto" w:fill="FFFFFF"/>
        </w:rPr>
        <w:t xml:space="preserve">The instrument </w:t>
      </w:r>
      <w:r w:rsidRPr="00272B28">
        <w:t>applies to second-hand goods that a GST registered entity acquires, from both registered and unregistered suppliers, for the purposes of sale or exchange (but not for manufacture) in the ordinary course of business. The instrument does</w:t>
      </w:r>
      <w:r w:rsidRPr="00272B28">
        <w:rPr>
          <w:color w:val="000000"/>
          <w:shd w:val="clear" w:color="auto" w:fill="FFFFFF"/>
        </w:rPr>
        <w:t xml:space="preserve"> not apply to acquisitions of new goods.</w:t>
      </w:r>
    </w:p>
    <w:p w14:paraId="7CFD520E" w14:textId="6E2859CC" w:rsidR="00595EDF" w:rsidRPr="00272B28" w:rsidRDefault="007223BA" w:rsidP="00781277">
      <w:pPr>
        <w:pStyle w:val="Numberedtext"/>
      </w:pPr>
      <w:r w:rsidRPr="00272B28">
        <w:t xml:space="preserve">Subsection 6(2) provides </w:t>
      </w:r>
      <w:r w:rsidR="00925403" w:rsidRPr="00272B28">
        <w:t xml:space="preserve">certain </w:t>
      </w:r>
      <w:r w:rsidRPr="00272B28">
        <w:t xml:space="preserve">exceptions </w:t>
      </w:r>
      <w:r w:rsidR="00036741" w:rsidRPr="00272B28">
        <w:t xml:space="preserve">to the application of </w:t>
      </w:r>
      <w:r w:rsidRPr="00272B28">
        <w:t xml:space="preserve">Subdivision 66-B of the Act to the second-hand goods specified in subsection 6(3). </w:t>
      </w:r>
      <w:r w:rsidR="00595EDF" w:rsidRPr="00272B28">
        <w:t>This includes where the consideration provided by the entity for the second-hand goods is more than $1,000 and Subdivision 66-A of the Act would apply to the acquisition if this instrument did</w:t>
      </w:r>
      <w:r w:rsidR="002C2A1F" w:rsidRPr="00272B28">
        <w:t xml:space="preserve"> </w:t>
      </w:r>
      <w:r w:rsidR="00595EDF" w:rsidRPr="00272B28">
        <w:t>n</w:t>
      </w:r>
      <w:r w:rsidR="002C2A1F" w:rsidRPr="00272B28">
        <w:t>o</w:t>
      </w:r>
      <w:r w:rsidR="00595EDF" w:rsidRPr="00272B28">
        <w:t>t. This will apply where the entity purchased the goods from an unregistered supplier and the goods are to be re-supplied by the entity as a single supply. The</w:t>
      </w:r>
      <w:r w:rsidR="00595EDF" w:rsidRPr="00272B28">
        <w:rPr>
          <w:color w:val="000000"/>
          <w:shd w:val="clear" w:color="auto" w:fill="FFFFFF"/>
        </w:rPr>
        <w:t xml:space="preserve"> entity </w:t>
      </w:r>
      <w:r w:rsidR="00925403" w:rsidRPr="00272B28">
        <w:t>can still access</w:t>
      </w:r>
      <w:r w:rsidR="00925403" w:rsidRPr="00272B28">
        <w:rPr>
          <w:color w:val="000000"/>
          <w:shd w:val="clear" w:color="auto" w:fill="FFFFFF"/>
        </w:rPr>
        <w:t xml:space="preserve"> the benefit</w:t>
      </w:r>
      <w:r w:rsidR="00595EDF" w:rsidRPr="00272B28">
        <w:rPr>
          <w:color w:val="000000"/>
          <w:shd w:val="clear" w:color="auto" w:fill="FFFFFF"/>
        </w:rPr>
        <w:t xml:space="preserve"> of an input tax credit under Subdivision 66-</w:t>
      </w:r>
      <w:r w:rsidR="00595EDF" w:rsidRPr="00272B28">
        <w:t>A of the Act.</w:t>
      </w:r>
    </w:p>
    <w:p w14:paraId="476C6184" w14:textId="7D9F34C1" w:rsidR="00FD0AF2" w:rsidRPr="00272B28" w:rsidRDefault="00595EDF" w:rsidP="00781277">
      <w:pPr>
        <w:pStyle w:val="Numberedtext"/>
        <w:keepNext/>
      </w:pPr>
      <w:r w:rsidRPr="00272B28">
        <w:t>Other exceptions</w:t>
      </w:r>
      <w:r w:rsidRPr="00510CF2">
        <w:rPr>
          <w:color w:val="000000"/>
        </w:rPr>
        <w:t xml:space="preserve"> i</w:t>
      </w:r>
      <w:r w:rsidR="00D33C01" w:rsidRPr="00510CF2">
        <w:rPr>
          <w:color w:val="000000"/>
        </w:rPr>
        <w:t xml:space="preserve">nclude </w:t>
      </w:r>
      <w:r w:rsidR="00D33C01" w:rsidRPr="00272B28">
        <w:t>where:</w:t>
      </w:r>
    </w:p>
    <w:p w14:paraId="2AE6C84E" w14:textId="25D1F222" w:rsidR="00D33C01" w:rsidRPr="00272B28" w:rsidRDefault="00D33C01" w:rsidP="00781277">
      <w:pPr>
        <w:pStyle w:val="Dotpoint1"/>
      </w:pPr>
      <w:r w:rsidRPr="00272B28">
        <w:t>the supply of the second-hand goods to the entity was GST-free or by way of hire,</w:t>
      </w:r>
    </w:p>
    <w:p w14:paraId="3E09F24C" w14:textId="3497FDE4" w:rsidR="00D33C01" w:rsidRPr="00272B28" w:rsidRDefault="00D33C01" w:rsidP="00781277">
      <w:pPr>
        <w:pStyle w:val="Dotpoint1"/>
      </w:pPr>
      <w:r w:rsidRPr="00272B28">
        <w:t xml:space="preserve">the entity </w:t>
      </w:r>
      <w:r w:rsidR="00595EDF" w:rsidRPr="00272B28">
        <w:t>has claimed or intends to claim an input tax credit for the acquisition under another provision of the Act</w:t>
      </w:r>
      <w:r w:rsidRPr="00272B28">
        <w:t>,</w:t>
      </w:r>
    </w:p>
    <w:p w14:paraId="2339537F" w14:textId="1D160789" w:rsidR="00D33C01" w:rsidRPr="00272B28" w:rsidRDefault="00D33C01" w:rsidP="00781277">
      <w:pPr>
        <w:pStyle w:val="Dotpoint1"/>
      </w:pPr>
      <w:r w:rsidRPr="00272B28">
        <w:t xml:space="preserve">the entity imported the second-hand </w:t>
      </w:r>
      <w:proofErr w:type="gramStart"/>
      <w:r w:rsidRPr="00272B28">
        <w:t>goods</w:t>
      </w:r>
      <w:proofErr w:type="gramEnd"/>
      <w:r w:rsidRPr="00272B28">
        <w:t xml:space="preserve"> and that </w:t>
      </w:r>
      <w:r w:rsidR="00200BE0" w:rsidRPr="00272B28">
        <w:t>importation was not a taxable importation</w:t>
      </w:r>
      <w:r w:rsidR="00B26882" w:rsidRPr="00272B28">
        <w:t>,</w:t>
      </w:r>
      <w:r w:rsidR="000511B2" w:rsidRPr="00272B28">
        <w:t xml:space="preserve"> and</w:t>
      </w:r>
    </w:p>
    <w:p w14:paraId="644E2B4B" w14:textId="564874AD" w:rsidR="000511B2" w:rsidRPr="00272B28" w:rsidRDefault="00200BE0" w:rsidP="00781277">
      <w:pPr>
        <w:pStyle w:val="Dotpoint1"/>
      </w:pPr>
      <w:r w:rsidRPr="00272B28">
        <w:t xml:space="preserve">all or part of the second-hand goods acquired, other </w:t>
      </w:r>
      <w:r w:rsidR="007B3C2A" w:rsidRPr="00272B28">
        <w:t>than through</w:t>
      </w:r>
      <w:r w:rsidRPr="00272B28">
        <w:t xml:space="preserve"> a taxable supply or taxable importation, are subsequently supplied as a supply that is not a taxable supply</w:t>
      </w:r>
      <w:r w:rsidR="000511B2" w:rsidRPr="00272B28">
        <w:t>.</w:t>
      </w:r>
    </w:p>
    <w:p w14:paraId="5758B857" w14:textId="4116314D" w:rsidR="00B419CC" w:rsidRPr="00272B28" w:rsidRDefault="000511B2" w:rsidP="00781277">
      <w:pPr>
        <w:pStyle w:val="Numberedtext"/>
      </w:pPr>
      <w:r w:rsidRPr="00510CF2">
        <w:t>Also, w</w:t>
      </w:r>
      <w:r w:rsidR="00B419CC" w:rsidRPr="00510CF2">
        <w:t xml:space="preserve">here </w:t>
      </w:r>
      <w:r w:rsidR="007223BA" w:rsidRPr="00510CF2">
        <w:t>Subdivision 66-B of the Act</w:t>
      </w:r>
      <w:r w:rsidR="00B419CC" w:rsidRPr="00510CF2">
        <w:t xml:space="preserve"> already applies to the acquisition of second-hand goods that are divided for re-supply, the instrument does not a</w:t>
      </w:r>
      <w:r w:rsidR="00E84C6B" w:rsidRPr="00510CF2">
        <w:t>pply and does not</w:t>
      </w:r>
      <w:r w:rsidR="00E84C6B" w:rsidRPr="00272B28">
        <w:rPr>
          <w:shd w:val="clear" w:color="auto" w:fill="FFFFFF"/>
        </w:rPr>
        <w:t xml:space="preserve"> a</w:t>
      </w:r>
      <w:r w:rsidR="00B419CC" w:rsidRPr="00272B28">
        <w:rPr>
          <w:shd w:val="clear" w:color="auto" w:fill="FFFFFF"/>
        </w:rPr>
        <w:t xml:space="preserve">ffect the operation of Subdivision 66-B of the Act in relation to those </w:t>
      </w:r>
      <w:r w:rsidR="00B419CC" w:rsidRPr="00510CF2">
        <w:t>goods.</w:t>
      </w:r>
    </w:p>
    <w:p w14:paraId="4BC7CDDD" w14:textId="29FE9A73" w:rsidR="00FF1D2B" w:rsidRPr="00272B28" w:rsidRDefault="000511B2" w:rsidP="00781277">
      <w:pPr>
        <w:pStyle w:val="Numberedtext"/>
        <w:keepNext/>
      </w:pPr>
      <w:r w:rsidRPr="00272B28">
        <w:lastRenderedPageBreak/>
        <w:t>Subsection 6(3) lists the</w:t>
      </w:r>
      <w:r w:rsidR="00FF1D2B" w:rsidRPr="00272B28">
        <w:t xml:space="preserve"> kinds of second-hand goods </w:t>
      </w:r>
      <w:r w:rsidR="00DC1E79" w:rsidRPr="00272B28">
        <w:t xml:space="preserve">to which </w:t>
      </w:r>
      <w:r w:rsidRPr="00272B28">
        <w:t xml:space="preserve">Subdivision 66-B of the Act </w:t>
      </w:r>
      <w:r w:rsidR="00FD4D27" w:rsidRPr="00272B28">
        <w:t xml:space="preserve">applies, </w:t>
      </w:r>
      <w:proofErr w:type="gramStart"/>
      <w:r w:rsidR="00FD4D27" w:rsidRPr="00272B28">
        <w:t>provided</w:t>
      </w:r>
      <w:r w:rsidR="00FF1D2B" w:rsidRPr="00272B28">
        <w:t xml:space="preserve"> that</w:t>
      </w:r>
      <w:proofErr w:type="gramEnd"/>
      <w:r w:rsidR="00FF1D2B" w:rsidRPr="00272B28">
        <w:t xml:space="preserve"> none of the conditions set out in </w:t>
      </w:r>
      <w:r w:rsidR="004F7AAD" w:rsidRPr="00272B28">
        <w:t>subsection 6(2)</w:t>
      </w:r>
      <w:r w:rsidR="00FF1D2B" w:rsidRPr="00272B28">
        <w:t xml:space="preserve"> apply to the goods</w:t>
      </w:r>
      <w:r w:rsidRPr="00272B28">
        <w:t>. The specified second-hand goods are</w:t>
      </w:r>
      <w:r w:rsidR="00FF1D2B" w:rsidRPr="00272B28">
        <w:t>:</w:t>
      </w:r>
    </w:p>
    <w:p w14:paraId="45C1A849" w14:textId="23801C2E" w:rsidR="00FF1D2B" w:rsidRPr="00272B28" w:rsidRDefault="00FF1D2B" w:rsidP="00781277">
      <w:pPr>
        <w:pStyle w:val="Dotpoint1"/>
      </w:pPr>
      <w:r w:rsidRPr="00272B28">
        <w:t xml:space="preserve">an </w:t>
      </w:r>
      <w:proofErr w:type="gramStart"/>
      <w:r w:rsidRPr="00272B28">
        <w:t>aircraft;</w:t>
      </w:r>
      <w:proofErr w:type="gramEnd"/>
    </w:p>
    <w:p w14:paraId="0F4BD68E" w14:textId="3767F909" w:rsidR="00FF1D2B" w:rsidRPr="00272B28" w:rsidRDefault="00FF1D2B" w:rsidP="00781277">
      <w:pPr>
        <w:pStyle w:val="Dotpoint1"/>
      </w:pPr>
      <w:r w:rsidRPr="00272B28">
        <w:t xml:space="preserve">an </w:t>
      </w:r>
      <w:proofErr w:type="gramStart"/>
      <w:r w:rsidRPr="00272B28">
        <w:t>antique;</w:t>
      </w:r>
      <w:proofErr w:type="gramEnd"/>
    </w:p>
    <w:p w14:paraId="2E03EC06" w14:textId="11F5F1DE" w:rsidR="00FF1D2B" w:rsidRPr="00272B28" w:rsidRDefault="00FF1D2B" w:rsidP="00781277">
      <w:pPr>
        <w:pStyle w:val="Dotpoint1"/>
      </w:pPr>
      <w:r w:rsidRPr="00272B28">
        <w:t xml:space="preserve">a bag, carry case, suitcase or similar </w:t>
      </w:r>
      <w:proofErr w:type="gramStart"/>
      <w:r w:rsidRPr="00272B28">
        <w:t>item;</w:t>
      </w:r>
      <w:proofErr w:type="gramEnd"/>
    </w:p>
    <w:p w14:paraId="1404DBAE" w14:textId="4CE34889" w:rsidR="00FF1D2B" w:rsidRPr="00272B28" w:rsidRDefault="00FF1D2B" w:rsidP="00781277">
      <w:pPr>
        <w:pStyle w:val="Dotpoint1"/>
      </w:pPr>
      <w:r w:rsidRPr="00272B28">
        <w:t xml:space="preserve">a boat, ship or other marine </w:t>
      </w:r>
      <w:proofErr w:type="gramStart"/>
      <w:r w:rsidRPr="00272B28">
        <w:t>craft;</w:t>
      </w:r>
      <w:proofErr w:type="gramEnd"/>
    </w:p>
    <w:p w14:paraId="6EE8F289" w14:textId="57C1359F" w:rsidR="00FF1D2B" w:rsidRPr="00272B28" w:rsidRDefault="00FF1D2B" w:rsidP="00781277">
      <w:pPr>
        <w:pStyle w:val="Dotpoint1"/>
      </w:pPr>
      <w:r w:rsidRPr="00272B28">
        <w:t xml:space="preserve">a book, newspaper, magazine, folio, manuscript or other printed </w:t>
      </w:r>
      <w:proofErr w:type="gramStart"/>
      <w:r w:rsidRPr="00272B28">
        <w:t>material;</w:t>
      </w:r>
      <w:proofErr w:type="gramEnd"/>
    </w:p>
    <w:p w14:paraId="0A3A1A67" w14:textId="00234E2C" w:rsidR="00FF1D2B" w:rsidRPr="00272B28" w:rsidRDefault="00FF1D2B" w:rsidP="00781277">
      <w:pPr>
        <w:pStyle w:val="Dotpoint1"/>
      </w:pPr>
      <w:proofErr w:type="gramStart"/>
      <w:r w:rsidRPr="00272B28">
        <w:t>bric-a-brac;</w:t>
      </w:r>
      <w:proofErr w:type="gramEnd"/>
    </w:p>
    <w:p w14:paraId="748EA37F" w14:textId="2B82C9B3" w:rsidR="00FF1D2B" w:rsidRPr="00272B28" w:rsidRDefault="00FF1D2B" w:rsidP="00781277">
      <w:pPr>
        <w:pStyle w:val="Dotpoint1"/>
      </w:pPr>
      <w:r w:rsidRPr="00272B28">
        <w:t xml:space="preserve">building </w:t>
      </w:r>
      <w:proofErr w:type="gramStart"/>
      <w:r w:rsidRPr="00272B28">
        <w:t>materials;</w:t>
      </w:r>
      <w:proofErr w:type="gramEnd"/>
    </w:p>
    <w:p w14:paraId="2761316C" w14:textId="081B0705" w:rsidR="00FF1D2B" w:rsidRPr="00272B28" w:rsidRDefault="00FF1D2B" w:rsidP="00781277">
      <w:pPr>
        <w:pStyle w:val="Dotpoint1"/>
      </w:pPr>
      <w:r w:rsidRPr="00272B28">
        <w:t xml:space="preserve">clothing or </w:t>
      </w:r>
      <w:proofErr w:type="gramStart"/>
      <w:r w:rsidRPr="00272B28">
        <w:t>shoes;</w:t>
      </w:r>
      <w:proofErr w:type="gramEnd"/>
    </w:p>
    <w:p w14:paraId="7C242E77" w14:textId="7659ACF8" w:rsidR="00FF1D2B" w:rsidRPr="00272B28" w:rsidRDefault="00FF1D2B" w:rsidP="00781277">
      <w:pPr>
        <w:pStyle w:val="Dotpoint1"/>
      </w:pPr>
      <w:r w:rsidRPr="00272B28">
        <w:t xml:space="preserve">a coin, medallion or other numismatic </w:t>
      </w:r>
      <w:proofErr w:type="gramStart"/>
      <w:r w:rsidRPr="00272B28">
        <w:t>item;</w:t>
      </w:r>
      <w:proofErr w:type="gramEnd"/>
    </w:p>
    <w:p w14:paraId="06367691" w14:textId="62C3856C" w:rsidR="00FF1D2B" w:rsidRPr="00272B28" w:rsidRDefault="00FF1D2B" w:rsidP="00781277">
      <w:pPr>
        <w:pStyle w:val="Dotpoint1"/>
      </w:pPr>
      <w:r w:rsidRPr="00272B28">
        <w:t xml:space="preserve">a </w:t>
      </w:r>
      <w:proofErr w:type="gramStart"/>
      <w:r w:rsidRPr="00272B28">
        <w:t>collectable;</w:t>
      </w:r>
      <w:proofErr w:type="gramEnd"/>
    </w:p>
    <w:p w14:paraId="30148502" w14:textId="68C241BB" w:rsidR="00FF1D2B" w:rsidRPr="00272B28" w:rsidRDefault="00FF1D2B" w:rsidP="00781277">
      <w:pPr>
        <w:pStyle w:val="Dotpoint1"/>
      </w:pPr>
      <w:r w:rsidRPr="00272B28">
        <w:t xml:space="preserve">a compact disc, DVD, record, video or audio </w:t>
      </w:r>
      <w:proofErr w:type="gramStart"/>
      <w:r w:rsidRPr="00272B28">
        <w:t>cassette;</w:t>
      </w:r>
      <w:proofErr w:type="gramEnd"/>
    </w:p>
    <w:p w14:paraId="03288F5F" w14:textId="3443793C" w:rsidR="00FF1D2B" w:rsidRPr="00272B28" w:rsidRDefault="00FF1D2B" w:rsidP="00781277">
      <w:pPr>
        <w:pStyle w:val="Dotpoint1"/>
      </w:pPr>
      <w:r w:rsidRPr="00272B28">
        <w:t xml:space="preserve">a cot, pram, stroller, safety seat or other item designed for </w:t>
      </w:r>
      <w:proofErr w:type="gramStart"/>
      <w:r w:rsidRPr="00272B28">
        <w:t>infants;</w:t>
      </w:r>
      <w:proofErr w:type="gramEnd"/>
    </w:p>
    <w:p w14:paraId="0EDB6CDE" w14:textId="4E30F333" w:rsidR="00FF1D2B" w:rsidRPr="00272B28" w:rsidRDefault="00FF1D2B" w:rsidP="00781277">
      <w:pPr>
        <w:pStyle w:val="Dotpoint1"/>
      </w:pPr>
      <w:r w:rsidRPr="00272B28">
        <w:t xml:space="preserve">computer hardware or </w:t>
      </w:r>
      <w:proofErr w:type="gramStart"/>
      <w:r w:rsidRPr="00272B28">
        <w:t>software;</w:t>
      </w:r>
      <w:proofErr w:type="gramEnd"/>
    </w:p>
    <w:p w14:paraId="0A286658" w14:textId="5224ACAA" w:rsidR="00FF1D2B" w:rsidRPr="00272B28" w:rsidRDefault="00FF1D2B" w:rsidP="00781277">
      <w:pPr>
        <w:pStyle w:val="Dotpoint1"/>
      </w:pPr>
      <w:r w:rsidRPr="00272B28">
        <w:t xml:space="preserve">a </w:t>
      </w:r>
      <w:proofErr w:type="gramStart"/>
      <w:r w:rsidRPr="00272B28">
        <w:t>container;</w:t>
      </w:r>
      <w:proofErr w:type="gramEnd"/>
    </w:p>
    <w:p w14:paraId="33430851" w14:textId="0D87F980" w:rsidR="00FF1D2B" w:rsidRPr="00272B28" w:rsidRDefault="00FF1D2B" w:rsidP="00781277">
      <w:pPr>
        <w:pStyle w:val="Dotpoint1"/>
      </w:pPr>
      <w:r w:rsidRPr="00272B28">
        <w:t xml:space="preserve">an electrical appliance or item of electrical </w:t>
      </w:r>
      <w:proofErr w:type="gramStart"/>
      <w:r w:rsidRPr="00272B28">
        <w:t>equipment;</w:t>
      </w:r>
      <w:proofErr w:type="gramEnd"/>
    </w:p>
    <w:p w14:paraId="5E7B8547" w14:textId="7ACA463B" w:rsidR="00FF1D2B" w:rsidRPr="00272B28" w:rsidRDefault="00FF1D2B" w:rsidP="00781277">
      <w:pPr>
        <w:pStyle w:val="Dotpoint1"/>
      </w:pPr>
      <w:r w:rsidRPr="00272B28">
        <w:t xml:space="preserve">electronic </w:t>
      </w:r>
      <w:proofErr w:type="gramStart"/>
      <w:r w:rsidRPr="00272B28">
        <w:t>equipment;</w:t>
      </w:r>
      <w:proofErr w:type="gramEnd"/>
    </w:p>
    <w:p w14:paraId="0C02FC09" w14:textId="272FDEF7" w:rsidR="00FF1D2B" w:rsidRPr="00272B28" w:rsidRDefault="00FF1D2B" w:rsidP="00781277">
      <w:pPr>
        <w:pStyle w:val="Dotpoint1"/>
      </w:pPr>
      <w:r w:rsidRPr="00272B28">
        <w:t xml:space="preserve">a </w:t>
      </w:r>
      <w:proofErr w:type="gramStart"/>
      <w:r w:rsidRPr="00272B28">
        <w:t>firearm;</w:t>
      </w:r>
      <w:proofErr w:type="gramEnd"/>
    </w:p>
    <w:p w14:paraId="294AA1C3" w14:textId="1E6A0228" w:rsidR="00FF1D2B" w:rsidRPr="00272B28" w:rsidRDefault="00FF1D2B" w:rsidP="00781277">
      <w:pPr>
        <w:pStyle w:val="Dotpoint1"/>
      </w:pPr>
      <w:proofErr w:type="gramStart"/>
      <w:r w:rsidRPr="00272B28">
        <w:t>furniture;</w:t>
      </w:r>
      <w:proofErr w:type="gramEnd"/>
    </w:p>
    <w:p w14:paraId="58B9989A" w14:textId="5BA88700" w:rsidR="00FF1D2B" w:rsidRPr="00272B28" w:rsidRDefault="00FF1D2B" w:rsidP="00781277">
      <w:pPr>
        <w:pStyle w:val="Dotpoint1"/>
      </w:pPr>
      <w:proofErr w:type="gramStart"/>
      <w:r w:rsidRPr="00272B28">
        <w:t>furnishings;</w:t>
      </w:r>
      <w:proofErr w:type="gramEnd"/>
    </w:p>
    <w:p w14:paraId="644AB6B2" w14:textId="7252E60D" w:rsidR="00FF1D2B" w:rsidRPr="00272B28" w:rsidRDefault="00FF1D2B" w:rsidP="00781277">
      <w:pPr>
        <w:pStyle w:val="Dotpoint1"/>
      </w:pPr>
      <w:r w:rsidRPr="00272B28">
        <w:t xml:space="preserve">a gardening tool or </w:t>
      </w:r>
      <w:proofErr w:type="gramStart"/>
      <w:r w:rsidRPr="00272B28">
        <w:t>equipment;</w:t>
      </w:r>
      <w:proofErr w:type="gramEnd"/>
    </w:p>
    <w:p w14:paraId="0C54A1C4" w14:textId="37AB5EA4" w:rsidR="00FF1D2B" w:rsidRPr="00272B28" w:rsidRDefault="00FF1D2B" w:rsidP="00781277">
      <w:pPr>
        <w:pStyle w:val="Dotpoint1"/>
      </w:pPr>
      <w:r w:rsidRPr="00272B28">
        <w:t xml:space="preserve">equipment used for </w:t>
      </w:r>
      <w:proofErr w:type="gramStart"/>
      <w:r w:rsidRPr="00272B28">
        <w:t>hobbies;</w:t>
      </w:r>
      <w:proofErr w:type="gramEnd"/>
    </w:p>
    <w:p w14:paraId="7F70C321" w14:textId="5ED3E433" w:rsidR="00FF1D2B" w:rsidRPr="00272B28" w:rsidRDefault="00FF1D2B" w:rsidP="00781277">
      <w:pPr>
        <w:pStyle w:val="Dotpoint1"/>
      </w:pPr>
      <w:r w:rsidRPr="00272B28">
        <w:t xml:space="preserve">household ware including kitchenware or a bathroom </w:t>
      </w:r>
      <w:proofErr w:type="gramStart"/>
      <w:r w:rsidRPr="00272B28">
        <w:t>fitting;</w:t>
      </w:r>
      <w:proofErr w:type="gramEnd"/>
    </w:p>
    <w:p w14:paraId="68F0B881" w14:textId="006ABE5A" w:rsidR="00FF1D2B" w:rsidRPr="00272B28" w:rsidRDefault="00FF1D2B" w:rsidP="00781277">
      <w:pPr>
        <w:pStyle w:val="Dotpoint1"/>
      </w:pPr>
      <w:r w:rsidRPr="00272B28">
        <w:t>jewellery or personal accessory (including spectacles or a watch</w:t>
      </w:r>
      <w:proofErr w:type="gramStart"/>
      <w:r w:rsidRPr="00272B28">
        <w:t>);</w:t>
      </w:r>
      <w:proofErr w:type="gramEnd"/>
    </w:p>
    <w:p w14:paraId="272AD803" w14:textId="3C250F23" w:rsidR="00FF1D2B" w:rsidRPr="00272B28" w:rsidRDefault="00FF1D2B" w:rsidP="00781277">
      <w:pPr>
        <w:pStyle w:val="Dotpoint1"/>
      </w:pPr>
      <w:r w:rsidRPr="00272B28">
        <w:t xml:space="preserve">machinery, tool, implement, apparatus or </w:t>
      </w:r>
      <w:proofErr w:type="gramStart"/>
      <w:r w:rsidRPr="00272B28">
        <w:t>equipment;</w:t>
      </w:r>
      <w:proofErr w:type="gramEnd"/>
    </w:p>
    <w:p w14:paraId="722972FA" w14:textId="62C6CA78" w:rsidR="00FF1D2B" w:rsidRPr="00272B28" w:rsidRDefault="00FF1D2B" w:rsidP="00781277">
      <w:pPr>
        <w:pStyle w:val="Dotpoint1"/>
      </w:pPr>
      <w:r w:rsidRPr="00272B28">
        <w:t xml:space="preserve">a medical or health aid or </w:t>
      </w:r>
      <w:proofErr w:type="gramStart"/>
      <w:r w:rsidRPr="00272B28">
        <w:t>appliance;</w:t>
      </w:r>
      <w:proofErr w:type="gramEnd"/>
    </w:p>
    <w:p w14:paraId="40071FDD" w14:textId="109E2991" w:rsidR="00FF1D2B" w:rsidRPr="00272B28" w:rsidRDefault="00FF1D2B" w:rsidP="00781277">
      <w:pPr>
        <w:pStyle w:val="Dotpoint1"/>
      </w:pPr>
      <w:r w:rsidRPr="00272B28">
        <w:t xml:space="preserve">a motor vehicle or any other form of vehicle including non-powered vehicle such as a bicycle or a horse drawn </w:t>
      </w:r>
      <w:proofErr w:type="gramStart"/>
      <w:r w:rsidRPr="00272B28">
        <w:t>vehicle;</w:t>
      </w:r>
      <w:proofErr w:type="gramEnd"/>
    </w:p>
    <w:p w14:paraId="751AB749" w14:textId="7D193148" w:rsidR="00FF1D2B" w:rsidRPr="00272B28" w:rsidRDefault="00FF1D2B" w:rsidP="00781277">
      <w:pPr>
        <w:pStyle w:val="Dotpoint1"/>
      </w:pPr>
      <w:r w:rsidRPr="00272B28">
        <w:t xml:space="preserve">a musical </w:t>
      </w:r>
      <w:proofErr w:type="gramStart"/>
      <w:r w:rsidRPr="00272B28">
        <w:t>instrument;</w:t>
      </w:r>
      <w:proofErr w:type="gramEnd"/>
    </w:p>
    <w:p w14:paraId="3EE2B136" w14:textId="77777777" w:rsidR="00FF1D2B" w:rsidRPr="00272B28" w:rsidRDefault="00FF1D2B" w:rsidP="00781277">
      <w:pPr>
        <w:pStyle w:val="Dotpoint1"/>
      </w:pPr>
      <w:r w:rsidRPr="00272B28">
        <w:t xml:space="preserve">an ornament or decorative </w:t>
      </w:r>
      <w:proofErr w:type="gramStart"/>
      <w:r w:rsidRPr="00272B28">
        <w:t>item;</w:t>
      </w:r>
      <w:proofErr w:type="gramEnd"/>
    </w:p>
    <w:p w14:paraId="1B62B4AE" w14:textId="18A64CF2" w:rsidR="00FF1D2B" w:rsidRPr="00272B28" w:rsidRDefault="00FF1D2B" w:rsidP="00781277">
      <w:pPr>
        <w:pStyle w:val="Dotpoint1"/>
      </w:pPr>
      <w:r w:rsidRPr="00272B28">
        <w:t xml:space="preserve">an item used for outdoor </w:t>
      </w:r>
      <w:proofErr w:type="gramStart"/>
      <w:r w:rsidRPr="00272B28">
        <w:t>recreation;</w:t>
      </w:r>
      <w:proofErr w:type="gramEnd"/>
    </w:p>
    <w:p w14:paraId="64BC96D7" w14:textId="599FBADF" w:rsidR="00FF1D2B" w:rsidRPr="00272B28" w:rsidRDefault="00FF1D2B" w:rsidP="00781277">
      <w:pPr>
        <w:pStyle w:val="Dotpoint1"/>
        <w:rPr>
          <w:color w:val="000000"/>
        </w:rPr>
      </w:pPr>
      <w:r w:rsidRPr="00272B28">
        <w:t xml:space="preserve">a personal item or </w:t>
      </w:r>
      <w:proofErr w:type="gramStart"/>
      <w:r w:rsidRPr="00272B28">
        <w:t>appliance;</w:t>
      </w:r>
      <w:proofErr w:type="gramEnd"/>
    </w:p>
    <w:p w14:paraId="6BC5BBF7" w14:textId="6D2AB432" w:rsidR="00FF1D2B" w:rsidRPr="00272B28" w:rsidRDefault="00FF1D2B" w:rsidP="00781277">
      <w:pPr>
        <w:pStyle w:val="Dotpoint1"/>
      </w:pPr>
      <w:r w:rsidRPr="00272B28">
        <w:t xml:space="preserve">a print, photograph, etching, drawing, painting, sculpture or other similar work of </w:t>
      </w:r>
      <w:proofErr w:type="gramStart"/>
      <w:r w:rsidRPr="00272B28">
        <w:t>art;</w:t>
      </w:r>
      <w:proofErr w:type="gramEnd"/>
    </w:p>
    <w:p w14:paraId="06B2316F" w14:textId="04EB6A7D" w:rsidR="00FF1D2B" w:rsidRPr="00272B28" w:rsidRDefault="00FF1D2B" w:rsidP="00781277">
      <w:pPr>
        <w:pStyle w:val="Dotpoint1"/>
      </w:pPr>
      <w:r w:rsidRPr="00272B28">
        <w:t xml:space="preserve">photographic </w:t>
      </w:r>
      <w:proofErr w:type="gramStart"/>
      <w:r w:rsidRPr="00272B28">
        <w:t>equipment;</w:t>
      </w:r>
      <w:proofErr w:type="gramEnd"/>
    </w:p>
    <w:p w14:paraId="3066EE8C" w14:textId="611719D9" w:rsidR="00FF1D2B" w:rsidRPr="00272B28" w:rsidRDefault="00FF1D2B" w:rsidP="00781277">
      <w:pPr>
        <w:pStyle w:val="Dotpoint1"/>
      </w:pPr>
      <w:r w:rsidRPr="00272B28">
        <w:t xml:space="preserve">scrap </w:t>
      </w:r>
      <w:proofErr w:type="gramStart"/>
      <w:r w:rsidRPr="00272B28">
        <w:t>materials;</w:t>
      </w:r>
      <w:proofErr w:type="gramEnd"/>
    </w:p>
    <w:p w14:paraId="0CBB4357" w14:textId="2AAE0B4C" w:rsidR="00FF1D2B" w:rsidRPr="00272B28" w:rsidRDefault="00FF1D2B" w:rsidP="00781277">
      <w:pPr>
        <w:pStyle w:val="Dotpoint1"/>
      </w:pPr>
      <w:r w:rsidRPr="00272B28">
        <w:lastRenderedPageBreak/>
        <w:t xml:space="preserve">sports </w:t>
      </w:r>
      <w:proofErr w:type="gramStart"/>
      <w:r w:rsidRPr="00272B28">
        <w:t>equipment;</w:t>
      </w:r>
      <w:proofErr w:type="gramEnd"/>
    </w:p>
    <w:p w14:paraId="0315AE5F" w14:textId="413E7F45" w:rsidR="00FF1D2B" w:rsidRPr="00272B28" w:rsidRDefault="00FF1D2B" w:rsidP="00781277">
      <w:pPr>
        <w:pStyle w:val="Dotpoint1"/>
      </w:pPr>
      <w:r w:rsidRPr="00272B28">
        <w:t xml:space="preserve">a trailer or </w:t>
      </w:r>
      <w:proofErr w:type="gramStart"/>
      <w:r w:rsidRPr="00272B28">
        <w:t>caravan;</w:t>
      </w:r>
      <w:proofErr w:type="gramEnd"/>
    </w:p>
    <w:p w14:paraId="345B5C4A" w14:textId="018E0899" w:rsidR="00FF1D2B" w:rsidRPr="00272B28" w:rsidRDefault="00FF1D2B" w:rsidP="00781277">
      <w:pPr>
        <w:pStyle w:val="Dotpoint1"/>
      </w:pPr>
      <w:r w:rsidRPr="00272B28">
        <w:t xml:space="preserve">a stamp or </w:t>
      </w:r>
      <w:proofErr w:type="gramStart"/>
      <w:r w:rsidRPr="00272B28">
        <w:t>label;</w:t>
      </w:r>
      <w:proofErr w:type="gramEnd"/>
    </w:p>
    <w:p w14:paraId="33727342" w14:textId="77777777" w:rsidR="00FF1D2B" w:rsidRPr="00272B28" w:rsidRDefault="00FF1D2B" w:rsidP="00781277">
      <w:pPr>
        <w:pStyle w:val="Dotpoint1"/>
      </w:pPr>
      <w:r w:rsidRPr="00272B28">
        <w:t xml:space="preserve">telephonic equipment including a mobile phone or answering </w:t>
      </w:r>
      <w:proofErr w:type="gramStart"/>
      <w:r w:rsidRPr="00272B28">
        <w:t>machine;</w:t>
      </w:r>
      <w:proofErr w:type="gramEnd"/>
    </w:p>
    <w:p w14:paraId="032358E5" w14:textId="2D847B5C" w:rsidR="00FF1D2B" w:rsidRPr="00272B28" w:rsidRDefault="00FF1D2B" w:rsidP="00781277">
      <w:pPr>
        <w:pStyle w:val="Dotpoint1"/>
      </w:pPr>
      <w:r w:rsidRPr="00272B28">
        <w:t xml:space="preserve">a toy or </w:t>
      </w:r>
      <w:proofErr w:type="gramStart"/>
      <w:r w:rsidRPr="00272B28">
        <w:t>game;</w:t>
      </w:r>
      <w:proofErr w:type="gramEnd"/>
    </w:p>
    <w:p w14:paraId="2CE6F9A9" w14:textId="37767546" w:rsidR="00FF1D2B" w:rsidRPr="00272B28" w:rsidRDefault="00FF1D2B" w:rsidP="00781277">
      <w:pPr>
        <w:pStyle w:val="Dotpoint1"/>
      </w:pPr>
      <w:r w:rsidRPr="00272B28">
        <w:t xml:space="preserve">a </w:t>
      </w:r>
      <w:proofErr w:type="gramStart"/>
      <w:r w:rsidRPr="00272B28">
        <w:t>weapon;</w:t>
      </w:r>
      <w:proofErr w:type="gramEnd"/>
    </w:p>
    <w:p w14:paraId="2BF12199" w14:textId="32F036FC" w:rsidR="00FF1D2B" w:rsidRPr="00272B28" w:rsidRDefault="00FF1D2B" w:rsidP="00781277">
      <w:pPr>
        <w:pStyle w:val="Dotpoint1"/>
      </w:pPr>
      <w:r w:rsidRPr="00272B28">
        <w:t>a writing implement or stationery; or</w:t>
      </w:r>
    </w:p>
    <w:p w14:paraId="69174EC5" w14:textId="1D317A13" w:rsidR="00FF1D2B" w:rsidRPr="00272B28" w:rsidRDefault="00FF1D2B" w:rsidP="00781277">
      <w:pPr>
        <w:pStyle w:val="Dotpoint1"/>
      </w:pPr>
      <w:r w:rsidRPr="00272B28">
        <w:t>a part, accessory or component of any of the above.</w:t>
      </w:r>
    </w:p>
    <w:p w14:paraId="0E3E5768" w14:textId="364D2B44" w:rsidR="00FF1D2B" w:rsidRPr="00272B28" w:rsidRDefault="00FF1D2B" w:rsidP="001E7E5D">
      <w:pPr>
        <w:jc w:val="both"/>
        <w:rPr>
          <w:rFonts w:ascii="Arial" w:hAnsi="Arial" w:cs="Arial"/>
          <w:sz w:val="22"/>
          <w:szCs w:val="22"/>
        </w:rPr>
      </w:pPr>
    </w:p>
    <w:p w14:paraId="37208F1B" w14:textId="77777777" w:rsidR="00445957" w:rsidRPr="00272B28" w:rsidRDefault="00445957" w:rsidP="00EA0DAB">
      <w:pPr>
        <w:pStyle w:val="Heading2"/>
      </w:pPr>
      <w:r w:rsidRPr="00272B28">
        <w:t>Compliance cost assessment</w:t>
      </w:r>
    </w:p>
    <w:p w14:paraId="771EC0E4" w14:textId="28989C33" w:rsidR="00445957" w:rsidRPr="00272B28" w:rsidRDefault="00AD5DE7" w:rsidP="00781277">
      <w:pPr>
        <w:pStyle w:val="Numberedtext"/>
      </w:pPr>
      <w:r w:rsidRPr="001C5839">
        <w:rPr>
          <w:color w:val="000000"/>
        </w:rPr>
        <w:t>Compliance cost impact: Minor – There will be no additional regulatory impacts as the instrument is minor and machinery in nature (OIA25-09736)</w:t>
      </w:r>
      <w:r w:rsidR="00781277">
        <w:t>.</w:t>
      </w:r>
    </w:p>
    <w:p w14:paraId="0C3E6425" w14:textId="77777777" w:rsidR="00133CCB" w:rsidRPr="00781277" w:rsidRDefault="00133CCB" w:rsidP="00781277">
      <w:pPr>
        <w:jc w:val="both"/>
        <w:rPr>
          <w:rFonts w:ascii="Arial" w:hAnsi="Arial" w:cs="Arial"/>
          <w:sz w:val="22"/>
          <w:szCs w:val="22"/>
        </w:rPr>
      </w:pPr>
    </w:p>
    <w:p w14:paraId="13E4EE01" w14:textId="77777777" w:rsidR="00F1127A" w:rsidRPr="00272B28" w:rsidRDefault="00F1127A" w:rsidP="00EA0DAB">
      <w:pPr>
        <w:pStyle w:val="Heading2"/>
      </w:pPr>
      <w:r w:rsidRPr="00272B28">
        <w:t>Consultation</w:t>
      </w:r>
    </w:p>
    <w:p w14:paraId="508B4619" w14:textId="34B0E4C5" w:rsidR="00F1127A" w:rsidRDefault="00F1127A" w:rsidP="00781277">
      <w:pPr>
        <w:pStyle w:val="Numberedtext"/>
      </w:pPr>
      <w:bookmarkStart w:id="4" w:name="_Hlk200459497"/>
      <w:r w:rsidRPr="00272B28">
        <w:t xml:space="preserve">Subsection 17(1) of the </w:t>
      </w:r>
      <w:r w:rsidRPr="00272B28">
        <w:rPr>
          <w:i/>
        </w:rPr>
        <w:t>Legislation</w:t>
      </w:r>
      <w:r w:rsidRPr="00272B28">
        <w:rPr>
          <w:i/>
          <w:iCs/>
        </w:rPr>
        <w:t xml:space="preserve"> Act 2003</w:t>
      </w:r>
      <w:r w:rsidRPr="00272B28">
        <w:t xml:space="preserve"> </w:t>
      </w:r>
      <w:bookmarkEnd w:id="4"/>
      <w:r w:rsidRPr="00272B28">
        <w:t xml:space="preserve">requires the Commissioner </w:t>
      </w:r>
      <w:r w:rsidR="009A67CE" w:rsidRPr="00272B28">
        <w:t>to be</w:t>
      </w:r>
      <w:r w:rsidRPr="00272B28">
        <w:t xml:space="preserve"> satisfied that appropriate and reasonably practicable consultation has been undertaken before they make a</w:t>
      </w:r>
      <w:r w:rsidR="003A42A4" w:rsidRPr="00272B28">
        <w:t>n</w:t>
      </w:r>
      <w:r w:rsidRPr="00272B28">
        <w:t xml:space="preserve"> </w:t>
      </w:r>
      <w:r w:rsidR="003A42A4" w:rsidRPr="00272B28">
        <w:t>instrument</w:t>
      </w:r>
      <w:r w:rsidR="008E16CA" w:rsidRPr="00272B28">
        <w:t>.</w:t>
      </w:r>
    </w:p>
    <w:p w14:paraId="6E6A472C" w14:textId="0025D971" w:rsidR="002C5850" w:rsidRPr="00272B28" w:rsidRDefault="002C5850" w:rsidP="00781277">
      <w:pPr>
        <w:pStyle w:val="Numberedtext"/>
      </w:pPr>
      <w:r w:rsidRPr="0074509D">
        <w:rPr>
          <w:color w:val="000000"/>
        </w:rPr>
        <w:t xml:space="preserve">Public consultation was undertaken for a period of 4 weeks commencing </w:t>
      </w:r>
      <w:r>
        <w:rPr>
          <w:color w:val="000000"/>
        </w:rPr>
        <w:t xml:space="preserve">18 June </w:t>
      </w:r>
      <w:r w:rsidRPr="0074509D">
        <w:rPr>
          <w:color w:val="000000"/>
        </w:rPr>
        <w:t>2025 on drafts of this instrument and explanatory statement</w:t>
      </w:r>
      <w:r>
        <w:rPr>
          <w:color w:val="000000"/>
        </w:rPr>
        <w:t>.</w:t>
      </w:r>
    </w:p>
    <w:p w14:paraId="01B08637" w14:textId="77777777" w:rsidR="002C5850" w:rsidRPr="007A61F2" w:rsidRDefault="002C5850" w:rsidP="002C5850">
      <w:pPr>
        <w:numPr>
          <w:ilvl w:val="0"/>
          <w:numId w:val="1"/>
        </w:numPr>
        <w:tabs>
          <w:tab w:val="clear" w:pos="360"/>
        </w:tabs>
        <w:spacing w:after="120"/>
        <w:ind w:left="0" w:firstLine="0"/>
        <w:rPr>
          <w:rFonts w:ascii="Arial" w:hAnsi="Arial" w:cs="Arial"/>
          <w:color w:val="000000"/>
          <w:sz w:val="22"/>
          <w:szCs w:val="22"/>
        </w:rPr>
      </w:pPr>
      <w:r w:rsidRPr="007A61F2">
        <w:rPr>
          <w:rFonts w:ascii="Arial" w:hAnsi="Arial" w:cs="Arial"/>
          <w:color w:val="000000"/>
          <w:sz w:val="22"/>
          <w:szCs w:val="22"/>
        </w:rPr>
        <w:t>The draft instrument and draft explanatory statement were published on the ATO Legal database and publicised on the database's 'What's new' page. Major tax and superannuation publishers and associations commonly monitor these pages and usually include the details in the daily and weekly alerts and newsletters to their subscribers and members.</w:t>
      </w:r>
    </w:p>
    <w:p w14:paraId="6C19AEE4" w14:textId="77777777" w:rsidR="002C5850" w:rsidRPr="007A61F2" w:rsidRDefault="002C5850" w:rsidP="002C5850">
      <w:pPr>
        <w:numPr>
          <w:ilvl w:val="0"/>
          <w:numId w:val="1"/>
        </w:numPr>
        <w:tabs>
          <w:tab w:val="clear" w:pos="360"/>
        </w:tabs>
        <w:spacing w:after="120"/>
        <w:ind w:left="0" w:firstLine="0"/>
        <w:rPr>
          <w:rFonts w:ascii="Arial" w:hAnsi="Arial" w:cs="Arial"/>
          <w:color w:val="000000"/>
          <w:sz w:val="22"/>
          <w:szCs w:val="22"/>
        </w:rPr>
      </w:pPr>
      <w:r w:rsidRPr="007A61F2">
        <w:rPr>
          <w:rFonts w:ascii="Arial" w:hAnsi="Arial" w:cs="Arial"/>
          <w:color w:val="000000"/>
          <w:sz w:val="22"/>
          <w:szCs w:val="22"/>
        </w:rPr>
        <w:t>No feedback was received on the draft instrument and explanatory statement during the consultation period.</w:t>
      </w:r>
    </w:p>
    <w:p w14:paraId="38E864E1" w14:textId="77777777" w:rsidR="00F1127A" w:rsidRDefault="00F1127A" w:rsidP="001E7E5D">
      <w:pPr>
        <w:spacing w:after="120"/>
        <w:jc w:val="both"/>
        <w:rPr>
          <w:rFonts w:ascii="Arial" w:hAnsi="Arial" w:cs="Arial"/>
          <w:sz w:val="22"/>
          <w:szCs w:val="22"/>
        </w:rPr>
      </w:pPr>
    </w:p>
    <w:p w14:paraId="29763207" w14:textId="77777777" w:rsidR="00986077" w:rsidRDefault="00986077" w:rsidP="001E7E5D">
      <w:pPr>
        <w:spacing w:after="120"/>
        <w:jc w:val="both"/>
        <w:rPr>
          <w:rFonts w:ascii="Arial" w:hAnsi="Arial" w:cs="Arial"/>
          <w:sz w:val="22"/>
          <w:szCs w:val="22"/>
        </w:rPr>
      </w:pPr>
    </w:p>
    <w:p w14:paraId="37774F7F" w14:textId="25C21D9D" w:rsidR="00526403" w:rsidRPr="00272B28" w:rsidRDefault="00101CD5" w:rsidP="00EA0DAB">
      <w:pPr>
        <w:pStyle w:val="Heading2"/>
      </w:pPr>
      <w:r w:rsidRPr="00272B28">
        <w:br w:type="page"/>
      </w:r>
    </w:p>
    <w:p w14:paraId="773189BC" w14:textId="77777777" w:rsidR="00333567" w:rsidRPr="00986077" w:rsidRDefault="00E53399" w:rsidP="00873997">
      <w:pPr>
        <w:pStyle w:val="Heading3"/>
        <w:spacing w:before="0" w:after="120"/>
        <w:jc w:val="center"/>
        <w:rPr>
          <w:sz w:val="24"/>
          <w:szCs w:val="24"/>
        </w:rPr>
      </w:pPr>
      <w:r w:rsidRPr="00986077">
        <w:rPr>
          <w:sz w:val="24"/>
          <w:szCs w:val="24"/>
        </w:rPr>
        <w:lastRenderedPageBreak/>
        <w:t xml:space="preserve">Statement of compatibility </w:t>
      </w:r>
      <w:r w:rsidR="00C11D03" w:rsidRPr="00986077">
        <w:rPr>
          <w:sz w:val="24"/>
          <w:szCs w:val="24"/>
        </w:rPr>
        <w:t xml:space="preserve">with </w:t>
      </w:r>
      <w:r w:rsidR="006C0522" w:rsidRPr="00986077">
        <w:rPr>
          <w:sz w:val="24"/>
          <w:szCs w:val="24"/>
        </w:rPr>
        <w:t>h</w:t>
      </w:r>
      <w:r w:rsidR="00C11D03" w:rsidRPr="00986077">
        <w:rPr>
          <w:sz w:val="24"/>
          <w:szCs w:val="24"/>
        </w:rPr>
        <w:t xml:space="preserve">uman </w:t>
      </w:r>
      <w:r w:rsidR="006C0522" w:rsidRPr="00986077">
        <w:rPr>
          <w:sz w:val="24"/>
          <w:szCs w:val="24"/>
        </w:rPr>
        <w:t>r</w:t>
      </w:r>
      <w:r w:rsidR="00C11D03" w:rsidRPr="00986077">
        <w:rPr>
          <w:sz w:val="24"/>
          <w:szCs w:val="24"/>
        </w:rPr>
        <w:t>ights</w:t>
      </w:r>
    </w:p>
    <w:p w14:paraId="565D1A0C" w14:textId="77777777" w:rsidR="004031E4" w:rsidRPr="004031E4" w:rsidRDefault="004031E4" w:rsidP="004031E4">
      <w:pPr>
        <w:rPr>
          <w:rFonts w:ascii="Arial" w:hAnsi="Arial" w:cs="Arial"/>
          <w:sz w:val="22"/>
          <w:szCs w:val="22"/>
        </w:rPr>
      </w:pPr>
      <w:r w:rsidRPr="004031E4">
        <w:rPr>
          <w:rFonts w:ascii="Arial" w:hAnsi="Arial" w:cs="Arial"/>
          <w:sz w:val="22"/>
          <w:szCs w:val="22"/>
        </w:rPr>
        <w:t xml:space="preserve">Prepared in accordance with Part 3 of the </w:t>
      </w:r>
      <w:r w:rsidRPr="004031E4">
        <w:rPr>
          <w:rFonts w:ascii="Arial" w:hAnsi="Arial" w:cs="Arial"/>
          <w:i/>
          <w:iCs/>
          <w:sz w:val="22"/>
          <w:szCs w:val="22"/>
        </w:rPr>
        <w:t>Human Rights (Parliamentary Scrutiny) Act 2011</w:t>
      </w:r>
    </w:p>
    <w:p w14:paraId="72030B90" w14:textId="77777777" w:rsidR="00D77015" w:rsidRPr="00A54257" w:rsidRDefault="00D77015" w:rsidP="00873997">
      <w:pPr>
        <w:spacing w:after="120"/>
        <w:rPr>
          <w:rFonts w:ascii="Arial" w:hAnsi="Arial" w:cs="Arial"/>
          <w:b/>
          <w:bCs/>
          <w:i/>
          <w:iCs/>
          <w:sz w:val="22"/>
          <w:szCs w:val="22"/>
        </w:rPr>
      </w:pPr>
      <w:bookmarkStart w:id="5" w:name="_Hlk200459521"/>
    </w:p>
    <w:bookmarkEnd w:id="5"/>
    <w:p w14:paraId="71103ABD" w14:textId="1FEC1FCE" w:rsidR="00133CCB" w:rsidRPr="004031E4" w:rsidRDefault="00133CCB" w:rsidP="00133CCB">
      <w:pPr>
        <w:pStyle w:val="ShortT"/>
        <w:jc w:val="center"/>
        <w:rPr>
          <w:rFonts w:ascii="Arial" w:hAnsi="Arial" w:cs="Arial"/>
          <w:i/>
          <w:iCs/>
          <w:sz w:val="22"/>
          <w:szCs w:val="22"/>
        </w:rPr>
      </w:pPr>
      <w:r w:rsidRPr="004031E4">
        <w:rPr>
          <w:rFonts w:ascii="Arial" w:hAnsi="Arial" w:cs="Arial"/>
          <w:i/>
          <w:iCs/>
          <w:sz w:val="22"/>
          <w:szCs w:val="22"/>
        </w:rPr>
        <w:t>A New Tax System (Goods and Services Tax) (</w:t>
      </w:r>
      <w:r w:rsidR="007A2513" w:rsidRPr="004031E4">
        <w:rPr>
          <w:rFonts w:ascii="Arial" w:hAnsi="Arial" w:cs="Arial"/>
          <w:i/>
          <w:iCs/>
          <w:sz w:val="22"/>
          <w:szCs w:val="22"/>
        </w:rPr>
        <w:t>Acquisitions of Second-hand Goods</w:t>
      </w:r>
      <w:r w:rsidRPr="004031E4">
        <w:rPr>
          <w:rFonts w:ascii="Arial" w:hAnsi="Arial" w:cs="Arial"/>
          <w:i/>
          <w:iCs/>
          <w:sz w:val="22"/>
          <w:szCs w:val="22"/>
        </w:rPr>
        <w:t>) Determination 202</w:t>
      </w:r>
      <w:r w:rsidR="00356EFF" w:rsidRPr="004031E4">
        <w:rPr>
          <w:rFonts w:ascii="Arial" w:hAnsi="Arial" w:cs="Arial"/>
          <w:i/>
          <w:iCs/>
          <w:sz w:val="22"/>
          <w:szCs w:val="22"/>
        </w:rPr>
        <w:t>5</w:t>
      </w:r>
    </w:p>
    <w:p w14:paraId="07B43E4A" w14:textId="77777777" w:rsidR="00CB0CFA" w:rsidRPr="00272B28" w:rsidRDefault="00CB0CFA" w:rsidP="00CB0CFA">
      <w:pPr>
        <w:rPr>
          <w:rFonts w:ascii="Arial" w:hAnsi="Arial" w:cs="Arial"/>
          <w:sz w:val="22"/>
          <w:szCs w:val="22"/>
        </w:rPr>
      </w:pPr>
    </w:p>
    <w:p w14:paraId="0CC1539A" w14:textId="77777777" w:rsidR="009371D0" w:rsidRPr="00272B28" w:rsidRDefault="00075B58" w:rsidP="0096723A">
      <w:pPr>
        <w:spacing w:after="120"/>
        <w:rPr>
          <w:rFonts w:ascii="Arial" w:hAnsi="Arial" w:cs="Arial"/>
          <w:color w:val="000000"/>
          <w:sz w:val="22"/>
          <w:szCs w:val="22"/>
        </w:rPr>
      </w:pPr>
      <w:r w:rsidRPr="00272B28">
        <w:rPr>
          <w:rFonts w:ascii="Arial" w:hAnsi="Arial" w:cs="Arial"/>
          <w:color w:val="000000"/>
          <w:sz w:val="22"/>
          <w:szCs w:val="22"/>
        </w:rPr>
        <w:t xml:space="preserve">This </w:t>
      </w:r>
      <w:r w:rsidR="003B547B" w:rsidRPr="00272B28">
        <w:rPr>
          <w:rFonts w:ascii="Arial" w:hAnsi="Arial" w:cs="Arial"/>
          <w:color w:val="000000"/>
          <w:sz w:val="22"/>
          <w:szCs w:val="22"/>
        </w:rPr>
        <w:t>l</w:t>
      </w:r>
      <w:r w:rsidRPr="00272B28">
        <w:rPr>
          <w:rFonts w:ascii="Arial" w:hAnsi="Arial" w:cs="Arial"/>
          <w:color w:val="000000"/>
          <w:sz w:val="22"/>
          <w:szCs w:val="22"/>
        </w:rPr>
        <w:t xml:space="preserve">egislative </w:t>
      </w:r>
      <w:r w:rsidR="003B547B" w:rsidRPr="00272B28">
        <w:rPr>
          <w:rFonts w:ascii="Arial" w:hAnsi="Arial" w:cs="Arial"/>
          <w:color w:val="000000"/>
          <w:sz w:val="22"/>
          <w:szCs w:val="22"/>
        </w:rPr>
        <w:t>i</w:t>
      </w:r>
      <w:r w:rsidRPr="00272B28">
        <w:rPr>
          <w:rFonts w:ascii="Arial" w:hAnsi="Arial" w:cs="Arial"/>
          <w:color w:val="000000"/>
          <w:sz w:val="22"/>
          <w:szCs w:val="22"/>
        </w:rPr>
        <w:t xml:space="preserve">nstrument is compatible with the human rights and freedoms recognised or declared in the international instruments listed in section 3 of the </w:t>
      </w:r>
      <w:r w:rsidRPr="00272B28">
        <w:rPr>
          <w:rFonts w:ascii="Arial" w:hAnsi="Arial" w:cs="Arial"/>
          <w:i/>
          <w:color w:val="000000"/>
          <w:sz w:val="22"/>
          <w:szCs w:val="22"/>
        </w:rPr>
        <w:t>Human Righ</w:t>
      </w:r>
      <w:r w:rsidR="00101CD5" w:rsidRPr="00272B28">
        <w:rPr>
          <w:rFonts w:ascii="Arial" w:hAnsi="Arial" w:cs="Arial"/>
          <w:i/>
          <w:color w:val="000000"/>
          <w:sz w:val="22"/>
          <w:szCs w:val="22"/>
        </w:rPr>
        <w:t>ts (Parliamentary Scrutiny) Act </w:t>
      </w:r>
      <w:r w:rsidRPr="00272B28">
        <w:rPr>
          <w:rFonts w:ascii="Arial" w:hAnsi="Arial" w:cs="Arial"/>
          <w:i/>
          <w:color w:val="000000"/>
          <w:sz w:val="22"/>
          <w:szCs w:val="22"/>
        </w:rPr>
        <w:t>2011.</w:t>
      </w:r>
    </w:p>
    <w:p w14:paraId="6FB1044C" w14:textId="77777777" w:rsidR="00075B58" w:rsidRPr="00272B28" w:rsidRDefault="00075B58" w:rsidP="001E7E5D">
      <w:pPr>
        <w:spacing w:after="120"/>
        <w:jc w:val="both"/>
        <w:rPr>
          <w:rFonts w:ascii="Arial" w:hAnsi="Arial" w:cs="Arial"/>
          <w:sz w:val="22"/>
          <w:szCs w:val="22"/>
        </w:rPr>
      </w:pPr>
    </w:p>
    <w:p w14:paraId="74FED124" w14:textId="77777777" w:rsidR="00075B58" w:rsidRPr="00272B28" w:rsidRDefault="00075B58" w:rsidP="001E7E5D">
      <w:pPr>
        <w:pStyle w:val="Heading2"/>
        <w:jc w:val="both"/>
      </w:pPr>
      <w:r w:rsidRPr="00272B28">
        <w:t xml:space="preserve">Overview of </w:t>
      </w:r>
      <w:r w:rsidR="007E0A01" w:rsidRPr="00272B28">
        <w:t xml:space="preserve">the </w:t>
      </w:r>
      <w:r w:rsidR="003B547B" w:rsidRPr="00272B28">
        <w:t>l</w:t>
      </w:r>
      <w:r w:rsidRPr="00272B28">
        <w:t xml:space="preserve">egislative </w:t>
      </w:r>
      <w:r w:rsidR="003B547B" w:rsidRPr="00272B28">
        <w:t>i</w:t>
      </w:r>
      <w:r w:rsidRPr="00272B28">
        <w:t>nstrument</w:t>
      </w:r>
    </w:p>
    <w:p w14:paraId="6EAA43E4" w14:textId="357B9116" w:rsidR="00075B58" w:rsidRPr="00272B28" w:rsidRDefault="00133CCB" w:rsidP="0096723A">
      <w:pPr>
        <w:spacing w:after="120"/>
        <w:rPr>
          <w:rFonts w:ascii="Arial" w:hAnsi="Arial" w:cs="Arial"/>
          <w:bCs/>
          <w:sz w:val="22"/>
          <w:szCs w:val="22"/>
        </w:rPr>
      </w:pPr>
      <w:r w:rsidRPr="00272B28">
        <w:rPr>
          <w:rFonts w:ascii="Arial" w:hAnsi="Arial" w:cs="Arial"/>
          <w:color w:val="000000"/>
          <w:sz w:val="22"/>
          <w:szCs w:val="22"/>
          <w:shd w:val="clear" w:color="auto" w:fill="FFFFFF"/>
        </w:rPr>
        <w:t xml:space="preserve">This </w:t>
      </w:r>
      <w:r w:rsidR="00910899" w:rsidRPr="00272B28">
        <w:rPr>
          <w:rFonts w:ascii="Arial" w:hAnsi="Arial" w:cs="Arial"/>
          <w:color w:val="000000"/>
          <w:sz w:val="22"/>
          <w:szCs w:val="22"/>
          <w:shd w:val="clear" w:color="auto" w:fill="FFFFFF"/>
        </w:rPr>
        <w:t>l</w:t>
      </w:r>
      <w:r w:rsidRPr="00272B28">
        <w:rPr>
          <w:rFonts w:ascii="Arial" w:hAnsi="Arial" w:cs="Arial"/>
          <w:color w:val="000000"/>
          <w:sz w:val="22"/>
          <w:szCs w:val="22"/>
          <w:shd w:val="clear" w:color="auto" w:fill="FFFFFF"/>
        </w:rPr>
        <w:t xml:space="preserve">egislative </w:t>
      </w:r>
      <w:r w:rsidR="00910899" w:rsidRPr="00272B28">
        <w:rPr>
          <w:rFonts w:ascii="Arial" w:hAnsi="Arial" w:cs="Arial"/>
          <w:color w:val="000000"/>
          <w:sz w:val="22"/>
          <w:szCs w:val="22"/>
          <w:shd w:val="clear" w:color="auto" w:fill="FFFFFF"/>
        </w:rPr>
        <w:t>i</w:t>
      </w:r>
      <w:r w:rsidRPr="00272B28">
        <w:rPr>
          <w:rFonts w:ascii="Arial" w:hAnsi="Arial" w:cs="Arial"/>
          <w:color w:val="000000"/>
          <w:sz w:val="22"/>
          <w:szCs w:val="22"/>
          <w:shd w:val="clear" w:color="auto" w:fill="FFFFFF"/>
        </w:rPr>
        <w:t xml:space="preserve">nstrument </w:t>
      </w:r>
      <w:r w:rsidR="00CA35C8" w:rsidRPr="00272B28">
        <w:rPr>
          <w:rFonts w:ascii="Arial" w:hAnsi="Arial" w:cs="Arial"/>
          <w:color w:val="000000"/>
          <w:sz w:val="22"/>
          <w:szCs w:val="22"/>
          <w:shd w:val="clear" w:color="auto" w:fill="FFFFFF"/>
        </w:rPr>
        <w:t>allows</w:t>
      </w:r>
      <w:r w:rsidRPr="00272B28">
        <w:rPr>
          <w:rFonts w:ascii="Arial" w:hAnsi="Arial" w:cs="Arial"/>
          <w:color w:val="000000"/>
          <w:sz w:val="22"/>
          <w:szCs w:val="22"/>
          <w:shd w:val="clear" w:color="auto" w:fill="FFFFFF"/>
        </w:rPr>
        <w:t xml:space="preserve"> GST registered </w:t>
      </w:r>
      <w:r w:rsidRPr="00272B28">
        <w:rPr>
          <w:rFonts w:ascii="Arial" w:hAnsi="Arial" w:cs="Arial"/>
          <w:sz w:val="22"/>
          <w:szCs w:val="22"/>
        </w:rPr>
        <w:t>businesses to apply a global accounting method (pooling of credits and GST) for acquisitions of second-hand goods</w:t>
      </w:r>
      <w:r w:rsidRPr="00272B28">
        <w:rPr>
          <w:rFonts w:ascii="Arial" w:hAnsi="Arial" w:cs="Arial"/>
          <w:color w:val="000000"/>
          <w:sz w:val="22"/>
          <w:szCs w:val="22"/>
          <w:shd w:val="clear" w:color="auto" w:fill="FFFFFF"/>
        </w:rPr>
        <w:t xml:space="preserve"> of </w:t>
      </w:r>
      <w:r w:rsidRPr="00986077">
        <w:rPr>
          <w:rFonts w:ascii="Arial" w:hAnsi="Arial" w:cs="Arial"/>
          <w:sz w:val="22"/>
          <w:szCs w:val="22"/>
        </w:rPr>
        <w:t>a kind</w:t>
      </w:r>
      <w:r w:rsidR="00924413" w:rsidRPr="00986077">
        <w:rPr>
          <w:rFonts w:ascii="Arial" w:hAnsi="Arial" w:cs="Arial"/>
          <w:sz w:val="22"/>
          <w:szCs w:val="22"/>
        </w:rPr>
        <w:t xml:space="preserve"> specified</w:t>
      </w:r>
      <w:r w:rsidR="00924413" w:rsidRPr="00272B28">
        <w:rPr>
          <w:rFonts w:ascii="Arial" w:hAnsi="Arial" w:cs="Arial"/>
          <w:color w:val="000000"/>
          <w:sz w:val="22"/>
          <w:szCs w:val="22"/>
          <w:shd w:val="clear" w:color="auto" w:fill="FFFFFF"/>
        </w:rPr>
        <w:t xml:space="preserve"> in the instrument</w:t>
      </w:r>
      <w:r w:rsidRPr="00272B28">
        <w:rPr>
          <w:rFonts w:ascii="Arial" w:hAnsi="Arial" w:cs="Arial"/>
          <w:color w:val="000000"/>
          <w:sz w:val="22"/>
          <w:szCs w:val="22"/>
          <w:shd w:val="clear" w:color="auto" w:fill="FFFFFF"/>
        </w:rPr>
        <w:t>.</w:t>
      </w:r>
    </w:p>
    <w:p w14:paraId="14FB7EBD" w14:textId="77777777" w:rsidR="00075B58" w:rsidRPr="00272B28" w:rsidRDefault="00075B58" w:rsidP="001E7E5D">
      <w:pPr>
        <w:spacing w:after="120"/>
        <w:jc w:val="both"/>
        <w:rPr>
          <w:rFonts w:ascii="Arial" w:hAnsi="Arial" w:cs="Arial"/>
          <w:sz w:val="22"/>
          <w:szCs w:val="22"/>
        </w:rPr>
      </w:pPr>
    </w:p>
    <w:p w14:paraId="0F39C459" w14:textId="77777777" w:rsidR="00075B58" w:rsidRPr="00272B28" w:rsidRDefault="00075B58" w:rsidP="001E7E5D">
      <w:pPr>
        <w:pStyle w:val="Heading2"/>
        <w:jc w:val="both"/>
      </w:pPr>
      <w:r w:rsidRPr="00272B28">
        <w:t>Human rights implications</w:t>
      </w:r>
    </w:p>
    <w:p w14:paraId="362E39D6" w14:textId="01451DD5" w:rsidR="00075B58" w:rsidRPr="00272B28" w:rsidRDefault="00075B58" w:rsidP="0096723A">
      <w:pPr>
        <w:spacing w:after="120"/>
        <w:rPr>
          <w:rFonts w:ascii="Arial" w:hAnsi="Arial" w:cs="Arial"/>
          <w:sz w:val="22"/>
          <w:szCs w:val="22"/>
        </w:rPr>
      </w:pPr>
      <w:r w:rsidRPr="00272B28">
        <w:rPr>
          <w:rFonts w:ascii="Arial" w:hAnsi="Arial" w:cs="Arial"/>
          <w:sz w:val="22"/>
          <w:szCs w:val="22"/>
        </w:rPr>
        <w:t xml:space="preserve">This </w:t>
      </w:r>
      <w:r w:rsidR="003B547B" w:rsidRPr="00272B28">
        <w:rPr>
          <w:rFonts w:ascii="Arial" w:hAnsi="Arial" w:cs="Arial"/>
          <w:sz w:val="22"/>
          <w:szCs w:val="22"/>
        </w:rPr>
        <w:t>l</w:t>
      </w:r>
      <w:r w:rsidRPr="00272B28">
        <w:rPr>
          <w:rFonts w:ascii="Arial" w:hAnsi="Arial" w:cs="Arial"/>
          <w:sz w:val="22"/>
          <w:szCs w:val="22"/>
        </w:rPr>
        <w:t xml:space="preserve">egislative </w:t>
      </w:r>
      <w:r w:rsidR="003B547B" w:rsidRPr="00272B28">
        <w:rPr>
          <w:rFonts w:ascii="Arial" w:hAnsi="Arial" w:cs="Arial"/>
          <w:sz w:val="22"/>
          <w:szCs w:val="22"/>
        </w:rPr>
        <w:t>i</w:t>
      </w:r>
      <w:r w:rsidRPr="00272B28">
        <w:rPr>
          <w:rFonts w:ascii="Arial" w:hAnsi="Arial" w:cs="Arial"/>
          <w:sz w:val="22"/>
          <w:szCs w:val="22"/>
        </w:rPr>
        <w:t>nstrument does not engage any of the applicable rights or freedoms</w:t>
      </w:r>
      <w:bookmarkStart w:id="6" w:name="_Hlk172034184"/>
      <w:r w:rsidR="00426FD4" w:rsidRPr="00272B28">
        <w:rPr>
          <w:rFonts w:ascii="Arial" w:hAnsi="Arial" w:cs="Arial"/>
          <w:color w:val="000000"/>
          <w:sz w:val="22"/>
          <w:szCs w:val="22"/>
          <w:shd w:val="clear" w:color="auto" w:fill="FFFFFF"/>
        </w:rPr>
        <w:t>.</w:t>
      </w:r>
      <w:r w:rsidR="00BF5624" w:rsidRPr="00272B28">
        <w:rPr>
          <w:rFonts w:ascii="Arial" w:hAnsi="Arial" w:cs="Arial"/>
          <w:color w:val="000000"/>
          <w:sz w:val="22"/>
          <w:szCs w:val="22"/>
          <w:shd w:val="clear" w:color="auto" w:fill="FFFFFF"/>
        </w:rPr>
        <w:t xml:space="preserve"> </w:t>
      </w:r>
      <w:r w:rsidR="00426FD4" w:rsidRPr="00272B28">
        <w:rPr>
          <w:rFonts w:ascii="Arial" w:hAnsi="Arial" w:cs="Arial"/>
          <w:color w:val="000000"/>
          <w:sz w:val="22"/>
          <w:szCs w:val="22"/>
          <w:shd w:val="clear" w:color="auto" w:fill="FFFFFF"/>
        </w:rPr>
        <w:t>I</w:t>
      </w:r>
      <w:r w:rsidR="00133CCB" w:rsidRPr="00272B28">
        <w:rPr>
          <w:rFonts w:ascii="Arial" w:hAnsi="Arial" w:cs="Arial"/>
          <w:color w:val="000000"/>
          <w:sz w:val="22"/>
          <w:szCs w:val="22"/>
          <w:shd w:val="clear" w:color="auto" w:fill="FFFFFF"/>
        </w:rPr>
        <w:t xml:space="preserve">t </w:t>
      </w:r>
      <w:r w:rsidR="009B2622" w:rsidRPr="00272B28">
        <w:rPr>
          <w:rFonts w:ascii="Arial" w:hAnsi="Arial" w:cs="Arial"/>
          <w:color w:val="000000" w:themeColor="text1"/>
          <w:sz w:val="22"/>
          <w:szCs w:val="22"/>
        </w:rPr>
        <w:t xml:space="preserve">helps reduce compliance costs for </w:t>
      </w:r>
      <w:r w:rsidR="009B2622" w:rsidRPr="00272B28">
        <w:rPr>
          <w:rFonts w:ascii="Arial" w:hAnsi="Arial" w:cs="Arial"/>
          <w:color w:val="000000"/>
          <w:sz w:val="22"/>
          <w:szCs w:val="22"/>
          <w:shd w:val="clear" w:color="auto" w:fill="FFFFFF"/>
        </w:rPr>
        <w:t xml:space="preserve">GST registered businesses </w:t>
      </w:r>
      <w:r w:rsidR="009B2622" w:rsidRPr="00272B28">
        <w:rPr>
          <w:rFonts w:ascii="Arial" w:hAnsi="Arial" w:cs="Arial"/>
          <w:sz w:val="22"/>
          <w:szCs w:val="22"/>
        </w:rPr>
        <w:t xml:space="preserve">by </w:t>
      </w:r>
      <w:r w:rsidR="001A3E44" w:rsidRPr="00272B28">
        <w:rPr>
          <w:rFonts w:ascii="Arial" w:hAnsi="Arial" w:cs="Arial"/>
          <w:sz w:val="22"/>
          <w:szCs w:val="22"/>
        </w:rPr>
        <w:t xml:space="preserve">allowing </w:t>
      </w:r>
      <w:r w:rsidR="00E33CA0" w:rsidRPr="00272B28">
        <w:rPr>
          <w:rFonts w:ascii="Arial" w:hAnsi="Arial" w:cs="Arial"/>
          <w:sz w:val="22"/>
          <w:szCs w:val="22"/>
        </w:rPr>
        <w:t>the use</w:t>
      </w:r>
      <w:r w:rsidR="007A0562" w:rsidRPr="00272B28">
        <w:rPr>
          <w:rFonts w:ascii="Arial" w:hAnsi="Arial" w:cs="Arial"/>
          <w:sz w:val="22"/>
          <w:szCs w:val="22"/>
        </w:rPr>
        <w:t xml:space="preserve"> of a global accounting</w:t>
      </w:r>
      <w:r w:rsidR="00E33CA0" w:rsidRPr="00272B28">
        <w:rPr>
          <w:rFonts w:ascii="Arial" w:hAnsi="Arial" w:cs="Arial"/>
          <w:sz w:val="22"/>
          <w:szCs w:val="22"/>
        </w:rPr>
        <w:t xml:space="preserve"> </w:t>
      </w:r>
      <w:r w:rsidR="007A0562" w:rsidRPr="00272B28">
        <w:rPr>
          <w:rFonts w:ascii="Arial" w:hAnsi="Arial" w:cs="Arial"/>
          <w:sz w:val="22"/>
          <w:szCs w:val="22"/>
        </w:rPr>
        <w:t xml:space="preserve">method </w:t>
      </w:r>
      <w:r w:rsidR="00D028D6" w:rsidRPr="00272B28">
        <w:rPr>
          <w:rFonts w:ascii="Arial" w:hAnsi="Arial" w:cs="Arial"/>
          <w:sz w:val="22"/>
          <w:szCs w:val="22"/>
        </w:rPr>
        <w:t>for cert</w:t>
      </w:r>
      <w:r w:rsidR="00651424" w:rsidRPr="00272B28">
        <w:rPr>
          <w:rFonts w:ascii="Arial" w:hAnsi="Arial" w:cs="Arial"/>
          <w:sz w:val="22"/>
          <w:szCs w:val="22"/>
        </w:rPr>
        <w:t>ain kinds of</w:t>
      </w:r>
      <w:r w:rsidR="007A2513" w:rsidRPr="00272B28">
        <w:rPr>
          <w:rFonts w:ascii="Arial" w:hAnsi="Arial" w:cs="Arial"/>
          <w:sz w:val="22"/>
          <w:szCs w:val="22"/>
        </w:rPr>
        <w:t xml:space="preserve"> second-hand goods.</w:t>
      </w:r>
    </w:p>
    <w:bookmarkEnd w:id="6"/>
    <w:p w14:paraId="05046323" w14:textId="77777777" w:rsidR="00133CCB" w:rsidRPr="00272B28" w:rsidRDefault="00133CCB" w:rsidP="001E7E5D">
      <w:pPr>
        <w:spacing w:after="120"/>
        <w:jc w:val="both"/>
        <w:rPr>
          <w:rFonts w:ascii="Arial" w:hAnsi="Arial" w:cs="Arial"/>
          <w:bCs/>
          <w:sz w:val="22"/>
          <w:szCs w:val="22"/>
        </w:rPr>
      </w:pPr>
    </w:p>
    <w:p w14:paraId="266DA6BA" w14:textId="77777777" w:rsidR="00075B58" w:rsidRPr="00272B28" w:rsidRDefault="00075B58" w:rsidP="001E7E5D">
      <w:pPr>
        <w:pStyle w:val="Heading2"/>
        <w:jc w:val="both"/>
      </w:pPr>
      <w:r w:rsidRPr="00272B28">
        <w:t>Conclusion</w:t>
      </w:r>
    </w:p>
    <w:p w14:paraId="0F1B99C4" w14:textId="580EC94A" w:rsidR="0076271C" w:rsidRPr="00A54257" w:rsidRDefault="00075B58" w:rsidP="00A54257">
      <w:pPr>
        <w:spacing w:after="120"/>
        <w:rPr>
          <w:rFonts w:ascii="Arial" w:hAnsi="Arial" w:cs="Arial"/>
          <w:sz w:val="22"/>
          <w:szCs w:val="22"/>
        </w:rPr>
      </w:pPr>
      <w:r w:rsidRPr="00272B28">
        <w:rPr>
          <w:rFonts w:ascii="Arial" w:hAnsi="Arial" w:cs="Arial"/>
          <w:sz w:val="22"/>
          <w:szCs w:val="22"/>
        </w:rPr>
        <w:t xml:space="preserve">This </w:t>
      </w:r>
      <w:r w:rsidR="003B547B" w:rsidRPr="00272B28">
        <w:rPr>
          <w:rFonts w:ascii="Arial" w:hAnsi="Arial" w:cs="Arial"/>
          <w:sz w:val="22"/>
          <w:szCs w:val="22"/>
        </w:rPr>
        <w:t>l</w:t>
      </w:r>
      <w:r w:rsidRPr="00272B28">
        <w:rPr>
          <w:rFonts w:ascii="Arial" w:hAnsi="Arial" w:cs="Arial"/>
          <w:sz w:val="22"/>
          <w:szCs w:val="22"/>
        </w:rPr>
        <w:t xml:space="preserve">egislative </w:t>
      </w:r>
      <w:r w:rsidR="003B547B" w:rsidRPr="00272B28">
        <w:rPr>
          <w:rFonts w:ascii="Arial" w:hAnsi="Arial" w:cs="Arial"/>
          <w:sz w:val="22"/>
          <w:szCs w:val="22"/>
        </w:rPr>
        <w:t>i</w:t>
      </w:r>
      <w:r w:rsidRPr="00272B28">
        <w:rPr>
          <w:rFonts w:ascii="Arial" w:hAnsi="Arial" w:cs="Arial"/>
          <w:sz w:val="22"/>
          <w:szCs w:val="22"/>
        </w:rPr>
        <w:t>nstrument is compatible with human rights as it does not raise any human rights issues.</w:t>
      </w:r>
    </w:p>
    <w:sectPr w:rsidR="0076271C" w:rsidRPr="00A54257" w:rsidSect="004031E4">
      <w:headerReference w:type="default" r:id="rId8"/>
      <w:headerReference w:type="first" r:id="rId9"/>
      <w:pgSz w:w="11906" w:h="16838" w:code="9"/>
      <w:pgMar w:top="1440" w:right="1134" w:bottom="1361" w:left="992"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322B9" w14:textId="77777777" w:rsidR="001A7ACF" w:rsidRDefault="001A7ACF">
      <w:r>
        <w:separator/>
      </w:r>
    </w:p>
  </w:endnote>
  <w:endnote w:type="continuationSeparator" w:id="0">
    <w:p w14:paraId="26594D38" w14:textId="77777777" w:rsidR="001A7ACF" w:rsidRDefault="001A7ACF">
      <w:r>
        <w:continuationSeparator/>
      </w:r>
    </w:p>
  </w:endnote>
  <w:endnote w:type="continuationNotice" w:id="1">
    <w:p w14:paraId="15F30361" w14:textId="77777777" w:rsidR="001A7ACF" w:rsidRDefault="001A7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8E281" w14:textId="77777777" w:rsidR="001A7ACF" w:rsidRDefault="001A7ACF">
      <w:r>
        <w:separator/>
      </w:r>
    </w:p>
  </w:footnote>
  <w:footnote w:type="continuationSeparator" w:id="0">
    <w:p w14:paraId="0DDA0DF7" w14:textId="77777777" w:rsidR="001A7ACF" w:rsidRDefault="001A7ACF">
      <w:r>
        <w:continuationSeparator/>
      </w:r>
    </w:p>
  </w:footnote>
  <w:footnote w:type="continuationNotice" w:id="1">
    <w:p w14:paraId="6E041CF0" w14:textId="77777777" w:rsidR="001A7ACF" w:rsidRDefault="001A7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64B4" w14:textId="40521ADB"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25C8" w14:textId="5AC74ED5"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3817582B" wp14:editId="7DB6FB32">
          <wp:extent cx="2413635" cy="701675"/>
          <wp:effectExtent l="0" t="0" r="5715" b="3175"/>
          <wp:docPr id="3" name="Picture 1"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Taxation Office logo, includes the Commonwealth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454C07C7"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4EA1"/>
    <w:multiLevelType w:val="hybridMultilevel"/>
    <w:tmpl w:val="8A16F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CC3903"/>
    <w:multiLevelType w:val="hybridMultilevel"/>
    <w:tmpl w:val="F0AA29C0"/>
    <w:lvl w:ilvl="0" w:tplc="29E8227C">
      <w:start w:val="1"/>
      <w:numFmt w:val="decimal"/>
      <w:pStyle w:val="Numberedtext"/>
      <w:lvlText w:val="%1."/>
      <w:lvlJc w:val="left"/>
      <w:pPr>
        <w:tabs>
          <w:tab w:val="num" w:pos="360"/>
        </w:tabs>
        <w:ind w:left="360" w:hanging="360"/>
      </w:pPr>
      <w:rPr>
        <w:rFonts w:hint="default"/>
        <w:i w:val="0"/>
        <w:iCs w:val="0"/>
        <w:color w:val="auto"/>
        <w:sz w:val="22"/>
        <w:szCs w:val="22"/>
      </w:rPr>
    </w:lvl>
    <w:lvl w:ilvl="1" w:tplc="0668379C">
      <w:start w:val="1"/>
      <w:numFmt w:val="bullet"/>
      <w:pStyle w:val="Dotpoint1"/>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4AAA1449"/>
    <w:multiLevelType w:val="hybridMultilevel"/>
    <w:tmpl w:val="CD222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C56689"/>
    <w:multiLevelType w:val="hybridMultilevel"/>
    <w:tmpl w:val="CC661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0C4F1B"/>
    <w:multiLevelType w:val="hybridMultilevel"/>
    <w:tmpl w:val="180CC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1512042">
    <w:abstractNumId w:val="1"/>
  </w:num>
  <w:num w:numId="2" w16cid:durableId="1485855002">
    <w:abstractNumId w:val="4"/>
  </w:num>
  <w:num w:numId="3" w16cid:durableId="1329098397">
    <w:abstractNumId w:val="2"/>
  </w:num>
  <w:num w:numId="4" w16cid:durableId="501819627">
    <w:abstractNumId w:val="3"/>
  </w:num>
  <w:num w:numId="5" w16cid:durableId="208930006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5A35"/>
    <w:rsid w:val="000117B2"/>
    <w:rsid w:val="0001796D"/>
    <w:rsid w:val="00017BF0"/>
    <w:rsid w:val="0002568B"/>
    <w:rsid w:val="00036741"/>
    <w:rsid w:val="00043FA7"/>
    <w:rsid w:val="00044383"/>
    <w:rsid w:val="0005024A"/>
    <w:rsid w:val="000511B2"/>
    <w:rsid w:val="00051416"/>
    <w:rsid w:val="000552E8"/>
    <w:rsid w:val="00056585"/>
    <w:rsid w:val="0005674F"/>
    <w:rsid w:val="00056C6A"/>
    <w:rsid w:val="00061358"/>
    <w:rsid w:val="000630E7"/>
    <w:rsid w:val="00065C6E"/>
    <w:rsid w:val="00072E6E"/>
    <w:rsid w:val="00073F1B"/>
    <w:rsid w:val="00075721"/>
    <w:rsid w:val="00075B58"/>
    <w:rsid w:val="00081520"/>
    <w:rsid w:val="000861DA"/>
    <w:rsid w:val="00090651"/>
    <w:rsid w:val="000922DF"/>
    <w:rsid w:val="000B11DD"/>
    <w:rsid w:val="000B1785"/>
    <w:rsid w:val="000B6457"/>
    <w:rsid w:val="000B67B2"/>
    <w:rsid w:val="000C390A"/>
    <w:rsid w:val="000C77DD"/>
    <w:rsid w:val="000E0C50"/>
    <w:rsid w:val="000E295B"/>
    <w:rsid w:val="000E45A0"/>
    <w:rsid w:val="000E62F1"/>
    <w:rsid w:val="000E7113"/>
    <w:rsid w:val="000F2315"/>
    <w:rsid w:val="001011E9"/>
    <w:rsid w:val="00101CD5"/>
    <w:rsid w:val="00107460"/>
    <w:rsid w:val="00112415"/>
    <w:rsid w:val="0013316E"/>
    <w:rsid w:val="00133CCB"/>
    <w:rsid w:val="0013678D"/>
    <w:rsid w:val="00140A34"/>
    <w:rsid w:val="0014286F"/>
    <w:rsid w:val="00145A3D"/>
    <w:rsid w:val="00146ED8"/>
    <w:rsid w:val="00167202"/>
    <w:rsid w:val="001828A4"/>
    <w:rsid w:val="00190A90"/>
    <w:rsid w:val="001A0394"/>
    <w:rsid w:val="001A3BE2"/>
    <w:rsid w:val="001A3E44"/>
    <w:rsid w:val="001A7ACF"/>
    <w:rsid w:val="001C07A2"/>
    <w:rsid w:val="001C1407"/>
    <w:rsid w:val="001C35E7"/>
    <w:rsid w:val="001C4578"/>
    <w:rsid w:val="001C5839"/>
    <w:rsid w:val="001D02E6"/>
    <w:rsid w:val="001D2E29"/>
    <w:rsid w:val="001D4F78"/>
    <w:rsid w:val="001D6402"/>
    <w:rsid w:val="001E428E"/>
    <w:rsid w:val="001E7E5D"/>
    <w:rsid w:val="001F0184"/>
    <w:rsid w:val="001F28A6"/>
    <w:rsid w:val="001F2A16"/>
    <w:rsid w:val="001F6921"/>
    <w:rsid w:val="001F73B3"/>
    <w:rsid w:val="001F7C3E"/>
    <w:rsid w:val="00200BE0"/>
    <w:rsid w:val="00201969"/>
    <w:rsid w:val="00205CED"/>
    <w:rsid w:val="00211085"/>
    <w:rsid w:val="0021222C"/>
    <w:rsid w:val="00213FA5"/>
    <w:rsid w:val="0021496E"/>
    <w:rsid w:val="002164BD"/>
    <w:rsid w:val="00221F48"/>
    <w:rsid w:val="00222AFB"/>
    <w:rsid w:val="002258D5"/>
    <w:rsid w:val="00227BC7"/>
    <w:rsid w:val="0023733A"/>
    <w:rsid w:val="0024044F"/>
    <w:rsid w:val="00240CFB"/>
    <w:rsid w:val="0024313F"/>
    <w:rsid w:val="00245D00"/>
    <w:rsid w:val="00257F2D"/>
    <w:rsid w:val="00262F9F"/>
    <w:rsid w:val="002638C1"/>
    <w:rsid w:val="00266D2D"/>
    <w:rsid w:val="00272B28"/>
    <w:rsid w:val="0027331F"/>
    <w:rsid w:val="00285E76"/>
    <w:rsid w:val="002949C3"/>
    <w:rsid w:val="002A10A4"/>
    <w:rsid w:val="002A26FE"/>
    <w:rsid w:val="002A4049"/>
    <w:rsid w:val="002B1423"/>
    <w:rsid w:val="002C051A"/>
    <w:rsid w:val="002C2A1F"/>
    <w:rsid w:val="002C5850"/>
    <w:rsid w:val="002C62F8"/>
    <w:rsid w:val="002D27C8"/>
    <w:rsid w:val="002F1257"/>
    <w:rsid w:val="00310C61"/>
    <w:rsid w:val="003171B3"/>
    <w:rsid w:val="00317C6B"/>
    <w:rsid w:val="0032559D"/>
    <w:rsid w:val="00330C65"/>
    <w:rsid w:val="00331616"/>
    <w:rsid w:val="00332582"/>
    <w:rsid w:val="00333567"/>
    <w:rsid w:val="00334002"/>
    <w:rsid w:val="003350D9"/>
    <w:rsid w:val="003431CB"/>
    <w:rsid w:val="00344575"/>
    <w:rsid w:val="0035113C"/>
    <w:rsid w:val="00354525"/>
    <w:rsid w:val="00356EFF"/>
    <w:rsid w:val="0036128F"/>
    <w:rsid w:val="00364B61"/>
    <w:rsid w:val="00374385"/>
    <w:rsid w:val="00380CC4"/>
    <w:rsid w:val="003A42A4"/>
    <w:rsid w:val="003A5883"/>
    <w:rsid w:val="003B547B"/>
    <w:rsid w:val="003C0686"/>
    <w:rsid w:val="003C384B"/>
    <w:rsid w:val="003D08CF"/>
    <w:rsid w:val="003D0B38"/>
    <w:rsid w:val="003D0CBA"/>
    <w:rsid w:val="003D0F6A"/>
    <w:rsid w:val="003D4BA8"/>
    <w:rsid w:val="003E5269"/>
    <w:rsid w:val="003E7103"/>
    <w:rsid w:val="003F118B"/>
    <w:rsid w:val="004031E4"/>
    <w:rsid w:val="00405394"/>
    <w:rsid w:val="004066E4"/>
    <w:rsid w:val="0040680B"/>
    <w:rsid w:val="00407361"/>
    <w:rsid w:val="00415C34"/>
    <w:rsid w:val="00417C55"/>
    <w:rsid w:val="00422CC6"/>
    <w:rsid w:val="00424A7B"/>
    <w:rsid w:val="00426FD4"/>
    <w:rsid w:val="00427250"/>
    <w:rsid w:val="00435AE8"/>
    <w:rsid w:val="00437211"/>
    <w:rsid w:val="004447C1"/>
    <w:rsid w:val="00445957"/>
    <w:rsid w:val="00446AA8"/>
    <w:rsid w:val="0045590D"/>
    <w:rsid w:val="0046211F"/>
    <w:rsid w:val="00462607"/>
    <w:rsid w:val="0046787B"/>
    <w:rsid w:val="00476FDC"/>
    <w:rsid w:val="00481341"/>
    <w:rsid w:val="00486653"/>
    <w:rsid w:val="00493CA7"/>
    <w:rsid w:val="004A5FDA"/>
    <w:rsid w:val="004D098C"/>
    <w:rsid w:val="004D24A9"/>
    <w:rsid w:val="004D415C"/>
    <w:rsid w:val="004D41FE"/>
    <w:rsid w:val="004D6FE1"/>
    <w:rsid w:val="004E5357"/>
    <w:rsid w:val="004F4A07"/>
    <w:rsid w:val="004F5EB1"/>
    <w:rsid w:val="004F6887"/>
    <w:rsid w:val="004F7AAD"/>
    <w:rsid w:val="00502CE6"/>
    <w:rsid w:val="005030AD"/>
    <w:rsid w:val="00510CF2"/>
    <w:rsid w:val="0051249C"/>
    <w:rsid w:val="005176E7"/>
    <w:rsid w:val="00520330"/>
    <w:rsid w:val="00524B6B"/>
    <w:rsid w:val="00526403"/>
    <w:rsid w:val="00527885"/>
    <w:rsid w:val="00534FB5"/>
    <w:rsid w:val="005413EE"/>
    <w:rsid w:val="005439C5"/>
    <w:rsid w:val="0055241E"/>
    <w:rsid w:val="005612B9"/>
    <w:rsid w:val="00577FB4"/>
    <w:rsid w:val="00587443"/>
    <w:rsid w:val="00587C50"/>
    <w:rsid w:val="005917F3"/>
    <w:rsid w:val="00595EDF"/>
    <w:rsid w:val="005B0ACD"/>
    <w:rsid w:val="005B3A24"/>
    <w:rsid w:val="005B50A2"/>
    <w:rsid w:val="005C3408"/>
    <w:rsid w:val="005D1EE0"/>
    <w:rsid w:val="005D611B"/>
    <w:rsid w:val="005D6BA6"/>
    <w:rsid w:val="005D7D53"/>
    <w:rsid w:val="005F1ACE"/>
    <w:rsid w:val="005F256D"/>
    <w:rsid w:val="0060183A"/>
    <w:rsid w:val="00603110"/>
    <w:rsid w:val="006059C4"/>
    <w:rsid w:val="00611C8E"/>
    <w:rsid w:val="00624954"/>
    <w:rsid w:val="006302F7"/>
    <w:rsid w:val="00631F30"/>
    <w:rsid w:val="006333E5"/>
    <w:rsid w:val="00640CC2"/>
    <w:rsid w:val="00642420"/>
    <w:rsid w:val="00646158"/>
    <w:rsid w:val="006513F4"/>
    <w:rsid w:val="00651424"/>
    <w:rsid w:val="0066622C"/>
    <w:rsid w:val="00666487"/>
    <w:rsid w:val="00670DB7"/>
    <w:rsid w:val="00673B37"/>
    <w:rsid w:val="006944B0"/>
    <w:rsid w:val="006945EA"/>
    <w:rsid w:val="006A0C58"/>
    <w:rsid w:val="006B5470"/>
    <w:rsid w:val="006C0522"/>
    <w:rsid w:val="006D0138"/>
    <w:rsid w:val="006D34A5"/>
    <w:rsid w:val="006D6F52"/>
    <w:rsid w:val="00701718"/>
    <w:rsid w:val="00710359"/>
    <w:rsid w:val="00712FFF"/>
    <w:rsid w:val="007223BA"/>
    <w:rsid w:val="00722DBF"/>
    <w:rsid w:val="00725A51"/>
    <w:rsid w:val="00735157"/>
    <w:rsid w:val="00751970"/>
    <w:rsid w:val="00751C60"/>
    <w:rsid w:val="007557B1"/>
    <w:rsid w:val="0076271C"/>
    <w:rsid w:val="00765560"/>
    <w:rsid w:val="0076663A"/>
    <w:rsid w:val="00767CE8"/>
    <w:rsid w:val="00771A81"/>
    <w:rsid w:val="00772055"/>
    <w:rsid w:val="00775490"/>
    <w:rsid w:val="00781277"/>
    <w:rsid w:val="0078617B"/>
    <w:rsid w:val="00793A15"/>
    <w:rsid w:val="00795D0C"/>
    <w:rsid w:val="00797F42"/>
    <w:rsid w:val="007A021B"/>
    <w:rsid w:val="007A0562"/>
    <w:rsid w:val="007A2513"/>
    <w:rsid w:val="007A304F"/>
    <w:rsid w:val="007A55BA"/>
    <w:rsid w:val="007A61F2"/>
    <w:rsid w:val="007B19E3"/>
    <w:rsid w:val="007B3C2A"/>
    <w:rsid w:val="007B4A37"/>
    <w:rsid w:val="007B6322"/>
    <w:rsid w:val="007C1FBD"/>
    <w:rsid w:val="007C54B3"/>
    <w:rsid w:val="007C5C8E"/>
    <w:rsid w:val="007E0A01"/>
    <w:rsid w:val="007E22F5"/>
    <w:rsid w:val="007E2517"/>
    <w:rsid w:val="007F0476"/>
    <w:rsid w:val="007F25F3"/>
    <w:rsid w:val="007F4901"/>
    <w:rsid w:val="007F6B20"/>
    <w:rsid w:val="0080026F"/>
    <w:rsid w:val="00800481"/>
    <w:rsid w:val="008174D3"/>
    <w:rsid w:val="00825434"/>
    <w:rsid w:val="00826DEB"/>
    <w:rsid w:val="00832A78"/>
    <w:rsid w:val="00836B02"/>
    <w:rsid w:val="00842DC1"/>
    <w:rsid w:val="008467D4"/>
    <w:rsid w:val="00850F5E"/>
    <w:rsid w:val="00850FB0"/>
    <w:rsid w:val="0085238E"/>
    <w:rsid w:val="00852A92"/>
    <w:rsid w:val="00853428"/>
    <w:rsid w:val="008540EA"/>
    <w:rsid w:val="00856EB3"/>
    <w:rsid w:val="00866A00"/>
    <w:rsid w:val="008702A6"/>
    <w:rsid w:val="00873997"/>
    <w:rsid w:val="00874289"/>
    <w:rsid w:val="008757CE"/>
    <w:rsid w:val="0087584B"/>
    <w:rsid w:val="0088392C"/>
    <w:rsid w:val="00890CA3"/>
    <w:rsid w:val="00897C0E"/>
    <w:rsid w:val="00897E31"/>
    <w:rsid w:val="008A046F"/>
    <w:rsid w:val="008A1F28"/>
    <w:rsid w:val="008A405A"/>
    <w:rsid w:val="008A54EB"/>
    <w:rsid w:val="008A6A6A"/>
    <w:rsid w:val="008A6BCF"/>
    <w:rsid w:val="008B2FEF"/>
    <w:rsid w:val="008B650A"/>
    <w:rsid w:val="008B787C"/>
    <w:rsid w:val="008C128B"/>
    <w:rsid w:val="008C3898"/>
    <w:rsid w:val="008C66CC"/>
    <w:rsid w:val="008E16CA"/>
    <w:rsid w:val="008E677E"/>
    <w:rsid w:val="008F483C"/>
    <w:rsid w:val="008F61CE"/>
    <w:rsid w:val="0090082E"/>
    <w:rsid w:val="00903D03"/>
    <w:rsid w:val="00910595"/>
    <w:rsid w:val="00910756"/>
    <w:rsid w:val="00910899"/>
    <w:rsid w:val="00912D61"/>
    <w:rsid w:val="00913403"/>
    <w:rsid w:val="00924413"/>
    <w:rsid w:val="00925403"/>
    <w:rsid w:val="009322D7"/>
    <w:rsid w:val="00932BDE"/>
    <w:rsid w:val="009371D0"/>
    <w:rsid w:val="00950199"/>
    <w:rsid w:val="00962795"/>
    <w:rsid w:val="0096723A"/>
    <w:rsid w:val="00967725"/>
    <w:rsid w:val="00967931"/>
    <w:rsid w:val="0098195F"/>
    <w:rsid w:val="00986077"/>
    <w:rsid w:val="009902F8"/>
    <w:rsid w:val="00993BB8"/>
    <w:rsid w:val="0099555F"/>
    <w:rsid w:val="009A22A1"/>
    <w:rsid w:val="009A67CE"/>
    <w:rsid w:val="009B2622"/>
    <w:rsid w:val="009B3A1B"/>
    <w:rsid w:val="009B6332"/>
    <w:rsid w:val="009B784E"/>
    <w:rsid w:val="009C0912"/>
    <w:rsid w:val="009C7443"/>
    <w:rsid w:val="009D6694"/>
    <w:rsid w:val="009E2A9D"/>
    <w:rsid w:val="009E3465"/>
    <w:rsid w:val="009E50BB"/>
    <w:rsid w:val="009F0300"/>
    <w:rsid w:val="00A167A8"/>
    <w:rsid w:val="00A20F1D"/>
    <w:rsid w:val="00A21F0A"/>
    <w:rsid w:val="00A25FE7"/>
    <w:rsid w:val="00A26011"/>
    <w:rsid w:val="00A34F94"/>
    <w:rsid w:val="00A43FD0"/>
    <w:rsid w:val="00A506C2"/>
    <w:rsid w:val="00A50AB3"/>
    <w:rsid w:val="00A53C78"/>
    <w:rsid w:val="00A54257"/>
    <w:rsid w:val="00A62886"/>
    <w:rsid w:val="00A650BB"/>
    <w:rsid w:val="00A740DF"/>
    <w:rsid w:val="00A74C38"/>
    <w:rsid w:val="00A77D24"/>
    <w:rsid w:val="00A8572F"/>
    <w:rsid w:val="00A93E07"/>
    <w:rsid w:val="00A979CF"/>
    <w:rsid w:val="00AA4DF8"/>
    <w:rsid w:val="00AB4BCE"/>
    <w:rsid w:val="00AB780C"/>
    <w:rsid w:val="00AC1765"/>
    <w:rsid w:val="00AC2448"/>
    <w:rsid w:val="00AD0B0B"/>
    <w:rsid w:val="00AD3EB3"/>
    <w:rsid w:val="00AD5ADE"/>
    <w:rsid w:val="00AD5DE7"/>
    <w:rsid w:val="00AE2EC7"/>
    <w:rsid w:val="00AE7138"/>
    <w:rsid w:val="00AF4CAF"/>
    <w:rsid w:val="00B060AE"/>
    <w:rsid w:val="00B117BA"/>
    <w:rsid w:val="00B11E50"/>
    <w:rsid w:val="00B15F23"/>
    <w:rsid w:val="00B16508"/>
    <w:rsid w:val="00B203A2"/>
    <w:rsid w:val="00B20D87"/>
    <w:rsid w:val="00B21BCC"/>
    <w:rsid w:val="00B24053"/>
    <w:rsid w:val="00B246DA"/>
    <w:rsid w:val="00B24832"/>
    <w:rsid w:val="00B26882"/>
    <w:rsid w:val="00B31550"/>
    <w:rsid w:val="00B33F9B"/>
    <w:rsid w:val="00B34E5C"/>
    <w:rsid w:val="00B419CC"/>
    <w:rsid w:val="00B419FE"/>
    <w:rsid w:val="00B429A2"/>
    <w:rsid w:val="00B42E9A"/>
    <w:rsid w:val="00B54851"/>
    <w:rsid w:val="00B5497C"/>
    <w:rsid w:val="00B578AC"/>
    <w:rsid w:val="00B62574"/>
    <w:rsid w:val="00B62F06"/>
    <w:rsid w:val="00B6433F"/>
    <w:rsid w:val="00B64CF5"/>
    <w:rsid w:val="00B76C9B"/>
    <w:rsid w:val="00B823A1"/>
    <w:rsid w:val="00B8428B"/>
    <w:rsid w:val="00B91DAE"/>
    <w:rsid w:val="00B969BC"/>
    <w:rsid w:val="00BA0C86"/>
    <w:rsid w:val="00BA2B20"/>
    <w:rsid w:val="00BA41F5"/>
    <w:rsid w:val="00BB2BB3"/>
    <w:rsid w:val="00BB3C9C"/>
    <w:rsid w:val="00BB6E5C"/>
    <w:rsid w:val="00BD1263"/>
    <w:rsid w:val="00BD16AD"/>
    <w:rsid w:val="00BD1BCD"/>
    <w:rsid w:val="00BD4213"/>
    <w:rsid w:val="00BE1917"/>
    <w:rsid w:val="00BF30C7"/>
    <w:rsid w:val="00BF4822"/>
    <w:rsid w:val="00BF5624"/>
    <w:rsid w:val="00C01D22"/>
    <w:rsid w:val="00C104B6"/>
    <w:rsid w:val="00C10F02"/>
    <w:rsid w:val="00C114F4"/>
    <w:rsid w:val="00C11BC0"/>
    <w:rsid w:val="00C11D03"/>
    <w:rsid w:val="00C31967"/>
    <w:rsid w:val="00C345AC"/>
    <w:rsid w:val="00C34C96"/>
    <w:rsid w:val="00C371DE"/>
    <w:rsid w:val="00C409AE"/>
    <w:rsid w:val="00C4143E"/>
    <w:rsid w:val="00C42D50"/>
    <w:rsid w:val="00C54DF8"/>
    <w:rsid w:val="00C60B49"/>
    <w:rsid w:val="00C620E9"/>
    <w:rsid w:val="00C626D4"/>
    <w:rsid w:val="00C62850"/>
    <w:rsid w:val="00C7440A"/>
    <w:rsid w:val="00C80D95"/>
    <w:rsid w:val="00C820DA"/>
    <w:rsid w:val="00C865ED"/>
    <w:rsid w:val="00C867AB"/>
    <w:rsid w:val="00C8775A"/>
    <w:rsid w:val="00CA0188"/>
    <w:rsid w:val="00CA0877"/>
    <w:rsid w:val="00CA35C8"/>
    <w:rsid w:val="00CA3AE0"/>
    <w:rsid w:val="00CA6B59"/>
    <w:rsid w:val="00CB0CFA"/>
    <w:rsid w:val="00CB2315"/>
    <w:rsid w:val="00CB3B6C"/>
    <w:rsid w:val="00CB54FF"/>
    <w:rsid w:val="00CB75F1"/>
    <w:rsid w:val="00CC1833"/>
    <w:rsid w:val="00CC189F"/>
    <w:rsid w:val="00CC3368"/>
    <w:rsid w:val="00CC4976"/>
    <w:rsid w:val="00CC57BB"/>
    <w:rsid w:val="00CC6754"/>
    <w:rsid w:val="00CD0FD3"/>
    <w:rsid w:val="00CE1F10"/>
    <w:rsid w:val="00CF19C4"/>
    <w:rsid w:val="00CF2B0A"/>
    <w:rsid w:val="00D028D6"/>
    <w:rsid w:val="00D10899"/>
    <w:rsid w:val="00D13C04"/>
    <w:rsid w:val="00D14100"/>
    <w:rsid w:val="00D2060D"/>
    <w:rsid w:val="00D20A78"/>
    <w:rsid w:val="00D278BA"/>
    <w:rsid w:val="00D33C01"/>
    <w:rsid w:val="00D40454"/>
    <w:rsid w:val="00D4059C"/>
    <w:rsid w:val="00D4301F"/>
    <w:rsid w:val="00D53D8F"/>
    <w:rsid w:val="00D54821"/>
    <w:rsid w:val="00D601B1"/>
    <w:rsid w:val="00D61C76"/>
    <w:rsid w:val="00D65771"/>
    <w:rsid w:val="00D7562B"/>
    <w:rsid w:val="00D77015"/>
    <w:rsid w:val="00D77ED0"/>
    <w:rsid w:val="00D87889"/>
    <w:rsid w:val="00D92B48"/>
    <w:rsid w:val="00DA2EC6"/>
    <w:rsid w:val="00DB1693"/>
    <w:rsid w:val="00DC1E79"/>
    <w:rsid w:val="00DC3A7A"/>
    <w:rsid w:val="00DD0DDA"/>
    <w:rsid w:val="00DD5B07"/>
    <w:rsid w:val="00DE3397"/>
    <w:rsid w:val="00DE6821"/>
    <w:rsid w:val="00DF0EE9"/>
    <w:rsid w:val="00DF2022"/>
    <w:rsid w:val="00DF34BE"/>
    <w:rsid w:val="00DF57F3"/>
    <w:rsid w:val="00DF5D59"/>
    <w:rsid w:val="00E0529B"/>
    <w:rsid w:val="00E10B37"/>
    <w:rsid w:val="00E16DEF"/>
    <w:rsid w:val="00E239E4"/>
    <w:rsid w:val="00E33CA0"/>
    <w:rsid w:val="00E3612B"/>
    <w:rsid w:val="00E3692C"/>
    <w:rsid w:val="00E36A38"/>
    <w:rsid w:val="00E4433C"/>
    <w:rsid w:val="00E46364"/>
    <w:rsid w:val="00E479F4"/>
    <w:rsid w:val="00E53399"/>
    <w:rsid w:val="00E66ADE"/>
    <w:rsid w:val="00E77995"/>
    <w:rsid w:val="00E840F9"/>
    <w:rsid w:val="00E84C6B"/>
    <w:rsid w:val="00E87099"/>
    <w:rsid w:val="00EA0DAB"/>
    <w:rsid w:val="00EA28E6"/>
    <w:rsid w:val="00EB02C4"/>
    <w:rsid w:val="00EB5298"/>
    <w:rsid w:val="00EC4B99"/>
    <w:rsid w:val="00ED2EFA"/>
    <w:rsid w:val="00ED6980"/>
    <w:rsid w:val="00EE6495"/>
    <w:rsid w:val="00EF4F8C"/>
    <w:rsid w:val="00EF55FB"/>
    <w:rsid w:val="00EF6E3B"/>
    <w:rsid w:val="00EF78C4"/>
    <w:rsid w:val="00F010FA"/>
    <w:rsid w:val="00F04CD7"/>
    <w:rsid w:val="00F1127A"/>
    <w:rsid w:val="00F1539E"/>
    <w:rsid w:val="00F17BCE"/>
    <w:rsid w:val="00F208D6"/>
    <w:rsid w:val="00F23E15"/>
    <w:rsid w:val="00F244A2"/>
    <w:rsid w:val="00F35064"/>
    <w:rsid w:val="00F374D8"/>
    <w:rsid w:val="00F44C3E"/>
    <w:rsid w:val="00F539FB"/>
    <w:rsid w:val="00F546CC"/>
    <w:rsid w:val="00F5684D"/>
    <w:rsid w:val="00F579AF"/>
    <w:rsid w:val="00F57AB6"/>
    <w:rsid w:val="00F6480F"/>
    <w:rsid w:val="00F64868"/>
    <w:rsid w:val="00F70C2E"/>
    <w:rsid w:val="00F84DF2"/>
    <w:rsid w:val="00F864AC"/>
    <w:rsid w:val="00F86713"/>
    <w:rsid w:val="00F932E0"/>
    <w:rsid w:val="00F942F1"/>
    <w:rsid w:val="00F953F0"/>
    <w:rsid w:val="00FA351C"/>
    <w:rsid w:val="00FB7701"/>
    <w:rsid w:val="00FB7D05"/>
    <w:rsid w:val="00FC1BF0"/>
    <w:rsid w:val="00FC40F0"/>
    <w:rsid w:val="00FC44AE"/>
    <w:rsid w:val="00FC6D3B"/>
    <w:rsid w:val="00FC7337"/>
    <w:rsid w:val="00FD0129"/>
    <w:rsid w:val="00FD0AF2"/>
    <w:rsid w:val="00FD40D2"/>
    <w:rsid w:val="00FD4D27"/>
    <w:rsid w:val="00FE17ED"/>
    <w:rsid w:val="00FE6274"/>
    <w:rsid w:val="00FE7EB8"/>
    <w:rsid w:val="00FF0540"/>
    <w:rsid w:val="00FF1D2B"/>
    <w:rsid w:val="00FF4315"/>
    <w:rsid w:val="00FF6C91"/>
    <w:rsid w:val="24646861"/>
    <w:rsid w:val="3BBBA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ACA0E"/>
  <w15:docId w15:val="{52D4CF77-ABC7-46D1-B1A6-3D10A505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link w:val="ListParagraphChar"/>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ShortT">
    <w:name w:val="ShortT"/>
    <w:basedOn w:val="Normal"/>
    <w:next w:val="Normal"/>
    <w:rsid w:val="00F208D6"/>
    <w:rPr>
      <w:b/>
      <w:sz w:val="40"/>
    </w:rPr>
  </w:style>
  <w:style w:type="paragraph" w:styleId="Revision">
    <w:name w:val="Revision"/>
    <w:hidden/>
    <w:uiPriority w:val="99"/>
    <w:semiHidden/>
    <w:rsid w:val="00462607"/>
    <w:rPr>
      <w:sz w:val="24"/>
    </w:rPr>
  </w:style>
  <w:style w:type="paragraph" w:customStyle="1" w:styleId="Numberedtext">
    <w:name w:val="Numbered text"/>
    <w:basedOn w:val="Normal"/>
    <w:link w:val="NumberedtextChar"/>
    <w:qFormat/>
    <w:rsid w:val="00577FB4"/>
    <w:pPr>
      <w:numPr>
        <w:numId w:val="1"/>
      </w:numPr>
      <w:tabs>
        <w:tab w:val="clear" w:pos="360"/>
        <w:tab w:val="left" w:pos="709"/>
      </w:tabs>
      <w:spacing w:after="120"/>
      <w:ind w:left="0" w:firstLine="0"/>
    </w:pPr>
    <w:rPr>
      <w:rFonts w:ascii="Arial" w:hAnsi="Arial" w:cs="Arial"/>
      <w:sz w:val="22"/>
      <w:szCs w:val="22"/>
    </w:rPr>
  </w:style>
  <w:style w:type="character" w:customStyle="1" w:styleId="NumberedtextChar">
    <w:name w:val="Numbered text Char"/>
    <w:basedOn w:val="DefaultParagraphFont"/>
    <w:link w:val="Numberedtext"/>
    <w:rsid w:val="00577FB4"/>
    <w:rPr>
      <w:rFonts w:ascii="Arial" w:hAnsi="Arial" w:cs="Arial"/>
      <w:sz w:val="22"/>
      <w:szCs w:val="22"/>
    </w:rPr>
  </w:style>
  <w:style w:type="paragraph" w:customStyle="1" w:styleId="Dotpoint1">
    <w:name w:val="Dot point 1"/>
    <w:basedOn w:val="ListParagraph"/>
    <w:link w:val="Dotpoint1Char"/>
    <w:qFormat/>
    <w:rsid w:val="00781277"/>
    <w:pPr>
      <w:numPr>
        <w:ilvl w:val="1"/>
        <w:numId w:val="1"/>
      </w:numPr>
      <w:tabs>
        <w:tab w:val="clear" w:pos="1440"/>
      </w:tabs>
      <w:spacing w:after="120" w:line="240" w:lineRule="auto"/>
      <w:ind w:left="1418" w:hanging="709"/>
    </w:pPr>
    <w:rPr>
      <w:rFonts w:ascii="Arial" w:hAnsi="Arial" w:cs="Arial"/>
    </w:rPr>
  </w:style>
  <w:style w:type="character" w:customStyle="1" w:styleId="ListParagraphChar">
    <w:name w:val="List Paragraph Char"/>
    <w:basedOn w:val="DefaultParagraphFont"/>
    <w:link w:val="ListParagraph"/>
    <w:uiPriority w:val="34"/>
    <w:rsid w:val="00781277"/>
    <w:rPr>
      <w:rFonts w:ascii="Calibri" w:eastAsia="Calibri" w:hAnsi="Calibri"/>
      <w:sz w:val="22"/>
      <w:szCs w:val="22"/>
      <w:lang w:eastAsia="en-US"/>
    </w:rPr>
  </w:style>
  <w:style w:type="character" w:customStyle="1" w:styleId="Dotpoint1Char">
    <w:name w:val="Dot point 1 Char"/>
    <w:basedOn w:val="ListParagraphChar"/>
    <w:link w:val="Dotpoint1"/>
    <w:rsid w:val="00781277"/>
    <w:rPr>
      <w:rFonts w:ascii="Arial" w:eastAsia="Calibri" w:hAnsi="Arial" w:cs="Arial"/>
      <w:sz w:val="22"/>
      <w:szCs w:val="22"/>
      <w:lang w:eastAsia="en-US"/>
    </w:rPr>
  </w:style>
  <w:style w:type="paragraph" w:customStyle="1" w:styleId="Numberedparagraphs">
    <w:name w:val="Numbered paragraphs"/>
    <w:basedOn w:val="Normal"/>
    <w:qFormat/>
    <w:rsid w:val="002C5850"/>
    <w:pPr>
      <w:tabs>
        <w:tab w:val="num" w:pos="502"/>
        <w:tab w:val="left" w:pos="709"/>
      </w:tabs>
      <w:spacing w:after="1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99411">
      <w:bodyDiv w:val="1"/>
      <w:marLeft w:val="0"/>
      <w:marRight w:val="0"/>
      <w:marTop w:val="0"/>
      <w:marBottom w:val="0"/>
      <w:divBdr>
        <w:top w:val="none" w:sz="0" w:space="0" w:color="auto"/>
        <w:left w:val="none" w:sz="0" w:space="0" w:color="auto"/>
        <w:bottom w:val="none" w:sz="0" w:space="0" w:color="auto"/>
        <w:right w:val="none" w:sz="0" w:space="0" w:color="auto"/>
      </w:divBdr>
      <w:divsChild>
        <w:div w:id="656882032">
          <w:blockQuote w:val="1"/>
          <w:marLeft w:val="900"/>
          <w:marRight w:val="750"/>
          <w:marTop w:val="100"/>
          <w:marBottom w:val="100"/>
          <w:divBdr>
            <w:top w:val="none" w:sz="0" w:space="0" w:color="auto"/>
            <w:left w:val="none" w:sz="0" w:space="0" w:color="auto"/>
            <w:bottom w:val="none" w:sz="0" w:space="0" w:color="auto"/>
            <w:right w:val="none" w:sz="0" w:space="0" w:color="auto"/>
          </w:divBdr>
        </w:div>
        <w:div w:id="143661927">
          <w:blockQuote w:val="1"/>
          <w:marLeft w:val="900"/>
          <w:marRight w:val="750"/>
          <w:marTop w:val="100"/>
          <w:marBottom w:val="100"/>
          <w:divBdr>
            <w:top w:val="none" w:sz="0" w:space="0" w:color="auto"/>
            <w:left w:val="none" w:sz="0" w:space="0" w:color="auto"/>
            <w:bottom w:val="none" w:sz="0" w:space="0" w:color="auto"/>
            <w:right w:val="none" w:sz="0" w:space="0" w:color="auto"/>
          </w:divBdr>
        </w:div>
        <w:div w:id="1438407730">
          <w:blockQuote w:val="1"/>
          <w:marLeft w:val="900"/>
          <w:marRight w:val="750"/>
          <w:marTop w:val="100"/>
          <w:marBottom w:val="100"/>
          <w:divBdr>
            <w:top w:val="none" w:sz="0" w:space="0" w:color="auto"/>
            <w:left w:val="none" w:sz="0" w:space="0" w:color="auto"/>
            <w:bottom w:val="none" w:sz="0" w:space="0" w:color="auto"/>
            <w:right w:val="none" w:sz="0" w:space="0" w:color="auto"/>
          </w:divBdr>
        </w:div>
        <w:div w:id="220554267">
          <w:blockQuote w:val="1"/>
          <w:marLeft w:val="900"/>
          <w:marRight w:val="750"/>
          <w:marTop w:val="100"/>
          <w:marBottom w:val="100"/>
          <w:divBdr>
            <w:top w:val="none" w:sz="0" w:space="0" w:color="auto"/>
            <w:left w:val="none" w:sz="0" w:space="0" w:color="auto"/>
            <w:bottom w:val="none" w:sz="0" w:space="0" w:color="auto"/>
            <w:right w:val="none" w:sz="0" w:space="0" w:color="auto"/>
          </w:divBdr>
        </w:div>
        <w:div w:id="80953708">
          <w:blockQuote w:val="1"/>
          <w:marLeft w:val="900"/>
          <w:marRight w:val="750"/>
          <w:marTop w:val="100"/>
          <w:marBottom w:val="100"/>
          <w:divBdr>
            <w:top w:val="none" w:sz="0" w:space="0" w:color="auto"/>
            <w:left w:val="none" w:sz="0" w:space="0" w:color="auto"/>
            <w:bottom w:val="none" w:sz="0" w:space="0" w:color="auto"/>
            <w:right w:val="none" w:sz="0" w:space="0" w:color="auto"/>
          </w:divBdr>
        </w:div>
        <w:div w:id="1788543758">
          <w:blockQuote w:val="1"/>
          <w:marLeft w:val="900"/>
          <w:marRight w:val="750"/>
          <w:marTop w:val="100"/>
          <w:marBottom w:val="100"/>
          <w:divBdr>
            <w:top w:val="none" w:sz="0" w:space="0" w:color="auto"/>
            <w:left w:val="none" w:sz="0" w:space="0" w:color="auto"/>
            <w:bottom w:val="none" w:sz="0" w:space="0" w:color="auto"/>
            <w:right w:val="none" w:sz="0" w:space="0" w:color="auto"/>
          </w:divBdr>
        </w:div>
        <w:div w:id="2086224779">
          <w:blockQuote w:val="1"/>
          <w:marLeft w:val="900"/>
          <w:marRight w:val="750"/>
          <w:marTop w:val="100"/>
          <w:marBottom w:val="100"/>
          <w:divBdr>
            <w:top w:val="none" w:sz="0" w:space="0" w:color="auto"/>
            <w:left w:val="none" w:sz="0" w:space="0" w:color="auto"/>
            <w:bottom w:val="none" w:sz="0" w:space="0" w:color="auto"/>
            <w:right w:val="none" w:sz="0" w:space="0" w:color="auto"/>
          </w:divBdr>
          <w:divsChild>
            <w:div w:id="1052004768">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1113596188">
          <w:blockQuote w:val="1"/>
          <w:marLeft w:val="900"/>
          <w:marRight w:val="750"/>
          <w:marTop w:val="100"/>
          <w:marBottom w:val="100"/>
          <w:divBdr>
            <w:top w:val="none" w:sz="0" w:space="0" w:color="auto"/>
            <w:left w:val="none" w:sz="0" w:space="0" w:color="auto"/>
            <w:bottom w:val="none" w:sz="0" w:space="0" w:color="auto"/>
            <w:right w:val="none" w:sz="0" w:space="0" w:color="auto"/>
          </w:divBdr>
        </w:div>
        <w:div w:id="1340231960">
          <w:blockQuote w:val="1"/>
          <w:marLeft w:val="900"/>
          <w:marRight w:val="750"/>
          <w:marTop w:val="100"/>
          <w:marBottom w:val="100"/>
          <w:divBdr>
            <w:top w:val="none" w:sz="0" w:space="0" w:color="auto"/>
            <w:left w:val="none" w:sz="0" w:space="0" w:color="auto"/>
            <w:bottom w:val="none" w:sz="0" w:space="0" w:color="auto"/>
            <w:right w:val="none" w:sz="0" w:space="0" w:color="auto"/>
          </w:divBdr>
          <w:divsChild>
            <w:div w:id="1324353822">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945384810">
          <w:blockQuote w:val="1"/>
          <w:marLeft w:val="900"/>
          <w:marRight w:val="750"/>
          <w:marTop w:val="100"/>
          <w:marBottom w:val="100"/>
          <w:divBdr>
            <w:top w:val="none" w:sz="0" w:space="0" w:color="auto"/>
            <w:left w:val="none" w:sz="0" w:space="0" w:color="auto"/>
            <w:bottom w:val="none" w:sz="0" w:space="0" w:color="auto"/>
            <w:right w:val="none" w:sz="0" w:space="0" w:color="auto"/>
          </w:divBdr>
        </w:div>
        <w:div w:id="464738048">
          <w:blockQuote w:val="1"/>
          <w:marLeft w:val="900"/>
          <w:marRight w:val="750"/>
          <w:marTop w:val="100"/>
          <w:marBottom w:val="100"/>
          <w:divBdr>
            <w:top w:val="none" w:sz="0" w:space="0" w:color="auto"/>
            <w:left w:val="none" w:sz="0" w:space="0" w:color="auto"/>
            <w:bottom w:val="none" w:sz="0" w:space="0" w:color="auto"/>
            <w:right w:val="none" w:sz="0" w:space="0" w:color="auto"/>
          </w:divBdr>
        </w:div>
        <w:div w:id="930628916">
          <w:blockQuote w:val="1"/>
          <w:marLeft w:val="900"/>
          <w:marRight w:val="750"/>
          <w:marTop w:val="100"/>
          <w:marBottom w:val="100"/>
          <w:divBdr>
            <w:top w:val="none" w:sz="0" w:space="0" w:color="auto"/>
            <w:left w:val="none" w:sz="0" w:space="0" w:color="auto"/>
            <w:bottom w:val="none" w:sz="0" w:space="0" w:color="auto"/>
            <w:right w:val="none" w:sz="0" w:space="0" w:color="auto"/>
          </w:divBdr>
        </w:div>
        <w:div w:id="1919441485">
          <w:blockQuote w:val="1"/>
          <w:marLeft w:val="900"/>
          <w:marRight w:val="750"/>
          <w:marTop w:val="100"/>
          <w:marBottom w:val="100"/>
          <w:divBdr>
            <w:top w:val="none" w:sz="0" w:space="0" w:color="auto"/>
            <w:left w:val="none" w:sz="0" w:space="0" w:color="auto"/>
            <w:bottom w:val="none" w:sz="0" w:space="0" w:color="auto"/>
            <w:right w:val="none" w:sz="0" w:space="0" w:color="auto"/>
          </w:divBdr>
        </w:div>
        <w:div w:id="1037893648">
          <w:blockQuote w:val="1"/>
          <w:marLeft w:val="900"/>
          <w:marRight w:val="750"/>
          <w:marTop w:val="100"/>
          <w:marBottom w:val="100"/>
          <w:divBdr>
            <w:top w:val="none" w:sz="0" w:space="0" w:color="auto"/>
            <w:left w:val="none" w:sz="0" w:space="0" w:color="auto"/>
            <w:bottom w:val="none" w:sz="0" w:space="0" w:color="auto"/>
            <w:right w:val="none" w:sz="0" w:space="0" w:color="auto"/>
          </w:divBdr>
          <w:divsChild>
            <w:div w:id="598413848">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1825048325">
          <w:blockQuote w:val="1"/>
          <w:marLeft w:val="900"/>
          <w:marRight w:val="750"/>
          <w:marTop w:val="100"/>
          <w:marBottom w:val="100"/>
          <w:divBdr>
            <w:top w:val="none" w:sz="0" w:space="0" w:color="auto"/>
            <w:left w:val="none" w:sz="0" w:space="0" w:color="auto"/>
            <w:bottom w:val="none" w:sz="0" w:space="0" w:color="auto"/>
            <w:right w:val="none" w:sz="0" w:space="0" w:color="auto"/>
          </w:divBdr>
        </w:div>
        <w:div w:id="1606843813">
          <w:blockQuote w:val="1"/>
          <w:marLeft w:val="900"/>
          <w:marRight w:val="750"/>
          <w:marTop w:val="100"/>
          <w:marBottom w:val="100"/>
          <w:divBdr>
            <w:top w:val="none" w:sz="0" w:space="0" w:color="auto"/>
            <w:left w:val="none" w:sz="0" w:space="0" w:color="auto"/>
            <w:bottom w:val="none" w:sz="0" w:space="0" w:color="auto"/>
            <w:right w:val="none" w:sz="0" w:space="0" w:color="auto"/>
          </w:divBdr>
        </w:div>
        <w:div w:id="1098678170">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734009147">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Giasoumi</dc:creator>
  <cp:keywords/>
  <dc:description/>
  <cp:lastModifiedBy>Peter Giasoumi</cp:lastModifiedBy>
  <cp:revision>2</cp:revision>
  <dcterms:created xsi:type="dcterms:W3CDTF">2025-08-25T03:15:00Z</dcterms:created>
  <dcterms:modified xsi:type="dcterms:W3CDTF">2025-08-25T03:15:00Z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0x0101006381614D443F4E45AD23A8BD133FEC9F00635C18BB39FA7C429D78CB442A1DCFA8</vt:lpwstr>
  </property>
  <property fmtid="{D5CDD505-2E9C-101B-9397-08002B2CF9AE}" pid="3" name="_dlc_DocIdItemGuid">
    <vt:lpwstr>4a445fae-6358-43a5-a4b9-b38a745c6da7</vt:lpwstr>
  </property>
  <property fmtid="{D5CDD505-2E9C-101B-9397-08002B2CF9AE}" pid="4" name="Security Classification">
    <vt:lpwstr>1;#OFFICIAL|5d128361-bbb7-4b9a-ac60-b26612a0ec1b</vt:lpwstr>
  </property>
  <property fmtid="{D5CDD505-2E9C-101B-9397-08002B2CF9AE}" pid="5" name="IsABRSLetter">
    <vt:bool>false</vt:bool>
  </property>
  <property fmtid="{D5CDD505-2E9C-101B-9397-08002B2CF9AE}" pid="6" name="MediaServiceImageTags">
    <vt:lpwstr/>
  </property>
  <property fmtid="{D5CDD505-2E9C-101B-9397-08002B2CF9AE}" pid="7" name="Security_x0020_Classification">
    <vt:lpwstr>1;#OFFICIAL|5d128361-bbb7-4b9a-ac60-b26612a0ec1b</vt:lpwstr>
  </property>
  <property fmtid="{D5CDD505-2E9C-101B-9397-08002B2CF9AE}" pid="8" name="ClassificationContentMarkingHeaderShapeIds">
    <vt:lpwstr>8edce4c</vt:lpwstr>
  </property>
  <property fmtid="{D5CDD505-2E9C-101B-9397-08002B2CF9AE}" pid="9" name="ClassificationContentMarkingHeaderFontProps">
    <vt:lpwstr>#b40029,10,Verdana</vt:lpwstr>
  </property>
  <property fmtid="{D5CDD505-2E9C-101B-9397-08002B2CF9AE}" pid="10" name="ClassificationContentMarkingHeaderText">
    <vt:lpwstr>OFFICIAL</vt:lpwstr>
  </property>
  <property fmtid="{D5CDD505-2E9C-101B-9397-08002B2CF9AE}" pid="11" name="MSIP_Label_1ff77f88-0a92-4c4a-b92a-f7fdfe5127c7_Enabled">
    <vt:lpwstr>true</vt:lpwstr>
  </property>
  <property fmtid="{D5CDD505-2E9C-101B-9397-08002B2CF9AE}" pid="12" name="MSIP_Label_1ff77f88-0a92-4c4a-b92a-f7fdfe5127c7_SetDate">
    <vt:lpwstr>2025-06-10T04:00:13Z</vt:lpwstr>
  </property>
  <property fmtid="{D5CDD505-2E9C-101B-9397-08002B2CF9AE}" pid="13" name="MSIP_Label_1ff77f88-0a92-4c4a-b92a-f7fdfe5127c7_Method">
    <vt:lpwstr>Privileged</vt:lpwstr>
  </property>
  <property fmtid="{D5CDD505-2E9C-101B-9397-08002B2CF9AE}" pid="14" name="MSIP_Label_1ff77f88-0a92-4c4a-b92a-f7fdfe5127c7_Name">
    <vt:lpwstr>OFFICIAL - Letterhead</vt:lpwstr>
  </property>
  <property fmtid="{D5CDD505-2E9C-101B-9397-08002B2CF9AE}" pid="15" name="MSIP_Label_1ff77f88-0a92-4c4a-b92a-f7fdfe5127c7_SiteId">
    <vt:lpwstr>8e823e99-cbcb-430f-a0f6-af1365c21e22</vt:lpwstr>
  </property>
  <property fmtid="{D5CDD505-2E9C-101B-9397-08002B2CF9AE}" pid="16" name="MSIP_Label_1ff77f88-0a92-4c4a-b92a-f7fdfe5127c7_ActionId">
    <vt:lpwstr>3d7b3063-5eba-445f-a1aa-ac3f040455a6</vt:lpwstr>
  </property>
  <property fmtid="{D5CDD505-2E9C-101B-9397-08002B2CF9AE}" pid="17" name="MSIP_Label_1ff77f88-0a92-4c4a-b92a-f7fdfe5127c7_ContentBits">
    <vt:lpwstr>0</vt:lpwstr>
  </property>
</Properties>
</file>