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41F1" w14:textId="48BF168C" w:rsidR="001F2A16" w:rsidRDefault="001F2A16" w:rsidP="004F2E18">
      <w:pPr>
        <w:pStyle w:val="Header"/>
        <w:pBdr>
          <w:top w:val="single" w:sz="4" w:space="1" w:color="auto"/>
          <w:bottom w:val="single" w:sz="4" w:space="1" w:color="auto"/>
        </w:pBdr>
        <w:tabs>
          <w:tab w:val="clear" w:pos="4153"/>
          <w:tab w:val="clear" w:pos="8306"/>
        </w:tabs>
        <w:spacing w:after="360"/>
        <w:jc w:val="center"/>
        <w:rPr>
          <w:rFonts w:cs="Arial"/>
          <w:sz w:val="34"/>
          <w:szCs w:val="34"/>
        </w:rPr>
      </w:pPr>
      <w:r w:rsidRPr="00C620E9">
        <w:rPr>
          <w:rFonts w:cs="Arial"/>
          <w:sz w:val="34"/>
          <w:szCs w:val="34"/>
        </w:rPr>
        <w:t>Explanatory Statement</w:t>
      </w:r>
    </w:p>
    <w:p w14:paraId="6FA69344" w14:textId="69B79275" w:rsidR="001F2A16" w:rsidRPr="00824928" w:rsidRDefault="00CB5563" w:rsidP="004F2E18">
      <w:pPr>
        <w:pStyle w:val="Header"/>
        <w:pBdr>
          <w:top w:val="single" w:sz="4" w:space="1" w:color="auto"/>
          <w:bottom w:val="single" w:sz="4" w:space="1" w:color="auto"/>
        </w:pBdr>
        <w:tabs>
          <w:tab w:val="clear" w:pos="4153"/>
          <w:tab w:val="clear" w:pos="8306"/>
        </w:tabs>
        <w:spacing w:after="360"/>
        <w:jc w:val="center"/>
        <w:rPr>
          <w:rFonts w:cs="Arial"/>
          <w:sz w:val="34"/>
          <w:szCs w:val="34"/>
        </w:rPr>
      </w:pPr>
      <w:r w:rsidRPr="00CB5563">
        <w:rPr>
          <w:rFonts w:cs="Arial"/>
          <w:sz w:val="34"/>
          <w:szCs w:val="34"/>
        </w:rPr>
        <w:t>A New Tax System (Goods and Services Tax) (Extension of Time to Issue an Adjustment Note – Electricity Distributors and Public Utility Providers) Determination 2025</w:t>
      </w:r>
    </w:p>
    <w:p w14:paraId="646C7DC1" w14:textId="77777777" w:rsidR="00486653" w:rsidRPr="00FD0AF2" w:rsidRDefault="00486653" w:rsidP="00523434">
      <w:pPr>
        <w:pStyle w:val="Heading2"/>
        <w:jc w:val="both"/>
      </w:pPr>
      <w:r w:rsidRPr="00FD0AF2">
        <w:t xml:space="preserve">General </w:t>
      </w:r>
      <w:r w:rsidR="00C620E9" w:rsidRPr="00FD0AF2">
        <w:t>o</w:t>
      </w:r>
      <w:r w:rsidRPr="00FD0AF2">
        <w:t xml:space="preserve">utline of </w:t>
      </w:r>
      <w:r w:rsidR="00C620E9" w:rsidRPr="00FD0AF2">
        <w:t>i</w:t>
      </w:r>
      <w:r w:rsidRPr="00FD0AF2">
        <w:t>nstrument</w:t>
      </w:r>
    </w:p>
    <w:p w14:paraId="14B4F026" w14:textId="0CB1B5F2" w:rsidR="00486653" w:rsidRPr="001B2269" w:rsidRDefault="00486653" w:rsidP="00D50BF5">
      <w:pPr>
        <w:pStyle w:val="Numberedparagraphs"/>
        <w:ind w:left="0" w:firstLine="0"/>
        <w:rPr>
          <w:sz w:val="20"/>
        </w:rPr>
      </w:pPr>
      <w:r w:rsidRPr="00FD0AF2">
        <w:t>This instrument is made under</w:t>
      </w:r>
      <w:r w:rsidR="001B2269">
        <w:t xml:space="preserve"> </w:t>
      </w:r>
      <w:r w:rsidR="001B2269" w:rsidRPr="001B2269">
        <w:t xml:space="preserve">subsection 29-75(3) of the </w:t>
      </w:r>
      <w:r w:rsidR="001B2269" w:rsidRPr="001B2269">
        <w:rPr>
          <w:i/>
          <w:iCs/>
        </w:rPr>
        <w:t>A New Tax System (Goods and Services Tax) Act 1999</w:t>
      </w:r>
      <w:r w:rsidR="00562A45">
        <w:rPr>
          <w:i/>
          <w:iCs/>
        </w:rPr>
        <w:t xml:space="preserve"> </w:t>
      </w:r>
      <w:r w:rsidR="00562A45">
        <w:t>(the Act)</w:t>
      </w:r>
      <w:r w:rsidR="001B2269" w:rsidRPr="001B2269">
        <w:rPr>
          <w:i/>
          <w:iCs/>
        </w:rPr>
        <w:t>.</w:t>
      </w:r>
    </w:p>
    <w:p w14:paraId="19C930F2" w14:textId="3B54FDDF" w:rsidR="004965CA" w:rsidRPr="00FD0AF2" w:rsidRDefault="004965CA" w:rsidP="00D50BF5">
      <w:pPr>
        <w:pStyle w:val="Numberedparagraphs"/>
        <w:ind w:left="0" w:firstLine="0"/>
      </w:pPr>
      <w:r w:rsidRPr="004965CA">
        <w:t>This instrument extends the time in which a public utility provider or an electricity distributor must issue an adjustment note in certain circumstances.</w:t>
      </w:r>
    </w:p>
    <w:p w14:paraId="6BEA899F" w14:textId="152289C7" w:rsidR="00486653" w:rsidRPr="00FD0AF2" w:rsidRDefault="00486653" w:rsidP="00D50BF5">
      <w:pPr>
        <w:pStyle w:val="Numberedparagraphs"/>
        <w:ind w:left="0" w:firstLine="0"/>
      </w:pPr>
      <w:r w:rsidRPr="00FD0AF2">
        <w:t xml:space="preserve">The instrument is a legislative instrument for the purposes of the </w:t>
      </w:r>
      <w:r w:rsidR="00C4143E" w:rsidRPr="00FD0AF2">
        <w:rPr>
          <w:i/>
        </w:rPr>
        <w:t xml:space="preserve">Legislation </w:t>
      </w:r>
      <w:r w:rsidRPr="00FD0AF2">
        <w:rPr>
          <w:i/>
        </w:rPr>
        <w:t>Act</w:t>
      </w:r>
      <w:r w:rsidR="00C620E9" w:rsidRPr="00FD0AF2">
        <w:rPr>
          <w:i/>
        </w:rPr>
        <w:t> </w:t>
      </w:r>
      <w:r w:rsidRPr="00FD0AF2">
        <w:rPr>
          <w:i/>
        </w:rPr>
        <w:t>2003</w:t>
      </w:r>
      <w:r w:rsidRPr="00FD0AF2">
        <w:t>.</w:t>
      </w:r>
    </w:p>
    <w:p w14:paraId="1FAE9AD7" w14:textId="690C6657" w:rsidR="00B31550" w:rsidRPr="00FD0AF2" w:rsidRDefault="00B31550" w:rsidP="00D50BF5">
      <w:pPr>
        <w:pStyle w:val="Numberedparagraphs"/>
        <w:ind w:left="0" w:firstLine="0"/>
      </w:pPr>
      <w:r w:rsidRPr="00FD0AF2">
        <w:t xml:space="preserve">Under subsection 33(3) of the </w:t>
      </w:r>
      <w:r w:rsidRPr="00FD0AF2">
        <w:rPr>
          <w:i/>
        </w:rPr>
        <w:t>Acts Interpretation Act 1901</w:t>
      </w:r>
      <w:r w:rsidRPr="00FD0AF2">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876EA2C" w14:textId="77777777" w:rsidR="006302F7" w:rsidRPr="00FD0AF2" w:rsidRDefault="006302F7" w:rsidP="00824928"/>
    <w:p w14:paraId="55025913" w14:textId="77777777" w:rsidR="001D02E6" w:rsidRPr="00FD0AF2" w:rsidRDefault="001D02E6" w:rsidP="00824928">
      <w:pPr>
        <w:pStyle w:val="Heading2"/>
      </w:pPr>
      <w:r w:rsidRPr="00FD0AF2">
        <w:t>Date of effect</w:t>
      </w:r>
    </w:p>
    <w:p w14:paraId="1C88850A" w14:textId="2E0C89DD" w:rsidR="001D02E6" w:rsidRPr="001B2269" w:rsidRDefault="00222AFB" w:rsidP="00D50BF5">
      <w:pPr>
        <w:pStyle w:val="Numberedparagraphs"/>
        <w:ind w:left="0" w:firstLine="0"/>
      </w:pPr>
      <w:r w:rsidRPr="00FD0AF2">
        <w:t>This instrument commences on the day after it is registered on the Federal Register of Legislation.</w:t>
      </w:r>
    </w:p>
    <w:p w14:paraId="3C649831" w14:textId="77777777" w:rsidR="00486653" w:rsidRDefault="00486653" w:rsidP="00824928"/>
    <w:p w14:paraId="522AED45" w14:textId="77777777" w:rsidR="00657EBA" w:rsidRPr="00FD0AF2" w:rsidRDefault="00657EBA" w:rsidP="00657EBA">
      <w:pPr>
        <w:pStyle w:val="Heading2"/>
        <w:jc w:val="both"/>
      </w:pPr>
      <w:r w:rsidRPr="00FD0AF2">
        <w:t>Background</w:t>
      </w:r>
    </w:p>
    <w:p w14:paraId="2410965F" w14:textId="6839140E" w:rsidR="00372741" w:rsidRDefault="00F51763" w:rsidP="00D50BF5">
      <w:pPr>
        <w:pStyle w:val="Numberedparagraphs"/>
        <w:ind w:left="0" w:firstLine="0"/>
      </w:pPr>
      <w:r>
        <w:t xml:space="preserve">Subdivision 29-A of the </w:t>
      </w:r>
      <w:r w:rsidRPr="008B053E">
        <w:t xml:space="preserve">Act </w:t>
      </w:r>
      <w:r w:rsidR="009223FA" w:rsidRPr="008B053E">
        <w:t>s</w:t>
      </w:r>
      <w:r w:rsidR="0089208D">
        <w:t>ets out</w:t>
      </w:r>
      <w:r w:rsidR="009223FA" w:rsidRPr="008B053E">
        <w:t xml:space="preserve"> </w:t>
      </w:r>
      <w:r w:rsidR="00DD6905">
        <w:t xml:space="preserve">which </w:t>
      </w:r>
      <w:r>
        <w:t>tax period</w:t>
      </w:r>
      <w:r w:rsidR="00A56841">
        <w:t>s</w:t>
      </w:r>
      <w:r>
        <w:t xml:space="preserve"> </w:t>
      </w:r>
      <w:r w:rsidR="00DD6905">
        <w:t xml:space="preserve">the </w:t>
      </w:r>
      <w:r>
        <w:t xml:space="preserve">GST on taxable supplies and input tax credits for creditable acquisitions and importations </w:t>
      </w:r>
      <w:r w:rsidR="00A56841">
        <w:t>are</w:t>
      </w:r>
      <w:r>
        <w:t xml:space="preserve"> attributable.</w:t>
      </w:r>
    </w:p>
    <w:p w14:paraId="7528BFDD" w14:textId="68C3E3B4" w:rsidR="00F51763" w:rsidRPr="007B55E0" w:rsidRDefault="005E2F38" w:rsidP="00D50BF5">
      <w:pPr>
        <w:pStyle w:val="Numberedparagraphs"/>
        <w:ind w:left="0" w:firstLine="0"/>
      </w:pPr>
      <w:r>
        <w:t>Later events in subsequent tax periods may change the amount of GST payable or input tax credit entitlement for a supply or acquisition</w:t>
      </w:r>
      <w:r w:rsidR="00B113DB">
        <w:t xml:space="preserve"> or </w:t>
      </w:r>
      <w:r>
        <w:t>importation. In order to correct the amount of GST payable or the input tax credit entitlement, an adjustment, either increasing or decreasing, is attributable to the tax period in which the supplier or recipient become</w:t>
      </w:r>
      <w:r w:rsidR="001E6333">
        <w:t>s</w:t>
      </w:r>
      <w:r>
        <w:t xml:space="preserve"> aware of the adjustment</w:t>
      </w:r>
      <w:r w:rsidR="007B24D6" w:rsidRPr="007B55E0">
        <w:t>.</w:t>
      </w:r>
    </w:p>
    <w:p w14:paraId="2567B1D0" w14:textId="3504ABD2" w:rsidR="004E3A45" w:rsidRDefault="007B24D6" w:rsidP="00D50BF5">
      <w:pPr>
        <w:pStyle w:val="Numberedparagraphs"/>
        <w:ind w:left="0" w:firstLine="0"/>
      </w:pPr>
      <w:r>
        <w:t xml:space="preserve">Section 29-75 outlines the requirements for an adjustment note including when one must be issued. </w:t>
      </w:r>
      <w:r w:rsidR="007F2681">
        <w:t>Under paragraph 29-75(2)</w:t>
      </w:r>
      <w:r w:rsidR="00C2651F">
        <w:t>(b)</w:t>
      </w:r>
      <w:r w:rsidR="00FE449C">
        <w:t xml:space="preserve"> </w:t>
      </w:r>
      <w:r w:rsidR="007F2681">
        <w:t>of the Act</w:t>
      </w:r>
      <w:r>
        <w:t xml:space="preserve">, an adjustment note </w:t>
      </w:r>
      <w:r w:rsidR="00283DB1">
        <w:t xml:space="preserve">must be issued </w:t>
      </w:r>
      <w:r>
        <w:t>within 28 days of</w:t>
      </w:r>
      <w:r w:rsidR="001F19BF">
        <w:t xml:space="preserve"> the supplier</w:t>
      </w:r>
      <w:r w:rsidR="00BF29C8">
        <w:t xml:space="preserve"> </w:t>
      </w:r>
      <w:r w:rsidR="007F2681">
        <w:t>becoming aware of an adjustment</w:t>
      </w:r>
      <w:r w:rsidR="00F37689">
        <w:t xml:space="preserve"> in circumstances where</w:t>
      </w:r>
      <w:r w:rsidR="004E3A45">
        <w:t>:</w:t>
      </w:r>
    </w:p>
    <w:p w14:paraId="01B8DB8D" w14:textId="0D0AF38A" w:rsidR="004E3A45" w:rsidRDefault="007B0D18" w:rsidP="00FF2A8F">
      <w:pPr>
        <w:pStyle w:val="ListParagraph"/>
      </w:pPr>
      <w:r>
        <w:t>a</w:t>
      </w:r>
      <w:r w:rsidR="00882158">
        <w:t xml:space="preserve"> tax invoice </w:t>
      </w:r>
      <w:r w:rsidR="0033474A">
        <w:t xml:space="preserve">for that supply </w:t>
      </w:r>
      <w:r w:rsidR="00882158">
        <w:t>has been issued</w:t>
      </w:r>
      <w:r w:rsidR="0033474A">
        <w:t xml:space="preserve"> </w:t>
      </w:r>
      <w:r w:rsidR="00F37689">
        <w:t xml:space="preserve">to, </w:t>
      </w:r>
      <w:r w:rsidR="0033474A">
        <w:t xml:space="preserve">or </w:t>
      </w:r>
      <w:r w:rsidR="007F2681">
        <w:t xml:space="preserve">requested </w:t>
      </w:r>
      <w:r w:rsidR="001472D9">
        <w:t>by</w:t>
      </w:r>
      <w:r w:rsidR="00F37689">
        <w:t>,</w:t>
      </w:r>
      <w:r w:rsidR="001472D9">
        <w:t xml:space="preserve"> the recipient</w:t>
      </w:r>
      <w:r w:rsidR="00AD1B25">
        <w:t>,</w:t>
      </w:r>
      <w:r w:rsidR="00B7666E">
        <w:t xml:space="preserve"> and</w:t>
      </w:r>
    </w:p>
    <w:p w14:paraId="5DE55790" w14:textId="074ABAE2" w:rsidR="007F2681" w:rsidRDefault="00B7666E" w:rsidP="00FF2A8F">
      <w:pPr>
        <w:pStyle w:val="ListParagraph"/>
      </w:pPr>
      <w:r>
        <w:t>the recipient has not requested the supplier issue an adjustment note</w:t>
      </w:r>
      <w:r w:rsidR="00963629">
        <w:t xml:space="preserve"> relating to that supply</w:t>
      </w:r>
      <w:r w:rsidR="001472D9">
        <w:t>.</w:t>
      </w:r>
    </w:p>
    <w:p w14:paraId="76AAA0FA" w14:textId="705A8260" w:rsidR="00162A6D" w:rsidRPr="007F2681" w:rsidRDefault="00465C84" w:rsidP="00D50BF5">
      <w:pPr>
        <w:pStyle w:val="Numberedparagraphs"/>
        <w:ind w:left="0" w:firstLine="0"/>
      </w:pPr>
      <w:r w:rsidRPr="007F2681">
        <w:t>However</w:t>
      </w:r>
      <w:r w:rsidR="00866311" w:rsidRPr="007F2681">
        <w:t>,</w:t>
      </w:r>
      <w:r w:rsidR="004D4B5E" w:rsidRPr="007F2681">
        <w:t xml:space="preserve"> </w:t>
      </w:r>
      <w:r w:rsidRPr="007F2681">
        <w:t xml:space="preserve">depending on the </w:t>
      </w:r>
      <w:r w:rsidR="009B4928" w:rsidRPr="007F2681">
        <w:t>supplier</w:t>
      </w:r>
      <w:r w:rsidR="00917A12" w:rsidRPr="007F2681">
        <w:t xml:space="preserve">’s </w:t>
      </w:r>
      <w:r w:rsidRPr="007F2681">
        <w:t>normal</w:t>
      </w:r>
      <w:r w:rsidR="00B33005" w:rsidRPr="007F2681">
        <w:t xml:space="preserve"> business practices</w:t>
      </w:r>
      <w:r w:rsidR="00DF21A4" w:rsidRPr="007F2681">
        <w:t xml:space="preserve">, it may be difficult </w:t>
      </w:r>
      <w:r w:rsidR="00592A9E" w:rsidRPr="007F2681">
        <w:t>to</w:t>
      </w:r>
      <w:r w:rsidR="00DF21A4" w:rsidRPr="007F2681">
        <w:t xml:space="preserve"> </w:t>
      </w:r>
      <w:r w:rsidR="004D4B5E" w:rsidRPr="007F2681">
        <w:t xml:space="preserve">comply with the requirement </w:t>
      </w:r>
      <w:r w:rsidR="00DF21A4" w:rsidRPr="007F2681">
        <w:t>to issue an adjustment note within the 28</w:t>
      </w:r>
      <w:r w:rsidR="009F1801" w:rsidRPr="007F2681">
        <w:t xml:space="preserve"> </w:t>
      </w:r>
      <w:r w:rsidR="00DF21A4" w:rsidRPr="007F2681">
        <w:t>day timeframe</w:t>
      </w:r>
      <w:r w:rsidR="0067184A" w:rsidRPr="007F2681">
        <w:t>.</w:t>
      </w:r>
      <w:r w:rsidR="007B3700" w:rsidRPr="007F2681">
        <w:t xml:space="preserve"> </w:t>
      </w:r>
      <w:r w:rsidR="00162A6D" w:rsidRPr="007F2681">
        <w:t xml:space="preserve">For </w:t>
      </w:r>
      <w:r w:rsidR="0067184A" w:rsidRPr="007F2681">
        <w:t>example</w:t>
      </w:r>
      <w:r w:rsidR="00162A6D" w:rsidRPr="007F2681">
        <w:t xml:space="preserve">, electricity suppliers may read electricity meters and issue combined tax invoices and adjustments (if required) every </w:t>
      </w:r>
      <w:r w:rsidR="00387767">
        <w:t>3</w:t>
      </w:r>
      <w:r w:rsidR="00162A6D" w:rsidRPr="007F2681">
        <w:t xml:space="preserve"> months</w:t>
      </w:r>
      <w:r w:rsidR="008A5751">
        <w:t xml:space="preserve">. It would </w:t>
      </w:r>
      <w:r w:rsidR="00AB1BCD">
        <w:t xml:space="preserve">therefore </w:t>
      </w:r>
      <w:r w:rsidR="008A5751">
        <w:t xml:space="preserve">be difficult for these </w:t>
      </w:r>
      <w:r w:rsidR="00613631">
        <w:t>suppliers</w:t>
      </w:r>
      <w:r w:rsidR="008A5751">
        <w:t xml:space="preserve"> to issue an adjustment note within</w:t>
      </w:r>
      <w:r w:rsidR="00613631">
        <w:t xml:space="preserve"> 28 day</w:t>
      </w:r>
      <w:r w:rsidR="008A5751">
        <w:t>s of becoming aware of an adjustment</w:t>
      </w:r>
      <w:r w:rsidR="00162A6D" w:rsidRPr="007F2681">
        <w:t>.</w:t>
      </w:r>
    </w:p>
    <w:p w14:paraId="2CB8AB09" w14:textId="28D8AC48" w:rsidR="00562A45" w:rsidRDefault="00631253" w:rsidP="00D50BF5">
      <w:pPr>
        <w:pStyle w:val="Numberedparagraphs"/>
        <w:ind w:left="0" w:firstLine="0"/>
      </w:pPr>
      <w:r w:rsidRPr="00D35861">
        <w:lastRenderedPageBreak/>
        <w:t>S</w:t>
      </w:r>
      <w:r w:rsidR="00562A45" w:rsidRPr="00D35861">
        <w:t>ubsection 29-75(3) of the</w:t>
      </w:r>
      <w:r w:rsidR="00277932" w:rsidRPr="00D35861">
        <w:t xml:space="preserve"> Act</w:t>
      </w:r>
      <w:r w:rsidR="00962657" w:rsidRPr="00D35861">
        <w:t xml:space="preserve"> </w:t>
      </w:r>
      <w:r w:rsidRPr="00D35861">
        <w:t xml:space="preserve">allows </w:t>
      </w:r>
      <w:r w:rsidR="00562A45" w:rsidRPr="00D35861">
        <w:t xml:space="preserve">the Commissioner </w:t>
      </w:r>
      <w:r w:rsidRPr="00D35861">
        <w:t xml:space="preserve">to </w:t>
      </w:r>
      <w:r w:rsidR="00760E7F" w:rsidRPr="00D35861">
        <w:t>vary the time</w:t>
      </w:r>
      <w:r w:rsidR="00622E02" w:rsidRPr="00D35861">
        <w:t xml:space="preserve">frame in which a supplier must issue </w:t>
      </w:r>
      <w:r w:rsidR="0074306B" w:rsidRPr="00D35861">
        <w:t xml:space="preserve">an adjustment note </w:t>
      </w:r>
      <w:r w:rsidR="009B18AE" w:rsidRPr="00D35861">
        <w:t>under</w:t>
      </w:r>
      <w:r w:rsidR="0074306B" w:rsidRPr="00D35861">
        <w:t xml:space="preserve"> paragraph 29-75(2)(b) of the Act.</w:t>
      </w:r>
      <w:r w:rsidR="002F6BF4" w:rsidRPr="00D35861">
        <w:t xml:space="preserve"> </w:t>
      </w:r>
      <w:r w:rsidR="00E22FDB" w:rsidRPr="00D35861">
        <w:t>Where the circumstance</w:t>
      </w:r>
      <w:r w:rsidR="004974F0" w:rsidRPr="00D35861">
        <w:t xml:space="preserve">s determined by the Commissioner are met, </w:t>
      </w:r>
      <w:r w:rsidR="0054455B" w:rsidRPr="00D35861">
        <w:t xml:space="preserve">the number of days specified in </w:t>
      </w:r>
      <w:r w:rsidR="00B52A30" w:rsidRPr="00D35861">
        <w:t>paragraph</w:t>
      </w:r>
      <w:r w:rsidR="004965CA">
        <w:t> </w:t>
      </w:r>
      <w:r w:rsidR="00B52A30" w:rsidRPr="00D35861">
        <w:t xml:space="preserve">29-75(2)(b) </w:t>
      </w:r>
      <w:r w:rsidR="00E124E1" w:rsidRPr="00D35861">
        <w:t xml:space="preserve">of the Act </w:t>
      </w:r>
      <w:r w:rsidR="00DD0B45" w:rsidRPr="00D35861">
        <w:t>is</w:t>
      </w:r>
      <w:r w:rsidR="00F74300" w:rsidRPr="00D35861">
        <w:t xml:space="preserve"> </w:t>
      </w:r>
      <w:r w:rsidR="00DD0B45" w:rsidRPr="00D35861">
        <w:t xml:space="preserve">read as referring to the </w:t>
      </w:r>
      <w:r w:rsidR="0054455B" w:rsidRPr="00D35861">
        <w:t xml:space="preserve">number of days specified in the </w:t>
      </w:r>
      <w:r w:rsidR="00FA661A" w:rsidRPr="00FA661A">
        <w:t>instrument</w:t>
      </w:r>
      <w:r w:rsidR="0054455B" w:rsidRPr="00D35861">
        <w:t>.</w:t>
      </w:r>
    </w:p>
    <w:p w14:paraId="52E10929" w14:textId="4A7E0497" w:rsidR="004610E3" w:rsidRDefault="004610E3" w:rsidP="00D50BF5">
      <w:pPr>
        <w:pStyle w:val="Numberedparagraphs"/>
        <w:ind w:left="0" w:firstLine="0"/>
      </w:pPr>
      <w:r>
        <w:t>Subsection 29-75(4) of the Act provides that the circumstances referred to in subsection 29-75(3) of the Act may include, for example, the kind of taxable supply.</w:t>
      </w:r>
    </w:p>
    <w:p w14:paraId="0D067588" w14:textId="424CD4E4" w:rsidR="00562A45" w:rsidRPr="00D50BF5" w:rsidRDefault="00562A45" w:rsidP="00D50BF5">
      <w:pPr>
        <w:pStyle w:val="Numberedparagraphs"/>
        <w:ind w:left="0" w:firstLine="0"/>
      </w:pPr>
      <w:r w:rsidRPr="00D50BF5">
        <w:t>This instrument repeals and replaces the</w:t>
      </w:r>
      <w:r w:rsidR="001629A8" w:rsidRPr="00D50BF5">
        <w:t xml:space="preserve"> following</w:t>
      </w:r>
      <w:r w:rsidRPr="00D50BF5">
        <w:t xml:space="preserve"> instruments</w:t>
      </w:r>
      <w:r w:rsidR="001629A8" w:rsidRPr="00D50BF5">
        <w:t>, which would otherwise sunset on 1 October 2025</w:t>
      </w:r>
      <w:r w:rsidRPr="00D50BF5">
        <w:t>:</w:t>
      </w:r>
    </w:p>
    <w:p w14:paraId="4BD799C7" w14:textId="4ECC0FDA" w:rsidR="00562A45" w:rsidRPr="00D50BF5" w:rsidRDefault="004965CA" w:rsidP="00D50BF5">
      <w:pPr>
        <w:pStyle w:val="ListParagraph"/>
        <w:numPr>
          <w:ilvl w:val="0"/>
          <w:numId w:val="39"/>
        </w:numPr>
        <w:ind w:left="1418" w:hanging="709"/>
        <w:rPr>
          <w:rFonts w:eastAsiaTheme="minorEastAsia"/>
          <w:i/>
          <w:iCs/>
        </w:rPr>
      </w:pPr>
      <w:r w:rsidRPr="00D50BF5">
        <w:rPr>
          <w:i/>
          <w:iCs/>
        </w:rPr>
        <w:t xml:space="preserve">Goods and Services Tax: Extension of </w:t>
      </w:r>
      <w:r w:rsidR="00562A45" w:rsidRPr="00D50BF5">
        <w:rPr>
          <w:i/>
          <w:iCs/>
        </w:rPr>
        <w:t>Time to Issue An Adjustment Note Determination (No. 35) 2015</w:t>
      </w:r>
      <w:r w:rsidR="00AC3FE8" w:rsidRPr="00D50BF5">
        <w:rPr>
          <w:i/>
          <w:iCs/>
        </w:rPr>
        <w:t>,</w:t>
      </w:r>
      <w:r w:rsidR="00562A45" w:rsidRPr="00D50BF5">
        <w:rPr>
          <w:i/>
          <w:iCs/>
        </w:rPr>
        <w:t xml:space="preserve"> </w:t>
      </w:r>
    </w:p>
    <w:p w14:paraId="29334A0D" w14:textId="3A4CC6AD" w:rsidR="00562A45" w:rsidRPr="00D50BF5" w:rsidRDefault="00562A45" w:rsidP="00D50BF5">
      <w:pPr>
        <w:pStyle w:val="ListParagraph"/>
        <w:numPr>
          <w:ilvl w:val="0"/>
          <w:numId w:val="39"/>
        </w:numPr>
        <w:ind w:left="1418" w:hanging="709"/>
        <w:rPr>
          <w:rFonts w:eastAsiaTheme="minorEastAsia"/>
          <w:i/>
          <w:iCs/>
        </w:rPr>
      </w:pPr>
      <w:r w:rsidRPr="00D50BF5">
        <w:rPr>
          <w:i/>
          <w:iCs/>
        </w:rPr>
        <w:t>Goods and Services Tax: Extension of Time to Issue An Adjustment Note Determination (No. 36) 2015</w:t>
      </w:r>
      <w:r w:rsidR="00B113DB" w:rsidRPr="00D50BF5">
        <w:rPr>
          <w:i/>
          <w:iCs/>
        </w:rPr>
        <w:t>,</w:t>
      </w:r>
      <w:r w:rsidRPr="00D50BF5">
        <w:rPr>
          <w:i/>
          <w:iCs/>
        </w:rPr>
        <w:t xml:space="preserve"> </w:t>
      </w:r>
      <w:r w:rsidRPr="006C3EC7">
        <w:t>and</w:t>
      </w:r>
    </w:p>
    <w:p w14:paraId="2FAC97A3" w14:textId="3A119A19" w:rsidR="00562A45" w:rsidRPr="00D50BF5" w:rsidRDefault="00562A45" w:rsidP="00D50BF5">
      <w:pPr>
        <w:pStyle w:val="ListParagraph"/>
        <w:numPr>
          <w:ilvl w:val="0"/>
          <w:numId w:val="39"/>
        </w:numPr>
        <w:ind w:left="1418" w:hanging="709"/>
        <w:rPr>
          <w:i/>
          <w:iCs/>
        </w:rPr>
      </w:pPr>
      <w:r w:rsidRPr="00D50BF5">
        <w:rPr>
          <w:i/>
          <w:iCs/>
        </w:rPr>
        <w:t>Goods and Services Tax: Extension of Time to Issue An Adjustment Note Determination (No. 37) 2015 – Supplies made by electricity distributors to electricity retailers</w:t>
      </w:r>
      <w:r w:rsidR="00387767" w:rsidRPr="00D50BF5">
        <w:rPr>
          <w:i/>
          <w:iCs/>
        </w:rPr>
        <w:t>.</w:t>
      </w:r>
    </w:p>
    <w:p w14:paraId="0B420390" w14:textId="255A62EC" w:rsidR="00562A45" w:rsidRPr="00D50BF5" w:rsidRDefault="00562A45" w:rsidP="00D50BF5">
      <w:pPr>
        <w:pStyle w:val="Numberedparagraphs"/>
        <w:ind w:left="0" w:firstLine="0"/>
        <w:rPr>
          <w:rFonts w:eastAsia="Calibri"/>
        </w:rPr>
      </w:pPr>
      <w:r w:rsidRPr="00D50BF5">
        <w:rPr>
          <w:rFonts w:eastAsia="Calibri"/>
        </w:rPr>
        <w:t>Th</w:t>
      </w:r>
      <w:r w:rsidR="001629A8" w:rsidRPr="00D50BF5">
        <w:rPr>
          <w:rFonts w:eastAsia="Calibri"/>
        </w:rPr>
        <w:t>is</w:t>
      </w:r>
      <w:r w:rsidRPr="00D50BF5">
        <w:rPr>
          <w:rFonts w:eastAsia="Calibri"/>
        </w:rPr>
        <w:t xml:space="preserve"> </w:t>
      </w:r>
      <w:r w:rsidRPr="00D50BF5">
        <w:t>instrument</w:t>
      </w:r>
      <w:r w:rsidRPr="00D50BF5">
        <w:rPr>
          <w:rFonts w:eastAsia="Calibri"/>
        </w:rPr>
        <w:t xml:space="preserve"> has the same substantive effect as the three </w:t>
      </w:r>
      <w:r w:rsidR="001629A8" w:rsidRPr="00D50BF5">
        <w:rPr>
          <w:rFonts w:eastAsia="Calibri"/>
        </w:rPr>
        <w:t xml:space="preserve">instruments </w:t>
      </w:r>
      <w:r w:rsidRPr="00D50BF5">
        <w:rPr>
          <w:rFonts w:eastAsia="Calibri"/>
        </w:rPr>
        <w:t>it is replacing.</w:t>
      </w:r>
    </w:p>
    <w:p w14:paraId="7E169FEB" w14:textId="77777777" w:rsidR="00657EBA" w:rsidRDefault="00657EBA" w:rsidP="00FF2A8F"/>
    <w:p w14:paraId="7A2F552E" w14:textId="77777777" w:rsidR="00486653" w:rsidRPr="00FD0AF2" w:rsidRDefault="003B547B" w:rsidP="00FF2A8F">
      <w:pPr>
        <w:pStyle w:val="Heading2"/>
      </w:pPr>
      <w:r>
        <w:t>E</w:t>
      </w:r>
      <w:r w:rsidR="00486653" w:rsidRPr="00FD0AF2">
        <w:t>ffect of this instrument</w:t>
      </w:r>
    </w:p>
    <w:p w14:paraId="1DB0A1BD" w14:textId="2F44E29C" w:rsidR="006C7D46" w:rsidRPr="00C81A51" w:rsidRDefault="00FC0954" w:rsidP="00D50BF5">
      <w:pPr>
        <w:pStyle w:val="Numberedparagraphs"/>
        <w:ind w:left="0" w:firstLine="0"/>
      </w:pPr>
      <w:r>
        <w:t>Th</w:t>
      </w:r>
      <w:r w:rsidR="00486653" w:rsidRPr="00FD0AF2">
        <w:t xml:space="preserve">is instrument </w:t>
      </w:r>
      <w:r w:rsidR="00544111">
        <w:t>extends</w:t>
      </w:r>
      <w:r w:rsidR="006C7D46">
        <w:t xml:space="preserve"> </w:t>
      </w:r>
      <w:r w:rsidR="006C7D46" w:rsidRPr="00E54142">
        <w:t>the time</w:t>
      </w:r>
      <w:r w:rsidR="00544111" w:rsidRPr="00E54142">
        <w:t xml:space="preserve"> period</w:t>
      </w:r>
      <w:r w:rsidR="006C7D46" w:rsidRPr="00E54142">
        <w:t xml:space="preserve"> in which </w:t>
      </w:r>
      <w:r w:rsidR="00585FF1" w:rsidRPr="004F2E18">
        <w:t>a</w:t>
      </w:r>
      <w:r w:rsidR="00A91644" w:rsidRPr="004F2E18">
        <w:t>n electricity distributor or</w:t>
      </w:r>
      <w:r w:rsidR="00966225" w:rsidRPr="004F2E18">
        <w:t xml:space="preserve"> </w:t>
      </w:r>
      <w:bookmarkStart w:id="0" w:name="_Hlk185491156"/>
      <w:r w:rsidR="00A435F5" w:rsidRPr="004F2E18">
        <w:t>p</w:t>
      </w:r>
      <w:r w:rsidR="00585FF1" w:rsidRPr="004F2E18">
        <w:t xml:space="preserve">ublic </w:t>
      </w:r>
      <w:r w:rsidR="00A435F5" w:rsidRPr="004F2E18">
        <w:t>u</w:t>
      </w:r>
      <w:r w:rsidR="00585FF1" w:rsidRPr="004F2E18">
        <w:t xml:space="preserve">tility </w:t>
      </w:r>
      <w:r w:rsidR="00A435F5" w:rsidRPr="004F2E18">
        <w:t>p</w:t>
      </w:r>
      <w:r w:rsidR="00585FF1" w:rsidRPr="004F2E18">
        <w:t>rovider</w:t>
      </w:r>
      <w:bookmarkEnd w:id="0"/>
      <w:r w:rsidR="00275013" w:rsidRPr="004F2E18">
        <w:t xml:space="preserve"> </w:t>
      </w:r>
      <w:r w:rsidR="006C7D46" w:rsidRPr="004F2E18">
        <w:t>must issue an adjustment note</w:t>
      </w:r>
      <w:r w:rsidR="00A435F5" w:rsidRPr="004F2E18">
        <w:t xml:space="preserve"> under </w:t>
      </w:r>
      <w:r w:rsidR="00387767">
        <w:t>paragraph</w:t>
      </w:r>
      <w:r w:rsidR="00A435F5" w:rsidRPr="004F2E18">
        <w:t xml:space="preserve"> 29-75(2)(b)</w:t>
      </w:r>
      <w:r w:rsidR="00F95C5D" w:rsidRPr="004F2E18">
        <w:t xml:space="preserve"> of the Act</w:t>
      </w:r>
      <w:r w:rsidR="00A91644" w:rsidRPr="004F2E18">
        <w:t xml:space="preserve"> in relation to a taxable supply of electricity distributor services or utility services respectively.</w:t>
      </w:r>
    </w:p>
    <w:p w14:paraId="58D3CEB5" w14:textId="14A55C7D" w:rsidR="00CE3EE5" w:rsidRDefault="00CE3EE5" w:rsidP="00D50BF5">
      <w:pPr>
        <w:pStyle w:val="Numberedparagraphs"/>
        <w:ind w:left="0" w:firstLine="0"/>
      </w:pPr>
      <w:r w:rsidRPr="00CE3EE5">
        <w:t>Th</w:t>
      </w:r>
      <w:r>
        <w:t>is</w:t>
      </w:r>
      <w:r w:rsidRPr="00CE3EE5">
        <w:t xml:space="preserve"> vari</w:t>
      </w:r>
      <w:r>
        <w:t xml:space="preserve">ation </w:t>
      </w:r>
      <w:r w:rsidRPr="00CE3EE5">
        <w:t>enable</w:t>
      </w:r>
      <w:r w:rsidR="00495A2E">
        <w:t>s</w:t>
      </w:r>
      <w:r w:rsidRPr="00CE3EE5">
        <w:t xml:space="preserve"> </w:t>
      </w:r>
      <w:r w:rsidR="00611BA9">
        <w:t xml:space="preserve">relevant </w:t>
      </w:r>
      <w:r w:rsidR="00F95C5D">
        <w:t>e</w:t>
      </w:r>
      <w:r w:rsidRPr="00CE3EE5">
        <w:t xml:space="preserve">lectricity </w:t>
      </w:r>
      <w:r w:rsidR="00F95C5D">
        <w:t>d</w:t>
      </w:r>
      <w:r w:rsidRPr="00CE3EE5">
        <w:t xml:space="preserve">istributors and </w:t>
      </w:r>
      <w:r w:rsidR="00F95C5D">
        <w:t>p</w:t>
      </w:r>
      <w:r w:rsidRPr="00CE3EE5">
        <w:t xml:space="preserve">ublic </w:t>
      </w:r>
      <w:r w:rsidR="00F95C5D">
        <w:t>u</w:t>
      </w:r>
      <w:r w:rsidRPr="00CE3EE5">
        <w:t xml:space="preserve">tility </w:t>
      </w:r>
      <w:r w:rsidR="00F95C5D">
        <w:t>p</w:t>
      </w:r>
      <w:r w:rsidRPr="00CE3EE5">
        <w:t>roviders to issue adjustment notes in timeframes that align more closely with their normal business practices</w:t>
      </w:r>
      <w:r w:rsidR="00495A2E">
        <w:t>.</w:t>
      </w:r>
    </w:p>
    <w:p w14:paraId="671FAE3F" w14:textId="77777777" w:rsidR="002B1AC8" w:rsidRDefault="002B1AC8" w:rsidP="00FF2A8F">
      <w:pPr>
        <w:rPr>
          <w:shd w:val="clear" w:color="auto" w:fill="FFFFFF"/>
        </w:rPr>
      </w:pPr>
    </w:p>
    <w:p w14:paraId="57FCD1C5" w14:textId="62A277B2" w:rsidR="000B5087" w:rsidRPr="00387767" w:rsidRDefault="001D326E" w:rsidP="00387767">
      <w:pPr>
        <w:pStyle w:val="Heading2"/>
      </w:pPr>
      <w:r w:rsidRPr="00B42DF2">
        <w:t>Extension of time</w:t>
      </w:r>
      <w:r w:rsidR="003F4D44" w:rsidRPr="00B42DF2">
        <w:t xml:space="preserve"> </w:t>
      </w:r>
      <w:r w:rsidRPr="00B42DF2">
        <w:t>– electricity distributor</w:t>
      </w:r>
    </w:p>
    <w:p w14:paraId="682F6EF2" w14:textId="5D40B5BD" w:rsidR="00FB1CE4" w:rsidRPr="00387767" w:rsidRDefault="00FC4DCE" w:rsidP="00D50BF5">
      <w:pPr>
        <w:pStyle w:val="Numberedparagraphs"/>
        <w:ind w:left="0" w:firstLine="0"/>
      </w:pPr>
      <w:r w:rsidRPr="00B42DF2">
        <w:t>A</w:t>
      </w:r>
      <w:r w:rsidR="00F24ECB" w:rsidRPr="00B42DF2">
        <w:t>n</w:t>
      </w:r>
      <w:r w:rsidR="00213015" w:rsidRPr="00B42DF2">
        <w:t xml:space="preserve"> e</w:t>
      </w:r>
      <w:r w:rsidR="006C7D46" w:rsidRPr="00B42DF2">
        <w:t xml:space="preserve">lectricity </w:t>
      </w:r>
      <w:r w:rsidR="00213015" w:rsidRPr="00B42DF2">
        <w:t>d</w:t>
      </w:r>
      <w:r w:rsidR="006C7D46" w:rsidRPr="00B42DF2">
        <w:t>istributor</w:t>
      </w:r>
      <w:r w:rsidR="00FB1CE4" w:rsidRPr="00B42DF2">
        <w:t xml:space="preserve"> is </w:t>
      </w:r>
      <w:r w:rsidR="004610E3" w:rsidRPr="00B42DF2">
        <w:t xml:space="preserve">defined in the instrument to mean </w:t>
      </w:r>
      <w:r w:rsidR="00FB1CE4" w:rsidRPr="00B42DF2">
        <w:t xml:space="preserve">an </w:t>
      </w:r>
      <w:r w:rsidR="004610E3" w:rsidRPr="00B42DF2">
        <w:t xml:space="preserve">entity </w:t>
      </w:r>
      <w:r w:rsidR="00FB1CE4" w:rsidRPr="00B42DF2">
        <w:t xml:space="preserve">that owns </w:t>
      </w:r>
      <w:r w:rsidR="004610E3" w:rsidRPr="00B42DF2">
        <w:t>and</w:t>
      </w:r>
      <w:r w:rsidR="00FB1CE4" w:rsidRPr="00B42DF2">
        <w:t xml:space="preserve"> operates a</w:t>
      </w:r>
      <w:r w:rsidR="007E7424">
        <w:t>n electricity</w:t>
      </w:r>
      <w:r w:rsidR="00FB1CE4" w:rsidRPr="00B42DF2">
        <w:t xml:space="preserve"> network through which it transports electricity to </w:t>
      </w:r>
      <w:r w:rsidR="00D50BF5">
        <w:t xml:space="preserve"> end-use</w:t>
      </w:r>
      <w:r w:rsidR="004237A7">
        <w:t xml:space="preserve"> customers</w:t>
      </w:r>
      <w:r w:rsidR="00FB1CE4" w:rsidRPr="00B42DF2">
        <w:t>.</w:t>
      </w:r>
    </w:p>
    <w:p w14:paraId="7F9239D5" w14:textId="5C95D292" w:rsidR="00F238DB" w:rsidRPr="00B42DF2" w:rsidRDefault="00F238DB" w:rsidP="00D50BF5">
      <w:pPr>
        <w:pStyle w:val="Numberedparagraphs"/>
        <w:ind w:left="0" w:firstLine="0"/>
      </w:pPr>
      <w:r w:rsidRPr="00B42DF2">
        <w:t>Electricity distribut</w:t>
      </w:r>
      <w:r w:rsidR="004E74E3" w:rsidRPr="00B42DF2">
        <w:t>ion</w:t>
      </w:r>
      <w:r w:rsidRPr="00B42DF2">
        <w:t xml:space="preserve"> services, </w:t>
      </w:r>
      <w:r w:rsidR="00BA222A">
        <w:t>as they pertain to</w:t>
      </w:r>
      <w:r w:rsidRPr="00B42DF2">
        <w:t xml:space="preserve"> an electricity distributor, are defined in the instrument </w:t>
      </w:r>
      <w:r w:rsidR="00BA222A">
        <w:t xml:space="preserve">as the delivery </w:t>
      </w:r>
      <w:r w:rsidRPr="00B42DF2">
        <w:t>of electricity</w:t>
      </w:r>
      <w:r w:rsidR="00DB7C5F">
        <w:t xml:space="preserve"> to end-use customers</w:t>
      </w:r>
      <w:r w:rsidR="00BA222A">
        <w:t>,</w:t>
      </w:r>
      <w:r w:rsidRPr="00B42DF2">
        <w:t xml:space="preserve"> </w:t>
      </w:r>
      <w:r w:rsidR="007E7424">
        <w:t>a</w:t>
      </w:r>
      <w:r w:rsidR="00BA222A">
        <w:t>long with</w:t>
      </w:r>
      <w:r w:rsidR="007E7424">
        <w:t xml:space="preserve"> the provision of </w:t>
      </w:r>
      <w:r w:rsidR="00BA222A">
        <w:t>related support</w:t>
      </w:r>
      <w:r w:rsidR="007E7424">
        <w:t xml:space="preserve"> services</w:t>
      </w:r>
      <w:r w:rsidR="00F06328">
        <w:t>.</w:t>
      </w:r>
    </w:p>
    <w:p w14:paraId="19B8543F" w14:textId="614E02E2" w:rsidR="00497566" w:rsidRDefault="008732C0" w:rsidP="00D50BF5">
      <w:pPr>
        <w:pStyle w:val="Numberedparagraphs"/>
        <w:ind w:left="0" w:firstLine="0"/>
      </w:pPr>
      <w:r w:rsidRPr="00B42DF2">
        <w:t>Under section 6, the time</w:t>
      </w:r>
      <w:r w:rsidR="00A214DC" w:rsidRPr="00B42DF2">
        <w:t xml:space="preserve"> period</w:t>
      </w:r>
      <w:r w:rsidRPr="00B42DF2">
        <w:t xml:space="preserve"> </w:t>
      </w:r>
      <w:r w:rsidR="00994BAE" w:rsidRPr="00B42DF2">
        <w:t xml:space="preserve">in paragraph 29-75(2)(b) of the Act </w:t>
      </w:r>
      <w:r w:rsidRPr="00B42DF2">
        <w:t>in which an electricity distributor must issue an adjus</w:t>
      </w:r>
      <w:r w:rsidR="00526BEC" w:rsidRPr="00B42DF2">
        <w:t xml:space="preserve">tment note to </w:t>
      </w:r>
      <w:r w:rsidR="00994BAE" w:rsidRPr="00B42DF2">
        <w:t xml:space="preserve">an electricity retailer </w:t>
      </w:r>
      <w:r w:rsidR="006A599D" w:rsidRPr="00B42DF2">
        <w:t>in respect of a supply of electricity distribut</w:t>
      </w:r>
      <w:r w:rsidR="004E74E3" w:rsidRPr="00B42DF2">
        <w:t>ion</w:t>
      </w:r>
      <w:r w:rsidR="006A599D" w:rsidRPr="00B42DF2">
        <w:t xml:space="preserve"> services </w:t>
      </w:r>
      <w:r w:rsidR="00526BEC" w:rsidRPr="00B42DF2">
        <w:t xml:space="preserve">is varied </w:t>
      </w:r>
      <w:r w:rsidR="00497566" w:rsidRPr="00B42DF2">
        <w:t xml:space="preserve">from 28 </w:t>
      </w:r>
      <w:r w:rsidR="00E7280C" w:rsidRPr="00B42DF2">
        <w:t xml:space="preserve">days </w:t>
      </w:r>
      <w:r w:rsidR="006A599D" w:rsidRPr="00B42DF2">
        <w:t>to 98 days</w:t>
      </w:r>
      <w:r w:rsidR="00497566" w:rsidRPr="00B42DF2">
        <w:t xml:space="preserve"> from when the</w:t>
      </w:r>
      <w:r w:rsidR="00E04E51" w:rsidRPr="00B42DF2">
        <w:t xml:space="preserve"> electricity distributor </w:t>
      </w:r>
      <w:r w:rsidR="00497566" w:rsidRPr="00B42DF2">
        <w:t>become</w:t>
      </w:r>
      <w:r w:rsidR="00E04E51" w:rsidRPr="00B42DF2">
        <w:t>s</w:t>
      </w:r>
      <w:r w:rsidR="00497566" w:rsidRPr="00B42DF2">
        <w:t xml:space="preserve"> aware of the adjustment.</w:t>
      </w:r>
    </w:p>
    <w:p w14:paraId="06B0E10A" w14:textId="6C502230" w:rsidR="004965CA" w:rsidRPr="00387767" w:rsidRDefault="004965CA" w:rsidP="00D50BF5">
      <w:pPr>
        <w:pStyle w:val="Numberedparagraphs"/>
        <w:ind w:left="0" w:firstLine="0"/>
      </w:pPr>
      <w:r w:rsidRPr="004965CA">
        <w:t>The other requirements of paragraph 29-75(2)(b) of the Act are unchanged by this instrument, and require the electricity distributor to have:</w:t>
      </w:r>
    </w:p>
    <w:p w14:paraId="1B9D1953" w14:textId="24319CB7" w:rsidR="0062114D" w:rsidRPr="0062114D" w:rsidRDefault="0062114D" w:rsidP="00565145">
      <w:pPr>
        <w:pStyle w:val="ListParagraph"/>
        <w:numPr>
          <w:ilvl w:val="0"/>
          <w:numId w:val="4"/>
        </w:numPr>
        <w:ind w:left="1418" w:hanging="709"/>
      </w:pPr>
      <w:bookmarkStart w:id="1" w:name="_Hlk192840667"/>
      <w:r w:rsidRPr="0062114D">
        <w:t xml:space="preserve">made the </w:t>
      </w:r>
      <w:r w:rsidR="00497566">
        <w:t xml:space="preserve">taxable </w:t>
      </w:r>
      <w:r w:rsidRPr="0062114D">
        <w:t xml:space="preserve">supply to the </w:t>
      </w:r>
      <w:r w:rsidR="00994BAE">
        <w:t>electricity retailer</w:t>
      </w:r>
      <w:r w:rsidRPr="0062114D">
        <w:t>;</w:t>
      </w:r>
    </w:p>
    <w:p w14:paraId="74E154CC" w14:textId="2CCBF240" w:rsidR="0062114D" w:rsidRPr="0062114D" w:rsidRDefault="0062114D" w:rsidP="00FF2A8F">
      <w:pPr>
        <w:pStyle w:val="ListParagraph"/>
      </w:pPr>
      <w:r w:rsidRPr="0062114D">
        <w:t>issued a tax invoice in relation to the supply</w:t>
      </w:r>
      <w:r w:rsidR="00497566">
        <w:t xml:space="preserve"> (or </w:t>
      </w:r>
      <w:r w:rsidR="00DA6AF9">
        <w:t xml:space="preserve">for the </w:t>
      </w:r>
      <w:r w:rsidR="00994BAE">
        <w:t>electricity retailer</w:t>
      </w:r>
      <w:r w:rsidR="00DA6AF9">
        <w:t xml:space="preserve"> to have</w:t>
      </w:r>
      <w:r w:rsidR="00497566">
        <w:t xml:space="preserve"> requested one); </w:t>
      </w:r>
      <w:r w:rsidRPr="0062114D">
        <w:t>and</w:t>
      </w:r>
    </w:p>
    <w:p w14:paraId="34D64494" w14:textId="52F45E04" w:rsidR="00526BEC" w:rsidRDefault="00497566" w:rsidP="00FF2A8F">
      <w:pPr>
        <w:pStyle w:val="ListParagraph"/>
      </w:pPr>
      <w:r>
        <w:t xml:space="preserve">became aware of the adjustment before an adjustment note is requested by the </w:t>
      </w:r>
      <w:r w:rsidR="00994BAE">
        <w:t>electricity retailer</w:t>
      </w:r>
      <w:r>
        <w:t>.</w:t>
      </w:r>
    </w:p>
    <w:bookmarkEnd w:id="1"/>
    <w:p w14:paraId="1E395B4E" w14:textId="22A998D6" w:rsidR="004965CA" w:rsidRPr="0056127F" w:rsidRDefault="004965CA" w:rsidP="00D50BF5">
      <w:pPr>
        <w:pStyle w:val="Numberedparagraphs"/>
        <w:ind w:left="0" w:firstLine="0"/>
      </w:pPr>
      <w:r w:rsidRPr="004965CA">
        <w:t>However, if the electricity distributor receives a request from the electricity retailer to issue an adjustment note, then, under paragraph 29-75(2)(a) of the Act, they must do so within 28 days of the request.</w:t>
      </w:r>
    </w:p>
    <w:p w14:paraId="5E8745F9" w14:textId="77777777" w:rsidR="002B1AC8" w:rsidRDefault="002B1AC8" w:rsidP="00FF2A8F">
      <w:pPr>
        <w:rPr>
          <w:shd w:val="clear" w:color="auto" w:fill="FFFFFF"/>
        </w:rPr>
      </w:pPr>
    </w:p>
    <w:p w14:paraId="73D9EEDF" w14:textId="551AD3B9" w:rsidR="000B5087" w:rsidRPr="00387767" w:rsidRDefault="003913E0" w:rsidP="00387767">
      <w:pPr>
        <w:pStyle w:val="Heading2"/>
      </w:pPr>
      <w:r w:rsidRPr="00B42DF2">
        <w:t>Extension of time – public utility provider</w:t>
      </w:r>
    </w:p>
    <w:p w14:paraId="6B9E9EB3" w14:textId="47730FCA" w:rsidR="00F1142E" w:rsidRPr="00387767" w:rsidRDefault="0060045B" w:rsidP="00D50BF5">
      <w:pPr>
        <w:pStyle w:val="Numberedparagraphs"/>
        <w:ind w:left="0" w:firstLine="0"/>
      </w:pPr>
      <w:r w:rsidRPr="00B42DF2">
        <w:t xml:space="preserve">A </w:t>
      </w:r>
      <w:r w:rsidR="009A32D5" w:rsidRPr="00B42DF2">
        <w:t>p</w:t>
      </w:r>
      <w:r w:rsidRPr="00B42DF2">
        <w:t xml:space="preserve">ublic </w:t>
      </w:r>
      <w:r w:rsidR="009A32D5" w:rsidRPr="00B42DF2">
        <w:t>u</w:t>
      </w:r>
      <w:r w:rsidRPr="00B42DF2">
        <w:t xml:space="preserve">tility </w:t>
      </w:r>
      <w:r w:rsidR="009A32D5" w:rsidRPr="00B42DF2">
        <w:t>p</w:t>
      </w:r>
      <w:r w:rsidRPr="00B42DF2">
        <w:t xml:space="preserve">rovider </w:t>
      </w:r>
      <w:r w:rsidR="00F1142E" w:rsidRPr="00B42DF2">
        <w:t xml:space="preserve">is </w:t>
      </w:r>
      <w:r w:rsidR="00F238DB" w:rsidRPr="00B42DF2">
        <w:t xml:space="preserve">defined in the instrument to mean </w:t>
      </w:r>
      <w:r w:rsidRPr="00B42DF2">
        <w:t xml:space="preserve">an </w:t>
      </w:r>
      <w:r w:rsidR="00F238DB" w:rsidRPr="00B42DF2">
        <w:t>electricity or gas retailer</w:t>
      </w:r>
      <w:r w:rsidR="00F1142E" w:rsidRPr="00B42DF2">
        <w:t xml:space="preserve"> whose </w:t>
      </w:r>
      <w:r w:rsidRPr="00B42DF2">
        <w:t xml:space="preserve">primary business is to provide electricity or gas to the public for domestic or business purposes. </w:t>
      </w:r>
      <w:r w:rsidR="00F1142E" w:rsidRPr="00B42DF2">
        <w:t xml:space="preserve">A </w:t>
      </w:r>
      <w:r w:rsidR="0095000F" w:rsidRPr="00B42DF2">
        <w:t>p</w:t>
      </w:r>
      <w:r w:rsidRPr="00B42DF2">
        <w:t xml:space="preserve">ublic </w:t>
      </w:r>
      <w:r w:rsidR="0095000F" w:rsidRPr="00B42DF2">
        <w:t>u</w:t>
      </w:r>
      <w:r w:rsidRPr="00B42DF2">
        <w:t xml:space="preserve">tility </w:t>
      </w:r>
      <w:r w:rsidR="0095000F" w:rsidRPr="00B42DF2">
        <w:t>p</w:t>
      </w:r>
      <w:r w:rsidRPr="00B42DF2">
        <w:t>rovider may be publicly or privately owned</w:t>
      </w:r>
      <w:r w:rsidR="00F1142E" w:rsidRPr="00B42DF2">
        <w:t>.</w:t>
      </w:r>
    </w:p>
    <w:p w14:paraId="38AF3716" w14:textId="5CEF490B" w:rsidR="00F238DB" w:rsidRPr="004F2E18" w:rsidRDefault="00F238DB" w:rsidP="00D50BF5">
      <w:pPr>
        <w:pStyle w:val="Numberedparagraphs"/>
        <w:ind w:left="0" w:firstLine="0"/>
      </w:pPr>
      <w:r>
        <w:t xml:space="preserve">Utility services, in respect of a public </w:t>
      </w:r>
      <w:r w:rsidRPr="00E54142">
        <w:t xml:space="preserve">utility provider, are </w:t>
      </w:r>
      <w:r w:rsidRPr="00387767">
        <w:t>defined</w:t>
      </w:r>
      <w:r w:rsidRPr="00E54142">
        <w:t xml:space="preserve"> in the instrument to </w:t>
      </w:r>
      <w:r w:rsidRPr="004F2E18">
        <w:t xml:space="preserve">mean </w:t>
      </w:r>
      <w:r w:rsidR="006A599D" w:rsidRPr="004F2E18">
        <w:t>the provision of gas and electricity services and associated ancillary supplies.</w:t>
      </w:r>
    </w:p>
    <w:p w14:paraId="64A6EC6B" w14:textId="49B3E98E" w:rsidR="000A6501" w:rsidRPr="00E54142" w:rsidRDefault="009A32D5" w:rsidP="00D50BF5">
      <w:pPr>
        <w:pStyle w:val="Numberedparagraphs"/>
        <w:ind w:left="0" w:firstLine="0"/>
      </w:pPr>
      <w:r w:rsidRPr="004F2E18">
        <w:t xml:space="preserve">Under section 7, the time </w:t>
      </w:r>
      <w:r w:rsidR="00282D07" w:rsidRPr="004F2E18">
        <w:t>period in paragraph 29-75(2)(b) of the Act</w:t>
      </w:r>
      <w:r w:rsidR="00B765BE" w:rsidRPr="004F2E18">
        <w:t>,</w:t>
      </w:r>
      <w:r w:rsidR="00282D07" w:rsidRPr="004F2E18">
        <w:t xml:space="preserve"> </w:t>
      </w:r>
      <w:r w:rsidRPr="004F2E18">
        <w:t xml:space="preserve">in which a public utility provider must issue an adjustment note to </w:t>
      </w:r>
      <w:r w:rsidR="00C563F3" w:rsidRPr="004F2E18">
        <w:t xml:space="preserve">a </w:t>
      </w:r>
      <w:r w:rsidR="00F446EE" w:rsidRPr="004F2E18">
        <w:t>recipient</w:t>
      </w:r>
      <w:r w:rsidR="00B765BE" w:rsidRPr="004F2E18">
        <w:t>,</w:t>
      </w:r>
      <w:r w:rsidR="00C563F3" w:rsidRPr="004F2E18">
        <w:t xml:space="preserve"> is varied </w:t>
      </w:r>
      <w:r w:rsidR="00282D07" w:rsidRPr="004F2E18">
        <w:t xml:space="preserve">from </w:t>
      </w:r>
      <w:r w:rsidR="000A6501" w:rsidRPr="004F2E18">
        <w:t>28 days to the earlier of</w:t>
      </w:r>
      <w:r w:rsidR="006E6277" w:rsidRPr="004F2E18">
        <w:t>:</w:t>
      </w:r>
    </w:p>
    <w:p w14:paraId="0597C67D" w14:textId="35A034B2" w:rsidR="000A6501" w:rsidRPr="00E54142" w:rsidRDefault="000A6501" w:rsidP="00565145">
      <w:pPr>
        <w:pStyle w:val="ListParagraph"/>
        <w:numPr>
          <w:ilvl w:val="0"/>
          <w:numId w:val="5"/>
        </w:numPr>
        <w:ind w:left="1418" w:hanging="709"/>
      </w:pPr>
      <w:r w:rsidRPr="004F2E18">
        <w:t>98 days of</w:t>
      </w:r>
      <w:r w:rsidR="00077B3B" w:rsidRPr="004F2E18">
        <w:t xml:space="preserve"> the public utility provider</w:t>
      </w:r>
      <w:r w:rsidRPr="004F2E18">
        <w:t xml:space="preserve"> becoming aware of the adjustment, </w:t>
      </w:r>
      <w:r w:rsidR="00077B3B" w:rsidRPr="004F2E18">
        <w:t>and</w:t>
      </w:r>
    </w:p>
    <w:p w14:paraId="4E908384" w14:textId="017BC056" w:rsidR="00282D07" w:rsidRPr="00E54142" w:rsidRDefault="000A6501" w:rsidP="00565145">
      <w:pPr>
        <w:pStyle w:val="ListParagraph"/>
      </w:pPr>
      <w:r w:rsidRPr="004F2E18">
        <w:t>the da</w:t>
      </w:r>
      <w:r w:rsidR="00F319E5" w:rsidRPr="004F2E18">
        <w:t>y</w:t>
      </w:r>
      <w:r w:rsidRPr="004F2E18">
        <w:t xml:space="preserve"> on which the next invoice would normally be issued </w:t>
      </w:r>
      <w:r w:rsidR="00FB0A9F" w:rsidRPr="004F2E18">
        <w:t xml:space="preserve">by the public utility provider to </w:t>
      </w:r>
      <w:r w:rsidRPr="004F2E18">
        <w:t>that recipient</w:t>
      </w:r>
      <w:r w:rsidR="00282D07" w:rsidRPr="004F2E18">
        <w:t>.</w:t>
      </w:r>
    </w:p>
    <w:p w14:paraId="1AB43337" w14:textId="5164D770" w:rsidR="00282D07" w:rsidRPr="00E54142" w:rsidRDefault="00282D07" w:rsidP="00D50BF5">
      <w:pPr>
        <w:pStyle w:val="Numberedparagraphs"/>
        <w:ind w:left="0" w:firstLine="0"/>
      </w:pPr>
      <w:r w:rsidRPr="004F2E18">
        <w:t xml:space="preserve">The other requirements of paragraph 29-75(2)(b) </w:t>
      </w:r>
      <w:r w:rsidR="00C60950" w:rsidRPr="004F2E18">
        <w:t xml:space="preserve">of the Act </w:t>
      </w:r>
      <w:r w:rsidR="006E6277" w:rsidRPr="004F2E18">
        <w:t>are unchanged by this instrument</w:t>
      </w:r>
      <w:r w:rsidRPr="004F2E18">
        <w:t xml:space="preserve">, </w:t>
      </w:r>
      <w:r w:rsidR="006E6277" w:rsidRPr="004F2E18">
        <w:t>and require the public utility provider to have:</w:t>
      </w:r>
    </w:p>
    <w:p w14:paraId="0E1D8858" w14:textId="24A9CC84" w:rsidR="00282D07" w:rsidRPr="00E54142" w:rsidRDefault="00282D07" w:rsidP="00565145">
      <w:pPr>
        <w:pStyle w:val="ListParagraph"/>
        <w:numPr>
          <w:ilvl w:val="0"/>
          <w:numId w:val="6"/>
        </w:numPr>
        <w:ind w:left="1418" w:hanging="709"/>
      </w:pPr>
      <w:r w:rsidRPr="00E54142">
        <w:t>made the taxable supply to the recipient</w:t>
      </w:r>
    </w:p>
    <w:p w14:paraId="1E0456C3" w14:textId="21C2C101" w:rsidR="00282D07" w:rsidRPr="00E54142" w:rsidRDefault="00282D07" w:rsidP="00565145">
      <w:pPr>
        <w:pStyle w:val="ListParagraph"/>
      </w:pPr>
      <w:r w:rsidRPr="00E54142">
        <w:t>issued a tax invoice in relation to the supply (or</w:t>
      </w:r>
      <w:r w:rsidR="00601EBE" w:rsidRPr="00E54142">
        <w:t xml:space="preserve"> for</w:t>
      </w:r>
      <w:r w:rsidRPr="00E54142">
        <w:t xml:space="preserve"> the recipient </w:t>
      </w:r>
      <w:r w:rsidR="00601EBE" w:rsidRPr="00E54142">
        <w:t xml:space="preserve">to have </w:t>
      </w:r>
      <w:r w:rsidRPr="00E54142">
        <w:t>requested one)</w:t>
      </w:r>
      <w:r w:rsidR="00B113DB" w:rsidRPr="00E54142">
        <w:t>,</w:t>
      </w:r>
      <w:r w:rsidRPr="00E54142">
        <w:t xml:space="preserve"> and</w:t>
      </w:r>
    </w:p>
    <w:p w14:paraId="2781328F" w14:textId="409D2906" w:rsidR="00282D07" w:rsidRPr="00E54142" w:rsidRDefault="00282D07" w:rsidP="00565145">
      <w:pPr>
        <w:pStyle w:val="ListParagraph"/>
      </w:pPr>
      <w:r w:rsidRPr="00E54142">
        <w:t>became aware of the adjustment before an adjustment note is requested by the recipient.</w:t>
      </w:r>
    </w:p>
    <w:p w14:paraId="406BA37D" w14:textId="15177982" w:rsidR="000A6501" w:rsidRPr="004F2E18" w:rsidRDefault="000A6501" w:rsidP="00D50BF5">
      <w:pPr>
        <w:pStyle w:val="Numberedparagraphs"/>
        <w:ind w:left="0" w:firstLine="0"/>
      </w:pPr>
      <w:r w:rsidRPr="004F2E18">
        <w:t>However, if the public utility provider receives a request from a recipient to issue an adjustment note, then, under paragraph 29-75(2)(a) of the Act, they must do so within 28 days of the request.</w:t>
      </w:r>
    </w:p>
    <w:p w14:paraId="016FC453" w14:textId="77777777" w:rsidR="00FD0AF2" w:rsidRPr="00FD0AF2" w:rsidRDefault="00FD0AF2" w:rsidP="00523434">
      <w:pPr>
        <w:jc w:val="both"/>
        <w:rPr>
          <w:rFonts w:cs="Arial"/>
          <w:szCs w:val="22"/>
        </w:rPr>
      </w:pPr>
    </w:p>
    <w:p w14:paraId="37CB47BE" w14:textId="77777777" w:rsidR="00C620E9" w:rsidRPr="00FD0AF2" w:rsidRDefault="00640CC2" w:rsidP="00523434">
      <w:pPr>
        <w:pStyle w:val="Heading2"/>
        <w:jc w:val="both"/>
      </w:pPr>
      <w:r w:rsidRPr="00FD0AF2">
        <w:t>Compliance cost assessment</w:t>
      </w:r>
    </w:p>
    <w:p w14:paraId="0C8C2895" w14:textId="4095916D" w:rsidR="00493CA7" w:rsidRPr="007E2AF8" w:rsidRDefault="002905D2" w:rsidP="00D50BF5">
      <w:pPr>
        <w:pStyle w:val="Numberedparagraphs"/>
        <w:ind w:left="0" w:firstLine="0"/>
      </w:pPr>
      <w:r w:rsidRPr="00D50BF5">
        <w:t>Compliance</w:t>
      </w:r>
      <w:r w:rsidRPr="00D50BF5">
        <w:rPr>
          <w:i/>
          <w:iCs/>
        </w:rPr>
        <w:t xml:space="preserve"> cost impact: Minor – There will be no additional regulatory impacts as the instrument is minor and machinery in nature (OIA25-09609)</w:t>
      </w:r>
      <w:r w:rsidR="007E2AF8" w:rsidRPr="007E2AF8">
        <w:t>.</w:t>
      </w:r>
    </w:p>
    <w:p w14:paraId="05528350" w14:textId="77777777" w:rsidR="002D2444" w:rsidRPr="002D2444" w:rsidRDefault="002D2444" w:rsidP="00B113DB"/>
    <w:p w14:paraId="1FBE6793" w14:textId="77777777" w:rsidR="00486653" w:rsidRPr="00FD0AF2" w:rsidRDefault="00E10B37" w:rsidP="00523434">
      <w:pPr>
        <w:pStyle w:val="Heading2"/>
        <w:jc w:val="both"/>
      </w:pPr>
      <w:bookmarkStart w:id="2" w:name="_Hlk172030438"/>
      <w:r w:rsidRPr="00FD0AF2">
        <w:t>Consultation</w:t>
      </w:r>
    </w:p>
    <w:p w14:paraId="394BC1F6" w14:textId="1E252912" w:rsidR="004750AB" w:rsidRPr="00D14100" w:rsidRDefault="004750AB" w:rsidP="00D50BF5">
      <w:pPr>
        <w:pStyle w:val="Numberedparagraphs"/>
        <w:ind w:left="0" w:firstLine="0"/>
      </w:pPr>
      <w:r w:rsidRPr="00D14100">
        <w:t xml:space="preserve">Subsection 17(1) of the </w:t>
      </w:r>
      <w:r w:rsidRPr="00D14100">
        <w:rPr>
          <w:i/>
          <w:iCs/>
        </w:rPr>
        <w:t>Legislation Act 2003</w:t>
      </w:r>
      <w:r w:rsidRPr="00D14100">
        <w:t xml:space="preserve"> requires the Commissioner </w:t>
      </w:r>
      <w:r w:rsidR="006548EA">
        <w:t>to be</w:t>
      </w:r>
      <w:r w:rsidRPr="00D14100">
        <w:t xml:space="preserve"> satisfied that appropriate and reasonably practicable consultation has been undertaken before they make a</w:t>
      </w:r>
      <w:r w:rsidR="006548EA">
        <w:t>n instrument</w:t>
      </w:r>
      <w:r w:rsidRPr="00D14100">
        <w:t>.</w:t>
      </w:r>
    </w:p>
    <w:p w14:paraId="5674AFF4" w14:textId="7C55B4BE" w:rsidR="0051540E" w:rsidRDefault="0051540E" w:rsidP="00D50BF5">
      <w:pPr>
        <w:pStyle w:val="Numberedparagraphs"/>
        <w:ind w:left="0" w:firstLine="0"/>
      </w:pPr>
      <w:r>
        <w:t xml:space="preserve">Public consultation was undertaken for a period of 4 weeks commencing 04/06/2025 on drafts of this instrument and explanatory statement. </w:t>
      </w:r>
    </w:p>
    <w:p w14:paraId="558F0B31" w14:textId="77777777" w:rsidR="0051540E" w:rsidRPr="00A96BAB" w:rsidRDefault="0051540E" w:rsidP="00D50BF5">
      <w:pPr>
        <w:pStyle w:val="Numberedparagraphs"/>
        <w:ind w:left="0" w:firstLine="0"/>
      </w:pPr>
      <w:r w:rsidRPr="00A96BAB">
        <w:t>The draft instrument and draft explanatory statement were published on the ATO Legal database and publicised on the database's 'What's new' page. Major tax and superannuation publishers and associations commonly monitor these pages and usually include the details in the daily and weekly alerts and newsletters to their subscribers and members.</w:t>
      </w:r>
    </w:p>
    <w:p w14:paraId="6BAD31B0" w14:textId="77777777" w:rsidR="0051540E" w:rsidRDefault="0051540E" w:rsidP="00D50BF5">
      <w:pPr>
        <w:pStyle w:val="Numberedparagraphs"/>
        <w:ind w:left="0" w:firstLine="0"/>
      </w:pPr>
      <w:r w:rsidRPr="00A96BAB">
        <w:t>No feedback was received on the draft instrument and explanatory statement during the consultation period.</w:t>
      </w:r>
    </w:p>
    <w:p w14:paraId="376E3FF2" w14:textId="77777777" w:rsidR="004750AB" w:rsidRDefault="004750AB" w:rsidP="00565145"/>
    <w:p w14:paraId="4C4FBA10" w14:textId="77777777" w:rsidR="004965CA" w:rsidRDefault="004965CA" w:rsidP="00565145"/>
    <w:p w14:paraId="5B51C035" w14:textId="77777777" w:rsidR="004965CA" w:rsidRPr="00FD0AF2" w:rsidRDefault="004965CA" w:rsidP="00565145"/>
    <w:p w14:paraId="1B97EC4D" w14:textId="77777777" w:rsidR="004750AB" w:rsidRPr="00C620E9" w:rsidRDefault="004750AB" w:rsidP="00523434">
      <w:pPr>
        <w:pStyle w:val="Heading3"/>
        <w:jc w:val="both"/>
        <w:rPr>
          <w:i/>
          <w:sz w:val="20"/>
          <w:szCs w:val="20"/>
        </w:rPr>
      </w:pPr>
      <w:r w:rsidRPr="00C620E9">
        <w:rPr>
          <w:i/>
          <w:sz w:val="20"/>
          <w:szCs w:val="20"/>
        </w:rPr>
        <w:lastRenderedPageBreak/>
        <w:t>Legislative references</w:t>
      </w:r>
    </w:p>
    <w:p w14:paraId="7A41E063" w14:textId="77777777" w:rsidR="004965CA" w:rsidRDefault="004965CA" w:rsidP="004965CA">
      <w:pPr>
        <w:spacing w:after="0"/>
        <w:jc w:val="both"/>
        <w:rPr>
          <w:rFonts w:cs="Arial"/>
          <w:i/>
          <w:sz w:val="20"/>
        </w:rPr>
      </w:pPr>
      <w:r w:rsidRPr="008541DA">
        <w:rPr>
          <w:rFonts w:cs="Arial"/>
          <w:i/>
          <w:sz w:val="20"/>
        </w:rPr>
        <w:t>A New Tax System (Goods and Services) Tax Act 1999</w:t>
      </w:r>
    </w:p>
    <w:p w14:paraId="2E510118" w14:textId="77777777" w:rsidR="004750AB" w:rsidRPr="008541DA" w:rsidRDefault="004750AB" w:rsidP="00B42DF2">
      <w:pPr>
        <w:spacing w:after="0"/>
        <w:jc w:val="both"/>
        <w:rPr>
          <w:rFonts w:cs="Arial"/>
          <w:i/>
          <w:sz w:val="20"/>
        </w:rPr>
      </w:pPr>
      <w:r w:rsidRPr="008541DA">
        <w:rPr>
          <w:rFonts w:cs="Arial"/>
          <w:i/>
          <w:sz w:val="20"/>
        </w:rPr>
        <w:t>Acts Interpretation Act 1901</w:t>
      </w:r>
    </w:p>
    <w:p w14:paraId="39518505" w14:textId="6D97541C" w:rsidR="002A2FDB" w:rsidRPr="002A2FDB" w:rsidRDefault="002A2FDB" w:rsidP="00B42DF2">
      <w:pPr>
        <w:spacing w:after="0"/>
        <w:jc w:val="both"/>
        <w:rPr>
          <w:rFonts w:cs="Arial"/>
          <w:i/>
          <w:sz w:val="18"/>
          <w:szCs w:val="18"/>
        </w:rPr>
      </w:pPr>
      <w:r w:rsidRPr="002A2FDB">
        <w:rPr>
          <w:rFonts w:cs="Arial"/>
          <w:i/>
          <w:sz w:val="20"/>
          <w:szCs w:val="18"/>
        </w:rPr>
        <w:t>Human Rights (Parliamentary Scrutiny) Act 2011</w:t>
      </w:r>
    </w:p>
    <w:p w14:paraId="4ED4E79A" w14:textId="77777777" w:rsidR="004750AB" w:rsidRPr="00B515DC" w:rsidRDefault="004750AB" w:rsidP="00B42DF2">
      <w:pPr>
        <w:spacing w:after="0"/>
        <w:jc w:val="both"/>
        <w:rPr>
          <w:rFonts w:cs="Arial"/>
          <w:i/>
          <w:sz w:val="20"/>
        </w:rPr>
      </w:pPr>
      <w:r w:rsidRPr="00B515DC">
        <w:rPr>
          <w:rFonts w:cs="Arial"/>
          <w:i/>
          <w:sz w:val="20"/>
        </w:rPr>
        <w:t>Legislation Act 2003</w:t>
      </w:r>
    </w:p>
    <w:bookmarkEnd w:id="2"/>
    <w:p w14:paraId="0DB979C5" w14:textId="77777777" w:rsidR="00101CD5" w:rsidRPr="00C620E9" w:rsidRDefault="00101CD5" w:rsidP="00523434">
      <w:pPr>
        <w:jc w:val="both"/>
        <w:rPr>
          <w:rFonts w:cs="Arial"/>
          <w:szCs w:val="22"/>
        </w:rPr>
      </w:pPr>
      <w:r w:rsidRPr="00C620E9">
        <w:rPr>
          <w:rFonts w:cs="Arial"/>
          <w:szCs w:val="22"/>
        </w:rPr>
        <w:br w:type="page"/>
      </w:r>
    </w:p>
    <w:p w14:paraId="7D79A506" w14:textId="31FBACEA" w:rsidR="00920F70" w:rsidRPr="00C620E9" w:rsidRDefault="00920F70" w:rsidP="00920F70">
      <w:pPr>
        <w:pStyle w:val="Heading3"/>
        <w:spacing w:before="0" w:after="120"/>
        <w:jc w:val="center"/>
        <w:rPr>
          <w:sz w:val="24"/>
        </w:rPr>
      </w:pPr>
      <w:r w:rsidRPr="00C620E9">
        <w:rPr>
          <w:sz w:val="24"/>
        </w:rPr>
        <w:lastRenderedPageBreak/>
        <w:t xml:space="preserve">Statement of </w:t>
      </w:r>
      <w:r w:rsidR="00FF675C">
        <w:rPr>
          <w:sz w:val="24"/>
        </w:rPr>
        <w:t>c</w:t>
      </w:r>
      <w:r w:rsidRPr="00C620E9">
        <w:rPr>
          <w:sz w:val="24"/>
        </w:rPr>
        <w:t xml:space="preserve">ompatibility with </w:t>
      </w:r>
      <w:r>
        <w:rPr>
          <w:sz w:val="24"/>
        </w:rPr>
        <w:t>h</w:t>
      </w:r>
      <w:r w:rsidRPr="00C620E9">
        <w:rPr>
          <w:sz w:val="24"/>
        </w:rPr>
        <w:t xml:space="preserve">uman </w:t>
      </w:r>
      <w:r>
        <w:rPr>
          <w:sz w:val="24"/>
        </w:rPr>
        <w:t>r</w:t>
      </w:r>
      <w:r w:rsidRPr="00C620E9">
        <w:rPr>
          <w:sz w:val="24"/>
        </w:rPr>
        <w:t>ights</w:t>
      </w:r>
    </w:p>
    <w:p w14:paraId="3EBCC33A" w14:textId="5EFF9A21" w:rsidR="00920F70" w:rsidRPr="00C620E9" w:rsidRDefault="00920F70" w:rsidP="00FA661A">
      <w:pPr>
        <w:rPr>
          <w:sz w:val="24"/>
        </w:rPr>
      </w:pPr>
      <w:r w:rsidRPr="00C620E9">
        <w:t xml:space="preserve">Prepared in accordance with Part 3 of the </w:t>
      </w:r>
      <w:r w:rsidRPr="00C620E9">
        <w:rPr>
          <w:i/>
        </w:rPr>
        <w:t>Human Rights (Parliamentary Scrutiny) Act 2011</w:t>
      </w:r>
    </w:p>
    <w:p w14:paraId="6A9A5F36" w14:textId="77777777" w:rsidR="00920F70" w:rsidRPr="003544D2" w:rsidRDefault="00920F70" w:rsidP="00920F70">
      <w:pPr>
        <w:rPr>
          <w:rFonts w:cs="Arial"/>
          <w:sz w:val="20"/>
        </w:rPr>
      </w:pPr>
    </w:p>
    <w:p w14:paraId="1F4FF0AE" w14:textId="350A52C2" w:rsidR="003544D2" w:rsidRDefault="003544D2" w:rsidP="003544D2">
      <w:pPr>
        <w:pStyle w:val="ShortT"/>
        <w:jc w:val="center"/>
        <w:rPr>
          <w:rFonts w:cs="Arial"/>
          <w:sz w:val="22"/>
          <w:szCs w:val="22"/>
        </w:rPr>
      </w:pPr>
      <w:r w:rsidRPr="003544D2">
        <w:rPr>
          <w:rFonts w:cs="Arial"/>
          <w:sz w:val="22"/>
          <w:szCs w:val="22"/>
        </w:rPr>
        <w:t xml:space="preserve">A </w:t>
      </w:r>
      <w:r w:rsidR="00390C4A" w:rsidRPr="00390C4A">
        <w:rPr>
          <w:rFonts w:cs="Arial"/>
          <w:sz w:val="22"/>
          <w:szCs w:val="22"/>
        </w:rPr>
        <w:t xml:space="preserve">New Tax System (Goods and Services Tax) (Extension of Time to Issue an Adjustment Note – Electricity Distributors and Public Utility Providers) Determination </w:t>
      </w:r>
      <w:r w:rsidRPr="003544D2">
        <w:rPr>
          <w:rFonts w:cs="Arial"/>
          <w:sz w:val="22"/>
          <w:szCs w:val="22"/>
        </w:rPr>
        <w:t>202</w:t>
      </w:r>
      <w:r w:rsidR="00B515DC">
        <w:rPr>
          <w:rFonts w:cs="Arial"/>
          <w:sz w:val="22"/>
          <w:szCs w:val="22"/>
        </w:rPr>
        <w:t>5</w:t>
      </w:r>
    </w:p>
    <w:p w14:paraId="58FF1606" w14:textId="77777777" w:rsidR="00B515DC" w:rsidRPr="00B515DC" w:rsidRDefault="00B515DC" w:rsidP="00565145"/>
    <w:p w14:paraId="1B448DC1" w14:textId="77777777" w:rsidR="00920F70" w:rsidRPr="00C620E9" w:rsidRDefault="00920F70" w:rsidP="00565145">
      <w:pPr>
        <w:rPr>
          <w:rFonts w:cs="Arial"/>
          <w:color w:val="000000"/>
        </w:rPr>
      </w:pPr>
      <w:r w:rsidRPr="00C620E9">
        <w:rPr>
          <w:rFonts w:cs="Arial"/>
          <w:color w:val="000000"/>
        </w:rPr>
        <w:t xml:space="preserve">This </w:t>
      </w:r>
      <w:r>
        <w:rPr>
          <w:rFonts w:cs="Arial"/>
          <w:color w:val="000000"/>
        </w:rPr>
        <w:t>l</w:t>
      </w:r>
      <w:r w:rsidRPr="00C620E9">
        <w:rPr>
          <w:rFonts w:cs="Arial"/>
          <w:color w:val="000000"/>
        </w:rPr>
        <w:t xml:space="preserve">egislative </w:t>
      </w:r>
      <w:r>
        <w:rPr>
          <w:rFonts w:cs="Arial"/>
          <w:color w:val="000000"/>
        </w:rPr>
        <w:t>i</w:t>
      </w:r>
      <w:r w:rsidRPr="00C620E9">
        <w:rPr>
          <w:rFonts w:cs="Arial"/>
          <w:color w:val="000000"/>
        </w:rPr>
        <w:t xml:space="preserve">nstrument is compatible with the human rights and freedoms recognised or declared in the international instruments listed in section 3 of the </w:t>
      </w:r>
      <w:r w:rsidRPr="00C620E9">
        <w:rPr>
          <w:rFonts w:cs="Arial"/>
          <w:i/>
          <w:color w:val="000000"/>
        </w:rPr>
        <w:t>Human Rights (Parliamentary Scrutiny) Act 2011</w:t>
      </w:r>
      <w:r w:rsidRPr="00FA661A">
        <w:rPr>
          <w:rFonts w:cs="Arial"/>
          <w:iCs/>
          <w:color w:val="000000"/>
        </w:rPr>
        <w:t>.</w:t>
      </w:r>
    </w:p>
    <w:p w14:paraId="2FFEE5DA" w14:textId="77777777" w:rsidR="00920F70" w:rsidRPr="00C620E9" w:rsidRDefault="00920F70" w:rsidP="00565145">
      <w:pPr>
        <w:rPr>
          <w:rFonts w:cs="Arial"/>
          <w:szCs w:val="22"/>
        </w:rPr>
      </w:pPr>
    </w:p>
    <w:p w14:paraId="60C4B3A3" w14:textId="77777777" w:rsidR="00920F70" w:rsidRPr="00C620E9" w:rsidRDefault="00920F70" w:rsidP="00565145">
      <w:pPr>
        <w:pStyle w:val="Heading2"/>
      </w:pPr>
      <w:r w:rsidRPr="00C620E9">
        <w:t xml:space="preserve">Overview of the </w:t>
      </w:r>
      <w:r>
        <w:t>l</w:t>
      </w:r>
      <w:r w:rsidRPr="00C620E9">
        <w:t xml:space="preserve">egislative </w:t>
      </w:r>
      <w:r>
        <w:t>i</w:t>
      </w:r>
      <w:r w:rsidRPr="00C620E9">
        <w:t>nstrument</w:t>
      </w:r>
    </w:p>
    <w:p w14:paraId="752C4D14" w14:textId="30A01EBE" w:rsidR="00920F70" w:rsidRPr="004F2E18" w:rsidRDefault="00920F70" w:rsidP="00565145">
      <w:r w:rsidRPr="003D42DF">
        <w:rPr>
          <w:shd w:val="clear" w:color="auto" w:fill="FFFFFF"/>
        </w:rPr>
        <w:t xml:space="preserve">This </w:t>
      </w:r>
      <w:r w:rsidR="00CF40FD">
        <w:rPr>
          <w:shd w:val="clear" w:color="auto" w:fill="FFFFFF"/>
        </w:rPr>
        <w:t>l</w:t>
      </w:r>
      <w:r w:rsidRPr="003D42DF">
        <w:rPr>
          <w:shd w:val="clear" w:color="auto" w:fill="FFFFFF"/>
        </w:rPr>
        <w:t xml:space="preserve">egislative </w:t>
      </w:r>
      <w:r w:rsidR="00CF40FD">
        <w:rPr>
          <w:shd w:val="clear" w:color="auto" w:fill="FFFFFF"/>
        </w:rPr>
        <w:t>i</w:t>
      </w:r>
      <w:r w:rsidRPr="003D42DF">
        <w:rPr>
          <w:shd w:val="clear" w:color="auto" w:fill="FFFFFF"/>
        </w:rPr>
        <w:t xml:space="preserve">nstrument </w:t>
      </w:r>
      <w:r w:rsidR="008F0230">
        <w:rPr>
          <w:shd w:val="clear" w:color="auto" w:fill="FFFFFF"/>
        </w:rPr>
        <w:t>extends</w:t>
      </w:r>
      <w:r w:rsidR="00A92C42">
        <w:rPr>
          <w:shd w:val="clear" w:color="auto" w:fill="FFFFFF"/>
        </w:rPr>
        <w:t xml:space="preserve"> the time in </w:t>
      </w:r>
      <w:r w:rsidR="00A92C42" w:rsidRPr="004F2E18">
        <w:t xml:space="preserve">which </w:t>
      </w:r>
      <w:r w:rsidRPr="004F2E18">
        <w:t>a</w:t>
      </w:r>
      <w:r w:rsidR="00BA5C43">
        <w:t>n electricity distributor or</w:t>
      </w:r>
      <w:r w:rsidRPr="004F2E18">
        <w:t xml:space="preserve"> </w:t>
      </w:r>
      <w:r w:rsidR="00741B66" w:rsidRPr="004F2E18">
        <w:t>p</w:t>
      </w:r>
      <w:r w:rsidRPr="004F2E18">
        <w:t xml:space="preserve">ublic </w:t>
      </w:r>
      <w:r w:rsidR="00741B66" w:rsidRPr="004F2E18">
        <w:t>u</w:t>
      </w:r>
      <w:r w:rsidRPr="004F2E18">
        <w:t xml:space="preserve">tility </w:t>
      </w:r>
      <w:r w:rsidR="00741B66" w:rsidRPr="004F2E18">
        <w:t>p</w:t>
      </w:r>
      <w:r w:rsidRPr="004F2E18">
        <w:t xml:space="preserve">rovider </w:t>
      </w:r>
      <w:r w:rsidR="00A92C42" w:rsidRPr="004F2E18">
        <w:t xml:space="preserve">has to </w:t>
      </w:r>
      <w:r w:rsidRPr="004F2E18">
        <w:t>issue an adjustment note</w:t>
      </w:r>
      <w:r w:rsidR="00A92C42" w:rsidRPr="004F2E18">
        <w:t>.</w:t>
      </w:r>
      <w:r w:rsidRPr="004F2E18">
        <w:t xml:space="preserve"> Generally, a supplier would be required to issue an adjustment note within 28 days of becoming aware of </w:t>
      </w:r>
      <w:r w:rsidR="00DE395E" w:rsidRPr="004F2E18">
        <w:t xml:space="preserve">an </w:t>
      </w:r>
      <w:r w:rsidRPr="004F2E18">
        <w:t>adjustment</w:t>
      </w:r>
      <w:r w:rsidR="00514E2F" w:rsidRPr="004F2E18">
        <w:t>. H</w:t>
      </w:r>
      <w:r w:rsidRPr="004F2E18">
        <w:t xml:space="preserve">owever, the Commissioner </w:t>
      </w:r>
      <w:r w:rsidR="00A92C42" w:rsidRPr="004F2E18">
        <w:t xml:space="preserve">has specified a different time period </w:t>
      </w:r>
      <w:r w:rsidR="00103B1C" w:rsidRPr="004F2E18">
        <w:t xml:space="preserve">for issuing an adjustment note </w:t>
      </w:r>
      <w:r w:rsidR="00514E2F" w:rsidRPr="004F2E18">
        <w:t xml:space="preserve">which better aligns with </w:t>
      </w:r>
      <w:r w:rsidR="003A3CEB" w:rsidRPr="004F2E18">
        <w:t xml:space="preserve">the </w:t>
      </w:r>
      <w:r w:rsidR="002E70AB" w:rsidRPr="004F2E18">
        <w:t>normal business practices of these suppliers</w:t>
      </w:r>
      <w:r w:rsidR="00A92C42" w:rsidRPr="004F2E18">
        <w:t>.</w:t>
      </w:r>
    </w:p>
    <w:p w14:paraId="241D2962" w14:textId="77777777" w:rsidR="00FF675C" w:rsidRPr="00E54142" w:rsidRDefault="00FF675C" w:rsidP="00565145"/>
    <w:p w14:paraId="3F95E270" w14:textId="77777777" w:rsidR="00920F70" w:rsidRPr="00E54142" w:rsidRDefault="00920F70" w:rsidP="00565145">
      <w:pPr>
        <w:pStyle w:val="Heading2"/>
      </w:pPr>
      <w:r w:rsidRPr="00E54142">
        <w:t>Human rights implications</w:t>
      </w:r>
    </w:p>
    <w:p w14:paraId="741CCB5C" w14:textId="0E8F85F2" w:rsidR="00920F70" w:rsidRPr="004F2E18" w:rsidRDefault="00920F70" w:rsidP="00565145">
      <w:r w:rsidRPr="00E54142">
        <w:t>This legislative instrument does not engage any of the applicable rights or freedoms, as</w:t>
      </w:r>
      <w:r w:rsidRPr="004F2E18">
        <w:t xml:space="preserve"> it </w:t>
      </w:r>
      <w:r w:rsidR="00A92C42" w:rsidRPr="004F2E18">
        <w:t xml:space="preserve">merely </w:t>
      </w:r>
      <w:r w:rsidR="002738FA" w:rsidRPr="004F2E18">
        <w:t>varies</w:t>
      </w:r>
      <w:r w:rsidR="00A92C42" w:rsidRPr="004F2E18">
        <w:t xml:space="preserve"> the time in which an </w:t>
      </w:r>
      <w:r w:rsidR="00741B66" w:rsidRPr="004F2E18">
        <w:t>e</w:t>
      </w:r>
      <w:r w:rsidR="00A92C42" w:rsidRPr="004F2E18">
        <w:t xml:space="preserve">lectricity </w:t>
      </w:r>
      <w:r w:rsidR="00741B66" w:rsidRPr="004F2E18">
        <w:t>d</w:t>
      </w:r>
      <w:r w:rsidR="00A92C42" w:rsidRPr="004F2E18">
        <w:t xml:space="preserve">istributor and </w:t>
      </w:r>
      <w:r w:rsidR="00741B66" w:rsidRPr="004F2E18">
        <w:t>p</w:t>
      </w:r>
      <w:r w:rsidR="00A92C42" w:rsidRPr="004F2E18">
        <w:t xml:space="preserve">ublic </w:t>
      </w:r>
      <w:r w:rsidR="000E36BF" w:rsidRPr="004F2E18">
        <w:t>u</w:t>
      </w:r>
      <w:r w:rsidR="00A92C42" w:rsidRPr="004F2E18">
        <w:t xml:space="preserve">tility </w:t>
      </w:r>
      <w:r w:rsidR="000E36BF" w:rsidRPr="004F2E18">
        <w:t>p</w:t>
      </w:r>
      <w:r w:rsidR="00A92C42" w:rsidRPr="004F2E18">
        <w:t>rovider may issue an adjustment note in certain circumstances.</w:t>
      </w:r>
    </w:p>
    <w:p w14:paraId="6CF48AF3" w14:textId="77777777" w:rsidR="00FF675C" w:rsidRPr="00145A3D" w:rsidRDefault="00FF675C" w:rsidP="00565145"/>
    <w:p w14:paraId="0FB27F1D" w14:textId="77777777" w:rsidR="00920F70" w:rsidRPr="00565145" w:rsidRDefault="00920F70" w:rsidP="00565145">
      <w:pPr>
        <w:pStyle w:val="Heading2"/>
      </w:pPr>
      <w:r w:rsidRPr="00565145">
        <w:t>Conclusion</w:t>
      </w:r>
    </w:p>
    <w:p w14:paraId="38C919D7" w14:textId="0FD9E4F6" w:rsidR="0076271C" w:rsidRPr="00565145" w:rsidRDefault="00920F70" w:rsidP="00565145">
      <w:r w:rsidRPr="00C620E9">
        <w:t xml:space="preserve">This </w:t>
      </w:r>
      <w:r>
        <w:t>l</w:t>
      </w:r>
      <w:r w:rsidRPr="00C620E9">
        <w:t xml:space="preserve">egislative </w:t>
      </w:r>
      <w:r>
        <w:t>i</w:t>
      </w:r>
      <w:r w:rsidRPr="00C620E9">
        <w:t>nstrument is compatible with human rights as it does not raise any human rights issues.</w:t>
      </w:r>
    </w:p>
    <w:sectPr w:rsidR="0076271C" w:rsidRPr="00565145" w:rsidSect="009523C1">
      <w:headerReference w:type="even" r:id="rId8"/>
      <w:headerReference w:type="default" r:id="rId9"/>
      <w:footerReference w:type="even" r:id="rId10"/>
      <w:footerReference w:type="default" r:id="rId11"/>
      <w:headerReference w:type="first" r:id="rId12"/>
      <w:footerReference w:type="first" r:id="rId13"/>
      <w:pgSz w:w="11906" w:h="16838" w:code="9"/>
      <w:pgMar w:top="1440" w:right="1134" w:bottom="1361" w:left="992"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CD857" w14:textId="77777777" w:rsidR="000D0245" w:rsidRDefault="000D0245">
      <w:r>
        <w:separator/>
      </w:r>
    </w:p>
  </w:endnote>
  <w:endnote w:type="continuationSeparator" w:id="0">
    <w:p w14:paraId="1D0DDC2B" w14:textId="77777777" w:rsidR="000D0245" w:rsidRDefault="000D0245">
      <w:r>
        <w:continuationSeparator/>
      </w:r>
    </w:p>
  </w:endnote>
  <w:endnote w:type="continuationNotice" w:id="1">
    <w:p w14:paraId="78075B4B" w14:textId="77777777" w:rsidR="000D0245" w:rsidRDefault="000D0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2E44" w14:textId="6F0DBC8E" w:rsidR="004965CA" w:rsidRDefault="00496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D605" w14:textId="0EAF1D8F" w:rsidR="004965CA" w:rsidRDefault="00496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AB4B" w14:textId="4E1820CC" w:rsidR="004965CA" w:rsidRDefault="0049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E1AF1" w14:textId="77777777" w:rsidR="000D0245" w:rsidRDefault="000D0245">
      <w:r>
        <w:separator/>
      </w:r>
    </w:p>
  </w:footnote>
  <w:footnote w:type="continuationSeparator" w:id="0">
    <w:p w14:paraId="76373056" w14:textId="77777777" w:rsidR="000D0245" w:rsidRDefault="000D0245">
      <w:r>
        <w:continuationSeparator/>
      </w:r>
    </w:p>
  </w:footnote>
  <w:footnote w:type="continuationNotice" w:id="1">
    <w:p w14:paraId="2B130D21" w14:textId="77777777" w:rsidR="000D0245" w:rsidRDefault="000D0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DD87" w14:textId="22BD2A9A" w:rsidR="009523C1" w:rsidRDefault="00952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6922" w14:textId="45EFFCAC"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BA60" w14:textId="1CBE2722" w:rsidR="00587C50" w:rsidRDefault="003D0CBA" w:rsidP="001828A4">
    <w:pPr>
      <w:pStyle w:val="Header"/>
      <w:tabs>
        <w:tab w:val="clear" w:pos="4153"/>
        <w:tab w:val="clear" w:pos="8306"/>
      </w:tabs>
      <w:rPr>
        <w:rFonts w:cs="Arial"/>
        <w:sz w:val="20"/>
      </w:rPr>
    </w:pPr>
    <w:r>
      <w:rPr>
        <w:noProof/>
      </w:rPr>
      <w:drawing>
        <wp:inline distT="0" distB="0" distL="0" distR="0" wp14:anchorId="75945540" wp14:editId="098D16CA">
          <wp:extent cx="2413635" cy="701675"/>
          <wp:effectExtent l="0" t="0" r="5715" b="3175"/>
          <wp:docPr id="3" name="Picture 1" descr="Australian Taxation Office logo, includes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Taxation Office logo, includes the Commonwealth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44FD60F" w14:textId="77777777" w:rsidR="00CC1833" w:rsidRPr="001A6644" w:rsidRDefault="00CC1833" w:rsidP="00767CE8">
    <w:pPr>
      <w:pStyle w:val="Header"/>
      <w:tabs>
        <w:tab w:val="clear" w:pos="4153"/>
        <w:tab w:val="clear" w:pos="8306"/>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057A2"/>
    <w:multiLevelType w:val="hybridMultilevel"/>
    <w:tmpl w:val="32E61D96"/>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 w15:restartNumberingAfterBreak="0">
    <w:nsid w:val="23AD56EA"/>
    <w:multiLevelType w:val="hybridMultilevel"/>
    <w:tmpl w:val="75EC6224"/>
    <w:lvl w:ilvl="0" w:tplc="F7B226F0">
      <w:start w:val="1"/>
      <w:numFmt w:val="lowerLetter"/>
      <w:pStyle w:val="ListParagraph"/>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2A984FAF"/>
    <w:multiLevelType w:val="hybridMultilevel"/>
    <w:tmpl w:val="4DE83F70"/>
    <w:lvl w:ilvl="0" w:tplc="3A2E819E">
      <w:start w:val="1"/>
      <w:numFmt w:val="bullet"/>
      <w:pStyle w:val="Listpoints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407B55"/>
    <w:multiLevelType w:val="hybridMultilevel"/>
    <w:tmpl w:val="7D546842"/>
    <w:lvl w:ilvl="0" w:tplc="053AC540">
      <w:start w:val="1"/>
      <w:numFmt w:val="decimal"/>
      <w:pStyle w:val="Numberedparagraphs"/>
      <w:lvlText w:val="%1."/>
      <w:lvlJc w:val="left"/>
      <w:pPr>
        <w:ind w:left="720" w:hanging="360"/>
      </w:pPr>
      <w:rPr>
        <w:rFonts w:hint="default"/>
        <w:i w:val="0"/>
        <w:iCs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CC3903"/>
    <w:multiLevelType w:val="hybridMultilevel"/>
    <w:tmpl w:val="24F4F886"/>
    <w:lvl w:ilvl="0" w:tplc="B03A4A5C">
      <w:start w:val="1"/>
      <w:numFmt w:val="decimal"/>
      <w:pStyle w:val="Numberparagraph"/>
      <w:lvlText w:val="%1."/>
      <w:lvlJc w:val="left"/>
      <w:pPr>
        <w:ind w:left="360" w:hanging="360"/>
      </w:pPr>
      <w:rPr>
        <w:rFonts w:hint="default"/>
        <w:i w:val="0"/>
        <w:iCs w:val="0"/>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972757828">
    <w:abstractNumId w:val="3"/>
  </w:num>
  <w:num w:numId="2" w16cid:durableId="838423541">
    <w:abstractNumId w:val="1"/>
  </w:num>
  <w:num w:numId="3" w16cid:durableId="1956282070">
    <w:abstractNumId w:val="2"/>
  </w:num>
  <w:num w:numId="4" w16cid:durableId="1706448448">
    <w:abstractNumId w:val="1"/>
    <w:lvlOverride w:ilvl="0">
      <w:startOverride w:val="1"/>
    </w:lvlOverride>
  </w:num>
  <w:num w:numId="5" w16cid:durableId="1413624902">
    <w:abstractNumId w:val="1"/>
    <w:lvlOverride w:ilvl="0">
      <w:startOverride w:val="1"/>
    </w:lvlOverride>
  </w:num>
  <w:num w:numId="6" w16cid:durableId="1141070616">
    <w:abstractNumId w:val="1"/>
    <w:lvlOverride w:ilvl="0">
      <w:startOverride w:val="1"/>
    </w:lvlOverride>
  </w:num>
  <w:num w:numId="7" w16cid:durableId="1521512042">
    <w:abstractNumId w:val="4"/>
  </w:num>
  <w:num w:numId="8" w16cid:durableId="1207065913">
    <w:abstractNumId w:val="3"/>
  </w:num>
  <w:num w:numId="9" w16cid:durableId="1295521262">
    <w:abstractNumId w:val="3"/>
  </w:num>
  <w:num w:numId="10" w16cid:durableId="359168443">
    <w:abstractNumId w:val="3"/>
  </w:num>
  <w:num w:numId="11" w16cid:durableId="1203127090">
    <w:abstractNumId w:val="3"/>
  </w:num>
  <w:num w:numId="12" w16cid:durableId="593826109">
    <w:abstractNumId w:val="3"/>
  </w:num>
  <w:num w:numId="13" w16cid:durableId="1854611676">
    <w:abstractNumId w:val="3"/>
  </w:num>
  <w:num w:numId="14" w16cid:durableId="1499267878">
    <w:abstractNumId w:val="3"/>
  </w:num>
  <w:num w:numId="15" w16cid:durableId="426734117">
    <w:abstractNumId w:val="3"/>
  </w:num>
  <w:num w:numId="16" w16cid:durableId="1468235654">
    <w:abstractNumId w:val="3"/>
  </w:num>
  <w:num w:numId="17" w16cid:durableId="1545949296">
    <w:abstractNumId w:val="3"/>
  </w:num>
  <w:num w:numId="18" w16cid:durableId="53823413">
    <w:abstractNumId w:val="3"/>
  </w:num>
  <w:num w:numId="19" w16cid:durableId="357900829">
    <w:abstractNumId w:val="3"/>
  </w:num>
  <w:num w:numId="20" w16cid:durableId="915937406">
    <w:abstractNumId w:val="3"/>
  </w:num>
  <w:num w:numId="21" w16cid:durableId="628782566">
    <w:abstractNumId w:val="3"/>
  </w:num>
  <w:num w:numId="22" w16cid:durableId="238759879">
    <w:abstractNumId w:val="3"/>
  </w:num>
  <w:num w:numId="23" w16cid:durableId="2121100811">
    <w:abstractNumId w:val="3"/>
  </w:num>
  <w:num w:numId="24" w16cid:durableId="1828745735">
    <w:abstractNumId w:val="3"/>
  </w:num>
  <w:num w:numId="25" w16cid:durableId="2025327254">
    <w:abstractNumId w:val="3"/>
  </w:num>
  <w:num w:numId="26" w16cid:durableId="412971628">
    <w:abstractNumId w:val="3"/>
  </w:num>
  <w:num w:numId="27" w16cid:durableId="1720084331">
    <w:abstractNumId w:val="3"/>
  </w:num>
  <w:num w:numId="28" w16cid:durableId="1503929211">
    <w:abstractNumId w:val="3"/>
  </w:num>
  <w:num w:numId="29" w16cid:durableId="596912324">
    <w:abstractNumId w:val="3"/>
  </w:num>
  <w:num w:numId="30" w16cid:durableId="1767462303">
    <w:abstractNumId w:val="3"/>
  </w:num>
  <w:num w:numId="31" w16cid:durableId="514225912">
    <w:abstractNumId w:val="3"/>
  </w:num>
  <w:num w:numId="32" w16cid:durableId="812258234">
    <w:abstractNumId w:val="3"/>
  </w:num>
  <w:num w:numId="33" w16cid:durableId="1985116778">
    <w:abstractNumId w:val="3"/>
  </w:num>
  <w:num w:numId="34" w16cid:durableId="545727838">
    <w:abstractNumId w:val="3"/>
  </w:num>
  <w:num w:numId="35" w16cid:durableId="1956256558">
    <w:abstractNumId w:val="3"/>
  </w:num>
  <w:num w:numId="36" w16cid:durableId="607662562">
    <w:abstractNumId w:val="3"/>
  </w:num>
  <w:num w:numId="37" w16cid:durableId="504976435">
    <w:abstractNumId w:val="3"/>
  </w:num>
  <w:num w:numId="38" w16cid:durableId="1639064632">
    <w:abstractNumId w:val="3"/>
  </w:num>
  <w:num w:numId="39" w16cid:durableId="16195316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117B2"/>
    <w:rsid w:val="00016840"/>
    <w:rsid w:val="0001796D"/>
    <w:rsid w:val="00017BF0"/>
    <w:rsid w:val="00017CA4"/>
    <w:rsid w:val="00023EAE"/>
    <w:rsid w:val="0002568B"/>
    <w:rsid w:val="00030B43"/>
    <w:rsid w:val="00043FA7"/>
    <w:rsid w:val="00044383"/>
    <w:rsid w:val="00052ECD"/>
    <w:rsid w:val="000552E8"/>
    <w:rsid w:val="00056585"/>
    <w:rsid w:val="0005674F"/>
    <w:rsid w:val="00056799"/>
    <w:rsid w:val="00056C6A"/>
    <w:rsid w:val="00060D6D"/>
    <w:rsid w:val="00065C6E"/>
    <w:rsid w:val="00072E6E"/>
    <w:rsid w:val="00073F1B"/>
    <w:rsid w:val="00075B58"/>
    <w:rsid w:val="00077A1B"/>
    <w:rsid w:val="00077B3B"/>
    <w:rsid w:val="00081520"/>
    <w:rsid w:val="000938C5"/>
    <w:rsid w:val="00095579"/>
    <w:rsid w:val="000956F6"/>
    <w:rsid w:val="00095AFA"/>
    <w:rsid w:val="000A059D"/>
    <w:rsid w:val="000A1EF2"/>
    <w:rsid w:val="000A6501"/>
    <w:rsid w:val="000B11DD"/>
    <w:rsid w:val="000B1785"/>
    <w:rsid w:val="000B5087"/>
    <w:rsid w:val="000B7E10"/>
    <w:rsid w:val="000C390A"/>
    <w:rsid w:val="000C77DD"/>
    <w:rsid w:val="000D0245"/>
    <w:rsid w:val="000D1A05"/>
    <w:rsid w:val="000D72A1"/>
    <w:rsid w:val="000E295B"/>
    <w:rsid w:val="000E36BF"/>
    <w:rsid w:val="000E38DC"/>
    <w:rsid w:val="000E45A0"/>
    <w:rsid w:val="000E5A41"/>
    <w:rsid w:val="000E7575"/>
    <w:rsid w:val="000F16DB"/>
    <w:rsid w:val="000F394F"/>
    <w:rsid w:val="000F3C57"/>
    <w:rsid w:val="00101CD5"/>
    <w:rsid w:val="001027D0"/>
    <w:rsid w:val="00103B1C"/>
    <w:rsid w:val="00106450"/>
    <w:rsid w:val="00107460"/>
    <w:rsid w:val="00112415"/>
    <w:rsid w:val="0011354B"/>
    <w:rsid w:val="001166AC"/>
    <w:rsid w:val="0012071D"/>
    <w:rsid w:val="00120D10"/>
    <w:rsid w:val="00120FA8"/>
    <w:rsid w:val="0013678D"/>
    <w:rsid w:val="0014031D"/>
    <w:rsid w:val="00140A34"/>
    <w:rsid w:val="00141199"/>
    <w:rsid w:val="00145A3D"/>
    <w:rsid w:val="00146ED8"/>
    <w:rsid w:val="001472D9"/>
    <w:rsid w:val="00156C3D"/>
    <w:rsid w:val="00157884"/>
    <w:rsid w:val="0016012A"/>
    <w:rsid w:val="001629A8"/>
    <w:rsid w:val="00162A6D"/>
    <w:rsid w:val="00167202"/>
    <w:rsid w:val="001828A4"/>
    <w:rsid w:val="00183FF3"/>
    <w:rsid w:val="001854D9"/>
    <w:rsid w:val="00190A00"/>
    <w:rsid w:val="001A3BE2"/>
    <w:rsid w:val="001B0D65"/>
    <w:rsid w:val="001B2269"/>
    <w:rsid w:val="001C1264"/>
    <w:rsid w:val="001C35E7"/>
    <w:rsid w:val="001C38BB"/>
    <w:rsid w:val="001C4578"/>
    <w:rsid w:val="001C63C7"/>
    <w:rsid w:val="001D02E6"/>
    <w:rsid w:val="001D1A23"/>
    <w:rsid w:val="001D326E"/>
    <w:rsid w:val="001E1286"/>
    <w:rsid w:val="001E27CE"/>
    <w:rsid w:val="001E6333"/>
    <w:rsid w:val="001F0184"/>
    <w:rsid w:val="001F19BF"/>
    <w:rsid w:val="001F1DD5"/>
    <w:rsid w:val="001F28A6"/>
    <w:rsid w:val="001F2A16"/>
    <w:rsid w:val="001F6921"/>
    <w:rsid w:val="001F7C3E"/>
    <w:rsid w:val="00201969"/>
    <w:rsid w:val="00207404"/>
    <w:rsid w:val="002119A5"/>
    <w:rsid w:val="0021222C"/>
    <w:rsid w:val="00213015"/>
    <w:rsid w:val="00213FA5"/>
    <w:rsid w:val="00214104"/>
    <w:rsid w:val="002141FA"/>
    <w:rsid w:val="0021496E"/>
    <w:rsid w:val="00222AFB"/>
    <w:rsid w:val="00224C0F"/>
    <w:rsid w:val="0023733A"/>
    <w:rsid w:val="0024044F"/>
    <w:rsid w:val="00240CFB"/>
    <w:rsid w:val="00244DDB"/>
    <w:rsid w:val="00245D00"/>
    <w:rsid w:val="00257F2D"/>
    <w:rsid w:val="00262F9F"/>
    <w:rsid w:val="0026604D"/>
    <w:rsid w:val="00266D2D"/>
    <w:rsid w:val="00267335"/>
    <w:rsid w:val="0027096F"/>
    <w:rsid w:val="0027331F"/>
    <w:rsid w:val="002738FA"/>
    <w:rsid w:val="00275013"/>
    <w:rsid w:val="00275DF2"/>
    <w:rsid w:val="00277932"/>
    <w:rsid w:val="00282D07"/>
    <w:rsid w:val="00283DB1"/>
    <w:rsid w:val="00283E4F"/>
    <w:rsid w:val="002846CD"/>
    <w:rsid w:val="002849D9"/>
    <w:rsid w:val="00285E76"/>
    <w:rsid w:val="002905D2"/>
    <w:rsid w:val="00293D70"/>
    <w:rsid w:val="002949C3"/>
    <w:rsid w:val="002A007C"/>
    <w:rsid w:val="002A10A4"/>
    <w:rsid w:val="002A26FE"/>
    <w:rsid w:val="002A2FDB"/>
    <w:rsid w:val="002B1423"/>
    <w:rsid w:val="002B1AC8"/>
    <w:rsid w:val="002B7048"/>
    <w:rsid w:val="002C7560"/>
    <w:rsid w:val="002C76FC"/>
    <w:rsid w:val="002D2444"/>
    <w:rsid w:val="002D28DE"/>
    <w:rsid w:val="002E2DE5"/>
    <w:rsid w:val="002E70AB"/>
    <w:rsid w:val="002F1257"/>
    <w:rsid w:val="002F6BF4"/>
    <w:rsid w:val="00310C61"/>
    <w:rsid w:val="003171B3"/>
    <w:rsid w:val="0032559D"/>
    <w:rsid w:val="00331616"/>
    <w:rsid w:val="00332043"/>
    <w:rsid w:val="00332B70"/>
    <w:rsid w:val="00333567"/>
    <w:rsid w:val="0033474A"/>
    <w:rsid w:val="00344575"/>
    <w:rsid w:val="0035113C"/>
    <w:rsid w:val="00353C6E"/>
    <w:rsid w:val="003544D2"/>
    <w:rsid w:val="00354525"/>
    <w:rsid w:val="00372741"/>
    <w:rsid w:val="00374385"/>
    <w:rsid w:val="00380CC4"/>
    <w:rsid w:val="00384BED"/>
    <w:rsid w:val="00387767"/>
    <w:rsid w:val="003901D8"/>
    <w:rsid w:val="00390C4A"/>
    <w:rsid w:val="0039121C"/>
    <w:rsid w:val="003913E0"/>
    <w:rsid w:val="0039455D"/>
    <w:rsid w:val="00394EEB"/>
    <w:rsid w:val="003A3CEB"/>
    <w:rsid w:val="003A4A7B"/>
    <w:rsid w:val="003B547B"/>
    <w:rsid w:val="003B66AD"/>
    <w:rsid w:val="003C0686"/>
    <w:rsid w:val="003C6B50"/>
    <w:rsid w:val="003D08CF"/>
    <w:rsid w:val="003D0CBA"/>
    <w:rsid w:val="003D0F6A"/>
    <w:rsid w:val="003D4BA8"/>
    <w:rsid w:val="003D57F1"/>
    <w:rsid w:val="003D77FD"/>
    <w:rsid w:val="003E5269"/>
    <w:rsid w:val="003F3D0E"/>
    <w:rsid w:val="003F4D44"/>
    <w:rsid w:val="00405394"/>
    <w:rsid w:val="004066E4"/>
    <w:rsid w:val="0040680B"/>
    <w:rsid w:val="00407361"/>
    <w:rsid w:val="0041700F"/>
    <w:rsid w:val="00417C55"/>
    <w:rsid w:val="004237A7"/>
    <w:rsid w:val="00424A7B"/>
    <w:rsid w:val="00427250"/>
    <w:rsid w:val="00444480"/>
    <w:rsid w:val="004447C1"/>
    <w:rsid w:val="00446AA8"/>
    <w:rsid w:val="00453200"/>
    <w:rsid w:val="0045590D"/>
    <w:rsid w:val="004610E3"/>
    <w:rsid w:val="0046211F"/>
    <w:rsid w:val="00465C84"/>
    <w:rsid w:val="0046787B"/>
    <w:rsid w:val="0047473D"/>
    <w:rsid w:val="004750AB"/>
    <w:rsid w:val="00476467"/>
    <w:rsid w:val="004764DF"/>
    <w:rsid w:val="004809AE"/>
    <w:rsid w:val="00486653"/>
    <w:rsid w:val="00493CA7"/>
    <w:rsid w:val="00495A2E"/>
    <w:rsid w:val="004965CA"/>
    <w:rsid w:val="00497335"/>
    <w:rsid w:val="004974F0"/>
    <w:rsid w:val="00497566"/>
    <w:rsid w:val="004A4245"/>
    <w:rsid w:val="004A5FDA"/>
    <w:rsid w:val="004C39A9"/>
    <w:rsid w:val="004D0029"/>
    <w:rsid w:val="004D098C"/>
    <w:rsid w:val="004D24A9"/>
    <w:rsid w:val="004D3A57"/>
    <w:rsid w:val="004D41FE"/>
    <w:rsid w:val="004D4B5E"/>
    <w:rsid w:val="004D6FE1"/>
    <w:rsid w:val="004E15C2"/>
    <w:rsid w:val="004E3A45"/>
    <w:rsid w:val="004E5357"/>
    <w:rsid w:val="004E74E3"/>
    <w:rsid w:val="004F2E18"/>
    <w:rsid w:val="004F4058"/>
    <w:rsid w:val="004F4A07"/>
    <w:rsid w:val="004F5EB1"/>
    <w:rsid w:val="004F6887"/>
    <w:rsid w:val="004F760F"/>
    <w:rsid w:val="00500276"/>
    <w:rsid w:val="005030AD"/>
    <w:rsid w:val="00506850"/>
    <w:rsid w:val="00506C7B"/>
    <w:rsid w:val="005112C3"/>
    <w:rsid w:val="0051249C"/>
    <w:rsid w:val="00514E2F"/>
    <w:rsid w:val="0051540E"/>
    <w:rsid w:val="005176E7"/>
    <w:rsid w:val="00520330"/>
    <w:rsid w:val="00523434"/>
    <w:rsid w:val="00524B6B"/>
    <w:rsid w:val="00526403"/>
    <w:rsid w:val="00526BEC"/>
    <w:rsid w:val="00530067"/>
    <w:rsid w:val="00530A87"/>
    <w:rsid w:val="00533379"/>
    <w:rsid w:val="00534FB5"/>
    <w:rsid w:val="00540347"/>
    <w:rsid w:val="005413EE"/>
    <w:rsid w:val="00544111"/>
    <w:rsid w:val="0054455B"/>
    <w:rsid w:val="00554232"/>
    <w:rsid w:val="0056127F"/>
    <w:rsid w:val="00562A45"/>
    <w:rsid w:val="00565145"/>
    <w:rsid w:val="00585FF1"/>
    <w:rsid w:val="00587443"/>
    <w:rsid w:val="00587C50"/>
    <w:rsid w:val="005917F3"/>
    <w:rsid w:val="00592A9E"/>
    <w:rsid w:val="005A1099"/>
    <w:rsid w:val="005A591D"/>
    <w:rsid w:val="005B0ACD"/>
    <w:rsid w:val="005B50A2"/>
    <w:rsid w:val="005C3408"/>
    <w:rsid w:val="005C5CBA"/>
    <w:rsid w:val="005D1EE0"/>
    <w:rsid w:val="005D611B"/>
    <w:rsid w:val="005E2F38"/>
    <w:rsid w:val="005E329E"/>
    <w:rsid w:val="005E7AE7"/>
    <w:rsid w:val="005F1ACE"/>
    <w:rsid w:val="005F256D"/>
    <w:rsid w:val="0060045B"/>
    <w:rsid w:val="0060183A"/>
    <w:rsid w:val="00601EBE"/>
    <w:rsid w:val="00603110"/>
    <w:rsid w:val="00603356"/>
    <w:rsid w:val="0060541A"/>
    <w:rsid w:val="006058F4"/>
    <w:rsid w:val="00611BA9"/>
    <w:rsid w:val="00611C8E"/>
    <w:rsid w:val="00613631"/>
    <w:rsid w:val="00614B09"/>
    <w:rsid w:val="0062114D"/>
    <w:rsid w:val="00621386"/>
    <w:rsid w:val="00622E02"/>
    <w:rsid w:val="00624954"/>
    <w:rsid w:val="006268F8"/>
    <w:rsid w:val="006302F7"/>
    <w:rsid w:val="00631253"/>
    <w:rsid w:val="00631F30"/>
    <w:rsid w:val="00634534"/>
    <w:rsid w:val="0063756B"/>
    <w:rsid w:val="00640CC2"/>
    <w:rsid w:val="00642420"/>
    <w:rsid w:val="00646158"/>
    <w:rsid w:val="006513F4"/>
    <w:rsid w:val="00654531"/>
    <w:rsid w:val="006548EA"/>
    <w:rsid w:val="00656919"/>
    <w:rsid w:val="00657EBA"/>
    <w:rsid w:val="0066622C"/>
    <w:rsid w:val="00666487"/>
    <w:rsid w:val="00667789"/>
    <w:rsid w:val="0067184A"/>
    <w:rsid w:val="00673B37"/>
    <w:rsid w:val="00680A20"/>
    <w:rsid w:val="00685A05"/>
    <w:rsid w:val="0069060F"/>
    <w:rsid w:val="00693BAF"/>
    <w:rsid w:val="006945EA"/>
    <w:rsid w:val="00694B74"/>
    <w:rsid w:val="00697BB3"/>
    <w:rsid w:val="006A2FF0"/>
    <w:rsid w:val="006A599D"/>
    <w:rsid w:val="006B0830"/>
    <w:rsid w:val="006B5470"/>
    <w:rsid w:val="006C0522"/>
    <w:rsid w:val="006C3EC7"/>
    <w:rsid w:val="006C45C4"/>
    <w:rsid w:val="006C5C53"/>
    <w:rsid w:val="006C7D46"/>
    <w:rsid w:val="006D0138"/>
    <w:rsid w:val="006D61AF"/>
    <w:rsid w:val="006D6F52"/>
    <w:rsid w:val="006E3A06"/>
    <w:rsid w:val="006E6277"/>
    <w:rsid w:val="006E7C6A"/>
    <w:rsid w:val="006F3162"/>
    <w:rsid w:val="006F47B5"/>
    <w:rsid w:val="00701718"/>
    <w:rsid w:val="007049F2"/>
    <w:rsid w:val="00710359"/>
    <w:rsid w:val="00712F92"/>
    <w:rsid w:val="00712FFF"/>
    <w:rsid w:val="00714CC5"/>
    <w:rsid w:val="00716315"/>
    <w:rsid w:val="00720A3D"/>
    <w:rsid w:val="00721C14"/>
    <w:rsid w:val="00722DBF"/>
    <w:rsid w:val="007250D4"/>
    <w:rsid w:val="00735157"/>
    <w:rsid w:val="00741B66"/>
    <w:rsid w:val="0074306B"/>
    <w:rsid w:val="007501FF"/>
    <w:rsid w:val="00750F20"/>
    <w:rsid w:val="00753F89"/>
    <w:rsid w:val="007557B1"/>
    <w:rsid w:val="00760917"/>
    <w:rsid w:val="00760E7F"/>
    <w:rsid w:val="0076271C"/>
    <w:rsid w:val="00767CE8"/>
    <w:rsid w:val="00775490"/>
    <w:rsid w:val="00777496"/>
    <w:rsid w:val="007941C8"/>
    <w:rsid w:val="007945D8"/>
    <w:rsid w:val="00795D0C"/>
    <w:rsid w:val="00797F42"/>
    <w:rsid w:val="007A55BA"/>
    <w:rsid w:val="007A7C40"/>
    <w:rsid w:val="007B0A36"/>
    <w:rsid w:val="007B0D18"/>
    <w:rsid w:val="007B1564"/>
    <w:rsid w:val="007B24D6"/>
    <w:rsid w:val="007B3700"/>
    <w:rsid w:val="007B55E0"/>
    <w:rsid w:val="007B7706"/>
    <w:rsid w:val="007C1FBD"/>
    <w:rsid w:val="007C54B3"/>
    <w:rsid w:val="007C5C8E"/>
    <w:rsid w:val="007D68F3"/>
    <w:rsid w:val="007D6D58"/>
    <w:rsid w:val="007E0A01"/>
    <w:rsid w:val="007E0EA3"/>
    <w:rsid w:val="007E22F5"/>
    <w:rsid w:val="007E2AF8"/>
    <w:rsid w:val="007E7424"/>
    <w:rsid w:val="007F25F3"/>
    <w:rsid w:val="007F2681"/>
    <w:rsid w:val="007F4901"/>
    <w:rsid w:val="008060B2"/>
    <w:rsid w:val="00810E3C"/>
    <w:rsid w:val="00821990"/>
    <w:rsid w:val="00824928"/>
    <w:rsid w:val="00824D07"/>
    <w:rsid w:val="00826DEB"/>
    <w:rsid w:val="0082772E"/>
    <w:rsid w:val="00830D78"/>
    <w:rsid w:val="00831157"/>
    <w:rsid w:val="00832A78"/>
    <w:rsid w:val="00836B02"/>
    <w:rsid w:val="00842DC1"/>
    <w:rsid w:val="008467D4"/>
    <w:rsid w:val="00846F3E"/>
    <w:rsid w:val="00850FB0"/>
    <w:rsid w:val="0085238E"/>
    <w:rsid w:val="00853428"/>
    <w:rsid w:val="008540EA"/>
    <w:rsid w:val="00866311"/>
    <w:rsid w:val="00866A00"/>
    <w:rsid w:val="00866CC3"/>
    <w:rsid w:val="008702A6"/>
    <w:rsid w:val="008732C0"/>
    <w:rsid w:val="00873997"/>
    <w:rsid w:val="008757CE"/>
    <w:rsid w:val="00882158"/>
    <w:rsid w:val="00882D61"/>
    <w:rsid w:val="0088392C"/>
    <w:rsid w:val="00885E69"/>
    <w:rsid w:val="0089076A"/>
    <w:rsid w:val="00891A82"/>
    <w:rsid w:val="0089208D"/>
    <w:rsid w:val="0089357A"/>
    <w:rsid w:val="008967FB"/>
    <w:rsid w:val="00897C0E"/>
    <w:rsid w:val="00897E31"/>
    <w:rsid w:val="008A046F"/>
    <w:rsid w:val="008A405A"/>
    <w:rsid w:val="008A5751"/>
    <w:rsid w:val="008A6A6A"/>
    <w:rsid w:val="008B053E"/>
    <w:rsid w:val="008B47C0"/>
    <w:rsid w:val="008B650A"/>
    <w:rsid w:val="008B787C"/>
    <w:rsid w:val="008C3898"/>
    <w:rsid w:val="008C66CC"/>
    <w:rsid w:val="008C773B"/>
    <w:rsid w:val="008E0C42"/>
    <w:rsid w:val="008F0230"/>
    <w:rsid w:val="008F2917"/>
    <w:rsid w:val="008F483C"/>
    <w:rsid w:val="0090591C"/>
    <w:rsid w:val="00910595"/>
    <w:rsid w:val="00910756"/>
    <w:rsid w:val="00912D61"/>
    <w:rsid w:val="00914079"/>
    <w:rsid w:val="00916758"/>
    <w:rsid w:val="00917A12"/>
    <w:rsid w:val="00920D6F"/>
    <w:rsid w:val="00920F70"/>
    <w:rsid w:val="009223FA"/>
    <w:rsid w:val="00925BEC"/>
    <w:rsid w:val="00931972"/>
    <w:rsid w:val="00931F8C"/>
    <w:rsid w:val="009322D7"/>
    <w:rsid w:val="00932B8D"/>
    <w:rsid w:val="00932BDE"/>
    <w:rsid w:val="009371D0"/>
    <w:rsid w:val="009410D2"/>
    <w:rsid w:val="00947C61"/>
    <w:rsid w:val="0095000F"/>
    <w:rsid w:val="00950199"/>
    <w:rsid w:val="00951F0A"/>
    <w:rsid w:val="009523C1"/>
    <w:rsid w:val="0096262D"/>
    <w:rsid w:val="00962657"/>
    <w:rsid w:val="00963629"/>
    <w:rsid w:val="00966225"/>
    <w:rsid w:val="00967725"/>
    <w:rsid w:val="0098195F"/>
    <w:rsid w:val="00986478"/>
    <w:rsid w:val="009902F8"/>
    <w:rsid w:val="00993BB8"/>
    <w:rsid w:val="00994BAE"/>
    <w:rsid w:val="0099555F"/>
    <w:rsid w:val="009A04F8"/>
    <w:rsid w:val="009A22A1"/>
    <w:rsid w:val="009A32D5"/>
    <w:rsid w:val="009A61D5"/>
    <w:rsid w:val="009B18AE"/>
    <w:rsid w:val="009B3A1B"/>
    <w:rsid w:val="009B4928"/>
    <w:rsid w:val="009B6332"/>
    <w:rsid w:val="009C0912"/>
    <w:rsid w:val="009C1062"/>
    <w:rsid w:val="009C7443"/>
    <w:rsid w:val="009C7717"/>
    <w:rsid w:val="009D2868"/>
    <w:rsid w:val="009D3A20"/>
    <w:rsid w:val="009D6694"/>
    <w:rsid w:val="009D6ED6"/>
    <w:rsid w:val="009E6D7A"/>
    <w:rsid w:val="009F0300"/>
    <w:rsid w:val="009F1801"/>
    <w:rsid w:val="00A06AD7"/>
    <w:rsid w:val="00A11A1C"/>
    <w:rsid w:val="00A167A8"/>
    <w:rsid w:val="00A214DC"/>
    <w:rsid w:val="00A2153B"/>
    <w:rsid w:val="00A21F0A"/>
    <w:rsid w:val="00A26011"/>
    <w:rsid w:val="00A40229"/>
    <w:rsid w:val="00A435F5"/>
    <w:rsid w:val="00A506C2"/>
    <w:rsid w:val="00A51B8B"/>
    <w:rsid w:val="00A53E2C"/>
    <w:rsid w:val="00A56645"/>
    <w:rsid w:val="00A56841"/>
    <w:rsid w:val="00A616B6"/>
    <w:rsid w:val="00A62886"/>
    <w:rsid w:val="00A74C38"/>
    <w:rsid w:val="00A77D24"/>
    <w:rsid w:val="00A80799"/>
    <w:rsid w:val="00A83AE2"/>
    <w:rsid w:val="00A8572F"/>
    <w:rsid w:val="00A87E8E"/>
    <w:rsid w:val="00A91644"/>
    <w:rsid w:val="00A92C42"/>
    <w:rsid w:val="00A93E07"/>
    <w:rsid w:val="00A979CF"/>
    <w:rsid w:val="00AA1895"/>
    <w:rsid w:val="00AA4DF8"/>
    <w:rsid w:val="00AA74B7"/>
    <w:rsid w:val="00AB1BCD"/>
    <w:rsid w:val="00AB1EB3"/>
    <w:rsid w:val="00AB5962"/>
    <w:rsid w:val="00AB780C"/>
    <w:rsid w:val="00AC2448"/>
    <w:rsid w:val="00AC3FE8"/>
    <w:rsid w:val="00AC649C"/>
    <w:rsid w:val="00AD0B0B"/>
    <w:rsid w:val="00AD1B25"/>
    <w:rsid w:val="00AD5ADE"/>
    <w:rsid w:val="00AE7138"/>
    <w:rsid w:val="00AE72C3"/>
    <w:rsid w:val="00AF4CAF"/>
    <w:rsid w:val="00AF7FD2"/>
    <w:rsid w:val="00B07EB1"/>
    <w:rsid w:val="00B10E9B"/>
    <w:rsid w:val="00B11173"/>
    <w:rsid w:val="00B113DB"/>
    <w:rsid w:val="00B117BA"/>
    <w:rsid w:val="00B156E1"/>
    <w:rsid w:val="00B15F23"/>
    <w:rsid w:val="00B16508"/>
    <w:rsid w:val="00B20D87"/>
    <w:rsid w:val="00B21BCC"/>
    <w:rsid w:val="00B24053"/>
    <w:rsid w:val="00B31550"/>
    <w:rsid w:val="00B33005"/>
    <w:rsid w:val="00B357D2"/>
    <w:rsid w:val="00B35CFF"/>
    <w:rsid w:val="00B42DF2"/>
    <w:rsid w:val="00B46630"/>
    <w:rsid w:val="00B515DC"/>
    <w:rsid w:val="00B52A30"/>
    <w:rsid w:val="00B52D3A"/>
    <w:rsid w:val="00B5353E"/>
    <w:rsid w:val="00B53EB4"/>
    <w:rsid w:val="00B5732F"/>
    <w:rsid w:val="00B578AC"/>
    <w:rsid w:val="00B62F06"/>
    <w:rsid w:val="00B6433F"/>
    <w:rsid w:val="00B64CF5"/>
    <w:rsid w:val="00B7259F"/>
    <w:rsid w:val="00B765BE"/>
    <w:rsid w:val="00B7666E"/>
    <w:rsid w:val="00B76C9B"/>
    <w:rsid w:val="00B770AE"/>
    <w:rsid w:val="00B823A1"/>
    <w:rsid w:val="00B8428B"/>
    <w:rsid w:val="00B84840"/>
    <w:rsid w:val="00B91DAE"/>
    <w:rsid w:val="00B951B4"/>
    <w:rsid w:val="00BA222A"/>
    <w:rsid w:val="00BA41F5"/>
    <w:rsid w:val="00BA5C43"/>
    <w:rsid w:val="00BB2F9A"/>
    <w:rsid w:val="00BB3C9C"/>
    <w:rsid w:val="00BD0793"/>
    <w:rsid w:val="00BF29C8"/>
    <w:rsid w:val="00BF4822"/>
    <w:rsid w:val="00BF5D96"/>
    <w:rsid w:val="00C01D22"/>
    <w:rsid w:val="00C04F80"/>
    <w:rsid w:val="00C05FF0"/>
    <w:rsid w:val="00C104B6"/>
    <w:rsid w:val="00C10F02"/>
    <w:rsid w:val="00C114F4"/>
    <w:rsid w:val="00C11D03"/>
    <w:rsid w:val="00C170C8"/>
    <w:rsid w:val="00C24913"/>
    <w:rsid w:val="00C2651F"/>
    <w:rsid w:val="00C31967"/>
    <w:rsid w:val="00C31A36"/>
    <w:rsid w:val="00C34C96"/>
    <w:rsid w:val="00C371DE"/>
    <w:rsid w:val="00C37CD8"/>
    <w:rsid w:val="00C409AE"/>
    <w:rsid w:val="00C4143E"/>
    <w:rsid w:val="00C42D50"/>
    <w:rsid w:val="00C446D5"/>
    <w:rsid w:val="00C4520B"/>
    <w:rsid w:val="00C54DF8"/>
    <w:rsid w:val="00C563F3"/>
    <w:rsid w:val="00C60950"/>
    <w:rsid w:val="00C60B49"/>
    <w:rsid w:val="00C620E9"/>
    <w:rsid w:val="00C7440A"/>
    <w:rsid w:val="00C812CF"/>
    <w:rsid w:val="00C81A51"/>
    <w:rsid w:val="00C81E9D"/>
    <w:rsid w:val="00C865ED"/>
    <w:rsid w:val="00C8775A"/>
    <w:rsid w:val="00CA0877"/>
    <w:rsid w:val="00CA6B59"/>
    <w:rsid w:val="00CB3B6C"/>
    <w:rsid w:val="00CB54FF"/>
    <w:rsid w:val="00CB5563"/>
    <w:rsid w:val="00CB75F1"/>
    <w:rsid w:val="00CC1833"/>
    <w:rsid w:val="00CC189F"/>
    <w:rsid w:val="00CC3368"/>
    <w:rsid w:val="00CC58EA"/>
    <w:rsid w:val="00CD0E80"/>
    <w:rsid w:val="00CE38AC"/>
    <w:rsid w:val="00CE3EE5"/>
    <w:rsid w:val="00CF16B1"/>
    <w:rsid w:val="00CF19C4"/>
    <w:rsid w:val="00CF2B0A"/>
    <w:rsid w:val="00CF40FD"/>
    <w:rsid w:val="00D03E41"/>
    <w:rsid w:val="00D06B39"/>
    <w:rsid w:val="00D07352"/>
    <w:rsid w:val="00D13C04"/>
    <w:rsid w:val="00D14100"/>
    <w:rsid w:val="00D20A78"/>
    <w:rsid w:val="00D25B60"/>
    <w:rsid w:val="00D278BA"/>
    <w:rsid w:val="00D35861"/>
    <w:rsid w:val="00D40154"/>
    <w:rsid w:val="00D40454"/>
    <w:rsid w:val="00D4059C"/>
    <w:rsid w:val="00D4254F"/>
    <w:rsid w:val="00D46B1F"/>
    <w:rsid w:val="00D50BF5"/>
    <w:rsid w:val="00D53139"/>
    <w:rsid w:val="00D53D8F"/>
    <w:rsid w:val="00D57A80"/>
    <w:rsid w:val="00D61C76"/>
    <w:rsid w:val="00D66BA6"/>
    <w:rsid w:val="00D71C89"/>
    <w:rsid w:val="00D76A83"/>
    <w:rsid w:val="00D77015"/>
    <w:rsid w:val="00D92B48"/>
    <w:rsid w:val="00DA64F3"/>
    <w:rsid w:val="00DA6AF9"/>
    <w:rsid w:val="00DB1693"/>
    <w:rsid w:val="00DB6019"/>
    <w:rsid w:val="00DB7AEF"/>
    <w:rsid w:val="00DB7C5F"/>
    <w:rsid w:val="00DC250F"/>
    <w:rsid w:val="00DC79FE"/>
    <w:rsid w:val="00DD0B45"/>
    <w:rsid w:val="00DD52E2"/>
    <w:rsid w:val="00DD57E4"/>
    <w:rsid w:val="00DD5B07"/>
    <w:rsid w:val="00DD6905"/>
    <w:rsid w:val="00DE395E"/>
    <w:rsid w:val="00DE6821"/>
    <w:rsid w:val="00DF2022"/>
    <w:rsid w:val="00DF21A4"/>
    <w:rsid w:val="00DF34BE"/>
    <w:rsid w:val="00DF5D59"/>
    <w:rsid w:val="00DF6AA1"/>
    <w:rsid w:val="00E036CA"/>
    <w:rsid w:val="00E04865"/>
    <w:rsid w:val="00E04E51"/>
    <w:rsid w:val="00E0529B"/>
    <w:rsid w:val="00E075D5"/>
    <w:rsid w:val="00E10B37"/>
    <w:rsid w:val="00E124E1"/>
    <w:rsid w:val="00E128C9"/>
    <w:rsid w:val="00E165D0"/>
    <w:rsid w:val="00E22E03"/>
    <w:rsid w:val="00E22FDB"/>
    <w:rsid w:val="00E239E4"/>
    <w:rsid w:val="00E323DE"/>
    <w:rsid w:val="00E36A38"/>
    <w:rsid w:val="00E37A33"/>
    <w:rsid w:val="00E41870"/>
    <w:rsid w:val="00E4433C"/>
    <w:rsid w:val="00E452F4"/>
    <w:rsid w:val="00E52A3C"/>
    <w:rsid w:val="00E53399"/>
    <w:rsid w:val="00E53669"/>
    <w:rsid w:val="00E53D92"/>
    <w:rsid w:val="00E54142"/>
    <w:rsid w:val="00E567E0"/>
    <w:rsid w:val="00E615F5"/>
    <w:rsid w:val="00E6595D"/>
    <w:rsid w:val="00E66886"/>
    <w:rsid w:val="00E66B30"/>
    <w:rsid w:val="00E70878"/>
    <w:rsid w:val="00E7280C"/>
    <w:rsid w:val="00E7463F"/>
    <w:rsid w:val="00E77995"/>
    <w:rsid w:val="00E817C7"/>
    <w:rsid w:val="00E86295"/>
    <w:rsid w:val="00E87099"/>
    <w:rsid w:val="00E905B4"/>
    <w:rsid w:val="00EA12AC"/>
    <w:rsid w:val="00EA28E6"/>
    <w:rsid w:val="00EB011D"/>
    <w:rsid w:val="00EB3E07"/>
    <w:rsid w:val="00EC3416"/>
    <w:rsid w:val="00EC4809"/>
    <w:rsid w:val="00ED358B"/>
    <w:rsid w:val="00ED7A9A"/>
    <w:rsid w:val="00ED7E3E"/>
    <w:rsid w:val="00EE3946"/>
    <w:rsid w:val="00EE7519"/>
    <w:rsid w:val="00EF062C"/>
    <w:rsid w:val="00EF1DAE"/>
    <w:rsid w:val="00EF78C4"/>
    <w:rsid w:val="00F042D7"/>
    <w:rsid w:val="00F04CD7"/>
    <w:rsid w:val="00F06328"/>
    <w:rsid w:val="00F1142E"/>
    <w:rsid w:val="00F238D1"/>
    <w:rsid w:val="00F238DB"/>
    <w:rsid w:val="00F23E15"/>
    <w:rsid w:val="00F244A2"/>
    <w:rsid w:val="00F24ECB"/>
    <w:rsid w:val="00F319E5"/>
    <w:rsid w:val="00F35064"/>
    <w:rsid w:val="00F374D8"/>
    <w:rsid w:val="00F37689"/>
    <w:rsid w:val="00F40D27"/>
    <w:rsid w:val="00F42746"/>
    <w:rsid w:val="00F446EE"/>
    <w:rsid w:val="00F44C3E"/>
    <w:rsid w:val="00F51763"/>
    <w:rsid w:val="00F539FB"/>
    <w:rsid w:val="00F5684D"/>
    <w:rsid w:val="00F57AB6"/>
    <w:rsid w:val="00F625E9"/>
    <w:rsid w:val="00F6480F"/>
    <w:rsid w:val="00F64868"/>
    <w:rsid w:val="00F64A82"/>
    <w:rsid w:val="00F70C2E"/>
    <w:rsid w:val="00F74300"/>
    <w:rsid w:val="00F80512"/>
    <w:rsid w:val="00F84DF2"/>
    <w:rsid w:val="00F86713"/>
    <w:rsid w:val="00F932E0"/>
    <w:rsid w:val="00F95912"/>
    <w:rsid w:val="00F95C5D"/>
    <w:rsid w:val="00FA3BDC"/>
    <w:rsid w:val="00FA661A"/>
    <w:rsid w:val="00FB0A9F"/>
    <w:rsid w:val="00FB1CE4"/>
    <w:rsid w:val="00FB7701"/>
    <w:rsid w:val="00FC0954"/>
    <w:rsid w:val="00FC40F0"/>
    <w:rsid w:val="00FC4DCE"/>
    <w:rsid w:val="00FC6D3B"/>
    <w:rsid w:val="00FD0129"/>
    <w:rsid w:val="00FD0AF2"/>
    <w:rsid w:val="00FD0EC9"/>
    <w:rsid w:val="00FD5B37"/>
    <w:rsid w:val="00FE17ED"/>
    <w:rsid w:val="00FE449C"/>
    <w:rsid w:val="00FE7EB8"/>
    <w:rsid w:val="00FF2A8F"/>
    <w:rsid w:val="00FF4315"/>
    <w:rsid w:val="00FF67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80592"/>
  <w15:docId w15:val="{E149A581-73CF-40C3-9D49-C7F46481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928"/>
    <w:pPr>
      <w:spacing w:after="120"/>
    </w:pPr>
    <w:rPr>
      <w:rFonts w:ascii="Arial" w:hAnsi="Arial"/>
      <w:sz w:val="22"/>
    </w:rPr>
  </w:style>
  <w:style w:type="paragraph" w:styleId="Heading2">
    <w:name w:val="heading 2"/>
    <w:basedOn w:val="Normal"/>
    <w:next w:val="Normal"/>
    <w:qFormat/>
    <w:rsid w:val="00824928"/>
    <w:pPr>
      <w:keepNext/>
      <w:outlineLvl w:val="1"/>
    </w:pPr>
    <w:rPr>
      <w:rFonts w:ascii="Arial Bold" w:hAnsi="Arial Bold" w:cs="Arial"/>
      <w:b/>
      <w:szCs w:val="22"/>
    </w:rPr>
  </w:style>
  <w:style w:type="paragraph" w:styleId="Heading3">
    <w:name w:val="heading 3"/>
    <w:basedOn w:val="Normal"/>
    <w:next w:val="Normal"/>
    <w:qFormat/>
    <w:rsid w:val="00E5339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565145"/>
    <w:pPr>
      <w:numPr>
        <w:numId w:val="2"/>
      </w:numPr>
      <w:ind w:left="1418" w:hanging="709"/>
    </w:pPr>
    <w:rPr>
      <w:rFonts w:eastAsia="Calibri"/>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paragraph" w:customStyle="1" w:styleId="ShortT">
    <w:name w:val="ShortT"/>
    <w:basedOn w:val="Normal"/>
    <w:next w:val="Normal"/>
    <w:rsid w:val="003544D2"/>
    <w:rPr>
      <w:b/>
      <w:sz w:val="40"/>
    </w:rPr>
  </w:style>
  <w:style w:type="paragraph" w:styleId="Revision">
    <w:name w:val="Revision"/>
    <w:hidden/>
    <w:uiPriority w:val="99"/>
    <w:semiHidden/>
    <w:rsid w:val="00095AFA"/>
    <w:rPr>
      <w:sz w:val="24"/>
    </w:rPr>
  </w:style>
  <w:style w:type="character" w:styleId="UnresolvedMention">
    <w:name w:val="Unresolved Mention"/>
    <w:basedOn w:val="DefaultParagraphFont"/>
    <w:uiPriority w:val="99"/>
    <w:semiHidden/>
    <w:unhideWhenUsed/>
    <w:rsid w:val="009410D2"/>
    <w:rPr>
      <w:color w:val="605E5C"/>
      <w:shd w:val="clear" w:color="auto" w:fill="E1DFDD"/>
    </w:rPr>
  </w:style>
  <w:style w:type="paragraph" w:customStyle="1" w:styleId="chunk">
    <w:name w:val="chunk"/>
    <w:basedOn w:val="Normal"/>
    <w:rsid w:val="00E52A3C"/>
    <w:pPr>
      <w:spacing w:before="100" w:beforeAutospacing="1" w:after="100" w:afterAutospacing="1"/>
    </w:pPr>
    <w:rPr>
      <w:szCs w:val="24"/>
    </w:rPr>
  </w:style>
  <w:style w:type="character" w:styleId="Strong">
    <w:name w:val="Strong"/>
    <w:basedOn w:val="DefaultParagraphFont"/>
    <w:uiPriority w:val="22"/>
    <w:rsid w:val="00E52A3C"/>
    <w:rPr>
      <w:b/>
      <w:bCs/>
    </w:rPr>
  </w:style>
  <w:style w:type="character" w:styleId="Emphasis">
    <w:name w:val="Emphasis"/>
    <w:basedOn w:val="DefaultParagraphFont"/>
    <w:uiPriority w:val="20"/>
    <w:rsid w:val="00E52A3C"/>
    <w:rPr>
      <w:i/>
      <w:iCs/>
    </w:rPr>
  </w:style>
  <w:style w:type="paragraph" w:customStyle="1" w:styleId="def">
    <w:name w:val="def"/>
    <w:basedOn w:val="Normal"/>
    <w:rsid w:val="00E52A3C"/>
    <w:pPr>
      <w:spacing w:before="100" w:beforeAutospacing="1" w:after="100" w:afterAutospacing="1"/>
    </w:pPr>
    <w:rPr>
      <w:szCs w:val="24"/>
    </w:rPr>
  </w:style>
  <w:style w:type="paragraph" w:customStyle="1" w:styleId="Numberedparagraphs">
    <w:name w:val="Numbered paragraphs"/>
    <w:basedOn w:val="Normal"/>
    <w:link w:val="NumberedparagraphsChar"/>
    <w:qFormat/>
    <w:rsid w:val="00824928"/>
    <w:pPr>
      <w:numPr>
        <w:numId w:val="1"/>
      </w:numPr>
      <w:tabs>
        <w:tab w:val="left" w:pos="709"/>
      </w:tabs>
    </w:pPr>
    <w:rPr>
      <w:rFonts w:cs="Arial"/>
      <w:szCs w:val="22"/>
    </w:rPr>
  </w:style>
  <w:style w:type="character" w:customStyle="1" w:styleId="NumberedparagraphsChar">
    <w:name w:val="Numbered paragraphs Char"/>
    <w:basedOn w:val="DefaultParagraphFont"/>
    <w:link w:val="Numberedparagraphs"/>
    <w:rsid w:val="00824928"/>
    <w:rPr>
      <w:rFonts w:ascii="Arial" w:hAnsi="Arial" w:cs="Arial"/>
      <w:sz w:val="22"/>
      <w:szCs w:val="22"/>
    </w:rPr>
  </w:style>
  <w:style w:type="paragraph" w:customStyle="1" w:styleId="Listpointsdotpoints">
    <w:name w:val="List points dot points"/>
    <w:basedOn w:val="Numberedparagraphs"/>
    <w:link w:val="ListpointsdotpointsChar"/>
    <w:qFormat/>
    <w:rsid w:val="00FF2A8F"/>
    <w:pPr>
      <w:numPr>
        <w:numId w:val="3"/>
      </w:numPr>
      <w:ind w:left="1418" w:hanging="709"/>
    </w:pPr>
  </w:style>
  <w:style w:type="character" w:customStyle="1" w:styleId="ListpointsdotpointsChar">
    <w:name w:val="List points dot points Char"/>
    <w:basedOn w:val="NumberedparagraphsChar"/>
    <w:link w:val="Listpointsdotpoints"/>
    <w:rsid w:val="00FF2A8F"/>
    <w:rPr>
      <w:rFonts w:ascii="Arial" w:hAnsi="Arial" w:cs="Arial"/>
      <w:sz w:val="22"/>
      <w:szCs w:val="22"/>
    </w:rPr>
  </w:style>
  <w:style w:type="paragraph" w:customStyle="1" w:styleId="Numberparagraph">
    <w:name w:val="Number paragraph"/>
    <w:basedOn w:val="Normal"/>
    <w:qFormat/>
    <w:rsid w:val="0051540E"/>
    <w:pPr>
      <w:numPr>
        <w:numId w:val="7"/>
      </w:numPr>
      <w:ind w:left="0" w:firstLine="0"/>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46750">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138491993">
      <w:bodyDiv w:val="1"/>
      <w:marLeft w:val="0"/>
      <w:marRight w:val="0"/>
      <w:marTop w:val="0"/>
      <w:marBottom w:val="0"/>
      <w:divBdr>
        <w:top w:val="none" w:sz="0" w:space="0" w:color="auto"/>
        <w:left w:val="none" w:sz="0" w:space="0" w:color="auto"/>
        <w:bottom w:val="none" w:sz="0" w:space="0" w:color="auto"/>
        <w:right w:val="none" w:sz="0" w:space="0" w:color="auto"/>
      </w:divBdr>
    </w:div>
    <w:div w:id="1422950174">
      <w:bodyDiv w:val="1"/>
      <w:marLeft w:val="0"/>
      <w:marRight w:val="0"/>
      <w:marTop w:val="0"/>
      <w:marBottom w:val="0"/>
      <w:divBdr>
        <w:top w:val="none" w:sz="0" w:space="0" w:color="auto"/>
        <w:left w:val="none" w:sz="0" w:space="0" w:color="auto"/>
        <w:bottom w:val="none" w:sz="0" w:space="0" w:color="auto"/>
        <w:right w:val="none" w:sz="0" w:space="0" w:color="auto"/>
      </w:divBdr>
    </w:div>
    <w:div w:id="1535265286">
      <w:bodyDiv w:val="1"/>
      <w:marLeft w:val="0"/>
      <w:marRight w:val="0"/>
      <w:marTop w:val="0"/>
      <w:marBottom w:val="0"/>
      <w:divBdr>
        <w:top w:val="none" w:sz="0" w:space="0" w:color="auto"/>
        <w:left w:val="none" w:sz="0" w:space="0" w:color="auto"/>
        <w:bottom w:val="none" w:sz="0" w:space="0" w:color="auto"/>
        <w:right w:val="none" w:sz="0" w:space="0" w:color="auto"/>
      </w:divBdr>
    </w:div>
    <w:div w:id="1549679289">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4540-4688-4A8B-A2F6-C5AAB725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9446</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Wallis</dc:creator>
  <cp:keywords/>
  <dc:description/>
  <cp:lastModifiedBy>Peter Giasoumi</cp:lastModifiedBy>
  <cp:revision>3</cp:revision>
  <dcterms:created xsi:type="dcterms:W3CDTF">2025-09-02T04:51:00Z</dcterms:created>
  <dcterms:modified xsi:type="dcterms:W3CDTF">2025-09-03T01:34:00Z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0x0101006381614D443F4E45AD23A8BD133FEC9F00635C18BB39FA7C429D78CB442A1DCFA8</vt:lpwstr>
  </property>
  <property fmtid="{D5CDD505-2E9C-101B-9397-08002B2CF9AE}" pid="3" name="_dlc_DocIdItemGuid">
    <vt:lpwstr>83f307e6-3323-4750-8421-601cc7ce7950</vt:lpwstr>
  </property>
  <property fmtid="{D5CDD505-2E9C-101B-9397-08002B2CF9AE}" pid="4" name="IsABRSLetter">
    <vt:bool>false</vt:bool>
  </property>
  <property fmtid="{D5CDD505-2E9C-101B-9397-08002B2CF9AE}" pid="5" name="MediaServiceImageTags">
    <vt:lpwstr/>
  </property>
  <property fmtid="{D5CDD505-2E9C-101B-9397-08002B2CF9AE}" pid="6" name="Security Classification">
    <vt:lpwstr>1;#OFFICIAL|5d128361-bbb7-4b9a-ac60-b26612a0ec1b</vt:lpwstr>
  </property>
  <property fmtid="{D5CDD505-2E9C-101B-9397-08002B2CF9AE}" pid="7" name="Security_x0020_Classification">
    <vt:lpwstr>1;#OFFICIAL|5d128361-bbb7-4b9a-ac60-b26612a0ec1b</vt:lpwstr>
  </property>
  <property fmtid="{D5CDD505-2E9C-101B-9397-08002B2CF9AE}" pid="8" name="MSIP_Label_1ff77f88-0a92-4c4a-b92a-f7fdfe5127c7_Enabled">
    <vt:lpwstr>true</vt:lpwstr>
  </property>
  <property fmtid="{D5CDD505-2E9C-101B-9397-08002B2CF9AE}" pid="9" name="MSIP_Label_1ff77f88-0a92-4c4a-b92a-f7fdfe5127c7_SetDate">
    <vt:lpwstr>2025-08-21T08:19:14Z</vt:lpwstr>
  </property>
  <property fmtid="{D5CDD505-2E9C-101B-9397-08002B2CF9AE}" pid="10" name="MSIP_Label_1ff77f88-0a92-4c4a-b92a-f7fdfe5127c7_Method">
    <vt:lpwstr>Privileged</vt:lpwstr>
  </property>
  <property fmtid="{D5CDD505-2E9C-101B-9397-08002B2CF9AE}" pid="11" name="MSIP_Label_1ff77f88-0a92-4c4a-b92a-f7fdfe5127c7_Name">
    <vt:lpwstr>OFFICIAL - Letterhead</vt:lpwstr>
  </property>
  <property fmtid="{D5CDD505-2E9C-101B-9397-08002B2CF9AE}" pid="12" name="MSIP_Label_1ff77f88-0a92-4c4a-b92a-f7fdfe5127c7_SiteId">
    <vt:lpwstr>8e823e99-cbcb-430f-a0f6-af1365c21e22</vt:lpwstr>
  </property>
  <property fmtid="{D5CDD505-2E9C-101B-9397-08002B2CF9AE}" pid="13" name="MSIP_Label_1ff77f88-0a92-4c4a-b92a-f7fdfe5127c7_ActionId">
    <vt:lpwstr>10a4c61f-edff-488d-930b-749337184d1e</vt:lpwstr>
  </property>
  <property fmtid="{D5CDD505-2E9C-101B-9397-08002B2CF9AE}" pid="14" name="MSIP_Label_1ff77f88-0a92-4c4a-b92a-f7fdfe5127c7_ContentBits">
    <vt:lpwstr>0</vt:lpwstr>
  </property>
</Properties>
</file>