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DCC9" w14:textId="62C32C6A" w:rsidR="00670C8D" w:rsidRPr="009C7DDA" w:rsidRDefault="00221A93" w:rsidP="005866C1">
      <w:pPr>
        <w:pStyle w:val="Heading1"/>
        <w:spacing w:before="0" w:after="0" w:line="240" w:lineRule="auto"/>
        <w:jc w:val="center"/>
        <w:rPr>
          <w:rFonts w:ascii="Times New Roman" w:hAnsi="Times New Roman"/>
          <w:b/>
          <w:sz w:val="24"/>
          <w:szCs w:val="22"/>
          <w:u w:val="single"/>
        </w:rPr>
      </w:pPr>
      <w:r w:rsidRPr="009C7DDA">
        <w:rPr>
          <w:rFonts w:ascii="Times New Roman" w:hAnsi="Times New Roman"/>
          <w:b/>
          <w:sz w:val="24"/>
          <w:szCs w:val="22"/>
          <w:u w:val="single"/>
        </w:rPr>
        <w:t>Legislation (General) Regulations 2025</w:t>
      </w:r>
    </w:p>
    <w:p w14:paraId="09BFDCCA" w14:textId="77777777" w:rsidR="00670C8D" w:rsidRPr="009C7DDA" w:rsidRDefault="00670C8D" w:rsidP="005866C1">
      <w:pPr>
        <w:rPr>
          <w:rFonts w:ascii="Times New Roman" w:hAnsi="Times New Roman" w:cs="Times New Roman"/>
          <w:sz w:val="24"/>
        </w:rPr>
      </w:pPr>
    </w:p>
    <w:p w14:paraId="09BFDCCB" w14:textId="77777777" w:rsidR="00670C8D" w:rsidRPr="009C7DDA" w:rsidRDefault="00670C8D" w:rsidP="005866C1">
      <w:pPr>
        <w:pStyle w:val="Heading1"/>
        <w:spacing w:before="0" w:after="0" w:line="240" w:lineRule="auto"/>
        <w:jc w:val="center"/>
        <w:rPr>
          <w:rFonts w:ascii="Times New Roman" w:hAnsi="Times New Roman"/>
          <w:b/>
          <w:sz w:val="24"/>
          <w:szCs w:val="22"/>
          <w:u w:val="single"/>
        </w:rPr>
      </w:pPr>
    </w:p>
    <w:p w14:paraId="09BFDCCD" w14:textId="07FB1F7C" w:rsidR="00670C8D" w:rsidRPr="009C7DDA" w:rsidRDefault="797FDF2D" w:rsidP="005866C1">
      <w:pPr>
        <w:pStyle w:val="Heading1"/>
        <w:spacing w:before="0" w:after="0" w:line="240" w:lineRule="auto"/>
        <w:jc w:val="center"/>
        <w:rPr>
          <w:rFonts w:ascii="Times New Roman" w:hAnsi="Times New Roman"/>
          <w:caps w:val="0"/>
          <w:sz w:val="24"/>
          <w:szCs w:val="22"/>
        </w:rPr>
      </w:pPr>
      <w:r w:rsidRPr="009C7DDA">
        <w:rPr>
          <w:rFonts w:ascii="Times New Roman" w:hAnsi="Times New Roman"/>
          <w:b/>
          <w:sz w:val="24"/>
          <w:szCs w:val="22"/>
          <w:u w:val="single"/>
        </w:rPr>
        <w:t xml:space="preserve">EXPLANATORY STATEMENT </w:t>
      </w:r>
    </w:p>
    <w:p w14:paraId="09BFDCCE" w14:textId="77777777" w:rsidR="002B361E" w:rsidRPr="009C7DDA" w:rsidRDefault="002B361E" w:rsidP="005866C1">
      <w:pPr>
        <w:spacing w:line="360" w:lineRule="auto"/>
        <w:jc w:val="center"/>
        <w:rPr>
          <w:rFonts w:ascii="Times New Roman" w:hAnsi="Times New Roman" w:cs="Times New Roman"/>
          <w:b/>
          <w:u w:val="single"/>
        </w:rPr>
      </w:pPr>
    </w:p>
    <w:p w14:paraId="09BFDCCF" w14:textId="77777777" w:rsidR="005D194A" w:rsidRPr="009C7DDA" w:rsidRDefault="797FDF2D" w:rsidP="005866C1">
      <w:pPr>
        <w:spacing w:line="360" w:lineRule="auto"/>
        <w:jc w:val="center"/>
        <w:rPr>
          <w:rFonts w:ascii="Times New Roman" w:hAnsi="Times New Roman" w:cs="Times New Roman"/>
        </w:rPr>
      </w:pPr>
      <w:r w:rsidRPr="009C7DDA">
        <w:rPr>
          <w:rFonts w:ascii="Times New Roman" w:hAnsi="Times New Roman" w:cs="Times New Roman"/>
        </w:rPr>
        <w:t xml:space="preserve">Issued by authority of the Attorney-General </w:t>
      </w:r>
    </w:p>
    <w:p w14:paraId="09BFDCD0" w14:textId="77777777" w:rsidR="00AF0C63" w:rsidRPr="009C7DDA" w:rsidRDefault="797FDF2D" w:rsidP="005866C1">
      <w:pPr>
        <w:spacing w:line="360" w:lineRule="auto"/>
        <w:jc w:val="center"/>
        <w:rPr>
          <w:rFonts w:ascii="Times New Roman" w:hAnsi="Times New Roman" w:cs="Times New Roman"/>
          <w:i/>
          <w:iCs/>
        </w:rPr>
      </w:pPr>
      <w:r w:rsidRPr="009C7DDA">
        <w:rPr>
          <w:rFonts w:ascii="Times New Roman" w:hAnsi="Times New Roman" w:cs="Times New Roman"/>
        </w:rPr>
        <w:t xml:space="preserve">in compliance with section 15J of the </w:t>
      </w:r>
      <w:r w:rsidRPr="009C7DDA">
        <w:rPr>
          <w:rFonts w:ascii="Times New Roman" w:hAnsi="Times New Roman" w:cs="Times New Roman"/>
          <w:i/>
          <w:iCs/>
        </w:rPr>
        <w:t xml:space="preserve">Legislation Act 2003 </w:t>
      </w:r>
    </w:p>
    <w:p w14:paraId="09BFDCD4" w14:textId="77777777" w:rsidR="00AF0C63" w:rsidRPr="009C7DDA" w:rsidRDefault="00AF0C63" w:rsidP="005866C1">
      <w:pPr>
        <w:spacing w:line="360" w:lineRule="auto"/>
        <w:jc w:val="center"/>
        <w:rPr>
          <w:rFonts w:ascii="Times New Roman" w:hAnsi="Times New Roman" w:cs="Times New Roman"/>
        </w:rPr>
      </w:pPr>
    </w:p>
    <w:p w14:paraId="09BFDCD5" w14:textId="77777777" w:rsidR="0026109C" w:rsidRPr="009C7DDA" w:rsidRDefault="797FDF2D" w:rsidP="005866C1">
      <w:pPr>
        <w:spacing w:line="360" w:lineRule="auto"/>
        <w:rPr>
          <w:rFonts w:ascii="Times New Roman" w:hAnsi="Times New Roman" w:cs="Times New Roman"/>
          <w:b/>
          <w:bCs/>
          <w:sz w:val="24"/>
        </w:rPr>
      </w:pPr>
      <w:r w:rsidRPr="009C7DDA">
        <w:rPr>
          <w:rFonts w:ascii="Times New Roman" w:hAnsi="Times New Roman" w:cs="Times New Roman"/>
          <w:b/>
          <w:bCs/>
          <w:caps/>
          <w:sz w:val="24"/>
        </w:rPr>
        <w:t>Purpose and operation of the Instrument</w:t>
      </w:r>
    </w:p>
    <w:p w14:paraId="3ABB40CD" w14:textId="345C2D9C" w:rsidR="00221A93" w:rsidRPr="009C7DDA" w:rsidRDefault="00221A93" w:rsidP="005866C1">
      <w:pPr>
        <w:spacing w:after="0" w:line="240" w:lineRule="auto"/>
        <w:ind w:right="91"/>
        <w:rPr>
          <w:rFonts w:ascii="Times New Roman" w:eastAsia="Times New Roman" w:hAnsi="Times New Roman" w:cs="Times New Roman"/>
          <w:lang w:eastAsia="en-AU"/>
        </w:rPr>
      </w:pPr>
      <w:r w:rsidRPr="009C7DDA">
        <w:rPr>
          <w:rFonts w:ascii="Times New Roman" w:eastAsia="Times New Roman" w:hAnsi="Times New Roman" w:cs="Times New Roman"/>
          <w:lang w:eastAsia="en-AU"/>
        </w:rPr>
        <w:t xml:space="preserve">The </w:t>
      </w:r>
      <w:r w:rsidRPr="009C7DDA">
        <w:rPr>
          <w:rFonts w:ascii="Times New Roman" w:eastAsia="Times New Roman" w:hAnsi="Times New Roman" w:cs="Times New Roman"/>
          <w:i/>
          <w:lang w:eastAsia="en-AU"/>
        </w:rPr>
        <w:t>Legislation Act 2003</w:t>
      </w:r>
      <w:r w:rsidRPr="009C7DDA">
        <w:rPr>
          <w:rFonts w:ascii="Times New Roman" w:eastAsia="Times New Roman" w:hAnsi="Times New Roman" w:cs="Times New Roman"/>
          <w:lang w:eastAsia="en-AU"/>
        </w:rPr>
        <w:t xml:space="preserve"> (the </w:t>
      </w:r>
      <w:bookmarkStart w:id="0" w:name="_Hlk202800013"/>
      <w:r w:rsidRPr="009C7DDA">
        <w:rPr>
          <w:rFonts w:ascii="Times New Roman" w:eastAsia="Times New Roman" w:hAnsi="Times New Roman" w:cs="Times New Roman"/>
          <w:lang w:eastAsia="en-AU"/>
        </w:rPr>
        <w:t xml:space="preserve">Legislation </w:t>
      </w:r>
      <w:bookmarkEnd w:id="0"/>
      <w:r w:rsidRPr="009C7DDA">
        <w:rPr>
          <w:rFonts w:ascii="Times New Roman" w:eastAsia="Times New Roman" w:hAnsi="Times New Roman" w:cs="Times New Roman"/>
          <w:lang w:eastAsia="en-AU"/>
        </w:rPr>
        <w:t>Act) provides for the registration, tabling, parliamentary scrutiny, disallowance and sunsetting of instruments. Section 62 of the Legislation Act provides that the Governor</w:t>
      </w:r>
      <w:r w:rsidRPr="009C7DDA">
        <w:rPr>
          <w:rFonts w:ascii="Times New Roman" w:eastAsia="Times New Roman" w:hAnsi="Times New Roman" w:cs="Times New Roman"/>
          <w:lang w:eastAsia="en-AU"/>
        </w:rPr>
        <w:noBreakHyphen/>
        <w:t xml:space="preserve">General may make regulations, prescribing matters required or permitted by the Legislation Act to be prescribed, or necessary or convenient to be prescribed for carrying out or giving effect to the Legislation Act. Subsection 57(5) of the Legislation Act has the effect that particular disallowance provisions can be prescribed so that they continue to apply to the relevant instruments, instead of the standard disallowance regime under the Legislation Act. </w:t>
      </w:r>
    </w:p>
    <w:p w14:paraId="4F4E764A" w14:textId="77777777" w:rsidR="00E6095B" w:rsidRPr="009C7DDA" w:rsidRDefault="00E6095B" w:rsidP="005866C1">
      <w:pPr>
        <w:spacing w:after="0" w:line="240" w:lineRule="auto"/>
        <w:ind w:right="91"/>
        <w:rPr>
          <w:rFonts w:ascii="Times New Roman" w:eastAsia="Times New Roman" w:hAnsi="Times New Roman" w:cs="Times New Roman"/>
          <w:lang w:eastAsia="en-AU"/>
        </w:rPr>
      </w:pPr>
    </w:p>
    <w:p w14:paraId="4CE8117F" w14:textId="77777777" w:rsidR="00221A93" w:rsidRPr="009C7DDA" w:rsidRDefault="00221A93" w:rsidP="005866C1">
      <w:pPr>
        <w:spacing w:after="0" w:line="240" w:lineRule="auto"/>
        <w:ind w:right="91"/>
        <w:rPr>
          <w:rFonts w:ascii="Times New Roman" w:eastAsia="Times New Roman" w:hAnsi="Times New Roman" w:cs="Times New Roman"/>
          <w:lang w:eastAsia="en-AU"/>
        </w:rPr>
      </w:pPr>
      <w:r w:rsidRPr="009C7DDA">
        <w:rPr>
          <w:rFonts w:ascii="Times New Roman" w:eastAsia="Times New Roman" w:hAnsi="Times New Roman" w:cs="Times New Roman"/>
          <w:lang w:eastAsia="en-AU"/>
        </w:rPr>
        <w:t xml:space="preserve">Disallowance under Part 2 of Chapter 2 of the Legislation Act is the process by which instruments are subject to veto by Parliament. It is a mechanism for parliamentary oversight of delegated legislation.  </w:t>
      </w:r>
    </w:p>
    <w:p w14:paraId="7DF405AE" w14:textId="77777777" w:rsidR="00221A93" w:rsidRPr="009C7DDA" w:rsidRDefault="00221A93" w:rsidP="005866C1">
      <w:pPr>
        <w:spacing w:after="0" w:line="240" w:lineRule="auto"/>
        <w:ind w:right="91"/>
        <w:rPr>
          <w:rFonts w:ascii="Times New Roman" w:eastAsia="Times New Roman" w:hAnsi="Times New Roman" w:cs="Times New Roman"/>
          <w:lang w:eastAsia="en-AU"/>
        </w:rPr>
      </w:pPr>
    </w:p>
    <w:p w14:paraId="158AEE88" w14:textId="1B7AAF7A" w:rsidR="00221A93" w:rsidRPr="009C7DDA" w:rsidRDefault="00221A93" w:rsidP="005866C1">
      <w:pPr>
        <w:spacing w:after="0" w:line="240" w:lineRule="auto"/>
        <w:ind w:right="91"/>
        <w:rPr>
          <w:rFonts w:ascii="Times New Roman" w:eastAsia="Times New Roman" w:hAnsi="Times New Roman" w:cs="Times New Roman"/>
          <w:lang w:eastAsia="en-AU"/>
        </w:rPr>
      </w:pPr>
      <w:r w:rsidRPr="009C7DDA">
        <w:rPr>
          <w:rFonts w:ascii="Times New Roman" w:eastAsia="Times New Roman" w:hAnsi="Times New Roman" w:cs="Times New Roman"/>
          <w:lang w:eastAsia="en-AU"/>
        </w:rPr>
        <w:t xml:space="preserve">The Regulations have the effect that the particular disallowance provisions in subsections 7(8) and (8A) of the </w:t>
      </w:r>
      <w:r w:rsidRPr="009C7DDA">
        <w:rPr>
          <w:rFonts w:ascii="Times New Roman" w:eastAsia="Times New Roman" w:hAnsi="Times New Roman" w:cs="Times New Roman"/>
          <w:i/>
          <w:lang w:eastAsia="en-AU"/>
        </w:rPr>
        <w:t xml:space="preserve">Remuneration Tribunal Act 1973 </w:t>
      </w:r>
      <w:r w:rsidRPr="009C7DDA">
        <w:rPr>
          <w:rFonts w:ascii="Times New Roman" w:eastAsia="Times New Roman" w:hAnsi="Times New Roman" w:cs="Times New Roman"/>
          <w:lang w:eastAsia="en-AU"/>
        </w:rPr>
        <w:t xml:space="preserve">(Remuneration Tribunal Act) continue to apply to determination instruments made under that Act, instead of the standard disallowance provisions in the Legislation Act. A bespoke disallowance regime is required to meet the particular needs of the Remuneration Tribunal Act framework, including determinations relating to judicial remuneration and </w:t>
      </w:r>
      <w:r w:rsidR="00250613">
        <w:rPr>
          <w:rFonts w:ascii="Times New Roman" w:eastAsia="Times New Roman" w:hAnsi="Times New Roman" w:cs="Times New Roman"/>
          <w:lang w:eastAsia="en-AU"/>
        </w:rPr>
        <w:t>Australian Capital Territory (</w:t>
      </w:r>
      <w:r w:rsidRPr="009C7DDA">
        <w:rPr>
          <w:rFonts w:ascii="Times New Roman" w:eastAsia="Times New Roman" w:hAnsi="Times New Roman" w:cs="Times New Roman"/>
          <w:lang w:eastAsia="en-AU"/>
        </w:rPr>
        <w:t>ACT</w:t>
      </w:r>
      <w:r w:rsidR="00250613">
        <w:rPr>
          <w:rFonts w:ascii="Times New Roman" w:eastAsia="Times New Roman" w:hAnsi="Times New Roman" w:cs="Times New Roman"/>
          <w:lang w:eastAsia="en-AU"/>
        </w:rPr>
        <w:t>)</w:t>
      </w:r>
      <w:r w:rsidRPr="009C7DDA">
        <w:rPr>
          <w:rFonts w:ascii="Times New Roman" w:eastAsia="Times New Roman" w:hAnsi="Times New Roman" w:cs="Times New Roman"/>
          <w:lang w:eastAsia="en-AU"/>
        </w:rPr>
        <w:t xml:space="preserve"> offices.  </w:t>
      </w:r>
    </w:p>
    <w:p w14:paraId="197FA0D4" w14:textId="77777777" w:rsidR="00221A93" w:rsidRPr="009C7DDA" w:rsidRDefault="00221A93" w:rsidP="005866C1">
      <w:pPr>
        <w:tabs>
          <w:tab w:val="left" w:pos="6521"/>
        </w:tabs>
        <w:spacing w:after="0" w:line="240" w:lineRule="auto"/>
        <w:ind w:right="91"/>
        <w:rPr>
          <w:rFonts w:ascii="Times New Roman" w:eastAsia="Times New Roman" w:hAnsi="Times New Roman" w:cs="Times New Roman"/>
          <w:lang w:eastAsia="en-AU"/>
        </w:rPr>
      </w:pPr>
    </w:p>
    <w:p w14:paraId="2A0FBB27" w14:textId="3AAEBBF0" w:rsidR="00221A93" w:rsidRPr="009C7DDA" w:rsidRDefault="00221A93" w:rsidP="005866C1">
      <w:pPr>
        <w:tabs>
          <w:tab w:val="left" w:pos="6521"/>
        </w:tabs>
        <w:spacing w:after="0" w:line="240" w:lineRule="auto"/>
        <w:ind w:right="91"/>
        <w:rPr>
          <w:rFonts w:ascii="Times New Roman" w:eastAsia="Times New Roman" w:hAnsi="Times New Roman" w:cs="Times New Roman"/>
          <w:lang w:eastAsia="en-AU"/>
        </w:rPr>
      </w:pPr>
      <w:r w:rsidRPr="009C7DDA">
        <w:rPr>
          <w:rFonts w:ascii="Times New Roman" w:eastAsia="Times New Roman" w:hAnsi="Times New Roman" w:cs="Times New Roman"/>
          <w:lang w:eastAsia="en-AU"/>
        </w:rPr>
        <w:t xml:space="preserve">The Regulations </w:t>
      </w:r>
      <w:r w:rsidR="001C2A40">
        <w:rPr>
          <w:rFonts w:ascii="Times New Roman" w:eastAsia="Times New Roman" w:hAnsi="Times New Roman" w:cs="Times New Roman"/>
          <w:lang w:eastAsia="en-AU"/>
        </w:rPr>
        <w:t>are</w:t>
      </w:r>
      <w:r w:rsidRPr="009C7DDA">
        <w:rPr>
          <w:rFonts w:ascii="Times New Roman" w:eastAsia="Times New Roman" w:hAnsi="Times New Roman" w:cs="Times New Roman"/>
          <w:lang w:eastAsia="en-AU"/>
        </w:rPr>
        <w:t xml:space="preserve"> a legislative instrument for the purposes of the </w:t>
      </w:r>
      <w:r w:rsidRPr="00BB7309">
        <w:rPr>
          <w:rFonts w:ascii="Times New Roman" w:eastAsia="Times New Roman" w:hAnsi="Times New Roman" w:cs="Times New Roman"/>
          <w:lang w:eastAsia="en-AU"/>
        </w:rPr>
        <w:t>Legislation Act.</w:t>
      </w:r>
      <w:r w:rsidR="00EE2DD7" w:rsidRPr="00BB7309">
        <w:rPr>
          <w:rFonts w:ascii="Times New Roman" w:eastAsia="Times New Roman" w:hAnsi="Times New Roman" w:cs="Times New Roman"/>
          <w:lang w:eastAsia="en-AU"/>
        </w:rPr>
        <w:t xml:space="preserve"> </w:t>
      </w:r>
      <w:r w:rsidRPr="00BB7309">
        <w:rPr>
          <w:rFonts w:ascii="Times New Roman" w:eastAsia="Times New Roman" w:hAnsi="Times New Roman" w:cs="Times New Roman"/>
          <w:lang w:eastAsia="en-AU"/>
        </w:rPr>
        <w:t>The</w:t>
      </w:r>
      <w:r w:rsidR="001C2A40">
        <w:rPr>
          <w:rFonts w:ascii="Times New Roman" w:eastAsia="Times New Roman" w:hAnsi="Times New Roman" w:cs="Times New Roman"/>
          <w:lang w:eastAsia="en-AU"/>
        </w:rPr>
        <w:t xml:space="preserve"> </w:t>
      </w:r>
      <w:r w:rsidRPr="009C7DDA">
        <w:rPr>
          <w:rFonts w:ascii="Times New Roman" w:eastAsia="Times New Roman" w:hAnsi="Times New Roman" w:cs="Times New Roman"/>
          <w:lang w:eastAsia="en-AU"/>
        </w:rPr>
        <w:t xml:space="preserve">Regulations commence on the day after registration. </w:t>
      </w:r>
    </w:p>
    <w:p w14:paraId="0B5CEA11" w14:textId="77777777" w:rsidR="00221A93" w:rsidRPr="009C7DDA" w:rsidRDefault="00221A93" w:rsidP="005866C1">
      <w:pPr>
        <w:spacing w:line="360" w:lineRule="auto"/>
        <w:rPr>
          <w:rFonts w:ascii="Times New Roman" w:hAnsi="Times New Roman" w:cs="Times New Roman"/>
        </w:rPr>
      </w:pPr>
    </w:p>
    <w:p w14:paraId="09BFDCE0" w14:textId="77777777" w:rsidR="0026109C" w:rsidRPr="009C7DDA" w:rsidRDefault="797FDF2D" w:rsidP="005866C1">
      <w:pPr>
        <w:spacing w:line="360" w:lineRule="auto"/>
        <w:rPr>
          <w:rFonts w:ascii="Times New Roman" w:hAnsi="Times New Roman" w:cs="Times New Roman"/>
          <w:b/>
          <w:bCs/>
          <w:caps/>
          <w:sz w:val="24"/>
        </w:rPr>
      </w:pPr>
      <w:r w:rsidRPr="009C7DDA">
        <w:rPr>
          <w:rFonts w:ascii="Times New Roman" w:hAnsi="Times New Roman" w:cs="Times New Roman"/>
          <w:b/>
          <w:bCs/>
          <w:caps/>
          <w:sz w:val="24"/>
        </w:rPr>
        <w:t>Consultation</w:t>
      </w:r>
    </w:p>
    <w:p w14:paraId="44133744" w14:textId="6FD709AB" w:rsidR="001F05BE" w:rsidRDefault="0094213F" w:rsidP="005866C1">
      <w:pPr>
        <w:spacing w:line="240" w:lineRule="auto"/>
        <w:rPr>
          <w:rFonts w:ascii="Times New Roman" w:hAnsi="Times New Roman" w:cs="Times New Roman"/>
        </w:rPr>
      </w:pPr>
      <w:r>
        <w:rPr>
          <w:rFonts w:ascii="Times New Roman" w:hAnsi="Times New Roman" w:cs="Times New Roman"/>
        </w:rPr>
        <w:t>The</w:t>
      </w:r>
      <w:r w:rsidR="000F4BE4">
        <w:rPr>
          <w:rFonts w:ascii="Times New Roman" w:hAnsi="Times New Roman" w:cs="Times New Roman"/>
        </w:rPr>
        <w:t xml:space="preserve"> Regulations replace the </w:t>
      </w:r>
      <w:r w:rsidR="000F4BE4">
        <w:rPr>
          <w:rFonts w:ascii="Times New Roman" w:hAnsi="Times New Roman" w:cs="Times New Roman"/>
          <w:i/>
        </w:rPr>
        <w:t xml:space="preserve">Legislation (General) Regulation 2015, </w:t>
      </w:r>
      <w:r w:rsidR="000F4BE4">
        <w:rPr>
          <w:rFonts w:ascii="Times New Roman" w:hAnsi="Times New Roman" w:cs="Times New Roman"/>
        </w:rPr>
        <w:t>which sunset on 1 October 2025.</w:t>
      </w:r>
      <w:r>
        <w:rPr>
          <w:rFonts w:ascii="Times New Roman" w:hAnsi="Times New Roman" w:cs="Times New Roman"/>
        </w:rPr>
        <w:t xml:space="preserve"> </w:t>
      </w:r>
      <w:r w:rsidR="001F05BE" w:rsidRPr="009C7DDA">
        <w:rPr>
          <w:rFonts w:ascii="Times New Roman" w:hAnsi="Times New Roman" w:cs="Times New Roman"/>
        </w:rPr>
        <w:t xml:space="preserve">The </w:t>
      </w:r>
      <w:r w:rsidR="00E65AD8">
        <w:rPr>
          <w:rFonts w:ascii="Times New Roman" w:hAnsi="Times New Roman" w:cs="Times New Roman"/>
        </w:rPr>
        <w:t>Attorney-General’s Department</w:t>
      </w:r>
      <w:r w:rsidR="000F4BE4">
        <w:rPr>
          <w:rFonts w:ascii="Times New Roman" w:hAnsi="Times New Roman" w:cs="Times New Roman"/>
        </w:rPr>
        <w:t xml:space="preserve"> (the department) undertook consultation to determine whether the 2015 instrument needed to be replaced ahead of sunsetting. Consultation occurred with</w:t>
      </w:r>
      <w:r w:rsidR="001F05BE" w:rsidRPr="009C7DDA">
        <w:rPr>
          <w:rFonts w:ascii="Times New Roman" w:hAnsi="Times New Roman" w:cs="Times New Roman"/>
        </w:rPr>
        <w:t xml:space="preserve"> the Australian Public Service Commission and the Department of Prime Minister and Cabinet, being the administering agency for the </w:t>
      </w:r>
      <w:r w:rsidR="001F05BE" w:rsidRPr="009C7DDA">
        <w:rPr>
          <w:rFonts w:ascii="Times New Roman" w:hAnsi="Times New Roman" w:cs="Times New Roman"/>
          <w:i/>
        </w:rPr>
        <w:t>Remuneration Tribunal Act 1973</w:t>
      </w:r>
      <w:r w:rsidR="001F05BE" w:rsidRPr="009C7DDA">
        <w:rPr>
          <w:rFonts w:ascii="Times New Roman" w:hAnsi="Times New Roman" w:cs="Times New Roman"/>
        </w:rPr>
        <w:t>.</w:t>
      </w:r>
      <w:r w:rsidR="00522CA3" w:rsidRPr="009C7DDA">
        <w:rPr>
          <w:rFonts w:ascii="Times New Roman" w:hAnsi="Times New Roman" w:cs="Times New Roman"/>
        </w:rPr>
        <w:t xml:space="preserve"> </w:t>
      </w:r>
      <w:r w:rsidR="000F4BE4">
        <w:rPr>
          <w:rFonts w:ascii="Times New Roman" w:hAnsi="Times New Roman" w:cs="Times New Roman"/>
        </w:rPr>
        <w:t xml:space="preserve">Both </w:t>
      </w:r>
      <w:r w:rsidR="00522CA3" w:rsidRPr="009C7DDA">
        <w:rPr>
          <w:rFonts w:ascii="Times New Roman" w:hAnsi="Times New Roman" w:cs="Times New Roman"/>
        </w:rPr>
        <w:t>agencies supported the Regulation being remade in substantially the same form</w:t>
      </w:r>
      <w:r w:rsidR="000F4BE4">
        <w:rPr>
          <w:rFonts w:ascii="Times New Roman" w:hAnsi="Times New Roman" w:cs="Times New Roman"/>
        </w:rPr>
        <w:t>, as it fulfils ongoing requirements</w:t>
      </w:r>
      <w:r w:rsidR="00BB7309">
        <w:rPr>
          <w:rFonts w:ascii="Times New Roman" w:hAnsi="Times New Roman" w:cs="Times New Roman"/>
        </w:rPr>
        <w:t xml:space="preserve"> under the Legislation Act</w:t>
      </w:r>
      <w:r w:rsidR="00522CA3" w:rsidRPr="009C7DDA">
        <w:rPr>
          <w:rFonts w:ascii="Times New Roman" w:hAnsi="Times New Roman" w:cs="Times New Roman"/>
        </w:rPr>
        <w:t xml:space="preserve">. </w:t>
      </w:r>
    </w:p>
    <w:p w14:paraId="41113EE9" w14:textId="4DA73DE5" w:rsidR="00E65AD8" w:rsidRDefault="00E65AD8" w:rsidP="005866C1">
      <w:pPr>
        <w:spacing w:line="240" w:lineRule="auto"/>
        <w:rPr>
          <w:rFonts w:ascii="Times New Roman" w:hAnsi="Times New Roman" w:cs="Times New Roman"/>
        </w:rPr>
      </w:pPr>
    </w:p>
    <w:p w14:paraId="3B058458" w14:textId="77777777" w:rsidR="00BB7309" w:rsidRDefault="00BB7309" w:rsidP="005866C1">
      <w:pPr>
        <w:rPr>
          <w:rFonts w:ascii="Times New Roman" w:hAnsi="Times New Roman" w:cs="Times New Roman"/>
          <w:b/>
          <w:bCs/>
          <w:caps/>
          <w:sz w:val="24"/>
        </w:rPr>
      </w:pPr>
      <w:bookmarkStart w:id="1" w:name="_Hlk203472187"/>
      <w:r>
        <w:rPr>
          <w:rFonts w:ascii="Times New Roman" w:hAnsi="Times New Roman" w:cs="Times New Roman"/>
          <w:b/>
          <w:bCs/>
          <w:caps/>
          <w:sz w:val="24"/>
        </w:rPr>
        <w:br w:type="page"/>
      </w:r>
    </w:p>
    <w:p w14:paraId="09BFDCE7" w14:textId="5641F29E" w:rsidR="008B2955" w:rsidRPr="009C7DDA" w:rsidRDefault="797FDF2D" w:rsidP="005866C1">
      <w:pPr>
        <w:spacing w:line="360" w:lineRule="auto"/>
        <w:rPr>
          <w:rFonts w:ascii="Times New Roman" w:hAnsi="Times New Roman" w:cs="Times New Roman"/>
          <w:b/>
          <w:bCs/>
          <w:caps/>
          <w:sz w:val="24"/>
        </w:rPr>
      </w:pPr>
      <w:r w:rsidRPr="009C7DDA">
        <w:rPr>
          <w:rFonts w:ascii="Times New Roman" w:hAnsi="Times New Roman" w:cs="Times New Roman"/>
          <w:b/>
          <w:bCs/>
          <w:caps/>
          <w:sz w:val="24"/>
        </w:rPr>
        <w:lastRenderedPageBreak/>
        <w:t>Statement of Compatibility with Human Rights</w:t>
      </w:r>
    </w:p>
    <w:p w14:paraId="1B5780D2" w14:textId="77777777" w:rsidR="008502C6" w:rsidRPr="009C7DDA" w:rsidRDefault="008502C6" w:rsidP="005866C1">
      <w:pPr>
        <w:pStyle w:val="NormalWeb"/>
        <w:rPr>
          <w:i/>
          <w:color w:val="000000"/>
          <w:sz w:val="22"/>
          <w:szCs w:val="22"/>
        </w:rPr>
      </w:pPr>
      <w:r w:rsidRPr="009C7DDA">
        <w:rPr>
          <w:i/>
          <w:color w:val="000000"/>
          <w:sz w:val="22"/>
          <w:szCs w:val="22"/>
        </w:rPr>
        <w:t>Prepared in accordance with Part 3 of the Human Rights (Parliamentary Scrutiny) Act 2011</w:t>
      </w:r>
    </w:p>
    <w:p w14:paraId="14A812CE" w14:textId="099A5D33" w:rsidR="009C7DDA" w:rsidRPr="009C7DDA" w:rsidRDefault="009C7DDA" w:rsidP="005866C1">
      <w:pPr>
        <w:pStyle w:val="NormalWeb"/>
        <w:jc w:val="both"/>
        <w:rPr>
          <w:b/>
          <w:color w:val="000000"/>
          <w:sz w:val="22"/>
          <w:szCs w:val="22"/>
        </w:rPr>
      </w:pPr>
      <w:r w:rsidRPr="009C7DDA">
        <w:rPr>
          <w:b/>
          <w:color w:val="000000"/>
          <w:sz w:val="22"/>
          <w:szCs w:val="22"/>
        </w:rPr>
        <w:t>Legislation (General) Regulations 2025</w:t>
      </w:r>
    </w:p>
    <w:p w14:paraId="1E7FB9B1" w14:textId="01F632D7" w:rsidR="008502C6" w:rsidRPr="009C7DDA" w:rsidRDefault="008502C6" w:rsidP="005866C1">
      <w:pPr>
        <w:pStyle w:val="NormalWeb"/>
        <w:rPr>
          <w:color w:val="000000"/>
          <w:sz w:val="22"/>
          <w:szCs w:val="22"/>
        </w:rPr>
      </w:pPr>
      <w:r w:rsidRPr="009C7DDA">
        <w:rPr>
          <w:color w:val="000000"/>
          <w:sz w:val="22"/>
          <w:szCs w:val="22"/>
        </w:rPr>
        <w:t xml:space="preserve">This Legislative Instrument is compatible with the human rights and freedoms recognised or declared in the international instruments listed in section 3 of the </w:t>
      </w:r>
      <w:r w:rsidRPr="009C7DDA">
        <w:rPr>
          <w:i/>
          <w:color w:val="000000"/>
          <w:sz w:val="22"/>
          <w:szCs w:val="22"/>
        </w:rPr>
        <w:t>Human Rights (Parliamentary Scrutiny) Act 2011.</w:t>
      </w:r>
    </w:p>
    <w:p w14:paraId="25036DF4" w14:textId="5D091641" w:rsidR="008502C6" w:rsidRPr="009C7DDA" w:rsidRDefault="008502C6" w:rsidP="005866C1">
      <w:pPr>
        <w:pStyle w:val="NormalWeb"/>
        <w:rPr>
          <w:b/>
          <w:color w:val="000000"/>
          <w:sz w:val="22"/>
          <w:szCs w:val="22"/>
        </w:rPr>
      </w:pPr>
      <w:r w:rsidRPr="009C7DDA">
        <w:rPr>
          <w:b/>
          <w:color w:val="000000"/>
          <w:sz w:val="22"/>
          <w:szCs w:val="22"/>
        </w:rPr>
        <w:t>Overview of the Legislative Instrument</w:t>
      </w:r>
    </w:p>
    <w:p w14:paraId="00D41A5E" w14:textId="77777777" w:rsidR="00E15112" w:rsidRPr="009C7DDA" w:rsidRDefault="00E15112" w:rsidP="005866C1">
      <w:pPr>
        <w:spacing w:after="0" w:line="240" w:lineRule="auto"/>
        <w:ind w:right="91"/>
        <w:rPr>
          <w:rFonts w:ascii="Times New Roman" w:eastAsia="Times New Roman" w:hAnsi="Times New Roman" w:cs="Times New Roman"/>
          <w:lang w:eastAsia="en-AU"/>
        </w:rPr>
      </w:pPr>
      <w:r w:rsidRPr="009C7DDA">
        <w:rPr>
          <w:rFonts w:ascii="Times New Roman" w:eastAsia="Times New Roman" w:hAnsi="Times New Roman" w:cs="Times New Roman"/>
          <w:lang w:eastAsia="en-AU"/>
        </w:rPr>
        <w:t xml:space="preserve">The </w:t>
      </w:r>
      <w:r w:rsidRPr="009C7DDA">
        <w:rPr>
          <w:rFonts w:ascii="Times New Roman" w:eastAsia="Times New Roman" w:hAnsi="Times New Roman" w:cs="Times New Roman"/>
          <w:i/>
          <w:lang w:eastAsia="en-AU"/>
        </w:rPr>
        <w:t>Legislation Act 2003</w:t>
      </w:r>
      <w:r w:rsidRPr="009C7DDA">
        <w:rPr>
          <w:rFonts w:ascii="Times New Roman" w:eastAsia="Times New Roman" w:hAnsi="Times New Roman" w:cs="Times New Roman"/>
          <w:lang w:eastAsia="en-AU"/>
        </w:rPr>
        <w:t xml:space="preserve"> (the Legislation Act) provides for the registration, tabling, parliamentary scrutiny, disallowance and sunsetting of instruments. Section 62 of the Legislation Act provides that the Governor</w:t>
      </w:r>
      <w:r w:rsidRPr="009C7DDA">
        <w:rPr>
          <w:rFonts w:ascii="Times New Roman" w:eastAsia="Times New Roman" w:hAnsi="Times New Roman" w:cs="Times New Roman"/>
          <w:lang w:eastAsia="en-AU"/>
        </w:rPr>
        <w:noBreakHyphen/>
        <w:t xml:space="preserve">General may make regulations, prescribing matters required or permitted by the Legislation Act to be prescribed, or necessary or convenient to be prescribed for carrying out or giving effect to the Legislation Act. Subsection 57(5) of the Legislation Act has the effect that particular disallowance provisions can be prescribed so that they continue to apply to the relevant instruments, instead of the standard disallowance regime under the Legislation Act. </w:t>
      </w:r>
    </w:p>
    <w:p w14:paraId="64044464" w14:textId="77777777" w:rsidR="00E15112" w:rsidRPr="009C7DDA" w:rsidRDefault="00E15112" w:rsidP="005866C1">
      <w:pPr>
        <w:spacing w:after="0" w:line="240" w:lineRule="auto"/>
        <w:ind w:right="91"/>
        <w:rPr>
          <w:rFonts w:ascii="Times New Roman" w:eastAsia="Times New Roman" w:hAnsi="Times New Roman" w:cs="Times New Roman"/>
          <w:lang w:eastAsia="en-AU"/>
        </w:rPr>
      </w:pPr>
    </w:p>
    <w:p w14:paraId="12C08BAC" w14:textId="77777777" w:rsidR="00E15112" w:rsidRPr="009C7DDA" w:rsidRDefault="00E15112" w:rsidP="005866C1">
      <w:pPr>
        <w:spacing w:after="0" w:line="240" w:lineRule="auto"/>
        <w:ind w:right="91"/>
        <w:rPr>
          <w:rFonts w:ascii="Times New Roman" w:eastAsia="Times New Roman" w:hAnsi="Times New Roman" w:cs="Times New Roman"/>
          <w:lang w:eastAsia="en-AU"/>
        </w:rPr>
      </w:pPr>
      <w:r w:rsidRPr="009C7DDA">
        <w:rPr>
          <w:rFonts w:ascii="Times New Roman" w:eastAsia="Times New Roman" w:hAnsi="Times New Roman" w:cs="Times New Roman"/>
          <w:lang w:eastAsia="en-AU"/>
        </w:rPr>
        <w:t xml:space="preserve">Disallowance under Part 2 of Chapter 2 of the Legislation Act is the process by which instruments are subject to veto by Parliament. It is a mechanism for parliamentary oversight of delegated legislation.  </w:t>
      </w:r>
    </w:p>
    <w:p w14:paraId="7FBAEE2B" w14:textId="77777777" w:rsidR="00E15112" w:rsidRPr="009C7DDA" w:rsidRDefault="00E15112" w:rsidP="005866C1">
      <w:pPr>
        <w:spacing w:after="0" w:line="240" w:lineRule="auto"/>
        <w:ind w:right="91"/>
        <w:rPr>
          <w:rFonts w:ascii="Times New Roman" w:eastAsia="Times New Roman" w:hAnsi="Times New Roman" w:cs="Times New Roman"/>
          <w:lang w:eastAsia="en-AU"/>
        </w:rPr>
      </w:pPr>
    </w:p>
    <w:p w14:paraId="414FD9AA" w14:textId="44673E39" w:rsidR="00E15112" w:rsidRPr="009C7DDA" w:rsidRDefault="00E15112" w:rsidP="005866C1">
      <w:pPr>
        <w:spacing w:after="0" w:line="240" w:lineRule="auto"/>
        <w:ind w:right="91"/>
        <w:rPr>
          <w:rFonts w:ascii="Times New Roman" w:eastAsia="Times New Roman" w:hAnsi="Times New Roman" w:cs="Times New Roman"/>
          <w:lang w:eastAsia="en-AU"/>
        </w:rPr>
      </w:pPr>
      <w:r w:rsidRPr="009C7DDA">
        <w:rPr>
          <w:rFonts w:ascii="Times New Roman" w:eastAsia="Times New Roman" w:hAnsi="Times New Roman" w:cs="Times New Roman"/>
          <w:lang w:eastAsia="en-AU"/>
        </w:rPr>
        <w:t xml:space="preserve">The </w:t>
      </w:r>
      <w:r w:rsidR="007837B3">
        <w:rPr>
          <w:rFonts w:ascii="Times New Roman" w:eastAsia="Times New Roman" w:hAnsi="Times New Roman" w:cs="Times New Roman"/>
          <w:i/>
          <w:lang w:eastAsia="en-AU"/>
        </w:rPr>
        <w:t xml:space="preserve">Legislation (General) Regulations 2025 </w:t>
      </w:r>
      <w:r w:rsidRPr="009C7DDA">
        <w:rPr>
          <w:rFonts w:ascii="Times New Roman" w:eastAsia="Times New Roman" w:hAnsi="Times New Roman" w:cs="Times New Roman"/>
          <w:lang w:eastAsia="en-AU"/>
        </w:rPr>
        <w:t>ha</w:t>
      </w:r>
      <w:r w:rsidR="007837B3">
        <w:rPr>
          <w:rFonts w:ascii="Times New Roman" w:eastAsia="Times New Roman" w:hAnsi="Times New Roman" w:cs="Times New Roman"/>
          <w:lang w:eastAsia="en-AU"/>
        </w:rPr>
        <w:t>s</w:t>
      </w:r>
      <w:r w:rsidRPr="009C7DDA">
        <w:rPr>
          <w:rFonts w:ascii="Times New Roman" w:eastAsia="Times New Roman" w:hAnsi="Times New Roman" w:cs="Times New Roman"/>
          <w:lang w:eastAsia="en-AU"/>
        </w:rPr>
        <w:t xml:space="preserve"> the effect that the particular disallowance provisions in subsections 7(8) and (8A) of the </w:t>
      </w:r>
      <w:r w:rsidRPr="009C7DDA">
        <w:rPr>
          <w:rFonts w:ascii="Times New Roman" w:eastAsia="Times New Roman" w:hAnsi="Times New Roman" w:cs="Times New Roman"/>
          <w:i/>
          <w:lang w:eastAsia="en-AU"/>
        </w:rPr>
        <w:t xml:space="preserve">Remuneration Tribunal Act 1973 </w:t>
      </w:r>
      <w:r w:rsidRPr="009C7DDA">
        <w:rPr>
          <w:rFonts w:ascii="Times New Roman" w:eastAsia="Times New Roman" w:hAnsi="Times New Roman" w:cs="Times New Roman"/>
          <w:lang w:eastAsia="en-AU"/>
        </w:rPr>
        <w:t xml:space="preserve">(Remuneration Tribunal Act) continue to apply to determination instruments made under that Act, instead of the standard disallowance provisions in sections 42 to 48 of the Legislation Act. A bespoke disallowance regime is required to meet the particular needs of the Remuneration Tribunal Act framework, including determinations relating to judicial remuneration and ACT offices.  </w:t>
      </w:r>
    </w:p>
    <w:p w14:paraId="3AC1E553" w14:textId="77777777" w:rsidR="008502C6" w:rsidRPr="009C7DDA" w:rsidRDefault="008502C6" w:rsidP="005866C1">
      <w:pPr>
        <w:pStyle w:val="NormalWeb"/>
        <w:rPr>
          <w:b/>
          <w:color w:val="000000"/>
          <w:sz w:val="22"/>
          <w:szCs w:val="22"/>
        </w:rPr>
      </w:pPr>
      <w:r w:rsidRPr="009C7DDA">
        <w:rPr>
          <w:b/>
          <w:color w:val="000000"/>
          <w:sz w:val="22"/>
          <w:szCs w:val="22"/>
        </w:rPr>
        <w:t>Human rights implications</w:t>
      </w:r>
    </w:p>
    <w:p w14:paraId="3B876B42" w14:textId="3636B33D" w:rsidR="008502C6" w:rsidRPr="009C7DDA" w:rsidRDefault="008502C6" w:rsidP="005866C1">
      <w:pPr>
        <w:pStyle w:val="NormalWeb"/>
        <w:rPr>
          <w:color w:val="000000"/>
          <w:sz w:val="22"/>
          <w:szCs w:val="22"/>
        </w:rPr>
      </w:pPr>
      <w:r w:rsidRPr="009C7DDA">
        <w:rPr>
          <w:color w:val="000000"/>
          <w:sz w:val="22"/>
          <w:szCs w:val="22"/>
        </w:rPr>
        <w:t>This Legislative Instrument does not engage any of the applicable rights or freedoms.</w:t>
      </w:r>
    </w:p>
    <w:p w14:paraId="5CC0C743" w14:textId="77777777" w:rsidR="008502C6" w:rsidRPr="009C7DDA" w:rsidRDefault="008502C6" w:rsidP="005866C1">
      <w:pPr>
        <w:pStyle w:val="NormalWeb"/>
        <w:rPr>
          <w:b/>
          <w:color w:val="000000"/>
          <w:sz w:val="22"/>
          <w:szCs w:val="22"/>
        </w:rPr>
      </w:pPr>
      <w:r w:rsidRPr="009C7DDA">
        <w:rPr>
          <w:b/>
          <w:color w:val="000000"/>
          <w:sz w:val="22"/>
          <w:szCs w:val="22"/>
        </w:rPr>
        <w:t>Conclusion</w:t>
      </w:r>
    </w:p>
    <w:p w14:paraId="6AA947FA" w14:textId="0EE63052" w:rsidR="008502C6" w:rsidRPr="009C7DDA" w:rsidRDefault="008502C6" w:rsidP="005866C1">
      <w:pPr>
        <w:pStyle w:val="NormalWeb"/>
        <w:rPr>
          <w:color w:val="000000"/>
          <w:sz w:val="22"/>
          <w:szCs w:val="22"/>
        </w:rPr>
      </w:pPr>
      <w:r w:rsidRPr="009C7DDA">
        <w:rPr>
          <w:color w:val="000000"/>
          <w:sz w:val="22"/>
          <w:szCs w:val="22"/>
        </w:rPr>
        <w:t>This Legislative Instrument is compatible with human rights as it does not raise any human rights issues.</w:t>
      </w:r>
    </w:p>
    <w:bookmarkEnd w:id="1"/>
    <w:p w14:paraId="1730166F" w14:textId="2AD95C32" w:rsidR="008502C6" w:rsidRPr="009C7DDA" w:rsidRDefault="008502C6" w:rsidP="005866C1">
      <w:pPr>
        <w:spacing w:line="360" w:lineRule="auto"/>
        <w:rPr>
          <w:rFonts w:ascii="Times New Roman" w:hAnsi="Times New Roman" w:cs="Times New Roman"/>
          <w:b/>
          <w:bCs/>
          <w:caps/>
        </w:rPr>
      </w:pPr>
    </w:p>
    <w:p w14:paraId="108748F1" w14:textId="0A5F00A0" w:rsidR="009C7DDA" w:rsidRDefault="009C7DDA" w:rsidP="005866C1">
      <w:pPr>
        <w:spacing w:line="360" w:lineRule="auto"/>
        <w:rPr>
          <w:rFonts w:ascii="Times New Roman" w:hAnsi="Times New Roman" w:cs="Times New Roman"/>
          <w:b/>
          <w:bCs/>
          <w:caps/>
        </w:rPr>
      </w:pPr>
    </w:p>
    <w:p w14:paraId="79A7A5A8" w14:textId="77777777" w:rsidR="007837B3" w:rsidRPr="009C7DDA" w:rsidRDefault="007837B3" w:rsidP="005866C1">
      <w:pPr>
        <w:spacing w:line="360" w:lineRule="auto"/>
        <w:rPr>
          <w:rFonts w:ascii="Times New Roman" w:hAnsi="Times New Roman" w:cs="Times New Roman"/>
          <w:i/>
          <w:iCs/>
        </w:rPr>
      </w:pPr>
    </w:p>
    <w:p w14:paraId="4EA22288" w14:textId="1A2C2EC7" w:rsidR="009C7DDA" w:rsidRDefault="009C7DDA" w:rsidP="005866C1">
      <w:pPr>
        <w:spacing w:line="360" w:lineRule="auto"/>
        <w:jc w:val="right"/>
        <w:rPr>
          <w:rFonts w:ascii="Times New Roman" w:hAnsi="Times New Roman" w:cs="Times New Roman"/>
          <w:b/>
          <w:bCs/>
        </w:rPr>
      </w:pPr>
    </w:p>
    <w:p w14:paraId="2C0B382C" w14:textId="4576CC72" w:rsidR="00E65AD8" w:rsidRDefault="00E65AD8" w:rsidP="005866C1">
      <w:pPr>
        <w:spacing w:line="360" w:lineRule="auto"/>
        <w:jc w:val="right"/>
        <w:rPr>
          <w:rFonts w:ascii="Times New Roman" w:hAnsi="Times New Roman" w:cs="Times New Roman"/>
          <w:b/>
          <w:bCs/>
        </w:rPr>
      </w:pPr>
    </w:p>
    <w:p w14:paraId="798E10CB" w14:textId="77777777" w:rsidR="00E65AD8" w:rsidRPr="009C7DDA" w:rsidRDefault="00E65AD8" w:rsidP="005866C1">
      <w:pPr>
        <w:spacing w:line="360" w:lineRule="auto"/>
        <w:jc w:val="right"/>
        <w:rPr>
          <w:rFonts w:ascii="Times New Roman" w:hAnsi="Times New Roman" w:cs="Times New Roman"/>
          <w:b/>
          <w:bCs/>
        </w:rPr>
      </w:pPr>
    </w:p>
    <w:p w14:paraId="121F2E18" w14:textId="310602B2" w:rsidR="009C0BE2" w:rsidRPr="009C7DDA" w:rsidRDefault="797FDF2D" w:rsidP="005866C1">
      <w:pPr>
        <w:spacing w:line="360" w:lineRule="auto"/>
        <w:jc w:val="right"/>
        <w:rPr>
          <w:rFonts w:ascii="Times New Roman" w:hAnsi="Times New Roman" w:cs="Times New Roman"/>
          <w:b/>
          <w:bCs/>
        </w:rPr>
      </w:pPr>
      <w:bookmarkStart w:id="2" w:name="_Hlk203472198"/>
      <w:r w:rsidRPr="009C7DDA">
        <w:rPr>
          <w:rFonts w:ascii="Times New Roman" w:hAnsi="Times New Roman" w:cs="Times New Roman"/>
          <w:b/>
          <w:bCs/>
        </w:rPr>
        <w:lastRenderedPageBreak/>
        <w:t>Attachment A</w:t>
      </w:r>
    </w:p>
    <w:bookmarkEnd w:id="2"/>
    <w:p w14:paraId="65E21396" w14:textId="7EB785A7" w:rsidR="00EE2DD7" w:rsidRPr="009C7DDA" w:rsidRDefault="797FDF2D" w:rsidP="005866C1">
      <w:pPr>
        <w:spacing w:line="360" w:lineRule="auto"/>
        <w:rPr>
          <w:rFonts w:ascii="Times New Roman" w:hAnsi="Times New Roman" w:cs="Times New Roman"/>
          <w:b/>
          <w:bCs/>
          <w:sz w:val="24"/>
        </w:rPr>
      </w:pPr>
      <w:r w:rsidRPr="009C7DDA">
        <w:rPr>
          <w:rFonts w:ascii="Times New Roman" w:hAnsi="Times New Roman" w:cs="Times New Roman"/>
          <w:b/>
          <w:bCs/>
          <w:sz w:val="24"/>
        </w:rPr>
        <w:t>NOTES ON SECTIONS</w:t>
      </w:r>
    </w:p>
    <w:p w14:paraId="0088DEF3" w14:textId="77777777" w:rsidR="00221A93" w:rsidRPr="009C7DDA" w:rsidRDefault="00221A93" w:rsidP="005866C1">
      <w:pPr>
        <w:rPr>
          <w:rFonts w:ascii="Times New Roman" w:hAnsi="Times New Roman" w:cs="Times New Roman"/>
          <w:b/>
        </w:rPr>
      </w:pPr>
      <w:r w:rsidRPr="009C7DDA">
        <w:rPr>
          <w:rFonts w:ascii="Times New Roman" w:hAnsi="Times New Roman" w:cs="Times New Roman"/>
          <w:b/>
        </w:rPr>
        <w:t>Section 1 – Name</w:t>
      </w:r>
    </w:p>
    <w:p w14:paraId="603B4E51" w14:textId="75606ADF" w:rsidR="00221A93" w:rsidRPr="009C7DDA" w:rsidRDefault="00221A93" w:rsidP="005866C1">
      <w:pPr>
        <w:rPr>
          <w:rFonts w:ascii="Times New Roman" w:hAnsi="Times New Roman" w:cs="Times New Roman"/>
          <w:i/>
        </w:rPr>
      </w:pPr>
      <w:r w:rsidRPr="009C7DDA">
        <w:rPr>
          <w:rFonts w:ascii="Times New Roman" w:hAnsi="Times New Roman" w:cs="Times New Roman"/>
        </w:rPr>
        <w:t>This section provide</w:t>
      </w:r>
      <w:r w:rsidR="001C2A40">
        <w:rPr>
          <w:rFonts w:ascii="Times New Roman" w:hAnsi="Times New Roman" w:cs="Times New Roman"/>
        </w:rPr>
        <w:t>s</w:t>
      </w:r>
      <w:r w:rsidRPr="009C7DDA">
        <w:rPr>
          <w:rFonts w:ascii="Times New Roman" w:hAnsi="Times New Roman" w:cs="Times New Roman"/>
        </w:rPr>
        <w:t xml:space="preserve"> that the title of the instrument is the </w:t>
      </w:r>
      <w:r w:rsidRPr="009C7DDA">
        <w:rPr>
          <w:rFonts w:ascii="Times New Roman" w:hAnsi="Times New Roman" w:cs="Times New Roman"/>
          <w:i/>
        </w:rPr>
        <w:t>Legislation (General) Regulations 2025.</w:t>
      </w:r>
    </w:p>
    <w:p w14:paraId="5E387671" w14:textId="77777777" w:rsidR="00221A93" w:rsidRPr="009C7DDA" w:rsidRDefault="00221A93" w:rsidP="005866C1">
      <w:pPr>
        <w:rPr>
          <w:rFonts w:ascii="Times New Roman" w:hAnsi="Times New Roman" w:cs="Times New Roman"/>
          <w:b/>
        </w:rPr>
      </w:pPr>
      <w:r w:rsidRPr="009C7DDA">
        <w:rPr>
          <w:rFonts w:ascii="Times New Roman" w:hAnsi="Times New Roman" w:cs="Times New Roman"/>
          <w:b/>
        </w:rPr>
        <w:t>Section 2 – Commencement</w:t>
      </w:r>
    </w:p>
    <w:p w14:paraId="1767C4DE" w14:textId="1104867B" w:rsidR="00221A93" w:rsidRPr="009C7DDA" w:rsidRDefault="00221A93" w:rsidP="005866C1">
      <w:pPr>
        <w:rPr>
          <w:rFonts w:ascii="Times New Roman" w:hAnsi="Times New Roman" w:cs="Times New Roman"/>
        </w:rPr>
      </w:pPr>
      <w:r w:rsidRPr="009C7DDA">
        <w:rPr>
          <w:rFonts w:ascii="Times New Roman" w:hAnsi="Times New Roman" w:cs="Times New Roman"/>
        </w:rPr>
        <w:t>This section provide</w:t>
      </w:r>
      <w:r w:rsidR="001C2A40">
        <w:rPr>
          <w:rFonts w:ascii="Times New Roman" w:hAnsi="Times New Roman" w:cs="Times New Roman"/>
        </w:rPr>
        <w:t>s</w:t>
      </w:r>
      <w:r w:rsidRPr="009C7DDA">
        <w:rPr>
          <w:rFonts w:ascii="Times New Roman" w:hAnsi="Times New Roman" w:cs="Times New Roman"/>
        </w:rPr>
        <w:t xml:space="preserve"> for the commencement of each provision under the proposed Regulations. </w:t>
      </w:r>
    </w:p>
    <w:p w14:paraId="09F1C910" w14:textId="35797EA0" w:rsidR="00221A93" w:rsidRPr="009C7DDA" w:rsidRDefault="00221A93" w:rsidP="005866C1">
      <w:pPr>
        <w:rPr>
          <w:rFonts w:ascii="Times New Roman" w:hAnsi="Times New Roman" w:cs="Times New Roman"/>
        </w:rPr>
      </w:pPr>
      <w:r w:rsidRPr="009C7DDA">
        <w:rPr>
          <w:rFonts w:ascii="Times New Roman" w:hAnsi="Times New Roman" w:cs="Times New Roman"/>
        </w:rPr>
        <w:t>Table item</w:t>
      </w:r>
      <w:r w:rsidR="001C2A40">
        <w:rPr>
          <w:rFonts w:ascii="Times New Roman" w:hAnsi="Times New Roman" w:cs="Times New Roman"/>
        </w:rPr>
        <w:t xml:space="preserve"> 1 </w:t>
      </w:r>
      <w:r w:rsidRPr="009C7DDA">
        <w:rPr>
          <w:rFonts w:ascii="Times New Roman" w:hAnsi="Times New Roman" w:cs="Times New Roman"/>
        </w:rPr>
        <w:t>provide</w:t>
      </w:r>
      <w:r w:rsidR="001C2A40">
        <w:rPr>
          <w:rFonts w:ascii="Times New Roman" w:hAnsi="Times New Roman" w:cs="Times New Roman"/>
        </w:rPr>
        <w:t>s</w:t>
      </w:r>
      <w:r w:rsidRPr="009C7DDA">
        <w:rPr>
          <w:rFonts w:ascii="Times New Roman" w:hAnsi="Times New Roman" w:cs="Times New Roman"/>
        </w:rPr>
        <w:t xml:space="preserve"> that the whole of the proposed Regulations commence</w:t>
      </w:r>
      <w:r w:rsidR="00250613">
        <w:rPr>
          <w:rFonts w:ascii="Times New Roman" w:hAnsi="Times New Roman" w:cs="Times New Roman"/>
        </w:rPr>
        <w:t>s</w:t>
      </w:r>
      <w:r w:rsidRPr="009C7DDA">
        <w:rPr>
          <w:rFonts w:ascii="Times New Roman" w:hAnsi="Times New Roman" w:cs="Times New Roman"/>
        </w:rPr>
        <w:t xml:space="preserve"> the day after registration. </w:t>
      </w:r>
    </w:p>
    <w:p w14:paraId="1BBB1B39" w14:textId="77777777" w:rsidR="00221A93" w:rsidRPr="009C7DDA" w:rsidRDefault="00221A93" w:rsidP="005866C1">
      <w:pPr>
        <w:rPr>
          <w:rFonts w:ascii="Times New Roman" w:hAnsi="Times New Roman" w:cs="Times New Roman"/>
          <w:b/>
        </w:rPr>
      </w:pPr>
      <w:r w:rsidRPr="009C7DDA">
        <w:rPr>
          <w:rFonts w:ascii="Times New Roman" w:hAnsi="Times New Roman" w:cs="Times New Roman"/>
          <w:b/>
        </w:rPr>
        <w:t>Section 3 – Authority</w:t>
      </w:r>
    </w:p>
    <w:p w14:paraId="267D1DC8" w14:textId="4ADD7355" w:rsidR="00221A93" w:rsidRPr="009C7DDA" w:rsidRDefault="00221A93" w:rsidP="005866C1">
      <w:pPr>
        <w:rPr>
          <w:rFonts w:ascii="Times New Roman" w:hAnsi="Times New Roman" w:cs="Times New Roman"/>
        </w:rPr>
      </w:pPr>
      <w:r w:rsidRPr="009C7DDA">
        <w:rPr>
          <w:rFonts w:ascii="Times New Roman" w:hAnsi="Times New Roman" w:cs="Times New Roman"/>
        </w:rPr>
        <w:t>This section provide</w:t>
      </w:r>
      <w:r w:rsidR="001C2A40">
        <w:rPr>
          <w:rFonts w:ascii="Times New Roman" w:hAnsi="Times New Roman" w:cs="Times New Roman"/>
        </w:rPr>
        <w:t>s</w:t>
      </w:r>
      <w:r w:rsidRPr="009C7DDA">
        <w:rPr>
          <w:rFonts w:ascii="Times New Roman" w:hAnsi="Times New Roman" w:cs="Times New Roman"/>
        </w:rPr>
        <w:t xml:space="preserve"> that the instrument is made under the </w:t>
      </w:r>
      <w:r w:rsidRPr="009C7DDA">
        <w:rPr>
          <w:rFonts w:ascii="Times New Roman" w:hAnsi="Times New Roman" w:cs="Times New Roman"/>
          <w:i/>
        </w:rPr>
        <w:t>Legislation Act 2003</w:t>
      </w:r>
      <w:r w:rsidRPr="009C7DDA">
        <w:rPr>
          <w:rFonts w:ascii="Times New Roman" w:hAnsi="Times New Roman" w:cs="Times New Roman"/>
        </w:rPr>
        <w:t>.</w:t>
      </w:r>
    </w:p>
    <w:p w14:paraId="28EC55F4" w14:textId="77777777" w:rsidR="00221A93" w:rsidRPr="009C7DDA" w:rsidRDefault="00221A93" w:rsidP="005866C1">
      <w:pPr>
        <w:rPr>
          <w:rFonts w:ascii="Times New Roman" w:hAnsi="Times New Roman" w:cs="Times New Roman"/>
          <w:b/>
        </w:rPr>
      </w:pPr>
      <w:r w:rsidRPr="009C7DDA">
        <w:rPr>
          <w:rFonts w:ascii="Times New Roman" w:hAnsi="Times New Roman" w:cs="Times New Roman"/>
          <w:b/>
        </w:rPr>
        <w:t>Section 4 – Schedules</w:t>
      </w:r>
    </w:p>
    <w:p w14:paraId="555B8AAE" w14:textId="2C9E5CE5" w:rsidR="00221A93" w:rsidRPr="009C7DDA" w:rsidRDefault="00221A93" w:rsidP="005866C1">
      <w:pPr>
        <w:rPr>
          <w:rFonts w:ascii="Times New Roman" w:hAnsi="Times New Roman" w:cs="Times New Roman"/>
        </w:rPr>
      </w:pPr>
      <w:r w:rsidRPr="009C7DDA">
        <w:rPr>
          <w:rFonts w:ascii="Times New Roman" w:hAnsi="Times New Roman" w:cs="Times New Roman"/>
        </w:rPr>
        <w:t>This section provide</w:t>
      </w:r>
      <w:r w:rsidR="001C2A40">
        <w:rPr>
          <w:rFonts w:ascii="Times New Roman" w:hAnsi="Times New Roman" w:cs="Times New Roman"/>
        </w:rPr>
        <w:t>s</w:t>
      </w:r>
      <w:r w:rsidRPr="009C7DDA">
        <w:rPr>
          <w:rFonts w:ascii="Times New Roman" w:hAnsi="Times New Roman" w:cs="Times New Roman"/>
        </w:rPr>
        <w:t xml:space="preserve"> that each instrument that is specified in a Schedule to this instrument is amended or repealed as set out in the applicable items in the Schedule concerned, and any other item in a Schedule to the instrument has effect according to its terms. </w:t>
      </w:r>
    </w:p>
    <w:p w14:paraId="33E40E14" w14:textId="77777777" w:rsidR="00221A93" w:rsidRPr="009C7DDA" w:rsidRDefault="00221A93" w:rsidP="005866C1">
      <w:pPr>
        <w:rPr>
          <w:rFonts w:ascii="Times New Roman" w:hAnsi="Times New Roman" w:cs="Times New Roman"/>
          <w:b/>
        </w:rPr>
      </w:pPr>
      <w:r w:rsidRPr="009C7DDA">
        <w:rPr>
          <w:rFonts w:ascii="Times New Roman" w:hAnsi="Times New Roman" w:cs="Times New Roman"/>
          <w:b/>
        </w:rPr>
        <w:t>Section 5 – Definitions</w:t>
      </w:r>
    </w:p>
    <w:p w14:paraId="55209680" w14:textId="525E8EF0" w:rsidR="00221A93" w:rsidRPr="00E65AD8" w:rsidRDefault="00221A93" w:rsidP="005866C1">
      <w:pPr>
        <w:rPr>
          <w:rFonts w:ascii="Times New Roman" w:hAnsi="Times New Roman" w:cs="Times New Roman"/>
          <w:i/>
        </w:rPr>
      </w:pPr>
      <w:r w:rsidRPr="009C7DDA">
        <w:rPr>
          <w:rFonts w:ascii="Times New Roman" w:hAnsi="Times New Roman" w:cs="Times New Roman"/>
        </w:rPr>
        <w:t>This section</w:t>
      </w:r>
      <w:r w:rsidR="001C2A40">
        <w:rPr>
          <w:rFonts w:ascii="Times New Roman" w:hAnsi="Times New Roman" w:cs="Times New Roman"/>
        </w:rPr>
        <w:t xml:space="preserve"> </w:t>
      </w:r>
      <w:r w:rsidRPr="009C7DDA">
        <w:rPr>
          <w:rFonts w:ascii="Times New Roman" w:hAnsi="Times New Roman" w:cs="Times New Roman"/>
        </w:rPr>
        <w:t>provide</w:t>
      </w:r>
      <w:r w:rsidR="001C2A40">
        <w:rPr>
          <w:rFonts w:ascii="Times New Roman" w:hAnsi="Times New Roman" w:cs="Times New Roman"/>
        </w:rPr>
        <w:t>s</w:t>
      </w:r>
      <w:r w:rsidRPr="009C7DDA">
        <w:rPr>
          <w:rFonts w:ascii="Times New Roman" w:hAnsi="Times New Roman" w:cs="Times New Roman"/>
        </w:rPr>
        <w:t xml:space="preserve"> for definitions to be used for the purpose of the instrument. The section provide</w:t>
      </w:r>
      <w:r w:rsidR="001C2A40">
        <w:rPr>
          <w:rFonts w:ascii="Times New Roman" w:hAnsi="Times New Roman" w:cs="Times New Roman"/>
        </w:rPr>
        <w:t>s</w:t>
      </w:r>
      <w:r w:rsidRPr="009C7DDA">
        <w:rPr>
          <w:rFonts w:ascii="Times New Roman" w:hAnsi="Times New Roman" w:cs="Times New Roman"/>
        </w:rPr>
        <w:t xml:space="preserve"> that in this instrument, ‘</w:t>
      </w:r>
      <w:r w:rsidRPr="009C7DDA">
        <w:rPr>
          <w:rFonts w:ascii="Times New Roman" w:hAnsi="Times New Roman" w:cs="Times New Roman"/>
          <w:i/>
        </w:rPr>
        <w:t>Act</w:t>
      </w:r>
      <w:r w:rsidRPr="009C7DDA">
        <w:rPr>
          <w:rFonts w:ascii="Times New Roman" w:hAnsi="Times New Roman" w:cs="Times New Roman"/>
        </w:rPr>
        <w:t xml:space="preserve">’ means the </w:t>
      </w:r>
      <w:r w:rsidRPr="009C7DDA">
        <w:rPr>
          <w:rFonts w:ascii="Times New Roman" w:hAnsi="Times New Roman" w:cs="Times New Roman"/>
          <w:i/>
        </w:rPr>
        <w:t xml:space="preserve">Legislation Act 2003. </w:t>
      </w:r>
    </w:p>
    <w:p w14:paraId="5E3A9C37" w14:textId="77777777" w:rsidR="00221A93" w:rsidRPr="009C7DDA" w:rsidRDefault="00221A93" w:rsidP="005866C1">
      <w:pPr>
        <w:rPr>
          <w:rFonts w:ascii="Times New Roman" w:hAnsi="Times New Roman" w:cs="Times New Roman"/>
          <w:b/>
        </w:rPr>
      </w:pPr>
      <w:r w:rsidRPr="009C7DDA">
        <w:rPr>
          <w:rFonts w:ascii="Times New Roman" w:hAnsi="Times New Roman" w:cs="Times New Roman"/>
          <w:b/>
        </w:rPr>
        <w:t>Section 6 – Continuing disallowance provisions</w:t>
      </w:r>
    </w:p>
    <w:p w14:paraId="0987E385" w14:textId="6E86E6F5" w:rsidR="00221A93" w:rsidRPr="009C7DDA" w:rsidRDefault="00221A93" w:rsidP="005866C1">
      <w:pPr>
        <w:spacing w:after="0" w:line="240" w:lineRule="auto"/>
        <w:rPr>
          <w:rFonts w:ascii="Times New Roman" w:hAnsi="Times New Roman" w:cs="Times New Roman"/>
        </w:rPr>
      </w:pPr>
      <w:r w:rsidRPr="009C7DDA">
        <w:rPr>
          <w:rFonts w:ascii="Times New Roman" w:hAnsi="Times New Roman" w:cs="Times New Roman"/>
        </w:rPr>
        <w:t>This section provide</w:t>
      </w:r>
      <w:r w:rsidR="001C2A40">
        <w:rPr>
          <w:rFonts w:ascii="Times New Roman" w:hAnsi="Times New Roman" w:cs="Times New Roman"/>
        </w:rPr>
        <w:t>s</w:t>
      </w:r>
      <w:r w:rsidRPr="009C7DDA">
        <w:rPr>
          <w:rFonts w:ascii="Times New Roman" w:hAnsi="Times New Roman" w:cs="Times New Roman"/>
        </w:rPr>
        <w:t xml:space="preserve"> that</w:t>
      </w:r>
      <w:r w:rsidR="00534143">
        <w:rPr>
          <w:rFonts w:ascii="Times New Roman" w:hAnsi="Times New Roman" w:cs="Times New Roman"/>
        </w:rPr>
        <w:t xml:space="preserve"> the bespoke disallowance regime created by </w:t>
      </w:r>
      <w:r w:rsidR="00710579">
        <w:rPr>
          <w:rFonts w:ascii="Times New Roman" w:hAnsi="Times New Roman" w:cs="Times New Roman"/>
        </w:rPr>
        <w:t>sub</w:t>
      </w:r>
      <w:r w:rsidR="00534143">
        <w:rPr>
          <w:rFonts w:ascii="Times New Roman" w:hAnsi="Times New Roman" w:cs="Times New Roman"/>
        </w:rPr>
        <w:t xml:space="preserve">sections (7)8 and (8A) of the Remuneration Tribunal Act </w:t>
      </w:r>
      <w:r w:rsidR="00CF5111">
        <w:rPr>
          <w:rFonts w:ascii="Times New Roman" w:hAnsi="Times New Roman" w:cs="Times New Roman"/>
        </w:rPr>
        <w:t>will</w:t>
      </w:r>
      <w:r w:rsidR="00534143">
        <w:rPr>
          <w:rFonts w:ascii="Times New Roman" w:hAnsi="Times New Roman" w:cs="Times New Roman"/>
        </w:rPr>
        <w:t xml:space="preserve"> continue </w:t>
      </w:r>
      <w:r w:rsidRPr="009C7DDA">
        <w:rPr>
          <w:rFonts w:ascii="Times New Roman" w:hAnsi="Times New Roman" w:cs="Times New Roman"/>
        </w:rPr>
        <w:t xml:space="preserve">to apply to determination instruments under the Renumeration Tribunal Act instead of the standard disallowance regime under the </w:t>
      </w:r>
      <w:r w:rsidRPr="009C7DDA">
        <w:rPr>
          <w:rFonts w:ascii="Times New Roman" w:eastAsia="Times New Roman" w:hAnsi="Times New Roman" w:cs="Times New Roman"/>
          <w:lang w:eastAsia="en-AU"/>
        </w:rPr>
        <w:t xml:space="preserve">Legislation </w:t>
      </w:r>
      <w:r w:rsidRPr="009C7DDA">
        <w:rPr>
          <w:rFonts w:ascii="Times New Roman" w:hAnsi="Times New Roman" w:cs="Times New Roman"/>
        </w:rPr>
        <w:t xml:space="preserve">Act. Notes 1 and 2 set out this explanation on the face of the instrument to assist readers. </w:t>
      </w:r>
    </w:p>
    <w:p w14:paraId="47FEA479" w14:textId="77777777" w:rsidR="00221A93" w:rsidRPr="009C7DDA" w:rsidRDefault="00221A93" w:rsidP="005866C1">
      <w:pPr>
        <w:spacing w:after="0" w:line="240" w:lineRule="auto"/>
        <w:rPr>
          <w:rFonts w:ascii="Times New Roman" w:hAnsi="Times New Roman" w:cs="Times New Roman"/>
        </w:rPr>
      </w:pPr>
    </w:p>
    <w:p w14:paraId="0EF8884E" w14:textId="520335D5" w:rsidR="00221A93" w:rsidRPr="009C7DDA" w:rsidRDefault="00221A93" w:rsidP="005866C1">
      <w:pPr>
        <w:spacing w:after="0" w:line="240" w:lineRule="auto"/>
        <w:ind w:right="91"/>
        <w:rPr>
          <w:rFonts w:ascii="Times New Roman" w:eastAsia="Times New Roman" w:hAnsi="Times New Roman" w:cs="Times New Roman"/>
          <w:lang w:eastAsia="en-AU"/>
        </w:rPr>
      </w:pPr>
      <w:r w:rsidRPr="009C7DDA">
        <w:rPr>
          <w:rFonts w:ascii="Times New Roman" w:hAnsi="Times New Roman" w:cs="Times New Roman"/>
        </w:rPr>
        <w:t xml:space="preserve">Subsection 7(8) of the Remuneration Tribunal Act </w:t>
      </w:r>
      <w:r w:rsidR="00250613">
        <w:rPr>
          <w:rFonts w:ascii="Times New Roman" w:hAnsi="Times New Roman" w:cs="Times New Roman"/>
        </w:rPr>
        <w:t xml:space="preserve">has the effect </w:t>
      </w:r>
      <w:r w:rsidR="00534143">
        <w:rPr>
          <w:rFonts w:ascii="Times New Roman" w:hAnsi="Times New Roman" w:cs="Times New Roman"/>
        </w:rPr>
        <w:t xml:space="preserve">that judicial remuneration determinations do not come into force until the end of the disallowance period. </w:t>
      </w:r>
      <w:r w:rsidRPr="009C7DDA">
        <w:rPr>
          <w:rFonts w:ascii="Times New Roman" w:hAnsi="Times New Roman" w:cs="Times New Roman"/>
        </w:rPr>
        <w:t xml:space="preserve">Under the standard disallowance process, legislative instruments come into force once they are registered on the Federal Register of Legislation, </w:t>
      </w:r>
      <w:r w:rsidR="00250613">
        <w:rPr>
          <w:rFonts w:ascii="Times New Roman" w:hAnsi="Times New Roman" w:cs="Times New Roman"/>
        </w:rPr>
        <w:t xml:space="preserve">upon which the disallowance period commences. The instrument may </w:t>
      </w:r>
      <w:r w:rsidRPr="009C7DDA">
        <w:rPr>
          <w:rFonts w:ascii="Times New Roman" w:hAnsi="Times New Roman" w:cs="Times New Roman"/>
        </w:rPr>
        <w:t xml:space="preserve">subsequently cease to have effect </w:t>
      </w:r>
      <w:r w:rsidR="00250613">
        <w:rPr>
          <w:rFonts w:ascii="Times New Roman" w:hAnsi="Times New Roman" w:cs="Times New Roman"/>
        </w:rPr>
        <w:t xml:space="preserve">if </w:t>
      </w:r>
      <w:r w:rsidRPr="009C7DDA">
        <w:rPr>
          <w:rFonts w:ascii="Times New Roman" w:hAnsi="Times New Roman" w:cs="Times New Roman"/>
        </w:rPr>
        <w:t xml:space="preserve">it is disallowed. </w:t>
      </w:r>
      <w:r w:rsidR="00534143">
        <w:rPr>
          <w:rFonts w:ascii="Times New Roman" w:hAnsi="Times New Roman" w:cs="Times New Roman"/>
        </w:rPr>
        <w:t xml:space="preserve">This could result in the commencement, then later cessation, of a determination of judicial remuneration. This section </w:t>
      </w:r>
      <w:r w:rsidR="00CF5111">
        <w:rPr>
          <w:rFonts w:ascii="Times New Roman" w:hAnsi="Times New Roman" w:cs="Times New Roman"/>
        </w:rPr>
        <w:t>ensures</w:t>
      </w:r>
      <w:r w:rsidR="00534143">
        <w:rPr>
          <w:rFonts w:ascii="Times New Roman" w:hAnsi="Times New Roman" w:cs="Times New Roman"/>
        </w:rPr>
        <w:t xml:space="preserve"> that subsection 7(8) </w:t>
      </w:r>
      <w:r w:rsidR="00250613" w:rsidRPr="009C7DDA">
        <w:rPr>
          <w:rFonts w:ascii="Times New Roman" w:hAnsi="Times New Roman" w:cs="Times New Roman"/>
        </w:rPr>
        <w:t xml:space="preserve">of the Remuneration Tribunal Act </w:t>
      </w:r>
      <w:r w:rsidR="00534143">
        <w:rPr>
          <w:rFonts w:ascii="Times New Roman" w:hAnsi="Times New Roman" w:cs="Times New Roman"/>
        </w:rPr>
        <w:t xml:space="preserve">continues to apply to judicial remuneration determinations to ensure compliance with the constitutional requirement that </w:t>
      </w:r>
      <w:r w:rsidR="00250613">
        <w:rPr>
          <w:rFonts w:ascii="Times New Roman" w:hAnsi="Times New Roman" w:cs="Times New Roman"/>
        </w:rPr>
        <w:t xml:space="preserve">a judge’s </w:t>
      </w:r>
      <w:r w:rsidR="00534143">
        <w:rPr>
          <w:rFonts w:ascii="Times New Roman" w:hAnsi="Times New Roman" w:cs="Times New Roman"/>
        </w:rPr>
        <w:t xml:space="preserve">remuneration not be reduced while the judge is in office. </w:t>
      </w:r>
    </w:p>
    <w:p w14:paraId="6F91E3B6" w14:textId="77777777" w:rsidR="00221A93" w:rsidRPr="009C7DDA" w:rsidRDefault="00221A93" w:rsidP="005866C1">
      <w:pPr>
        <w:spacing w:after="0" w:line="240" w:lineRule="auto"/>
        <w:ind w:right="91"/>
        <w:rPr>
          <w:rFonts w:ascii="Times New Roman" w:eastAsia="Times New Roman" w:hAnsi="Times New Roman" w:cs="Times New Roman"/>
          <w:lang w:eastAsia="en-AU"/>
        </w:rPr>
      </w:pPr>
    </w:p>
    <w:p w14:paraId="4776F861" w14:textId="7016832A" w:rsidR="00E65AD8" w:rsidRDefault="00221A93" w:rsidP="005866C1">
      <w:pPr>
        <w:spacing w:after="0" w:line="240" w:lineRule="auto"/>
        <w:ind w:right="91"/>
        <w:rPr>
          <w:rFonts w:ascii="Times New Roman" w:hAnsi="Times New Roman" w:cs="Times New Roman"/>
        </w:rPr>
      </w:pPr>
      <w:r w:rsidRPr="009C7DDA">
        <w:rPr>
          <w:rFonts w:ascii="Times New Roman" w:hAnsi="Times New Roman" w:cs="Times New Roman"/>
        </w:rPr>
        <w:t>Subsection 7(8A) of the Remuneration Tribunal Act provides for disallowance of determinations relating to an ACT office by the Legislative Assembly for the ACT</w:t>
      </w:r>
      <w:r w:rsidR="00534143">
        <w:rPr>
          <w:rFonts w:ascii="Times New Roman" w:hAnsi="Times New Roman" w:cs="Times New Roman"/>
        </w:rPr>
        <w:t>. This appropriately preclude</w:t>
      </w:r>
      <w:r w:rsidR="00250613">
        <w:rPr>
          <w:rFonts w:ascii="Times New Roman" w:hAnsi="Times New Roman" w:cs="Times New Roman"/>
        </w:rPr>
        <w:t>s</w:t>
      </w:r>
      <w:r w:rsidR="00534143">
        <w:rPr>
          <w:rFonts w:ascii="Times New Roman" w:hAnsi="Times New Roman" w:cs="Times New Roman"/>
        </w:rPr>
        <w:t xml:space="preserve"> the Commonwealth Parliament from disallowing determinations relating to an ACT office, as would be the case if the disallowance regime under the Legislation Act were to apply. </w:t>
      </w:r>
    </w:p>
    <w:p w14:paraId="3D8D8E4A" w14:textId="77777777" w:rsidR="00E65AD8" w:rsidRPr="00E65AD8" w:rsidRDefault="00E65AD8" w:rsidP="005866C1">
      <w:pPr>
        <w:spacing w:after="0" w:line="240" w:lineRule="auto"/>
        <w:ind w:right="91"/>
        <w:rPr>
          <w:rFonts w:ascii="Times New Roman" w:hAnsi="Times New Roman" w:cs="Times New Roman"/>
        </w:rPr>
      </w:pPr>
    </w:p>
    <w:p w14:paraId="43CB8737" w14:textId="77777777" w:rsidR="00221A93" w:rsidRPr="009C7DDA" w:rsidRDefault="00221A93" w:rsidP="005866C1">
      <w:pPr>
        <w:keepNext/>
        <w:rPr>
          <w:rFonts w:ascii="Times New Roman" w:hAnsi="Times New Roman" w:cs="Times New Roman"/>
          <w:b/>
        </w:rPr>
      </w:pPr>
      <w:r w:rsidRPr="009C7DDA">
        <w:rPr>
          <w:rFonts w:ascii="Times New Roman" w:hAnsi="Times New Roman" w:cs="Times New Roman"/>
          <w:b/>
        </w:rPr>
        <w:lastRenderedPageBreak/>
        <w:t>Schedule 1 – Repeals</w:t>
      </w:r>
    </w:p>
    <w:p w14:paraId="720F2C1C" w14:textId="53F22456" w:rsidR="00221A93" w:rsidRPr="009C7DDA" w:rsidRDefault="00221A93" w:rsidP="005866C1">
      <w:pPr>
        <w:rPr>
          <w:rFonts w:ascii="Times New Roman" w:hAnsi="Times New Roman" w:cs="Times New Roman"/>
        </w:rPr>
      </w:pPr>
      <w:r w:rsidRPr="009C7DDA">
        <w:rPr>
          <w:rFonts w:ascii="Times New Roman" w:hAnsi="Times New Roman" w:cs="Times New Roman"/>
        </w:rPr>
        <w:t>Schedule 1 provide</w:t>
      </w:r>
      <w:r w:rsidR="001C2A40">
        <w:rPr>
          <w:rFonts w:ascii="Times New Roman" w:hAnsi="Times New Roman" w:cs="Times New Roman"/>
        </w:rPr>
        <w:t>s</w:t>
      </w:r>
      <w:r w:rsidRPr="009C7DDA">
        <w:rPr>
          <w:rFonts w:ascii="Times New Roman" w:hAnsi="Times New Roman" w:cs="Times New Roman"/>
        </w:rPr>
        <w:t xml:space="preserve"> for the repeal of the </w:t>
      </w:r>
      <w:r w:rsidRPr="009C7DDA">
        <w:rPr>
          <w:rFonts w:ascii="Times New Roman" w:hAnsi="Times New Roman" w:cs="Times New Roman"/>
          <w:i/>
        </w:rPr>
        <w:t xml:space="preserve">Legislation (General) Regulation 2015. </w:t>
      </w:r>
      <w:r w:rsidRPr="009C7DDA">
        <w:rPr>
          <w:rFonts w:ascii="Times New Roman" w:hAnsi="Times New Roman" w:cs="Times New Roman"/>
        </w:rPr>
        <w:t>This ensure</w:t>
      </w:r>
      <w:r w:rsidR="001C2A40">
        <w:rPr>
          <w:rFonts w:ascii="Times New Roman" w:hAnsi="Times New Roman" w:cs="Times New Roman"/>
        </w:rPr>
        <w:t>s</w:t>
      </w:r>
      <w:r w:rsidRPr="009C7DDA">
        <w:rPr>
          <w:rFonts w:ascii="Times New Roman" w:hAnsi="Times New Roman" w:cs="Times New Roman"/>
        </w:rPr>
        <w:t xml:space="preserve"> that the </w:t>
      </w:r>
      <w:r w:rsidRPr="009C7DDA">
        <w:rPr>
          <w:rFonts w:ascii="Times New Roman" w:hAnsi="Times New Roman" w:cs="Times New Roman"/>
          <w:i/>
        </w:rPr>
        <w:t xml:space="preserve">Legislation (General) Regulation 2015 </w:t>
      </w:r>
      <w:r w:rsidRPr="009C7DDA">
        <w:rPr>
          <w:rFonts w:ascii="Times New Roman" w:hAnsi="Times New Roman" w:cs="Times New Roman"/>
        </w:rPr>
        <w:t>ceases operation concurrently with the commencement of the replacement instrument</w:t>
      </w:r>
      <w:r w:rsidR="00534143">
        <w:rPr>
          <w:rFonts w:ascii="Times New Roman" w:hAnsi="Times New Roman" w:cs="Times New Roman"/>
        </w:rPr>
        <w:t xml:space="preserve">. </w:t>
      </w:r>
    </w:p>
    <w:p w14:paraId="4B1C13ED" w14:textId="77777777" w:rsidR="00221A93" w:rsidRPr="009C7DDA" w:rsidRDefault="00221A93" w:rsidP="005866C1">
      <w:pPr>
        <w:rPr>
          <w:rFonts w:ascii="Times New Roman" w:hAnsi="Times New Roman" w:cs="Times New Roman"/>
        </w:rPr>
      </w:pPr>
    </w:p>
    <w:p w14:paraId="4ED19A0C" w14:textId="77777777" w:rsidR="00221A93" w:rsidRPr="009C7DDA" w:rsidRDefault="00221A93" w:rsidP="005866C1">
      <w:pPr>
        <w:spacing w:line="360" w:lineRule="auto"/>
        <w:rPr>
          <w:rFonts w:ascii="Times New Roman" w:hAnsi="Times New Roman" w:cs="Times New Roman"/>
          <w:b/>
          <w:bCs/>
        </w:rPr>
      </w:pPr>
    </w:p>
    <w:p w14:paraId="22577953" w14:textId="77777777" w:rsidR="00221A93" w:rsidRPr="009C7DDA" w:rsidRDefault="00221A93" w:rsidP="005866C1">
      <w:pPr>
        <w:spacing w:line="360" w:lineRule="auto"/>
        <w:rPr>
          <w:rFonts w:ascii="Times New Roman" w:hAnsi="Times New Roman" w:cs="Times New Roman"/>
          <w:b/>
          <w:bCs/>
        </w:rPr>
      </w:pPr>
    </w:p>
    <w:p w14:paraId="01C91B2A" w14:textId="77777777" w:rsidR="00221A93" w:rsidRDefault="00221A93" w:rsidP="005866C1">
      <w:pPr>
        <w:spacing w:line="360" w:lineRule="auto"/>
        <w:rPr>
          <w:rFonts w:ascii="Times New Roman" w:hAnsi="Times New Roman" w:cs="Times New Roman"/>
          <w:b/>
          <w:bCs/>
        </w:rPr>
      </w:pPr>
    </w:p>
    <w:p w14:paraId="44E0D645" w14:textId="77777777" w:rsidR="00221A93" w:rsidRDefault="00221A93" w:rsidP="005866C1">
      <w:pPr>
        <w:spacing w:line="360" w:lineRule="auto"/>
        <w:rPr>
          <w:rFonts w:ascii="Times New Roman" w:hAnsi="Times New Roman" w:cs="Times New Roman"/>
          <w:b/>
          <w:bCs/>
        </w:rPr>
      </w:pPr>
    </w:p>
    <w:p w14:paraId="09BFDCFF" w14:textId="3923C8E9" w:rsidR="00F33269" w:rsidRPr="00A42F5D" w:rsidRDefault="00F33269" w:rsidP="005866C1">
      <w:pPr>
        <w:spacing w:line="360" w:lineRule="auto"/>
        <w:rPr>
          <w:rFonts w:ascii="Times New Roman" w:hAnsi="Times New Roman" w:cs="Times New Roman"/>
          <w:b/>
          <w:bCs/>
          <w:i/>
          <w:iCs/>
        </w:rPr>
      </w:pPr>
    </w:p>
    <w:sectPr w:rsidR="00F33269" w:rsidRPr="00A42F5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BBA5" w14:textId="77777777" w:rsidR="00E342FE" w:rsidRDefault="00E342FE" w:rsidP="0002636A">
      <w:pPr>
        <w:spacing w:after="0" w:line="240" w:lineRule="auto"/>
      </w:pPr>
      <w:r>
        <w:separator/>
      </w:r>
    </w:p>
  </w:endnote>
  <w:endnote w:type="continuationSeparator" w:id="0">
    <w:p w14:paraId="288299B5" w14:textId="77777777" w:rsidR="00E342FE" w:rsidRDefault="00E342FE"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314554"/>
      <w:docPartObj>
        <w:docPartGallery w:val="Page Numbers (Bottom of Page)"/>
        <w:docPartUnique/>
      </w:docPartObj>
    </w:sdtPr>
    <w:sdtEndPr>
      <w:rPr>
        <w:noProof/>
      </w:rPr>
    </w:sdtEndPr>
    <w:sdtContent>
      <w:p w14:paraId="09BFDD04" w14:textId="48D601F0" w:rsidR="0002636A" w:rsidRDefault="0002636A">
        <w:pPr>
          <w:pStyle w:val="Footer"/>
          <w:jc w:val="right"/>
        </w:pPr>
        <w:r>
          <w:fldChar w:fldCharType="begin"/>
        </w:r>
        <w:r>
          <w:instrText xml:space="preserve"> PAGE   \* MERGEFORMAT </w:instrText>
        </w:r>
        <w:r>
          <w:fldChar w:fldCharType="separate"/>
        </w:r>
        <w:r w:rsidR="005E2C79">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5C28" w14:textId="77777777" w:rsidR="00E342FE" w:rsidRDefault="00E342FE" w:rsidP="0002636A">
      <w:pPr>
        <w:spacing w:after="0" w:line="240" w:lineRule="auto"/>
      </w:pPr>
      <w:r>
        <w:separator/>
      </w:r>
    </w:p>
  </w:footnote>
  <w:footnote w:type="continuationSeparator" w:id="0">
    <w:p w14:paraId="47FD3532" w14:textId="77777777" w:rsidR="00E342FE" w:rsidRDefault="00E342FE"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AF38DB"/>
    <w:multiLevelType w:val="hybridMultilevel"/>
    <w:tmpl w:val="BC92C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5875999">
    <w:abstractNumId w:val="5"/>
  </w:num>
  <w:num w:numId="2" w16cid:durableId="867596688">
    <w:abstractNumId w:val="1"/>
  </w:num>
  <w:num w:numId="3" w16cid:durableId="1930187962">
    <w:abstractNumId w:val="7"/>
  </w:num>
  <w:num w:numId="4" w16cid:durableId="63070324">
    <w:abstractNumId w:val="12"/>
  </w:num>
  <w:num w:numId="5" w16cid:durableId="90325393">
    <w:abstractNumId w:val="2"/>
  </w:num>
  <w:num w:numId="6" w16cid:durableId="800420638">
    <w:abstractNumId w:val="13"/>
  </w:num>
  <w:num w:numId="7" w16cid:durableId="772821522">
    <w:abstractNumId w:val="0"/>
  </w:num>
  <w:num w:numId="8" w16cid:durableId="702943560">
    <w:abstractNumId w:val="6"/>
  </w:num>
  <w:num w:numId="9" w16cid:durableId="2120250326">
    <w:abstractNumId w:val="3"/>
  </w:num>
  <w:num w:numId="10" w16cid:durableId="21134693">
    <w:abstractNumId w:val="11"/>
  </w:num>
  <w:num w:numId="11" w16cid:durableId="1757743885">
    <w:abstractNumId w:val="9"/>
  </w:num>
  <w:num w:numId="12" w16cid:durableId="1283801073">
    <w:abstractNumId w:val="8"/>
  </w:num>
  <w:num w:numId="13" w16cid:durableId="1905556496">
    <w:abstractNumId w:val="4"/>
  </w:num>
  <w:num w:numId="14" w16cid:durableId="715930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12AD6"/>
    <w:rsid w:val="0002636A"/>
    <w:rsid w:val="000415BA"/>
    <w:rsid w:val="00043840"/>
    <w:rsid w:val="00092565"/>
    <w:rsid w:val="000A66BD"/>
    <w:rsid w:val="000E1EA1"/>
    <w:rsid w:val="000E2C80"/>
    <w:rsid w:val="000F0FB1"/>
    <w:rsid w:val="000F4BE4"/>
    <w:rsid w:val="0010364C"/>
    <w:rsid w:val="00106CBA"/>
    <w:rsid w:val="00132863"/>
    <w:rsid w:val="001469C7"/>
    <w:rsid w:val="0017632E"/>
    <w:rsid w:val="00186EFA"/>
    <w:rsid w:val="00195A18"/>
    <w:rsid w:val="001A56F2"/>
    <w:rsid w:val="001C2A40"/>
    <w:rsid w:val="001C4696"/>
    <w:rsid w:val="001D3031"/>
    <w:rsid w:val="001F05BE"/>
    <w:rsid w:val="00221A93"/>
    <w:rsid w:val="00250613"/>
    <w:rsid w:val="002562BF"/>
    <w:rsid w:val="0026109C"/>
    <w:rsid w:val="00262B9E"/>
    <w:rsid w:val="0027108B"/>
    <w:rsid w:val="002B361E"/>
    <w:rsid w:val="002C5B76"/>
    <w:rsid w:val="002E2783"/>
    <w:rsid w:val="002E5140"/>
    <w:rsid w:val="003117B7"/>
    <w:rsid w:val="003516FD"/>
    <w:rsid w:val="00381AEC"/>
    <w:rsid w:val="003A3CC6"/>
    <w:rsid w:val="003B6050"/>
    <w:rsid w:val="003C6789"/>
    <w:rsid w:val="00431C5B"/>
    <w:rsid w:val="004518A4"/>
    <w:rsid w:val="004709FE"/>
    <w:rsid w:val="0049094A"/>
    <w:rsid w:val="004946B6"/>
    <w:rsid w:val="004A0438"/>
    <w:rsid w:val="004A4086"/>
    <w:rsid w:val="004B3C03"/>
    <w:rsid w:val="004C5655"/>
    <w:rsid w:val="004D51F4"/>
    <w:rsid w:val="004F430F"/>
    <w:rsid w:val="0050398F"/>
    <w:rsid w:val="00521029"/>
    <w:rsid w:val="00522CA3"/>
    <w:rsid w:val="00534143"/>
    <w:rsid w:val="00566C9B"/>
    <w:rsid w:val="0057429A"/>
    <w:rsid w:val="00583699"/>
    <w:rsid w:val="005866C1"/>
    <w:rsid w:val="005B2CF3"/>
    <w:rsid w:val="005D194A"/>
    <w:rsid w:val="005E2C79"/>
    <w:rsid w:val="0063239B"/>
    <w:rsid w:val="00634AE9"/>
    <w:rsid w:val="00635C6A"/>
    <w:rsid w:val="00670C8D"/>
    <w:rsid w:val="00674543"/>
    <w:rsid w:val="00710579"/>
    <w:rsid w:val="007235C8"/>
    <w:rsid w:val="00767451"/>
    <w:rsid w:val="007837B3"/>
    <w:rsid w:val="0078675E"/>
    <w:rsid w:val="007B7195"/>
    <w:rsid w:val="007E5EA8"/>
    <w:rsid w:val="007F1D53"/>
    <w:rsid w:val="007F5FC5"/>
    <w:rsid w:val="008502C6"/>
    <w:rsid w:val="00872B27"/>
    <w:rsid w:val="00894D9D"/>
    <w:rsid w:val="008B2955"/>
    <w:rsid w:val="008C3B99"/>
    <w:rsid w:val="008F69AB"/>
    <w:rsid w:val="00902F3D"/>
    <w:rsid w:val="00911332"/>
    <w:rsid w:val="009227B6"/>
    <w:rsid w:val="00935CE0"/>
    <w:rsid w:val="0094213F"/>
    <w:rsid w:val="00947922"/>
    <w:rsid w:val="00957401"/>
    <w:rsid w:val="009601BB"/>
    <w:rsid w:val="009B1F88"/>
    <w:rsid w:val="009B6322"/>
    <w:rsid w:val="009C0BE2"/>
    <w:rsid w:val="009C7DDA"/>
    <w:rsid w:val="009D2B82"/>
    <w:rsid w:val="00A376E0"/>
    <w:rsid w:val="00A411BF"/>
    <w:rsid w:val="00A42F5D"/>
    <w:rsid w:val="00A728EA"/>
    <w:rsid w:val="00AB3F89"/>
    <w:rsid w:val="00AC39E5"/>
    <w:rsid w:val="00AF0C63"/>
    <w:rsid w:val="00AF2820"/>
    <w:rsid w:val="00AF673F"/>
    <w:rsid w:val="00B273E1"/>
    <w:rsid w:val="00B427D5"/>
    <w:rsid w:val="00B57503"/>
    <w:rsid w:val="00B828BC"/>
    <w:rsid w:val="00BA3F3C"/>
    <w:rsid w:val="00BB7309"/>
    <w:rsid w:val="00C16B35"/>
    <w:rsid w:val="00C63552"/>
    <w:rsid w:val="00C858F4"/>
    <w:rsid w:val="00CE6485"/>
    <w:rsid w:val="00CF14E3"/>
    <w:rsid w:val="00CF5111"/>
    <w:rsid w:val="00D40327"/>
    <w:rsid w:val="00D51A2A"/>
    <w:rsid w:val="00D801E1"/>
    <w:rsid w:val="00DB2DA6"/>
    <w:rsid w:val="00DB54AF"/>
    <w:rsid w:val="00E15112"/>
    <w:rsid w:val="00E23B2F"/>
    <w:rsid w:val="00E342FE"/>
    <w:rsid w:val="00E44073"/>
    <w:rsid w:val="00E6095B"/>
    <w:rsid w:val="00E65AD8"/>
    <w:rsid w:val="00E81349"/>
    <w:rsid w:val="00ED357E"/>
    <w:rsid w:val="00EE2DD7"/>
    <w:rsid w:val="00F10A91"/>
    <w:rsid w:val="00F11561"/>
    <w:rsid w:val="00F26896"/>
    <w:rsid w:val="00F33269"/>
    <w:rsid w:val="00F769DC"/>
    <w:rsid w:val="00FD6AB6"/>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styleId="UnresolvedMention">
    <w:name w:val="Unresolved Mention"/>
    <w:basedOn w:val="DefaultParagraphFont"/>
    <w:uiPriority w:val="99"/>
    <w:semiHidden/>
    <w:unhideWhenUsed/>
    <w:rsid w:val="001A56F2"/>
    <w:rPr>
      <w:color w:val="605E5C"/>
      <w:shd w:val="clear" w:color="auto" w:fill="E1DFDD"/>
    </w:rPr>
  </w:style>
  <w:style w:type="paragraph" w:styleId="Revision">
    <w:name w:val="Revision"/>
    <w:hidden/>
    <w:uiPriority w:val="99"/>
    <w:semiHidden/>
    <w:rsid w:val="00C63552"/>
    <w:pPr>
      <w:spacing w:after="0" w:line="240" w:lineRule="auto"/>
    </w:pPr>
  </w:style>
  <w:style w:type="paragraph" w:styleId="NormalWeb">
    <w:name w:val="Normal (Web)"/>
    <w:basedOn w:val="Normal"/>
    <w:uiPriority w:val="99"/>
    <w:semiHidden/>
    <w:unhideWhenUsed/>
    <w:rsid w:val="008502C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2288">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F15BC31-89A9-4A48-AF87-4A7451EB2E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65CBE5563E0324E9BDB943233702F04" ma:contentTypeVersion="" ma:contentTypeDescription="PDMS Document Site Content Type" ma:contentTypeScope="" ma:versionID="1aba1a4b6c43eedcf45ddd7d7879e24e">
  <xsd:schema xmlns:xsd="http://www.w3.org/2001/XMLSchema" xmlns:xs="http://www.w3.org/2001/XMLSchema" xmlns:p="http://schemas.microsoft.com/office/2006/metadata/properties" xmlns:ns2="DF15BC31-89A9-4A48-AF87-4A7451EB2E52" targetNamespace="http://schemas.microsoft.com/office/2006/metadata/properties" ma:root="true" ma:fieldsID="722dd76a70723deaa29efe296615c78a" ns2:_="">
    <xsd:import namespace="DF15BC31-89A9-4A48-AF87-4A7451EB2E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5BC31-89A9-4A48-AF87-4A7451EB2E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CFBE9-A2B3-47A0-BF33-6EDFDC786B3B}">
  <ds:schemaRefs>
    <ds:schemaRef ds:uri="http://schemas.openxmlformats.org/officeDocument/2006/bibliography"/>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DF15BC31-89A9-4A48-AF87-4A7451EB2E52"/>
  </ds:schemaRefs>
</ds:datastoreItem>
</file>

<file path=customXml/itemProps4.xml><?xml version="1.0" encoding="utf-8"?>
<ds:datastoreItem xmlns:ds="http://schemas.openxmlformats.org/officeDocument/2006/customXml" ds:itemID="{196A4A40-E990-481A-A3DD-DF51EE7AF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5BC31-89A9-4A48-AF87-4A7451EB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Bishop, Madeleine</cp:lastModifiedBy>
  <cp:revision>3</cp:revision>
  <dcterms:created xsi:type="dcterms:W3CDTF">2025-09-08T23:23:00Z</dcterms:created>
  <dcterms:modified xsi:type="dcterms:W3CDTF">2025-09-08T23:35:00Z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0x010100266966F133664895A6EE3632470D45F500A65CBE5563E0324E9BDB943233702F04</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