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FDCC9" w14:textId="08358817" w:rsidR="00670C8D" w:rsidRPr="00A42F5D" w:rsidRDefault="00C572FB" w:rsidP="00F27E97">
      <w:pPr>
        <w:pStyle w:val="Heading1"/>
        <w:spacing w:before="0" w:after="0" w:line="240" w:lineRule="auto"/>
        <w:jc w:val="center"/>
        <w:rPr>
          <w:rFonts w:ascii="Times New Roman" w:hAnsi="Times New Roman"/>
          <w:b/>
          <w:sz w:val="24"/>
          <w:szCs w:val="24"/>
          <w:u w:val="single"/>
        </w:rPr>
      </w:pPr>
      <w:r>
        <w:rPr>
          <w:rFonts w:ascii="Times New Roman" w:hAnsi="Times New Roman"/>
          <w:b/>
          <w:sz w:val="24"/>
          <w:szCs w:val="24"/>
          <w:u w:val="single"/>
        </w:rPr>
        <w:t xml:space="preserve">Regulatory powers (standard provisions) Regulations 2025 </w:t>
      </w:r>
    </w:p>
    <w:p w14:paraId="09BFDCCA" w14:textId="77777777" w:rsidR="00670C8D" w:rsidRPr="00A42F5D" w:rsidRDefault="00670C8D" w:rsidP="00F27E97">
      <w:pPr>
        <w:rPr>
          <w:rFonts w:ascii="Times New Roman" w:hAnsi="Times New Roman"/>
        </w:rPr>
      </w:pPr>
    </w:p>
    <w:p w14:paraId="09BFDCCB" w14:textId="77777777" w:rsidR="00670C8D" w:rsidRPr="00A42F5D" w:rsidRDefault="00670C8D" w:rsidP="00F27E97">
      <w:pPr>
        <w:pStyle w:val="Heading1"/>
        <w:spacing w:before="0" w:after="0" w:line="240" w:lineRule="auto"/>
        <w:jc w:val="center"/>
        <w:rPr>
          <w:rFonts w:ascii="Times New Roman" w:hAnsi="Times New Roman"/>
          <w:b/>
          <w:sz w:val="24"/>
          <w:u w:val="single"/>
        </w:rPr>
      </w:pPr>
    </w:p>
    <w:p w14:paraId="09BFDCCD" w14:textId="273CC910" w:rsidR="00670C8D" w:rsidRPr="00A42F5D" w:rsidRDefault="797FDF2D" w:rsidP="00F27E97">
      <w:pPr>
        <w:pStyle w:val="Heading1"/>
        <w:spacing w:before="0" w:after="0" w:line="240" w:lineRule="auto"/>
        <w:jc w:val="center"/>
        <w:rPr>
          <w:rFonts w:ascii="Times New Roman" w:hAnsi="Times New Roman"/>
          <w:caps w:val="0"/>
          <w:sz w:val="24"/>
          <w:szCs w:val="24"/>
        </w:rPr>
      </w:pPr>
      <w:r w:rsidRPr="00A42F5D">
        <w:rPr>
          <w:rFonts w:ascii="Times New Roman" w:hAnsi="Times New Roman"/>
          <w:b/>
          <w:sz w:val="24"/>
          <w:szCs w:val="24"/>
          <w:u w:val="single"/>
        </w:rPr>
        <w:t xml:space="preserve">EXPLANATORY STATEMENT </w:t>
      </w:r>
    </w:p>
    <w:p w14:paraId="09BFDCCE" w14:textId="77777777" w:rsidR="002B361E" w:rsidRPr="00A42F5D" w:rsidRDefault="002B361E" w:rsidP="00F27E97">
      <w:pPr>
        <w:spacing w:line="360" w:lineRule="auto"/>
        <w:jc w:val="center"/>
        <w:rPr>
          <w:rFonts w:ascii="Times New Roman" w:hAnsi="Times New Roman" w:cs="Times New Roman"/>
          <w:b/>
          <w:sz w:val="24"/>
          <w:u w:val="single"/>
        </w:rPr>
      </w:pPr>
    </w:p>
    <w:p w14:paraId="09BFDCCF" w14:textId="77777777" w:rsidR="005D194A" w:rsidRPr="00A42F5D" w:rsidRDefault="797FDF2D" w:rsidP="00F27E97">
      <w:pPr>
        <w:spacing w:line="360" w:lineRule="auto"/>
        <w:jc w:val="center"/>
        <w:rPr>
          <w:rFonts w:ascii="Times New Roman" w:hAnsi="Times New Roman" w:cs="Times New Roman"/>
        </w:rPr>
      </w:pPr>
      <w:r w:rsidRPr="00A42F5D">
        <w:rPr>
          <w:rFonts w:ascii="Times New Roman" w:hAnsi="Times New Roman" w:cs="Times New Roman"/>
        </w:rPr>
        <w:t xml:space="preserve">Issued by authority of the Attorney-General </w:t>
      </w:r>
    </w:p>
    <w:p w14:paraId="09BFDCD0" w14:textId="77777777" w:rsidR="00AF0C63" w:rsidRPr="00A42F5D" w:rsidRDefault="797FDF2D" w:rsidP="00F27E97">
      <w:pPr>
        <w:spacing w:line="360" w:lineRule="auto"/>
        <w:jc w:val="center"/>
        <w:rPr>
          <w:rFonts w:ascii="Times New Roman" w:hAnsi="Times New Roman" w:cs="Times New Roman"/>
          <w:i/>
          <w:iCs/>
        </w:rPr>
      </w:pPr>
      <w:r w:rsidRPr="00A42F5D">
        <w:rPr>
          <w:rFonts w:ascii="Times New Roman" w:hAnsi="Times New Roman" w:cs="Times New Roman"/>
        </w:rPr>
        <w:t xml:space="preserve">in compliance with section 15J of the </w:t>
      </w:r>
      <w:r w:rsidRPr="00A42F5D">
        <w:rPr>
          <w:rFonts w:ascii="Times New Roman" w:hAnsi="Times New Roman" w:cs="Times New Roman"/>
          <w:i/>
          <w:iCs/>
        </w:rPr>
        <w:t xml:space="preserve">Legislation Act 2003 </w:t>
      </w:r>
    </w:p>
    <w:p w14:paraId="09BFDCD4" w14:textId="77777777" w:rsidR="00AF0C63" w:rsidRPr="00A42F5D" w:rsidRDefault="00AF0C63" w:rsidP="00F27E97">
      <w:pPr>
        <w:spacing w:line="360" w:lineRule="auto"/>
        <w:jc w:val="center"/>
        <w:rPr>
          <w:rFonts w:ascii="Times New Roman" w:hAnsi="Times New Roman" w:cs="Times New Roman"/>
        </w:rPr>
      </w:pPr>
    </w:p>
    <w:p w14:paraId="09BFDCD5" w14:textId="77777777" w:rsidR="0026109C" w:rsidRPr="00A42F5D" w:rsidRDefault="797FDF2D" w:rsidP="00F27E97">
      <w:pPr>
        <w:spacing w:line="360" w:lineRule="auto"/>
        <w:rPr>
          <w:rFonts w:ascii="Times New Roman" w:hAnsi="Times New Roman" w:cs="Times New Roman"/>
          <w:b/>
          <w:bCs/>
          <w:sz w:val="24"/>
          <w:szCs w:val="24"/>
        </w:rPr>
      </w:pPr>
      <w:r w:rsidRPr="00A42F5D">
        <w:rPr>
          <w:rFonts w:ascii="Times New Roman" w:hAnsi="Times New Roman" w:cs="Times New Roman"/>
          <w:b/>
          <w:bCs/>
          <w:caps/>
          <w:sz w:val="24"/>
          <w:szCs w:val="24"/>
        </w:rPr>
        <w:t>Purpose and operation of the Instrument</w:t>
      </w:r>
    </w:p>
    <w:p w14:paraId="7093B9CE" w14:textId="72722843" w:rsidR="00BA10BB" w:rsidRPr="00151031" w:rsidRDefault="00BA10BB" w:rsidP="00F27E97">
      <w:pPr>
        <w:spacing w:after="0" w:line="240" w:lineRule="auto"/>
        <w:ind w:right="91"/>
        <w:rPr>
          <w:rFonts w:ascii="Times New Roman" w:eastAsia="Times New Roman" w:hAnsi="Times New Roman" w:cs="Times New Roman"/>
          <w:lang w:eastAsia="en-AU"/>
        </w:rPr>
      </w:pPr>
      <w:r w:rsidRPr="00151031">
        <w:rPr>
          <w:rFonts w:ascii="Times New Roman" w:eastAsia="Times New Roman" w:hAnsi="Times New Roman" w:cs="Times New Roman"/>
          <w:lang w:eastAsia="en-AU"/>
        </w:rPr>
        <w:t xml:space="preserve">The </w:t>
      </w:r>
      <w:r w:rsidRPr="00151031">
        <w:rPr>
          <w:rFonts w:ascii="Times New Roman" w:eastAsia="Times New Roman" w:hAnsi="Times New Roman" w:cs="Times New Roman"/>
          <w:i/>
          <w:lang w:eastAsia="en-AU"/>
        </w:rPr>
        <w:t xml:space="preserve">Regulatory Powers (Standard Provisions) Act 2014 </w:t>
      </w:r>
      <w:r w:rsidRPr="00151031">
        <w:rPr>
          <w:rFonts w:ascii="Times New Roman" w:eastAsia="Times New Roman" w:hAnsi="Times New Roman" w:cs="Times New Roman"/>
          <w:lang w:eastAsia="en-AU"/>
        </w:rPr>
        <w:t xml:space="preserve">(the Act) provides for a standard suite of provisions in relation to monitoring and investigation powers, as well as enforcement provisions. Section 126 of the Act provides that the Governor-General may make regulations prescribing matters required or permitted to be prescribed by the Act. Paragraphs 35(2)(a) and 76(2)(a) of the Act provide that identity cards used by authorised persons under the Act must satisfy the requirements prescribed by the regulations. </w:t>
      </w:r>
    </w:p>
    <w:p w14:paraId="207F83B5" w14:textId="77777777" w:rsidR="00BA10BB" w:rsidRPr="00151031" w:rsidRDefault="00BA10BB" w:rsidP="00F27E97">
      <w:pPr>
        <w:spacing w:after="0" w:line="240" w:lineRule="auto"/>
        <w:ind w:right="91"/>
        <w:rPr>
          <w:rFonts w:ascii="Times New Roman" w:eastAsia="Times New Roman" w:hAnsi="Times New Roman" w:cs="Times New Roman"/>
          <w:lang w:eastAsia="en-AU"/>
        </w:rPr>
      </w:pPr>
    </w:p>
    <w:p w14:paraId="35A2C2B3" w14:textId="750C219C" w:rsidR="00BA10BB" w:rsidRPr="00151031" w:rsidRDefault="00BA10BB" w:rsidP="00F27E97">
      <w:pPr>
        <w:spacing w:after="0" w:line="240" w:lineRule="auto"/>
        <w:ind w:right="91"/>
        <w:rPr>
          <w:rFonts w:ascii="Times New Roman" w:eastAsia="Times New Roman" w:hAnsi="Times New Roman" w:cs="Times New Roman"/>
          <w:lang w:eastAsia="en-AU"/>
        </w:rPr>
      </w:pPr>
      <w:r w:rsidRPr="00151031">
        <w:rPr>
          <w:rFonts w:ascii="Times New Roman" w:eastAsia="Times New Roman" w:hAnsi="Times New Roman" w:cs="Times New Roman"/>
          <w:lang w:eastAsia="en-AU"/>
        </w:rPr>
        <w:t xml:space="preserve">The Act requires authorised persons to be issued with and carry an identity card when exercising monitoring and investigation powers under the Act. The </w:t>
      </w:r>
      <w:r w:rsidR="008977AC">
        <w:rPr>
          <w:rFonts w:ascii="Times New Roman" w:eastAsia="Times New Roman" w:hAnsi="Times New Roman" w:cs="Times New Roman"/>
          <w:lang w:eastAsia="en-AU"/>
        </w:rPr>
        <w:t xml:space="preserve">Regulations prescribe </w:t>
      </w:r>
      <w:r w:rsidRPr="00151031">
        <w:rPr>
          <w:rFonts w:ascii="Times New Roman" w:eastAsia="Times New Roman" w:hAnsi="Times New Roman" w:cs="Times New Roman"/>
          <w:lang w:eastAsia="en-AU"/>
        </w:rPr>
        <w:t xml:space="preserve">a minimum form for such identity cards to ensure authorised persons are able to verify their authority and are easily identifiable when exercising significant coercive powers under the Act. The Regulations also provide that the Minister may, in writing, authorise identity cards issued by a particular relevant chief executive not to comply with certain requirements, if satisfied it is appropriate to do so. </w:t>
      </w:r>
    </w:p>
    <w:p w14:paraId="647226D9" w14:textId="526B4A37" w:rsidR="00BA10BB" w:rsidRPr="00151031" w:rsidRDefault="00BA10BB" w:rsidP="00F27E97">
      <w:pPr>
        <w:tabs>
          <w:tab w:val="left" w:pos="6521"/>
        </w:tabs>
        <w:spacing w:after="0" w:line="240" w:lineRule="auto"/>
        <w:ind w:right="91"/>
        <w:rPr>
          <w:rFonts w:ascii="Times New Roman" w:eastAsia="Times New Roman" w:hAnsi="Times New Roman" w:cs="Times New Roman"/>
          <w:lang w:eastAsia="en-AU"/>
        </w:rPr>
      </w:pPr>
    </w:p>
    <w:p w14:paraId="606BF0D8" w14:textId="5FFD5485" w:rsidR="00BA10BB" w:rsidRPr="00151031" w:rsidRDefault="00BA10BB" w:rsidP="00F27E97">
      <w:pPr>
        <w:tabs>
          <w:tab w:val="left" w:pos="6521"/>
        </w:tabs>
        <w:spacing w:after="0" w:line="240" w:lineRule="auto"/>
        <w:ind w:right="91"/>
        <w:rPr>
          <w:rFonts w:ascii="Times New Roman" w:eastAsia="Times New Roman" w:hAnsi="Times New Roman" w:cs="Times New Roman"/>
          <w:lang w:eastAsia="en-AU"/>
        </w:rPr>
      </w:pPr>
      <w:r w:rsidRPr="00151031">
        <w:rPr>
          <w:rFonts w:ascii="Times New Roman" w:eastAsia="Times New Roman" w:hAnsi="Times New Roman" w:cs="Times New Roman"/>
          <w:lang w:eastAsia="en-AU"/>
        </w:rPr>
        <w:t xml:space="preserve">The Regulations </w:t>
      </w:r>
      <w:r w:rsidR="008977AC">
        <w:rPr>
          <w:rFonts w:ascii="Times New Roman" w:eastAsia="Times New Roman" w:hAnsi="Times New Roman" w:cs="Times New Roman"/>
          <w:lang w:eastAsia="en-AU"/>
        </w:rPr>
        <w:t xml:space="preserve">are a </w:t>
      </w:r>
      <w:r w:rsidRPr="00151031">
        <w:rPr>
          <w:rFonts w:ascii="Times New Roman" w:eastAsia="Times New Roman" w:hAnsi="Times New Roman" w:cs="Times New Roman"/>
          <w:lang w:eastAsia="en-AU"/>
        </w:rPr>
        <w:t xml:space="preserve">legislative instrument for the purposes of the </w:t>
      </w:r>
      <w:r w:rsidRPr="00151031">
        <w:rPr>
          <w:rFonts w:ascii="Times New Roman" w:eastAsia="Times New Roman" w:hAnsi="Times New Roman" w:cs="Times New Roman"/>
          <w:i/>
          <w:lang w:eastAsia="en-AU"/>
        </w:rPr>
        <w:t>Legislation Act 2003</w:t>
      </w:r>
      <w:r w:rsidRPr="00151031">
        <w:rPr>
          <w:rFonts w:ascii="Times New Roman" w:eastAsia="Times New Roman" w:hAnsi="Times New Roman" w:cs="Times New Roman"/>
          <w:lang w:eastAsia="en-AU"/>
        </w:rPr>
        <w:t xml:space="preserve">. The Regulations commence on the day after registration. </w:t>
      </w:r>
    </w:p>
    <w:p w14:paraId="4E723336" w14:textId="77777777" w:rsidR="00945244" w:rsidRDefault="00945244" w:rsidP="00F27E97">
      <w:pPr>
        <w:spacing w:line="360" w:lineRule="auto"/>
        <w:rPr>
          <w:rFonts w:ascii="Times New Roman" w:hAnsi="Times New Roman" w:cs="Times New Roman"/>
        </w:rPr>
      </w:pPr>
    </w:p>
    <w:p w14:paraId="05E8E973" w14:textId="685CE2B5" w:rsidR="00C572FB" w:rsidRPr="008B09E0" w:rsidRDefault="797FDF2D" w:rsidP="00F27E97">
      <w:pPr>
        <w:spacing w:line="360" w:lineRule="auto"/>
        <w:rPr>
          <w:rFonts w:ascii="Times New Roman" w:hAnsi="Times New Roman" w:cs="Times New Roman"/>
          <w:b/>
          <w:bCs/>
          <w:caps/>
          <w:sz w:val="24"/>
          <w:szCs w:val="24"/>
        </w:rPr>
      </w:pPr>
      <w:r w:rsidRPr="00A42F5D">
        <w:rPr>
          <w:rFonts w:ascii="Times New Roman" w:hAnsi="Times New Roman" w:cs="Times New Roman"/>
          <w:b/>
          <w:bCs/>
          <w:caps/>
          <w:sz w:val="24"/>
          <w:szCs w:val="24"/>
        </w:rPr>
        <w:t>Consultation</w:t>
      </w:r>
    </w:p>
    <w:p w14:paraId="058B7687" w14:textId="2B5FBB3C" w:rsidR="00C572FB" w:rsidRDefault="00383C3D" w:rsidP="00F27E97">
      <w:pPr>
        <w:pStyle w:val="Celltext"/>
        <w:spacing w:after="120"/>
        <w:rPr>
          <w:sz w:val="22"/>
          <w:szCs w:val="24"/>
        </w:rPr>
      </w:pPr>
      <w:r w:rsidRPr="00383C3D">
        <w:rPr>
          <w:sz w:val="22"/>
          <w:szCs w:val="22"/>
        </w:rPr>
        <w:t>The</w:t>
      </w:r>
      <w:r w:rsidRPr="00383C3D">
        <w:rPr>
          <w:i/>
          <w:sz w:val="22"/>
          <w:szCs w:val="22"/>
        </w:rPr>
        <w:t xml:space="preserve"> </w:t>
      </w:r>
      <w:r w:rsidRPr="00383C3D">
        <w:rPr>
          <w:sz w:val="22"/>
          <w:szCs w:val="22"/>
        </w:rPr>
        <w:t xml:space="preserve">Regulations replace the </w:t>
      </w:r>
      <w:r w:rsidRPr="00383C3D">
        <w:rPr>
          <w:i/>
          <w:sz w:val="22"/>
          <w:szCs w:val="22"/>
        </w:rPr>
        <w:t>Regulatory Powers (Stand</w:t>
      </w:r>
      <w:r>
        <w:rPr>
          <w:i/>
          <w:sz w:val="22"/>
          <w:szCs w:val="22"/>
        </w:rPr>
        <w:t>a</w:t>
      </w:r>
      <w:r w:rsidRPr="00383C3D">
        <w:rPr>
          <w:i/>
          <w:sz w:val="22"/>
          <w:szCs w:val="22"/>
        </w:rPr>
        <w:t xml:space="preserve">rd Provisions) Regulation 2015, </w:t>
      </w:r>
      <w:r w:rsidRPr="00383C3D">
        <w:rPr>
          <w:sz w:val="22"/>
          <w:szCs w:val="22"/>
        </w:rPr>
        <w:t>which sunset on 1 October 2025.</w:t>
      </w:r>
      <w:r w:rsidRPr="00383C3D">
        <w:rPr>
          <w:i/>
          <w:sz w:val="22"/>
          <w:szCs w:val="22"/>
        </w:rPr>
        <w:t xml:space="preserve"> </w:t>
      </w:r>
      <w:r w:rsidRPr="00383C3D">
        <w:rPr>
          <w:sz w:val="22"/>
          <w:szCs w:val="22"/>
        </w:rPr>
        <w:t xml:space="preserve"> </w:t>
      </w:r>
      <w:r w:rsidR="008B09E0">
        <w:rPr>
          <w:sz w:val="22"/>
          <w:szCs w:val="24"/>
        </w:rPr>
        <w:t>Th</w:t>
      </w:r>
      <w:r w:rsidR="00C572FB" w:rsidRPr="00C572FB">
        <w:rPr>
          <w:sz w:val="22"/>
          <w:szCs w:val="24"/>
        </w:rPr>
        <w:t xml:space="preserve">e </w:t>
      </w:r>
      <w:r w:rsidR="005B4B9C">
        <w:rPr>
          <w:sz w:val="22"/>
          <w:szCs w:val="24"/>
        </w:rPr>
        <w:t xml:space="preserve">Attorney-General’s Department (the </w:t>
      </w:r>
      <w:r w:rsidR="00C572FB" w:rsidRPr="00C572FB">
        <w:rPr>
          <w:sz w:val="22"/>
          <w:szCs w:val="24"/>
        </w:rPr>
        <w:t>department</w:t>
      </w:r>
      <w:r w:rsidR="005B4B9C">
        <w:rPr>
          <w:sz w:val="22"/>
          <w:szCs w:val="24"/>
        </w:rPr>
        <w:t>)</w:t>
      </w:r>
      <w:r w:rsidR="00C572FB" w:rsidRPr="00C572FB">
        <w:rPr>
          <w:sz w:val="22"/>
          <w:szCs w:val="24"/>
        </w:rPr>
        <w:t xml:space="preserve"> consulted Commonwealth agencies with regulatory functions which utilise the identity cards under the Regulation</w:t>
      </w:r>
      <w:r>
        <w:rPr>
          <w:sz w:val="22"/>
          <w:szCs w:val="24"/>
        </w:rPr>
        <w:t xml:space="preserve">, to determine whether the 2015 instrument needed to be replaced ahead of sunsetting. The department consulted </w:t>
      </w:r>
      <w:r w:rsidR="00C572FB" w:rsidRPr="00C572FB">
        <w:rPr>
          <w:sz w:val="22"/>
          <w:szCs w:val="24"/>
        </w:rPr>
        <w:t>the Department of Agriculture, Fisheries and Forestry; the Department of Finance; the Office of the National Data Commissioner; the Department of Industry, Science and Resources; the Department of Infrastructure, Transport, Regional Development, Communications</w:t>
      </w:r>
      <w:r w:rsidR="0009428A">
        <w:rPr>
          <w:sz w:val="22"/>
          <w:szCs w:val="24"/>
        </w:rPr>
        <w:t>, Sport</w:t>
      </w:r>
      <w:r w:rsidR="00C572FB" w:rsidRPr="00C572FB">
        <w:rPr>
          <w:sz w:val="22"/>
          <w:szCs w:val="24"/>
        </w:rPr>
        <w:t xml:space="preserve"> and the Arts; the National Measurement Institute; and the National Offshore Petroleum Titles Administrator. The department also consulted the Department of the Prime Minister and Cabinet, which administers the Australian Government Branding Guidelines.</w:t>
      </w:r>
      <w:r>
        <w:rPr>
          <w:sz w:val="22"/>
          <w:szCs w:val="24"/>
        </w:rPr>
        <w:t xml:space="preserve"> Agencies</w:t>
      </w:r>
      <w:r w:rsidR="008B09E0">
        <w:rPr>
          <w:sz w:val="22"/>
          <w:szCs w:val="24"/>
        </w:rPr>
        <w:t xml:space="preserve"> supported the Regulation being remade in substantially the same form</w:t>
      </w:r>
      <w:r>
        <w:rPr>
          <w:sz w:val="22"/>
          <w:szCs w:val="24"/>
        </w:rPr>
        <w:t>, as it fulfils ongoing requirements</w:t>
      </w:r>
      <w:r w:rsidR="007C555E">
        <w:rPr>
          <w:sz w:val="22"/>
          <w:szCs w:val="24"/>
        </w:rPr>
        <w:t xml:space="preserve"> under the Act</w:t>
      </w:r>
      <w:r>
        <w:rPr>
          <w:sz w:val="22"/>
          <w:szCs w:val="24"/>
        </w:rPr>
        <w:t xml:space="preserve">. </w:t>
      </w:r>
    </w:p>
    <w:p w14:paraId="20A334E4" w14:textId="77777777" w:rsidR="008B09E0" w:rsidRPr="008B09E0" w:rsidRDefault="008B09E0" w:rsidP="00F27E97">
      <w:pPr>
        <w:pStyle w:val="Celltext"/>
        <w:spacing w:after="120" w:line="360" w:lineRule="auto"/>
        <w:rPr>
          <w:sz w:val="22"/>
          <w:szCs w:val="24"/>
        </w:rPr>
      </w:pPr>
    </w:p>
    <w:p w14:paraId="2108AF51" w14:textId="77777777" w:rsidR="00C572FB" w:rsidRDefault="00C572FB" w:rsidP="00F27E97">
      <w:pPr>
        <w:spacing w:line="360" w:lineRule="auto"/>
        <w:rPr>
          <w:rFonts w:ascii="Times New Roman" w:hAnsi="Times New Roman" w:cs="Times New Roman"/>
        </w:rPr>
      </w:pPr>
    </w:p>
    <w:p w14:paraId="6F28F90A" w14:textId="77777777" w:rsidR="00DC2CCC" w:rsidRDefault="00DC2CCC" w:rsidP="00F27E97">
      <w:pPr>
        <w:rPr>
          <w:rFonts w:ascii="Times New Roman" w:hAnsi="Times New Roman" w:cs="Times New Roman"/>
          <w:b/>
          <w:bCs/>
          <w:caps/>
          <w:sz w:val="24"/>
        </w:rPr>
      </w:pPr>
      <w:r>
        <w:rPr>
          <w:rFonts w:ascii="Times New Roman" w:hAnsi="Times New Roman" w:cs="Times New Roman"/>
          <w:b/>
          <w:bCs/>
          <w:caps/>
          <w:sz w:val="24"/>
        </w:rPr>
        <w:br w:type="page"/>
      </w:r>
    </w:p>
    <w:p w14:paraId="6AB56A24" w14:textId="129EBF99" w:rsidR="00BA10BB" w:rsidRPr="009C7DDA" w:rsidRDefault="00BA10BB" w:rsidP="00F27E97">
      <w:pPr>
        <w:spacing w:line="360" w:lineRule="auto"/>
        <w:rPr>
          <w:rFonts w:ascii="Times New Roman" w:hAnsi="Times New Roman" w:cs="Times New Roman"/>
          <w:b/>
          <w:bCs/>
          <w:caps/>
          <w:sz w:val="24"/>
        </w:rPr>
      </w:pPr>
      <w:r w:rsidRPr="009C7DDA">
        <w:rPr>
          <w:rFonts w:ascii="Times New Roman" w:hAnsi="Times New Roman" w:cs="Times New Roman"/>
          <w:b/>
          <w:bCs/>
          <w:caps/>
          <w:sz w:val="24"/>
        </w:rPr>
        <w:lastRenderedPageBreak/>
        <w:t>Statement of Compatibility with Human Rights</w:t>
      </w:r>
    </w:p>
    <w:p w14:paraId="4CB5C989" w14:textId="77777777" w:rsidR="00BA10BB" w:rsidRPr="009C7DDA" w:rsidRDefault="00BA10BB" w:rsidP="00F27E97">
      <w:pPr>
        <w:pStyle w:val="NormalWeb"/>
        <w:rPr>
          <w:i/>
          <w:color w:val="000000"/>
          <w:sz w:val="22"/>
          <w:szCs w:val="22"/>
        </w:rPr>
      </w:pPr>
      <w:r w:rsidRPr="009C7DDA">
        <w:rPr>
          <w:i/>
          <w:color w:val="000000"/>
          <w:sz w:val="22"/>
          <w:szCs w:val="22"/>
        </w:rPr>
        <w:t>Prepared in accordance with Part 3 of the Human Rights (Parliamentary Scrutiny) Act 2011</w:t>
      </w:r>
    </w:p>
    <w:p w14:paraId="75015A2B" w14:textId="15EC950F" w:rsidR="00BA10BB" w:rsidRPr="009C7DDA" w:rsidRDefault="00BA10BB" w:rsidP="00F27E97">
      <w:pPr>
        <w:pStyle w:val="NormalWeb"/>
        <w:jc w:val="both"/>
        <w:rPr>
          <w:b/>
          <w:color w:val="000000"/>
          <w:sz w:val="22"/>
          <w:szCs w:val="22"/>
        </w:rPr>
      </w:pPr>
      <w:r>
        <w:rPr>
          <w:b/>
          <w:color w:val="000000"/>
          <w:sz w:val="22"/>
          <w:szCs w:val="22"/>
        </w:rPr>
        <w:t>Regulatory Powers (Standard Provisions)</w:t>
      </w:r>
      <w:r w:rsidRPr="009C7DDA">
        <w:rPr>
          <w:b/>
          <w:color w:val="000000"/>
          <w:sz w:val="22"/>
          <w:szCs w:val="22"/>
        </w:rPr>
        <w:t xml:space="preserve"> Regulations 2025</w:t>
      </w:r>
    </w:p>
    <w:p w14:paraId="4FED15D0" w14:textId="77777777" w:rsidR="00BA10BB" w:rsidRPr="009C7DDA" w:rsidRDefault="00BA10BB" w:rsidP="00F27E97">
      <w:pPr>
        <w:pStyle w:val="NormalWeb"/>
        <w:rPr>
          <w:color w:val="000000"/>
          <w:sz w:val="22"/>
          <w:szCs w:val="22"/>
        </w:rPr>
      </w:pPr>
      <w:r w:rsidRPr="009C7DDA">
        <w:rPr>
          <w:color w:val="000000"/>
          <w:sz w:val="22"/>
          <w:szCs w:val="22"/>
        </w:rPr>
        <w:t xml:space="preserve">This Legislative Instrument is compatible with the human rights and freedoms recognised or declared in the international instruments listed in section 3 of the </w:t>
      </w:r>
      <w:r w:rsidRPr="009C7DDA">
        <w:rPr>
          <w:i/>
          <w:color w:val="000000"/>
          <w:sz w:val="22"/>
          <w:szCs w:val="22"/>
        </w:rPr>
        <w:t>Human Rights (Parliamentary Scrutiny) Act 2011.</w:t>
      </w:r>
    </w:p>
    <w:p w14:paraId="556A9F82" w14:textId="77777777" w:rsidR="00BA10BB" w:rsidRPr="009C7DDA" w:rsidRDefault="00BA10BB" w:rsidP="00F27E97">
      <w:pPr>
        <w:pStyle w:val="NormalWeb"/>
        <w:rPr>
          <w:b/>
          <w:color w:val="000000"/>
          <w:sz w:val="22"/>
          <w:szCs w:val="22"/>
        </w:rPr>
      </w:pPr>
      <w:r w:rsidRPr="009C7DDA">
        <w:rPr>
          <w:b/>
          <w:color w:val="000000"/>
          <w:sz w:val="22"/>
          <w:szCs w:val="22"/>
        </w:rPr>
        <w:t>Overview of the Legislative Instrument</w:t>
      </w:r>
    </w:p>
    <w:p w14:paraId="5C21DF97" w14:textId="77777777" w:rsidR="00F17BF0" w:rsidRPr="00151031" w:rsidRDefault="00F17BF0" w:rsidP="00F27E97">
      <w:pPr>
        <w:spacing w:after="0" w:line="240" w:lineRule="auto"/>
        <w:ind w:right="91"/>
        <w:rPr>
          <w:rFonts w:ascii="Times New Roman" w:eastAsia="Times New Roman" w:hAnsi="Times New Roman" w:cs="Times New Roman"/>
          <w:lang w:eastAsia="en-AU"/>
        </w:rPr>
      </w:pPr>
      <w:r w:rsidRPr="00151031">
        <w:rPr>
          <w:rFonts w:ascii="Times New Roman" w:eastAsia="Times New Roman" w:hAnsi="Times New Roman" w:cs="Times New Roman"/>
          <w:lang w:eastAsia="en-AU"/>
        </w:rPr>
        <w:t xml:space="preserve">The </w:t>
      </w:r>
      <w:r w:rsidRPr="00151031">
        <w:rPr>
          <w:rFonts w:ascii="Times New Roman" w:eastAsia="Times New Roman" w:hAnsi="Times New Roman" w:cs="Times New Roman"/>
          <w:i/>
          <w:lang w:eastAsia="en-AU"/>
        </w:rPr>
        <w:t xml:space="preserve">Regulatory Powers (Standard Provisions) Act 2014 </w:t>
      </w:r>
      <w:r w:rsidRPr="00151031">
        <w:rPr>
          <w:rFonts w:ascii="Times New Roman" w:eastAsia="Times New Roman" w:hAnsi="Times New Roman" w:cs="Times New Roman"/>
          <w:lang w:eastAsia="en-AU"/>
        </w:rPr>
        <w:t xml:space="preserve">(the Act) provides for a standard suite of provisions in relation to monitoring and investigation powers, as well as enforcement provisions. Section 126 of the Act provides that the Governor-General may make regulations prescribing matters required or permitted to be prescribed by the Act. Paragraphs 35(2)(a) and 76(2)(a) of the Act provide that identity cards used by authorised persons under the Act must satisfy the requirements prescribed by the regulations. </w:t>
      </w:r>
    </w:p>
    <w:p w14:paraId="3B20ABEB" w14:textId="3AEB54C6" w:rsidR="00AF1C2F" w:rsidRPr="00151031" w:rsidRDefault="00AF1C2F" w:rsidP="00F27E97">
      <w:pPr>
        <w:pStyle w:val="NormalWeb"/>
        <w:rPr>
          <w:sz w:val="22"/>
        </w:rPr>
      </w:pPr>
      <w:r w:rsidRPr="00151031">
        <w:rPr>
          <w:sz w:val="22"/>
        </w:rPr>
        <w:t xml:space="preserve">The </w:t>
      </w:r>
      <w:r w:rsidR="00F17BF0">
        <w:rPr>
          <w:sz w:val="22"/>
        </w:rPr>
        <w:t>Act</w:t>
      </w:r>
      <w:r w:rsidRPr="00151031">
        <w:rPr>
          <w:sz w:val="22"/>
        </w:rPr>
        <w:t xml:space="preserve"> </w:t>
      </w:r>
      <w:r w:rsidR="00151031" w:rsidRPr="00151031">
        <w:rPr>
          <w:sz w:val="22"/>
        </w:rPr>
        <w:t xml:space="preserve">requires authorised persons to be issued with </w:t>
      </w:r>
      <w:r w:rsidR="00151031" w:rsidRPr="008977AC">
        <w:rPr>
          <w:sz w:val="22"/>
          <w:szCs w:val="22"/>
        </w:rPr>
        <w:t xml:space="preserve">and carry an identity card when exercising monitoring and investigation powers under the Act. </w:t>
      </w:r>
      <w:r w:rsidR="008977AC" w:rsidRPr="008977AC">
        <w:rPr>
          <w:sz w:val="22"/>
          <w:szCs w:val="22"/>
        </w:rPr>
        <w:t xml:space="preserve">The </w:t>
      </w:r>
      <w:r w:rsidR="008977AC" w:rsidRPr="008977AC">
        <w:rPr>
          <w:i/>
          <w:sz w:val="22"/>
          <w:szCs w:val="22"/>
        </w:rPr>
        <w:t xml:space="preserve">Regulatory Powers (Standard Provisions) Regulations 2025 </w:t>
      </w:r>
      <w:r w:rsidR="008977AC" w:rsidRPr="008977AC">
        <w:rPr>
          <w:sz w:val="22"/>
          <w:szCs w:val="22"/>
        </w:rPr>
        <w:t xml:space="preserve">(the Regulations) </w:t>
      </w:r>
      <w:r w:rsidR="00151031" w:rsidRPr="008977AC">
        <w:rPr>
          <w:sz w:val="22"/>
          <w:szCs w:val="22"/>
        </w:rPr>
        <w:t>prescribe a minimum</w:t>
      </w:r>
      <w:r w:rsidR="00151031" w:rsidRPr="008977AC">
        <w:t xml:space="preserve"> </w:t>
      </w:r>
      <w:r w:rsidR="00151031" w:rsidRPr="00151031">
        <w:rPr>
          <w:sz w:val="22"/>
        </w:rPr>
        <w:t xml:space="preserve">form for such identity cards to ensure authorised persons are able to verify their authority and are </w:t>
      </w:r>
      <w:r w:rsidR="00151031" w:rsidRPr="00151031">
        <w:rPr>
          <w:sz w:val="22"/>
          <w:szCs w:val="22"/>
        </w:rPr>
        <w:t xml:space="preserve">easily identifiable when exercising significant coercive powers under the Act. The Regulations </w:t>
      </w:r>
      <w:r w:rsidR="008977AC">
        <w:rPr>
          <w:sz w:val="22"/>
          <w:szCs w:val="22"/>
        </w:rPr>
        <w:t xml:space="preserve">also </w:t>
      </w:r>
      <w:r w:rsidR="00151031" w:rsidRPr="00151031">
        <w:rPr>
          <w:sz w:val="22"/>
          <w:szCs w:val="22"/>
        </w:rPr>
        <w:t>provide that the Minister may, in writing, authorise identity cards issued by a particular relevant chief executive not to comply with certain requirements, if satisfied it is appropriate to do so.</w:t>
      </w:r>
    </w:p>
    <w:p w14:paraId="2BF630CE" w14:textId="77777777" w:rsidR="00BA10BB" w:rsidRPr="009C7DDA" w:rsidRDefault="00BA10BB" w:rsidP="00F27E97">
      <w:pPr>
        <w:pStyle w:val="NormalWeb"/>
        <w:rPr>
          <w:b/>
          <w:color w:val="000000"/>
          <w:sz w:val="22"/>
          <w:szCs w:val="22"/>
        </w:rPr>
      </w:pPr>
      <w:r w:rsidRPr="009C7DDA">
        <w:rPr>
          <w:b/>
          <w:color w:val="000000"/>
          <w:sz w:val="22"/>
          <w:szCs w:val="22"/>
        </w:rPr>
        <w:t>Human rights implications</w:t>
      </w:r>
    </w:p>
    <w:p w14:paraId="1EBB2109" w14:textId="77777777" w:rsidR="00BA10BB" w:rsidRPr="009C7DDA" w:rsidRDefault="00BA10BB" w:rsidP="00F27E97">
      <w:pPr>
        <w:pStyle w:val="NormalWeb"/>
        <w:rPr>
          <w:color w:val="000000"/>
          <w:sz w:val="22"/>
          <w:szCs w:val="22"/>
        </w:rPr>
      </w:pPr>
      <w:r w:rsidRPr="009C7DDA">
        <w:rPr>
          <w:color w:val="000000"/>
          <w:sz w:val="22"/>
          <w:szCs w:val="22"/>
        </w:rPr>
        <w:t>This Legislative Instrument does not engage any of the applicable rights or freedoms.</w:t>
      </w:r>
    </w:p>
    <w:p w14:paraId="6DD404DB" w14:textId="77777777" w:rsidR="00BA10BB" w:rsidRPr="009C7DDA" w:rsidRDefault="00BA10BB" w:rsidP="00F27E97">
      <w:pPr>
        <w:pStyle w:val="NormalWeb"/>
        <w:rPr>
          <w:b/>
          <w:color w:val="000000"/>
          <w:sz w:val="22"/>
          <w:szCs w:val="22"/>
        </w:rPr>
      </w:pPr>
      <w:r w:rsidRPr="009C7DDA">
        <w:rPr>
          <w:b/>
          <w:color w:val="000000"/>
          <w:sz w:val="22"/>
          <w:szCs w:val="22"/>
        </w:rPr>
        <w:t>Conclusion</w:t>
      </w:r>
    </w:p>
    <w:p w14:paraId="79CB3A4B" w14:textId="77777777" w:rsidR="00BA10BB" w:rsidRPr="009C7DDA" w:rsidRDefault="00BA10BB" w:rsidP="00F27E97">
      <w:pPr>
        <w:pStyle w:val="NormalWeb"/>
        <w:rPr>
          <w:color w:val="000000"/>
          <w:sz w:val="22"/>
          <w:szCs w:val="22"/>
        </w:rPr>
      </w:pPr>
      <w:r w:rsidRPr="009C7DDA">
        <w:rPr>
          <w:color w:val="000000"/>
          <w:sz w:val="22"/>
          <w:szCs w:val="22"/>
        </w:rPr>
        <w:t>This Legislative Instrument is compatible with human rights as it does not raise any human rights issues.</w:t>
      </w:r>
    </w:p>
    <w:p w14:paraId="1B27E9DD" w14:textId="77777777" w:rsidR="00151031" w:rsidRDefault="00151031" w:rsidP="00F27E97">
      <w:pPr>
        <w:spacing w:line="360" w:lineRule="auto"/>
        <w:jc w:val="right"/>
        <w:rPr>
          <w:rFonts w:ascii="Times New Roman" w:hAnsi="Times New Roman" w:cs="Times New Roman"/>
          <w:b/>
          <w:bCs/>
        </w:rPr>
      </w:pPr>
    </w:p>
    <w:p w14:paraId="681EA949" w14:textId="77777777" w:rsidR="00151031" w:rsidRDefault="00151031" w:rsidP="00F27E97">
      <w:pPr>
        <w:spacing w:line="360" w:lineRule="auto"/>
        <w:jc w:val="right"/>
        <w:rPr>
          <w:rFonts w:ascii="Times New Roman" w:hAnsi="Times New Roman" w:cs="Times New Roman"/>
          <w:b/>
          <w:bCs/>
        </w:rPr>
      </w:pPr>
    </w:p>
    <w:p w14:paraId="78360430" w14:textId="77777777" w:rsidR="00151031" w:rsidRDefault="00151031" w:rsidP="00F27E97">
      <w:pPr>
        <w:spacing w:line="360" w:lineRule="auto"/>
        <w:jc w:val="right"/>
        <w:rPr>
          <w:rFonts w:ascii="Times New Roman" w:hAnsi="Times New Roman" w:cs="Times New Roman"/>
          <w:b/>
          <w:bCs/>
        </w:rPr>
      </w:pPr>
    </w:p>
    <w:p w14:paraId="313249E9" w14:textId="77777777" w:rsidR="00151031" w:rsidRDefault="00151031" w:rsidP="00F27E97">
      <w:pPr>
        <w:spacing w:line="360" w:lineRule="auto"/>
        <w:jc w:val="right"/>
        <w:rPr>
          <w:rFonts w:ascii="Times New Roman" w:hAnsi="Times New Roman" w:cs="Times New Roman"/>
          <w:b/>
          <w:bCs/>
        </w:rPr>
      </w:pPr>
    </w:p>
    <w:p w14:paraId="49201529" w14:textId="77777777" w:rsidR="00151031" w:rsidRDefault="00151031" w:rsidP="00F27E97">
      <w:pPr>
        <w:spacing w:line="360" w:lineRule="auto"/>
        <w:jc w:val="right"/>
        <w:rPr>
          <w:rFonts w:ascii="Times New Roman" w:hAnsi="Times New Roman" w:cs="Times New Roman"/>
          <w:b/>
          <w:bCs/>
        </w:rPr>
      </w:pPr>
    </w:p>
    <w:p w14:paraId="067D8C18" w14:textId="41C4C1FD" w:rsidR="00151031" w:rsidRDefault="00151031" w:rsidP="00F27E97">
      <w:pPr>
        <w:spacing w:line="360" w:lineRule="auto"/>
        <w:jc w:val="right"/>
        <w:rPr>
          <w:rFonts w:ascii="Times New Roman" w:hAnsi="Times New Roman" w:cs="Times New Roman"/>
          <w:b/>
          <w:bCs/>
        </w:rPr>
      </w:pPr>
    </w:p>
    <w:p w14:paraId="3452ECF7" w14:textId="77777777" w:rsidR="00945244" w:rsidRDefault="00945244" w:rsidP="00F27E97">
      <w:pPr>
        <w:spacing w:line="360" w:lineRule="auto"/>
        <w:jc w:val="right"/>
        <w:rPr>
          <w:rFonts w:ascii="Times New Roman" w:hAnsi="Times New Roman" w:cs="Times New Roman"/>
          <w:b/>
          <w:bCs/>
        </w:rPr>
      </w:pPr>
    </w:p>
    <w:p w14:paraId="791029B9" w14:textId="77777777" w:rsidR="00151031" w:rsidRDefault="00151031" w:rsidP="00F27E97">
      <w:pPr>
        <w:spacing w:line="360" w:lineRule="auto"/>
        <w:jc w:val="right"/>
        <w:rPr>
          <w:rFonts w:ascii="Times New Roman" w:hAnsi="Times New Roman" w:cs="Times New Roman"/>
          <w:b/>
          <w:bCs/>
        </w:rPr>
      </w:pPr>
    </w:p>
    <w:p w14:paraId="51D7551F" w14:textId="5FC34AD7" w:rsidR="00BA10BB" w:rsidRPr="00151031" w:rsidRDefault="00BA10BB" w:rsidP="00F27E97">
      <w:pPr>
        <w:spacing w:line="360" w:lineRule="auto"/>
        <w:jc w:val="right"/>
        <w:rPr>
          <w:rFonts w:ascii="Times New Roman" w:hAnsi="Times New Roman" w:cs="Times New Roman"/>
          <w:b/>
          <w:bCs/>
        </w:rPr>
      </w:pPr>
      <w:r w:rsidRPr="009C7DDA">
        <w:rPr>
          <w:rFonts w:ascii="Times New Roman" w:hAnsi="Times New Roman" w:cs="Times New Roman"/>
          <w:b/>
          <w:bCs/>
        </w:rPr>
        <w:lastRenderedPageBreak/>
        <w:t>Attachment A</w:t>
      </w:r>
    </w:p>
    <w:p w14:paraId="09BFDCED" w14:textId="24FE7B92" w:rsidR="00186EFA" w:rsidRPr="00A42F5D" w:rsidRDefault="797FDF2D" w:rsidP="00F27E97">
      <w:pPr>
        <w:spacing w:line="360" w:lineRule="auto"/>
        <w:rPr>
          <w:rFonts w:ascii="Times New Roman" w:hAnsi="Times New Roman" w:cs="Times New Roman"/>
          <w:b/>
          <w:bCs/>
          <w:sz w:val="24"/>
          <w:szCs w:val="24"/>
        </w:rPr>
      </w:pPr>
      <w:r w:rsidRPr="00A42F5D">
        <w:rPr>
          <w:rFonts w:ascii="Times New Roman" w:hAnsi="Times New Roman" w:cs="Times New Roman"/>
          <w:b/>
          <w:bCs/>
          <w:sz w:val="24"/>
          <w:szCs w:val="24"/>
        </w:rPr>
        <w:t>NOTES ON SECTIONS</w:t>
      </w:r>
    </w:p>
    <w:p w14:paraId="12573A07" w14:textId="77777777" w:rsidR="00BA10BB" w:rsidRPr="00074F63" w:rsidRDefault="00BA10BB" w:rsidP="00F27E97">
      <w:pPr>
        <w:spacing w:before="360" w:after="0" w:line="240" w:lineRule="auto"/>
        <w:rPr>
          <w:rFonts w:ascii="Times New Roman" w:hAnsi="Times New Roman" w:cs="Times New Roman"/>
          <w:b/>
          <w:u w:val="single"/>
        </w:rPr>
      </w:pPr>
      <w:r w:rsidRPr="00074F63">
        <w:rPr>
          <w:rFonts w:ascii="Times New Roman" w:hAnsi="Times New Roman" w:cs="Times New Roman"/>
          <w:b/>
          <w:u w:val="single"/>
        </w:rPr>
        <w:t>Part 1</w:t>
      </w:r>
    </w:p>
    <w:p w14:paraId="61BD8CEB" w14:textId="77777777" w:rsidR="00BA10BB" w:rsidRPr="00074F63" w:rsidRDefault="00BA10BB" w:rsidP="00F27E97">
      <w:pPr>
        <w:spacing w:before="360" w:after="0" w:line="240" w:lineRule="auto"/>
        <w:rPr>
          <w:rFonts w:ascii="Times New Roman" w:hAnsi="Times New Roman" w:cs="Times New Roman"/>
          <w:b/>
        </w:rPr>
      </w:pPr>
      <w:r w:rsidRPr="00074F63">
        <w:rPr>
          <w:rFonts w:ascii="Times New Roman" w:hAnsi="Times New Roman" w:cs="Times New Roman"/>
          <w:b/>
        </w:rPr>
        <w:t>Section 1 – Name</w:t>
      </w:r>
    </w:p>
    <w:p w14:paraId="416814F8" w14:textId="380A76A8" w:rsidR="00BA10BB" w:rsidRDefault="00BA10BB" w:rsidP="00F27E97">
      <w:pPr>
        <w:spacing w:before="360" w:after="0" w:line="240" w:lineRule="auto"/>
        <w:rPr>
          <w:rFonts w:ascii="Times New Roman" w:hAnsi="Times New Roman" w:cs="Times New Roman"/>
          <w:b/>
        </w:rPr>
      </w:pPr>
      <w:r w:rsidRPr="00074F63">
        <w:rPr>
          <w:rFonts w:ascii="Times New Roman" w:hAnsi="Times New Roman" w:cs="Times New Roman"/>
        </w:rPr>
        <w:t>This section provide</w:t>
      </w:r>
      <w:r w:rsidR="008977AC" w:rsidRPr="00074F63">
        <w:rPr>
          <w:rFonts w:ascii="Times New Roman" w:hAnsi="Times New Roman" w:cs="Times New Roman"/>
        </w:rPr>
        <w:t>s</w:t>
      </w:r>
      <w:r w:rsidRPr="00074F63">
        <w:rPr>
          <w:rFonts w:ascii="Times New Roman" w:hAnsi="Times New Roman" w:cs="Times New Roman"/>
        </w:rPr>
        <w:t xml:space="preserve"> that the title of the instrument is the </w:t>
      </w:r>
      <w:r w:rsidRPr="00074F63">
        <w:rPr>
          <w:rFonts w:ascii="Times New Roman" w:hAnsi="Times New Roman" w:cs="Times New Roman"/>
          <w:i/>
        </w:rPr>
        <w:t xml:space="preserve">Regulatory Powers (Standard Provisions) Regulations 2025. </w:t>
      </w:r>
    </w:p>
    <w:p w14:paraId="59B257CA" w14:textId="40EA2FCD" w:rsidR="00BA10BB" w:rsidRPr="00074F63" w:rsidRDefault="00945244" w:rsidP="00F27E97">
      <w:pPr>
        <w:spacing w:before="360" w:after="0" w:line="240" w:lineRule="auto"/>
        <w:rPr>
          <w:rFonts w:ascii="Times New Roman" w:hAnsi="Times New Roman" w:cs="Times New Roman"/>
          <w:b/>
        </w:rPr>
      </w:pPr>
      <w:r>
        <w:rPr>
          <w:rFonts w:ascii="Times New Roman" w:hAnsi="Times New Roman" w:cs="Times New Roman"/>
          <w:b/>
        </w:rPr>
        <w:t>S</w:t>
      </w:r>
      <w:r w:rsidR="00BA10BB" w:rsidRPr="00074F63">
        <w:rPr>
          <w:rFonts w:ascii="Times New Roman" w:hAnsi="Times New Roman" w:cs="Times New Roman"/>
          <w:b/>
        </w:rPr>
        <w:t>ection 2 – Commencement</w:t>
      </w:r>
    </w:p>
    <w:p w14:paraId="29DEC503" w14:textId="66CF0657" w:rsidR="00BA10BB" w:rsidRPr="00074F63" w:rsidRDefault="00BA10BB" w:rsidP="00F27E97">
      <w:pPr>
        <w:spacing w:before="240" w:after="0" w:line="240" w:lineRule="auto"/>
        <w:rPr>
          <w:rFonts w:ascii="Times New Roman" w:hAnsi="Times New Roman" w:cs="Times New Roman"/>
        </w:rPr>
      </w:pPr>
      <w:r w:rsidRPr="00074F63">
        <w:rPr>
          <w:rFonts w:ascii="Times New Roman" w:hAnsi="Times New Roman" w:cs="Times New Roman"/>
        </w:rPr>
        <w:t>This section provide</w:t>
      </w:r>
      <w:r w:rsidR="008977AC" w:rsidRPr="00074F63">
        <w:rPr>
          <w:rFonts w:ascii="Times New Roman" w:hAnsi="Times New Roman" w:cs="Times New Roman"/>
        </w:rPr>
        <w:t>s</w:t>
      </w:r>
      <w:r w:rsidRPr="00074F63">
        <w:rPr>
          <w:rFonts w:ascii="Times New Roman" w:hAnsi="Times New Roman" w:cs="Times New Roman"/>
        </w:rPr>
        <w:t xml:space="preserve"> for the commencement of each provision under the proposed Regulations. </w:t>
      </w:r>
    </w:p>
    <w:p w14:paraId="05D9528B" w14:textId="4DE3C0BE" w:rsidR="00BA10BB" w:rsidRPr="00945244" w:rsidRDefault="00BA10BB" w:rsidP="00F27E97">
      <w:pPr>
        <w:spacing w:before="240" w:after="0" w:line="240" w:lineRule="auto"/>
        <w:rPr>
          <w:rFonts w:ascii="Times New Roman" w:hAnsi="Times New Roman" w:cs="Times New Roman"/>
        </w:rPr>
      </w:pPr>
      <w:r w:rsidRPr="00074F63">
        <w:rPr>
          <w:rFonts w:ascii="Times New Roman" w:hAnsi="Times New Roman" w:cs="Times New Roman"/>
        </w:rPr>
        <w:t>Table item 1 provide</w:t>
      </w:r>
      <w:r w:rsidR="008977AC" w:rsidRPr="00074F63">
        <w:rPr>
          <w:rFonts w:ascii="Times New Roman" w:hAnsi="Times New Roman" w:cs="Times New Roman"/>
        </w:rPr>
        <w:t>s</w:t>
      </w:r>
      <w:r w:rsidRPr="00074F63">
        <w:rPr>
          <w:rFonts w:ascii="Times New Roman" w:hAnsi="Times New Roman" w:cs="Times New Roman"/>
        </w:rPr>
        <w:t xml:space="preserve"> that the whole of the proposed Regulations commence</w:t>
      </w:r>
      <w:r w:rsidR="00DC2CCC">
        <w:rPr>
          <w:rFonts w:ascii="Times New Roman" w:hAnsi="Times New Roman" w:cs="Times New Roman"/>
        </w:rPr>
        <w:t>s</w:t>
      </w:r>
      <w:r w:rsidRPr="00074F63">
        <w:rPr>
          <w:rFonts w:ascii="Times New Roman" w:hAnsi="Times New Roman" w:cs="Times New Roman"/>
        </w:rPr>
        <w:t xml:space="preserve"> the day after registration. </w:t>
      </w:r>
    </w:p>
    <w:p w14:paraId="3A5368E2" w14:textId="50F94503" w:rsidR="00BA10BB" w:rsidRPr="00074F63" w:rsidRDefault="00BA10BB" w:rsidP="00F27E97">
      <w:pPr>
        <w:spacing w:before="360" w:after="0" w:line="240" w:lineRule="auto"/>
        <w:rPr>
          <w:rFonts w:ascii="Times New Roman" w:hAnsi="Times New Roman" w:cs="Times New Roman"/>
          <w:b/>
        </w:rPr>
      </w:pPr>
      <w:r w:rsidRPr="00074F63">
        <w:rPr>
          <w:rFonts w:ascii="Times New Roman" w:hAnsi="Times New Roman" w:cs="Times New Roman"/>
          <w:b/>
        </w:rPr>
        <w:t>Section 3 – Authority</w:t>
      </w:r>
    </w:p>
    <w:p w14:paraId="289B235D" w14:textId="60D42C98" w:rsidR="00BA10BB" w:rsidRPr="00945244" w:rsidRDefault="00BA10BB" w:rsidP="00F27E97">
      <w:pPr>
        <w:spacing w:before="240" w:after="0" w:line="240" w:lineRule="auto"/>
        <w:rPr>
          <w:rFonts w:ascii="Times New Roman" w:hAnsi="Times New Roman" w:cs="Times New Roman"/>
          <w:i/>
        </w:rPr>
      </w:pPr>
      <w:r w:rsidRPr="00074F63">
        <w:rPr>
          <w:rFonts w:ascii="Times New Roman" w:hAnsi="Times New Roman" w:cs="Times New Roman"/>
        </w:rPr>
        <w:t>This section provide</w:t>
      </w:r>
      <w:r w:rsidR="008977AC" w:rsidRPr="00074F63">
        <w:rPr>
          <w:rFonts w:ascii="Times New Roman" w:hAnsi="Times New Roman" w:cs="Times New Roman"/>
        </w:rPr>
        <w:t>s</w:t>
      </w:r>
      <w:r w:rsidRPr="00074F63">
        <w:rPr>
          <w:rFonts w:ascii="Times New Roman" w:hAnsi="Times New Roman" w:cs="Times New Roman"/>
        </w:rPr>
        <w:t xml:space="preserve"> that the instrument is made under the </w:t>
      </w:r>
      <w:r w:rsidRPr="00074F63">
        <w:rPr>
          <w:rFonts w:ascii="Times New Roman" w:hAnsi="Times New Roman" w:cs="Times New Roman"/>
          <w:i/>
        </w:rPr>
        <w:t xml:space="preserve">Regulatory Powers (Standard Provisions) Act 2014. </w:t>
      </w:r>
    </w:p>
    <w:p w14:paraId="62306B5E" w14:textId="7D4058C9" w:rsidR="00BA10BB" w:rsidRPr="00074F63" w:rsidRDefault="00BA10BB" w:rsidP="00F27E97">
      <w:pPr>
        <w:spacing w:before="360" w:after="0" w:line="240" w:lineRule="auto"/>
        <w:rPr>
          <w:rFonts w:ascii="Times New Roman" w:hAnsi="Times New Roman" w:cs="Times New Roman"/>
          <w:b/>
        </w:rPr>
      </w:pPr>
      <w:r w:rsidRPr="00074F63">
        <w:rPr>
          <w:rFonts w:ascii="Times New Roman" w:hAnsi="Times New Roman" w:cs="Times New Roman"/>
          <w:b/>
        </w:rPr>
        <w:t>Section 4 – Schedules</w:t>
      </w:r>
    </w:p>
    <w:p w14:paraId="70D7BFC8" w14:textId="46BFA0A7" w:rsidR="00BA10BB" w:rsidRPr="00945244" w:rsidRDefault="00BA10BB" w:rsidP="00F27E97">
      <w:pPr>
        <w:spacing w:before="240" w:after="0" w:line="240" w:lineRule="auto"/>
        <w:rPr>
          <w:rFonts w:ascii="Times New Roman" w:hAnsi="Times New Roman" w:cs="Times New Roman"/>
        </w:rPr>
      </w:pPr>
      <w:r w:rsidRPr="00074F63">
        <w:rPr>
          <w:rFonts w:ascii="Times New Roman" w:hAnsi="Times New Roman" w:cs="Times New Roman"/>
        </w:rPr>
        <w:t>This section provide</w:t>
      </w:r>
      <w:r w:rsidR="008977AC" w:rsidRPr="00074F63">
        <w:rPr>
          <w:rFonts w:ascii="Times New Roman" w:hAnsi="Times New Roman" w:cs="Times New Roman"/>
        </w:rPr>
        <w:t>s</w:t>
      </w:r>
      <w:r w:rsidRPr="00074F63">
        <w:rPr>
          <w:rFonts w:ascii="Times New Roman" w:hAnsi="Times New Roman" w:cs="Times New Roman"/>
        </w:rPr>
        <w:t xml:space="preserve"> that each instrument that is specified in a Schedule to this instrument is amended or repealed as set out in the applicable items in the Schedule concerned, and any other item in a Schedule to the instrument has effect according to its terms. </w:t>
      </w:r>
    </w:p>
    <w:p w14:paraId="212A9E0E" w14:textId="62A86280" w:rsidR="00BA10BB" w:rsidRPr="00074F63" w:rsidRDefault="00BA10BB" w:rsidP="00F27E97">
      <w:pPr>
        <w:spacing w:before="360" w:after="0" w:line="240" w:lineRule="auto"/>
        <w:rPr>
          <w:rFonts w:ascii="Times New Roman" w:hAnsi="Times New Roman" w:cs="Times New Roman"/>
          <w:b/>
        </w:rPr>
      </w:pPr>
      <w:r w:rsidRPr="00074F63">
        <w:rPr>
          <w:rFonts w:ascii="Times New Roman" w:hAnsi="Times New Roman" w:cs="Times New Roman"/>
          <w:b/>
        </w:rPr>
        <w:t>Section 5 – Definitions</w:t>
      </w:r>
    </w:p>
    <w:p w14:paraId="7AFE5015" w14:textId="107A3AFB" w:rsidR="00BA10BB" w:rsidRPr="00074F63" w:rsidRDefault="00BA10BB" w:rsidP="00F27E97">
      <w:pPr>
        <w:spacing w:before="240" w:after="0" w:line="240" w:lineRule="auto"/>
        <w:rPr>
          <w:rFonts w:ascii="Times New Roman" w:hAnsi="Times New Roman" w:cs="Times New Roman"/>
        </w:rPr>
      </w:pPr>
      <w:r w:rsidRPr="00074F63">
        <w:rPr>
          <w:rFonts w:ascii="Times New Roman" w:hAnsi="Times New Roman" w:cs="Times New Roman"/>
        </w:rPr>
        <w:t>This section provide</w:t>
      </w:r>
      <w:r w:rsidR="008977AC" w:rsidRPr="00074F63">
        <w:rPr>
          <w:rFonts w:ascii="Times New Roman" w:hAnsi="Times New Roman" w:cs="Times New Roman"/>
        </w:rPr>
        <w:t>s</w:t>
      </w:r>
      <w:r w:rsidRPr="00074F63">
        <w:rPr>
          <w:rFonts w:ascii="Times New Roman" w:hAnsi="Times New Roman" w:cs="Times New Roman"/>
        </w:rPr>
        <w:t xml:space="preserve"> for definitions to be used for the purpose of the instrument. The section provide</w:t>
      </w:r>
      <w:r w:rsidR="008977AC" w:rsidRPr="00074F63">
        <w:rPr>
          <w:rFonts w:ascii="Times New Roman" w:hAnsi="Times New Roman" w:cs="Times New Roman"/>
        </w:rPr>
        <w:t>s</w:t>
      </w:r>
      <w:r w:rsidRPr="00074F63">
        <w:rPr>
          <w:rFonts w:ascii="Times New Roman" w:hAnsi="Times New Roman" w:cs="Times New Roman"/>
        </w:rPr>
        <w:t xml:space="preserve"> that:</w:t>
      </w:r>
    </w:p>
    <w:p w14:paraId="09531D09" w14:textId="77777777" w:rsidR="00BA10BB" w:rsidRPr="00074F63" w:rsidRDefault="00BA10BB" w:rsidP="00F27E97">
      <w:pPr>
        <w:spacing w:before="240" w:after="0" w:line="240" w:lineRule="auto"/>
        <w:rPr>
          <w:rFonts w:ascii="Times New Roman" w:hAnsi="Times New Roman" w:cs="Times New Roman"/>
          <w:i/>
        </w:rPr>
      </w:pPr>
      <w:r w:rsidRPr="00074F63">
        <w:rPr>
          <w:rFonts w:ascii="Times New Roman" w:hAnsi="Times New Roman" w:cs="Times New Roman"/>
        </w:rPr>
        <w:t>‘</w:t>
      </w:r>
      <w:r w:rsidRPr="00074F63">
        <w:rPr>
          <w:rFonts w:ascii="Times New Roman" w:hAnsi="Times New Roman" w:cs="Times New Roman"/>
          <w:i/>
        </w:rPr>
        <w:t xml:space="preserve">Act’ </w:t>
      </w:r>
      <w:r w:rsidRPr="00074F63">
        <w:rPr>
          <w:rFonts w:ascii="Times New Roman" w:hAnsi="Times New Roman" w:cs="Times New Roman"/>
        </w:rPr>
        <w:t xml:space="preserve">means the </w:t>
      </w:r>
      <w:r w:rsidRPr="00074F63">
        <w:rPr>
          <w:rFonts w:ascii="Times New Roman" w:hAnsi="Times New Roman" w:cs="Times New Roman"/>
          <w:i/>
        </w:rPr>
        <w:t xml:space="preserve">Regulatory Powers (Standard Provisions) Act 2014. </w:t>
      </w:r>
    </w:p>
    <w:p w14:paraId="548D88DB" w14:textId="77777777" w:rsidR="00BA10BB" w:rsidRPr="00074F63" w:rsidRDefault="00BA10BB" w:rsidP="00F27E97">
      <w:pPr>
        <w:spacing w:before="240" w:after="0" w:line="240" w:lineRule="auto"/>
        <w:rPr>
          <w:rFonts w:ascii="Times New Roman" w:hAnsi="Times New Roman" w:cs="Times New Roman"/>
          <w:i/>
        </w:rPr>
      </w:pPr>
      <w:r w:rsidRPr="00074F63">
        <w:rPr>
          <w:rFonts w:ascii="Times New Roman" w:hAnsi="Times New Roman" w:cs="Times New Roman"/>
          <w:i/>
        </w:rPr>
        <w:t xml:space="preserve">‘relevant authorising provisions’, </w:t>
      </w:r>
      <w:r w:rsidRPr="00074F63">
        <w:rPr>
          <w:rFonts w:ascii="Times New Roman" w:hAnsi="Times New Roman" w:cs="Times New Roman"/>
        </w:rPr>
        <w:t xml:space="preserve">for an authorised person, means the provision of an Act that provides that the person is an authorised person for the purposes of Part 2 or 3 of the </w:t>
      </w:r>
      <w:r w:rsidRPr="00074F63">
        <w:rPr>
          <w:rFonts w:ascii="Times New Roman" w:hAnsi="Times New Roman" w:cs="Times New Roman"/>
          <w:i/>
        </w:rPr>
        <w:t xml:space="preserve">Regulatory Powers (Standard Provisions) Act 2014. </w:t>
      </w:r>
    </w:p>
    <w:p w14:paraId="3DFECD4A" w14:textId="5EB6CB93" w:rsidR="00BA10BB" w:rsidRPr="00F721D3" w:rsidRDefault="00BA10BB" w:rsidP="00F27E97">
      <w:pPr>
        <w:spacing w:before="240" w:after="0" w:line="240" w:lineRule="auto"/>
        <w:rPr>
          <w:rFonts w:ascii="Times New Roman" w:hAnsi="Times New Roman" w:cs="Times New Roman"/>
        </w:rPr>
      </w:pPr>
      <w:r w:rsidRPr="00074F63">
        <w:rPr>
          <w:rFonts w:ascii="Times New Roman" w:hAnsi="Times New Roman" w:cs="Times New Roman"/>
          <w:i/>
        </w:rPr>
        <w:t xml:space="preserve">‘tamper-evident security feature’ </w:t>
      </w:r>
      <w:r w:rsidRPr="00074F63">
        <w:rPr>
          <w:rFonts w:ascii="Times New Roman" w:hAnsi="Times New Roman" w:cs="Times New Roman"/>
        </w:rPr>
        <w:t xml:space="preserve">means a feature intended to reduce the risk of counterfeiting or tampering, or to provide visual evidence of attempted tampering. </w:t>
      </w:r>
    </w:p>
    <w:p w14:paraId="1DBEFDA6" w14:textId="1FE56274" w:rsidR="00BA10BB" w:rsidRPr="00074F63" w:rsidRDefault="00BA10BB" w:rsidP="00F27E97">
      <w:pPr>
        <w:keepNext/>
        <w:spacing w:before="360" w:after="0" w:line="240" w:lineRule="auto"/>
        <w:rPr>
          <w:rFonts w:ascii="Times New Roman" w:hAnsi="Times New Roman" w:cs="Times New Roman"/>
          <w:b/>
          <w:u w:val="single"/>
        </w:rPr>
      </w:pPr>
      <w:r w:rsidRPr="00074F63">
        <w:rPr>
          <w:rFonts w:ascii="Times New Roman" w:hAnsi="Times New Roman" w:cs="Times New Roman"/>
          <w:b/>
          <w:u w:val="single"/>
        </w:rPr>
        <w:t>Part 2 – Identity Cards</w:t>
      </w:r>
    </w:p>
    <w:p w14:paraId="43157D74" w14:textId="77777777" w:rsidR="00BA10BB" w:rsidRPr="00074F63" w:rsidRDefault="00BA10BB" w:rsidP="00F27E97">
      <w:pPr>
        <w:keepNext/>
        <w:spacing w:before="360" w:after="0" w:line="240" w:lineRule="auto"/>
        <w:rPr>
          <w:rFonts w:ascii="Times New Roman" w:hAnsi="Times New Roman" w:cs="Times New Roman"/>
          <w:b/>
        </w:rPr>
      </w:pPr>
      <w:r w:rsidRPr="00074F63">
        <w:rPr>
          <w:rFonts w:ascii="Times New Roman" w:hAnsi="Times New Roman" w:cs="Times New Roman"/>
          <w:b/>
        </w:rPr>
        <w:t>Section 6 – Purpose of this Part</w:t>
      </w:r>
    </w:p>
    <w:p w14:paraId="2A7AB52A" w14:textId="015B1F97" w:rsidR="00BA10BB" w:rsidRPr="00074F63" w:rsidRDefault="00BA10BB" w:rsidP="00F27E97">
      <w:pPr>
        <w:spacing w:before="240" w:after="0" w:line="240" w:lineRule="auto"/>
        <w:rPr>
          <w:rFonts w:ascii="Times New Roman" w:hAnsi="Times New Roman" w:cs="Times New Roman"/>
        </w:rPr>
      </w:pPr>
      <w:r w:rsidRPr="00074F63">
        <w:rPr>
          <w:rFonts w:ascii="Times New Roman" w:hAnsi="Times New Roman" w:cs="Times New Roman"/>
        </w:rPr>
        <w:t xml:space="preserve">This section </w:t>
      </w:r>
      <w:r w:rsidR="00DC2CCC">
        <w:rPr>
          <w:rFonts w:ascii="Times New Roman" w:hAnsi="Times New Roman" w:cs="Times New Roman"/>
        </w:rPr>
        <w:t>outlines</w:t>
      </w:r>
      <w:r w:rsidRPr="00074F63">
        <w:rPr>
          <w:rFonts w:ascii="Times New Roman" w:hAnsi="Times New Roman" w:cs="Times New Roman"/>
        </w:rPr>
        <w:t xml:space="preserve"> the purpose of Part 2 of the Regulations. The purpose of the Part is to prescribe the requirements that an identity card must satisfy for the purposes of paragraphs 35(2)(a) and 76(2)(a) of the Act. </w:t>
      </w:r>
    </w:p>
    <w:p w14:paraId="3C41E2A2" w14:textId="408313EA" w:rsidR="00BA10BB" w:rsidRPr="00945244" w:rsidRDefault="00BA10BB" w:rsidP="00F27E97">
      <w:pPr>
        <w:spacing w:before="240" w:after="0" w:line="240" w:lineRule="auto"/>
        <w:rPr>
          <w:rFonts w:ascii="Times New Roman" w:hAnsi="Times New Roman" w:cs="Times New Roman"/>
        </w:rPr>
      </w:pPr>
      <w:r w:rsidRPr="00074F63">
        <w:rPr>
          <w:rFonts w:ascii="Times New Roman" w:hAnsi="Times New Roman" w:cs="Times New Roman"/>
        </w:rPr>
        <w:lastRenderedPageBreak/>
        <w:t xml:space="preserve">Subsections 35(1) and 76(1) of the Act provide that the relevant chief executive must issue an identity card to an authorised person for use by the authorised person while exercising monitoring and investigation powers under parts 2 and 3 of the Act. Paragraphs 35(2)(a) and 76(2)(a) of the Act provide that an identity card must satisfy the requirements prescribed by the regulations. </w:t>
      </w:r>
    </w:p>
    <w:p w14:paraId="459BBD55" w14:textId="73165EDB" w:rsidR="00BA10BB" w:rsidRPr="00074F63" w:rsidRDefault="00BA10BB" w:rsidP="00F27E97">
      <w:pPr>
        <w:spacing w:before="360" w:after="0" w:line="240" w:lineRule="auto"/>
        <w:rPr>
          <w:rFonts w:ascii="Times New Roman" w:hAnsi="Times New Roman" w:cs="Times New Roman"/>
          <w:b/>
        </w:rPr>
      </w:pPr>
      <w:r w:rsidRPr="00074F63">
        <w:rPr>
          <w:rFonts w:ascii="Times New Roman" w:hAnsi="Times New Roman" w:cs="Times New Roman"/>
          <w:b/>
        </w:rPr>
        <w:t>Section 7 – Requirements for identity cards</w:t>
      </w:r>
    </w:p>
    <w:p w14:paraId="02BB384E" w14:textId="6B434419" w:rsidR="00BA10BB" w:rsidRPr="00074F63" w:rsidRDefault="00BA10BB" w:rsidP="00F27E97">
      <w:pPr>
        <w:spacing w:before="240" w:after="0" w:line="240" w:lineRule="auto"/>
        <w:rPr>
          <w:rFonts w:ascii="Times New Roman" w:hAnsi="Times New Roman" w:cs="Times New Roman"/>
        </w:rPr>
      </w:pPr>
      <w:r w:rsidRPr="00074F63">
        <w:rPr>
          <w:rFonts w:ascii="Times New Roman" w:hAnsi="Times New Roman" w:cs="Times New Roman"/>
        </w:rPr>
        <w:t>This section provide</w:t>
      </w:r>
      <w:r w:rsidR="008977AC" w:rsidRPr="00074F63">
        <w:rPr>
          <w:rFonts w:ascii="Times New Roman" w:hAnsi="Times New Roman" w:cs="Times New Roman"/>
        </w:rPr>
        <w:t>s</w:t>
      </w:r>
      <w:r w:rsidRPr="00074F63">
        <w:rPr>
          <w:rFonts w:ascii="Times New Roman" w:hAnsi="Times New Roman" w:cs="Times New Roman"/>
        </w:rPr>
        <w:t xml:space="preserve"> the specific requirements for identity cards. </w:t>
      </w:r>
    </w:p>
    <w:p w14:paraId="636BB451" w14:textId="77777777" w:rsidR="00BA10BB" w:rsidRPr="00074F63" w:rsidRDefault="00BA10BB" w:rsidP="00F27E97">
      <w:pPr>
        <w:spacing w:before="240" w:after="0" w:line="240" w:lineRule="auto"/>
        <w:rPr>
          <w:rFonts w:ascii="Times New Roman" w:hAnsi="Times New Roman" w:cs="Times New Roman"/>
        </w:rPr>
      </w:pPr>
      <w:r w:rsidRPr="00074F63">
        <w:rPr>
          <w:rFonts w:ascii="Times New Roman" w:hAnsi="Times New Roman" w:cs="Times New Roman"/>
        </w:rPr>
        <w:t>Subsection 7(1) provides a list of elements that must be contained on the front of the identity card, subject to an authorisation under section 8 of the Regulations. These elements are:</w:t>
      </w:r>
    </w:p>
    <w:p w14:paraId="35F1792C" w14:textId="1FD78593" w:rsidR="00BA10BB" w:rsidRPr="00074F63" w:rsidRDefault="00BA10BB" w:rsidP="00F27E97">
      <w:pPr>
        <w:pStyle w:val="paragraph0"/>
        <w:numPr>
          <w:ilvl w:val="0"/>
          <w:numId w:val="15"/>
        </w:numPr>
        <w:spacing w:before="240"/>
        <w:rPr>
          <w:szCs w:val="22"/>
        </w:rPr>
      </w:pPr>
      <w:r w:rsidRPr="00074F63">
        <w:rPr>
          <w:szCs w:val="22"/>
        </w:rPr>
        <w:t>the Australian Government logo</w:t>
      </w:r>
    </w:p>
    <w:p w14:paraId="0BC24D20" w14:textId="2A2C2834" w:rsidR="00BA10BB" w:rsidRPr="00074F63" w:rsidRDefault="00BA10BB" w:rsidP="00F27E97">
      <w:pPr>
        <w:pStyle w:val="paragraph0"/>
        <w:numPr>
          <w:ilvl w:val="0"/>
          <w:numId w:val="15"/>
        </w:numPr>
        <w:spacing w:before="240"/>
        <w:rPr>
          <w:szCs w:val="22"/>
        </w:rPr>
      </w:pPr>
      <w:r w:rsidRPr="00074F63">
        <w:rPr>
          <w:szCs w:val="22"/>
        </w:rPr>
        <w:t>the photograph of the authorised person required by paragraph 35(2)(b) or 76(2)(b) of the Act (as the case may be)</w:t>
      </w:r>
    </w:p>
    <w:p w14:paraId="38158AAF" w14:textId="7B0F2306" w:rsidR="00BA10BB" w:rsidRPr="00074F63" w:rsidRDefault="00BA10BB" w:rsidP="00F27E97">
      <w:pPr>
        <w:pStyle w:val="paragraph0"/>
        <w:numPr>
          <w:ilvl w:val="0"/>
          <w:numId w:val="15"/>
        </w:numPr>
        <w:spacing w:before="240"/>
        <w:rPr>
          <w:szCs w:val="22"/>
        </w:rPr>
      </w:pPr>
      <w:r w:rsidRPr="00074F63">
        <w:rPr>
          <w:szCs w:val="22"/>
        </w:rPr>
        <w:t>the full name of the authorised person</w:t>
      </w:r>
    </w:p>
    <w:p w14:paraId="2D762F0C" w14:textId="0EBF945B" w:rsidR="00BA10BB" w:rsidRPr="00074F63" w:rsidRDefault="00BA10BB" w:rsidP="00F27E97">
      <w:pPr>
        <w:pStyle w:val="paragraph0"/>
        <w:numPr>
          <w:ilvl w:val="0"/>
          <w:numId w:val="15"/>
        </w:numPr>
        <w:spacing w:before="240"/>
        <w:rPr>
          <w:szCs w:val="22"/>
        </w:rPr>
      </w:pPr>
      <w:r w:rsidRPr="00074F63">
        <w:rPr>
          <w:szCs w:val="22"/>
        </w:rPr>
        <w:t>a feature or statement that identifies the body in relation to which the person is an authorised person</w:t>
      </w:r>
    </w:p>
    <w:p w14:paraId="29F7A02D" w14:textId="7693520B" w:rsidR="00BA10BB" w:rsidRPr="00074F63" w:rsidRDefault="00BA10BB" w:rsidP="00F27E97">
      <w:pPr>
        <w:pStyle w:val="paragraph0"/>
        <w:numPr>
          <w:ilvl w:val="0"/>
          <w:numId w:val="15"/>
        </w:numPr>
        <w:spacing w:before="240"/>
        <w:rPr>
          <w:szCs w:val="22"/>
        </w:rPr>
      </w:pPr>
      <w:r w:rsidRPr="00074F63">
        <w:rPr>
          <w:szCs w:val="22"/>
        </w:rPr>
        <w:t>the date the card expires;</w:t>
      </w:r>
      <w:r w:rsidR="00DC2CCC">
        <w:rPr>
          <w:szCs w:val="22"/>
        </w:rPr>
        <w:t xml:space="preserve"> and</w:t>
      </w:r>
    </w:p>
    <w:p w14:paraId="1BC89666" w14:textId="77777777" w:rsidR="00BA10BB" w:rsidRPr="00074F63" w:rsidRDefault="00BA10BB" w:rsidP="00F27E97">
      <w:pPr>
        <w:pStyle w:val="paragraph0"/>
        <w:numPr>
          <w:ilvl w:val="0"/>
          <w:numId w:val="15"/>
        </w:numPr>
        <w:spacing w:before="240"/>
        <w:rPr>
          <w:szCs w:val="22"/>
        </w:rPr>
      </w:pPr>
      <w:r w:rsidRPr="00074F63">
        <w:rPr>
          <w:szCs w:val="22"/>
        </w:rPr>
        <w:t>a statement that the person to whom the card is issued is an authorised person under the relevant authorising provision for the authorised person.</w:t>
      </w:r>
    </w:p>
    <w:p w14:paraId="793E756F" w14:textId="77777777" w:rsidR="00BA10BB" w:rsidRPr="00074F63" w:rsidRDefault="00BA10BB" w:rsidP="00F27E97">
      <w:pPr>
        <w:spacing w:before="240" w:after="0" w:line="240" w:lineRule="auto"/>
        <w:rPr>
          <w:rFonts w:ascii="Times New Roman" w:hAnsi="Times New Roman" w:cs="Times New Roman"/>
        </w:rPr>
      </w:pPr>
      <w:r w:rsidRPr="00074F63">
        <w:rPr>
          <w:rFonts w:ascii="Times New Roman" w:hAnsi="Times New Roman" w:cs="Times New Roman"/>
        </w:rPr>
        <w:t>The note clarifies that under section 8 of the Regulations, the Minister may authorise non</w:t>
      </w:r>
      <w:r w:rsidRPr="00074F63">
        <w:rPr>
          <w:rFonts w:ascii="Times New Roman" w:hAnsi="Times New Roman" w:cs="Times New Roman"/>
        </w:rPr>
        <w:noBreakHyphen/>
        <w:t xml:space="preserve">compliance with either or both of paragraphs (a) and (d) of subsection 7(1). </w:t>
      </w:r>
    </w:p>
    <w:p w14:paraId="6C2C0DDF" w14:textId="77777777" w:rsidR="00BA10BB" w:rsidRPr="00074F63" w:rsidRDefault="00BA10BB" w:rsidP="00F27E97">
      <w:pPr>
        <w:spacing w:before="240" w:after="0" w:line="240" w:lineRule="auto"/>
        <w:rPr>
          <w:rFonts w:ascii="Times New Roman" w:hAnsi="Times New Roman" w:cs="Times New Roman"/>
        </w:rPr>
      </w:pPr>
      <w:r w:rsidRPr="00074F63">
        <w:rPr>
          <w:rFonts w:ascii="Times New Roman" w:hAnsi="Times New Roman" w:cs="Times New Roman"/>
        </w:rPr>
        <w:t xml:space="preserve">Subsection 7(2) provides that the Commonwealth Coat of Arms in the Australian Government logo required by paragraph 1(a) of subsection 7(1) must be the conventional version no. 3A and be large enough to be recognisable as the Commonwealth Coat of Arms. These requirements are consistent with the requirements contained in the Australian Government Branding Guidelines administered by the Department of the Prime Minister and Cabinet. </w:t>
      </w:r>
    </w:p>
    <w:p w14:paraId="711D093D" w14:textId="693B5630" w:rsidR="00BA10BB" w:rsidRPr="00074F63" w:rsidRDefault="00BA10BB" w:rsidP="00F27E97">
      <w:pPr>
        <w:spacing w:before="240" w:after="0" w:line="240" w:lineRule="auto"/>
        <w:rPr>
          <w:rFonts w:ascii="Times New Roman" w:hAnsi="Times New Roman" w:cs="Times New Roman"/>
        </w:rPr>
      </w:pPr>
      <w:r w:rsidRPr="00074F63">
        <w:rPr>
          <w:rFonts w:ascii="Times New Roman" w:hAnsi="Times New Roman" w:cs="Times New Roman"/>
        </w:rPr>
        <w:t xml:space="preserve">Subsection 7(3) provides that the photograph referred to in paragraph 1(b) must meet </w:t>
      </w:r>
      <w:r w:rsidR="00DC2CCC">
        <w:rPr>
          <w:rFonts w:ascii="Times New Roman" w:hAnsi="Times New Roman" w:cs="Times New Roman"/>
        </w:rPr>
        <w:t>the following</w:t>
      </w:r>
      <w:r w:rsidRPr="00074F63">
        <w:rPr>
          <w:rFonts w:ascii="Times New Roman" w:hAnsi="Times New Roman" w:cs="Times New Roman"/>
        </w:rPr>
        <w:t xml:space="preserve"> requirements: </w:t>
      </w:r>
    </w:p>
    <w:p w14:paraId="01F8524A" w14:textId="24665830" w:rsidR="00BA10BB" w:rsidRPr="00074F63" w:rsidRDefault="00BA10BB" w:rsidP="00F27E97">
      <w:pPr>
        <w:pStyle w:val="paragraph0"/>
        <w:numPr>
          <w:ilvl w:val="0"/>
          <w:numId w:val="16"/>
        </w:numPr>
        <w:spacing w:before="240"/>
        <w:rPr>
          <w:szCs w:val="22"/>
        </w:rPr>
      </w:pPr>
      <w:r w:rsidRPr="00074F63">
        <w:rPr>
          <w:szCs w:val="22"/>
        </w:rPr>
        <w:t>show the authorised person’s full face, and the authorised person’s head and shoulders</w:t>
      </w:r>
    </w:p>
    <w:p w14:paraId="2E798E5E" w14:textId="055200BC" w:rsidR="00BA10BB" w:rsidRPr="00074F63" w:rsidRDefault="00BA10BB" w:rsidP="00F27E97">
      <w:pPr>
        <w:pStyle w:val="paragraph0"/>
        <w:numPr>
          <w:ilvl w:val="0"/>
          <w:numId w:val="16"/>
        </w:numPr>
        <w:spacing w:before="240"/>
        <w:rPr>
          <w:szCs w:val="22"/>
        </w:rPr>
      </w:pPr>
      <w:r w:rsidRPr="00074F63">
        <w:rPr>
          <w:szCs w:val="22"/>
        </w:rPr>
        <w:t>have a resolution of at least 300 dpi</w:t>
      </w:r>
    </w:p>
    <w:p w14:paraId="08576972" w14:textId="35F2D0DD" w:rsidR="00BA10BB" w:rsidRPr="00074F63" w:rsidRDefault="00BA10BB" w:rsidP="00F27E97">
      <w:pPr>
        <w:pStyle w:val="paragraph0"/>
        <w:numPr>
          <w:ilvl w:val="0"/>
          <w:numId w:val="16"/>
        </w:numPr>
        <w:spacing w:before="240"/>
        <w:rPr>
          <w:szCs w:val="22"/>
        </w:rPr>
      </w:pPr>
      <w:r w:rsidRPr="00074F63">
        <w:rPr>
          <w:szCs w:val="22"/>
        </w:rPr>
        <w:t>have an aspect ratio (being width divided by height) of 0.75</w:t>
      </w:r>
    </w:p>
    <w:p w14:paraId="1C74F4DC" w14:textId="77777777" w:rsidR="00BA10BB" w:rsidRPr="00074F63" w:rsidRDefault="00BA10BB" w:rsidP="00F27E97">
      <w:pPr>
        <w:pStyle w:val="paragraph0"/>
        <w:numPr>
          <w:ilvl w:val="0"/>
          <w:numId w:val="16"/>
        </w:numPr>
        <w:spacing w:before="240"/>
        <w:rPr>
          <w:szCs w:val="22"/>
        </w:rPr>
      </w:pPr>
      <w:r w:rsidRPr="00074F63">
        <w:rPr>
          <w:szCs w:val="22"/>
        </w:rPr>
        <w:t>for a portrait view identity card—have dimensions of at least 33 mm by 44 mm, including any border; and</w:t>
      </w:r>
    </w:p>
    <w:p w14:paraId="4DE26979" w14:textId="77777777" w:rsidR="00BA10BB" w:rsidRPr="00074F63" w:rsidRDefault="00BA10BB" w:rsidP="00F27E97">
      <w:pPr>
        <w:pStyle w:val="paragraph0"/>
        <w:numPr>
          <w:ilvl w:val="0"/>
          <w:numId w:val="16"/>
        </w:numPr>
        <w:spacing w:before="240"/>
        <w:rPr>
          <w:szCs w:val="22"/>
        </w:rPr>
      </w:pPr>
      <w:r w:rsidRPr="00074F63">
        <w:rPr>
          <w:szCs w:val="22"/>
        </w:rPr>
        <w:t>for a landscape view identity card—have dimensions:</w:t>
      </w:r>
    </w:p>
    <w:p w14:paraId="01F520BA" w14:textId="77777777" w:rsidR="00BA10BB" w:rsidRPr="00074F63" w:rsidRDefault="00BA10BB" w:rsidP="00F27E97">
      <w:pPr>
        <w:pStyle w:val="paragraphsub"/>
        <w:numPr>
          <w:ilvl w:val="1"/>
          <w:numId w:val="17"/>
        </w:numPr>
        <w:spacing w:before="240"/>
        <w:rPr>
          <w:szCs w:val="22"/>
        </w:rPr>
      </w:pPr>
      <w:r w:rsidRPr="00074F63">
        <w:rPr>
          <w:szCs w:val="22"/>
        </w:rPr>
        <w:t>of at least 33 mm by 44 mm, including any border; but</w:t>
      </w:r>
    </w:p>
    <w:p w14:paraId="33F523E9" w14:textId="77777777" w:rsidR="00BA10BB" w:rsidRPr="00074F63" w:rsidRDefault="00BA10BB" w:rsidP="00F27E97">
      <w:pPr>
        <w:pStyle w:val="paragraphsub"/>
        <w:numPr>
          <w:ilvl w:val="1"/>
          <w:numId w:val="17"/>
        </w:numPr>
        <w:spacing w:before="240"/>
        <w:rPr>
          <w:szCs w:val="22"/>
        </w:rPr>
      </w:pPr>
      <w:r w:rsidRPr="00074F63">
        <w:rPr>
          <w:szCs w:val="22"/>
        </w:rPr>
        <w:t>not exceeding 37.5 mm by 50 mm, including any border.</w:t>
      </w:r>
    </w:p>
    <w:p w14:paraId="5E6F7F28" w14:textId="77777777" w:rsidR="00BA10BB" w:rsidRPr="00074F63" w:rsidRDefault="00BA10BB" w:rsidP="00F27E97">
      <w:pPr>
        <w:spacing w:before="240" w:after="0" w:line="240" w:lineRule="auto"/>
        <w:rPr>
          <w:rFonts w:ascii="Times New Roman" w:hAnsi="Times New Roman" w:cs="Times New Roman"/>
        </w:rPr>
      </w:pPr>
      <w:r w:rsidRPr="00074F63">
        <w:rPr>
          <w:rFonts w:ascii="Times New Roman" w:hAnsi="Times New Roman" w:cs="Times New Roman"/>
        </w:rPr>
        <w:lastRenderedPageBreak/>
        <w:t xml:space="preserve">These requirements ensure that persons undertaking regulatory activities can be readily identified as an authorised person through examination of their identity card. </w:t>
      </w:r>
    </w:p>
    <w:p w14:paraId="766E0662" w14:textId="795202F9" w:rsidR="00BA10BB" w:rsidRPr="00074F63" w:rsidRDefault="00BA10BB" w:rsidP="00F27E97">
      <w:pPr>
        <w:spacing w:before="240" w:after="0" w:line="240" w:lineRule="auto"/>
        <w:rPr>
          <w:rFonts w:ascii="Times New Roman" w:hAnsi="Times New Roman" w:cs="Times New Roman"/>
        </w:rPr>
      </w:pPr>
      <w:r w:rsidRPr="00074F63">
        <w:rPr>
          <w:rFonts w:ascii="Times New Roman" w:hAnsi="Times New Roman" w:cs="Times New Roman"/>
        </w:rPr>
        <w:t>Subsection 7(4) provides that the back of the identity card must contain a serial number and an address for the card to be returned to if it is found. The inclusion of a serial number enable</w:t>
      </w:r>
      <w:r w:rsidR="006B43F7" w:rsidRPr="00074F63">
        <w:rPr>
          <w:rFonts w:ascii="Times New Roman" w:hAnsi="Times New Roman" w:cs="Times New Roman"/>
        </w:rPr>
        <w:t>s</w:t>
      </w:r>
      <w:r w:rsidRPr="00074F63">
        <w:rPr>
          <w:rFonts w:ascii="Times New Roman" w:hAnsi="Times New Roman" w:cs="Times New Roman"/>
        </w:rPr>
        <w:t xml:space="preserve"> regulatory agencies to track the number of cards issued, and to which authorised officers they were issued. The inclusion of an address for the card to be returned to ensure</w:t>
      </w:r>
      <w:r w:rsidR="006B43F7" w:rsidRPr="00074F63">
        <w:rPr>
          <w:rFonts w:ascii="Times New Roman" w:hAnsi="Times New Roman" w:cs="Times New Roman"/>
        </w:rPr>
        <w:t>s</w:t>
      </w:r>
      <w:r w:rsidRPr="00074F63">
        <w:rPr>
          <w:rFonts w:ascii="Times New Roman" w:hAnsi="Times New Roman" w:cs="Times New Roman"/>
        </w:rPr>
        <w:t xml:space="preserve"> that identity cards can be recovered if lost or misplaced.  </w:t>
      </w:r>
    </w:p>
    <w:p w14:paraId="75F7CA2B" w14:textId="77777777" w:rsidR="00BA10BB" w:rsidRPr="00074F63" w:rsidRDefault="00BA10BB" w:rsidP="00F27E97">
      <w:pPr>
        <w:spacing w:before="240" w:after="0" w:line="240" w:lineRule="auto"/>
        <w:rPr>
          <w:rFonts w:ascii="Times New Roman" w:hAnsi="Times New Roman" w:cs="Times New Roman"/>
        </w:rPr>
      </w:pPr>
      <w:r w:rsidRPr="00074F63">
        <w:rPr>
          <w:rFonts w:ascii="Times New Roman" w:hAnsi="Times New Roman" w:cs="Times New Roman"/>
        </w:rPr>
        <w:t xml:space="preserve">Subsection 7(5) provides that the identity card must contain at least one tamper-evident security feature. This is intended to reduce the risk of counterfeiting or tampering, or to provide visual evidence of tampering. Examples of tamper-evident security features include optical varying structures, optical varying inks, laser etching and engraving, holograms, holographic images and watermarks. </w:t>
      </w:r>
    </w:p>
    <w:p w14:paraId="4E520512" w14:textId="7F9FCB66" w:rsidR="00074F63" w:rsidRPr="00074F63" w:rsidRDefault="00BA10BB" w:rsidP="00F27E97">
      <w:pPr>
        <w:spacing w:before="240" w:after="0" w:line="240" w:lineRule="auto"/>
        <w:rPr>
          <w:rFonts w:ascii="Times New Roman" w:hAnsi="Times New Roman" w:cs="Times New Roman"/>
        </w:rPr>
      </w:pPr>
      <w:r w:rsidRPr="00074F63">
        <w:rPr>
          <w:rFonts w:ascii="Times New Roman" w:hAnsi="Times New Roman" w:cs="Times New Roman"/>
        </w:rPr>
        <w:t>Subsection 7(6) provides that the identity card may contain other information or features. This provides regulatory agencies with flexibility to add additional detail to identity cards, noting the Regulations provide for the minimum form specifications for identity cards and is not intended to be an exhaustive list of requirements. Agencies are still required to comply with applicable government policies and guidelines when incorporating other information or features in their cards</w:t>
      </w:r>
      <w:r w:rsidR="00074F63">
        <w:rPr>
          <w:rFonts w:ascii="Times New Roman" w:hAnsi="Times New Roman" w:cs="Times New Roman"/>
        </w:rPr>
        <w:t>.</w:t>
      </w:r>
    </w:p>
    <w:p w14:paraId="1AD74A36" w14:textId="32F67B1F" w:rsidR="00BA10BB" w:rsidRPr="00074F63" w:rsidRDefault="00BA10BB" w:rsidP="00F27E97">
      <w:pPr>
        <w:spacing w:before="360" w:after="0" w:line="240" w:lineRule="auto"/>
        <w:rPr>
          <w:rFonts w:ascii="Times New Roman" w:hAnsi="Times New Roman" w:cs="Times New Roman"/>
          <w:b/>
        </w:rPr>
      </w:pPr>
      <w:r w:rsidRPr="00074F63">
        <w:rPr>
          <w:rFonts w:ascii="Times New Roman" w:hAnsi="Times New Roman" w:cs="Times New Roman"/>
          <w:b/>
        </w:rPr>
        <w:t>Section 8 – Authorisation by Minister not to comply with certain requirements</w:t>
      </w:r>
    </w:p>
    <w:p w14:paraId="5046B542" w14:textId="0E86D75D" w:rsidR="00BA10BB" w:rsidRPr="00074F63" w:rsidRDefault="00BA10BB" w:rsidP="00F27E97">
      <w:pPr>
        <w:spacing w:before="240" w:after="0" w:line="240" w:lineRule="auto"/>
        <w:rPr>
          <w:rFonts w:ascii="Times New Roman" w:hAnsi="Times New Roman" w:cs="Times New Roman"/>
        </w:rPr>
      </w:pPr>
      <w:r w:rsidRPr="00074F63">
        <w:rPr>
          <w:rFonts w:ascii="Times New Roman" w:hAnsi="Times New Roman" w:cs="Times New Roman"/>
        </w:rPr>
        <w:t>Subsection 8(1) provide</w:t>
      </w:r>
      <w:r w:rsidR="006B43F7" w:rsidRPr="00074F63">
        <w:rPr>
          <w:rFonts w:ascii="Times New Roman" w:hAnsi="Times New Roman" w:cs="Times New Roman"/>
        </w:rPr>
        <w:t>s</w:t>
      </w:r>
      <w:r w:rsidRPr="00074F63">
        <w:rPr>
          <w:rFonts w:ascii="Times New Roman" w:hAnsi="Times New Roman" w:cs="Times New Roman"/>
        </w:rPr>
        <w:t xml:space="preserve"> that the Minister may, in writing, authorise identity cards issued by </w:t>
      </w:r>
      <w:r w:rsidR="00690626">
        <w:rPr>
          <w:rFonts w:ascii="Times New Roman" w:hAnsi="Times New Roman" w:cs="Times New Roman"/>
        </w:rPr>
        <w:t xml:space="preserve">a </w:t>
      </w:r>
      <w:r w:rsidRPr="00074F63">
        <w:rPr>
          <w:rFonts w:ascii="Times New Roman" w:hAnsi="Times New Roman" w:cs="Times New Roman"/>
        </w:rPr>
        <w:t>particular relevant chief executive not to comply with either or both of paragraphs 7(1)(a) and (d). Subsection 8(2) provides that the Minister must not give the authorisation unless the Minister is satisfied that it is appropriate to do so in all the circumstances.</w:t>
      </w:r>
    </w:p>
    <w:p w14:paraId="43A4954B" w14:textId="77777777" w:rsidR="00BA10BB" w:rsidRPr="00074F63" w:rsidRDefault="00BA10BB" w:rsidP="00F27E97">
      <w:pPr>
        <w:spacing w:before="240" w:after="0" w:line="240" w:lineRule="auto"/>
        <w:rPr>
          <w:rFonts w:ascii="Times New Roman" w:hAnsi="Times New Roman" w:cs="Times New Roman"/>
        </w:rPr>
      </w:pPr>
      <w:r w:rsidRPr="00074F63">
        <w:rPr>
          <w:rFonts w:ascii="Times New Roman" w:hAnsi="Times New Roman" w:cs="Times New Roman"/>
        </w:rPr>
        <w:t>The note specifies that paragraphs 7(1)(a) and (d) require the front of an identity card to contain the Australian Government logo, and a feature or statement identifying the body in relation to which a person is an authorised person, respectively.</w:t>
      </w:r>
    </w:p>
    <w:p w14:paraId="1C0042CD" w14:textId="34D0EBBF" w:rsidR="00BA10BB" w:rsidRPr="00074F63" w:rsidRDefault="00BA10BB" w:rsidP="00F27E97">
      <w:pPr>
        <w:spacing w:before="240" w:after="0" w:line="240" w:lineRule="auto"/>
        <w:rPr>
          <w:rFonts w:ascii="Times New Roman" w:hAnsi="Times New Roman" w:cs="Times New Roman"/>
        </w:rPr>
      </w:pPr>
      <w:r w:rsidRPr="00074F63">
        <w:rPr>
          <w:rFonts w:ascii="Times New Roman" w:hAnsi="Times New Roman" w:cs="Times New Roman"/>
        </w:rPr>
        <w:t>This enable</w:t>
      </w:r>
      <w:r w:rsidR="006B43F7" w:rsidRPr="00074F63">
        <w:rPr>
          <w:rFonts w:ascii="Times New Roman" w:hAnsi="Times New Roman" w:cs="Times New Roman"/>
        </w:rPr>
        <w:t>s</w:t>
      </w:r>
      <w:r w:rsidRPr="00074F63">
        <w:rPr>
          <w:rFonts w:ascii="Times New Roman" w:hAnsi="Times New Roman" w:cs="Times New Roman"/>
        </w:rPr>
        <w:t xml:space="preserve"> an authorisation to be made in circumstances in which the display of the Australian Government logo on an identity card may be inappropriate (for example, because of safety concerns, or because of a need to clarify the independent nature of </w:t>
      </w:r>
      <w:r w:rsidR="00C65F8C">
        <w:rPr>
          <w:rFonts w:ascii="Times New Roman" w:hAnsi="Times New Roman" w:cs="Times New Roman"/>
        </w:rPr>
        <w:t>a</w:t>
      </w:r>
      <w:r w:rsidRPr="00074F63">
        <w:rPr>
          <w:rFonts w:ascii="Times New Roman" w:hAnsi="Times New Roman" w:cs="Times New Roman"/>
        </w:rPr>
        <w:t xml:space="preserve"> statutory agency). </w:t>
      </w:r>
      <w:r w:rsidR="0009428A">
        <w:rPr>
          <w:rFonts w:ascii="Times New Roman" w:hAnsi="Times New Roman" w:cs="Times New Roman"/>
        </w:rPr>
        <w:t>T</w:t>
      </w:r>
      <w:r w:rsidRPr="00074F63">
        <w:rPr>
          <w:rFonts w:ascii="Times New Roman" w:hAnsi="Times New Roman" w:cs="Times New Roman"/>
        </w:rPr>
        <w:t xml:space="preserve">here may </w:t>
      </w:r>
      <w:r w:rsidR="0009428A">
        <w:rPr>
          <w:rFonts w:ascii="Times New Roman" w:hAnsi="Times New Roman" w:cs="Times New Roman"/>
        </w:rPr>
        <w:t xml:space="preserve">also </w:t>
      </w:r>
      <w:r w:rsidRPr="00074F63">
        <w:rPr>
          <w:rFonts w:ascii="Times New Roman" w:hAnsi="Times New Roman" w:cs="Times New Roman"/>
        </w:rPr>
        <w:t>be some circumstances in which the display of a feature or statement that identifies the body in relation to which the person is an authorised person may be inappropriate due to the nature of the body (for example, because of safety concerns). Subsection 8(1) allow</w:t>
      </w:r>
      <w:r w:rsidR="006B43F7" w:rsidRPr="00074F63">
        <w:rPr>
          <w:rFonts w:ascii="Times New Roman" w:hAnsi="Times New Roman" w:cs="Times New Roman"/>
        </w:rPr>
        <w:t>s</w:t>
      </w:r>
      <w:r w:rsidRPr="00074F63">
        <w:rPr>
          <w:rFonts w:ascii="Times New Roman" w:hAnsi="Times New Roman" w:cs="Times New Roman"/>
        </w:rPr>
        <w:t xml:space="preserve"> identity cards to not contain these requirements in specific </w:t>
      </w:r>
      <w:r w:rsidR="00C65F8C">
        <w:rPr>
          <w:rFonts w:ascii="Times New Roman" w:hAnsi="Times New Roman" w:cs="Times New Roman"/>
        </w:rPr>
        <w:t>circumstances</w:t>
      </w:r>
      <w:r w:rsidRPr="00074F63">
        <w:rPr>
          <w:rFonts w:ascii="Times New Roman" w:hAnsi="Times New Roman" w:cs="Times New Roman"/>
        </w:rPr>
        <w:t xml:space="preserve">, where the Minister has given authorisation for the exclusion. </w:t>
      </w:r>
    </w:p>
    <w:p w14:paraId="061E9E39" w14:textId="6B3E1525" w:rsidR="00074F63" w:rsidRPr="00945244" w:rsidRDefault="00BA10BB" w:rsidP="00F27E97">
      <w:pPr>
        <w:spacing w:before="240" w:after="0" w:line="240" w:lineRule="auto"/>
        <w:rPr>
          <w:rFonts w:ascii="Times New Roman" w:hAnsi="Times New Roman" w:cs="Times New Roman"/>
        </w:rPr>
      </w:pPr>
      <w:r w:rsidRPr="00074F63">
        <w:rPr>
          <w:rFonts w:ascii="Times New Roman" w:hAnsi="Times New Roman" w:cs="Times New Roman"/>
        </w:rPr>
        <w:t xml:space="preserve">Where a regulatory agency seeks to omit the Australian Government logo from its branding on identity cards, an exemption from the Australian Government Branding Guidelines must be obtained from the Minister responsible for branding policy, via the Department of the Prime Minister and Cabinet (PM&amp;C). This exemption </w:t>
      </w:r>
      <w:r w:rsidR="00690626">
        <w:rPr>
          <w:rFonts w:ascii="Times New Roman" w:hAnsi="Times New Roman" w:cs="Times New Roman"/>
        </w:rPr>
        <w:t>needs</w:t>
      </w:r>
      <w:r w:rsidRPr="00074F63">
        <w:rPr>
          <w:rFonts w:ascii="Times New Roman" w:hAnsi="Times New Roman" w:cs="Times New Roman"/>
        </w:rPr>
        <w:t xml:space="preserve"> to be granted in order to obtain an authorisation from the Minister. Despite an exemption being granted by PM&amp;C, it is appropriate that corresponding approval be obtained from the Minister administering the Regulatory Powers Act, noting </w:t>
      </w:r>
      <w:r w:rsidR="006733FE">
        <w:rPr>
          <w:rFonts w:ascii="Times New Roman" w:hAnsi="Times New Roman" w:cs="Times New Roman"/>
        </w:rPr>
        <w:t>the Minister’s</w:t>
      </w:r>
      <w:r w:rsidRPr="00074F63">
        <w:rPr>
          <w:rFonts w:ascii="Times New Roman" w:hAnsi="Times New Roman" w:cs="Times New Roman"/>
        </w:rPr>
        <w:t xml:space="preserve"> responsibility for maintaining standards under the regulatory powers framework, and interest in having oversight over departures from such standards.</w:t>
      </w:r>
    </w:p>
    <w:p w14:paraId="5B27FA83" w14:textId="3B9960AD" w:rsidR="00BA10BB" w:rsidRPr="00074F63" w:rsidRDefault="00BA10BB" w:rsidP="00F27E97">
      <w:pPr>
        <w:keepNext/>
        <w:spacing w:before="360" w:after="0" w:line="240" w:lineRule="auto"/>
        <w:rPr>
          <w:rFonts w:ascii="Times New Roman" w:hAnsi="Times New Roman" w:cs="Times New Roman"/>
          <w:b/>
          <w:u w:val="single"/>
        </w:rPr>
      </w:pPr>
      <w:r w:rsidRPr="00074F63">
        <w:rPr>
          <w:rFonts w:ascii="Times New Roman" w:hAnsi="Times New Roman" w:cs="Times New Roman"/>
          <w:b/>
          <w:u w:val="single"/>
        </w:rPr>
        <w:lastRenderedPageBreak/>
        <w:t>Part 3 – Transitional provisions</w:t>
      </w:r>
    </w:p>
    <w:p w14:paraId="27C25107" w14:textId="77777777" w:rsidR="00BA10BB" w:rsidRPr="00074F63" w:rsidRDefault="00BA10BB" w:rsidP="00F27E97">
      <w:pPr>
        <w:keepNext/>
        <w:spacing w:before="360" w:after="0" w:line="240" w:lineRule="auto"/>
        <w:rPr>
          <w:rFonts w:ascii="Times New Roman" w:hAnsi="Times New Roman" w:cs="Times New Roman"/>
          <w:b/>
        </w:rPr>
      </w:pPr>
      <w:r w:rsidRPr="00074F63">
        <w:rPr>
          <w:rFonts w:ascii="Times New Roman" w:hAnsi="Times New Roman" w:cs="Times New Roman"/>
          <w:b/>
        </w:rPr>
        <w:t xml:space="preserve">Section 9 – Continuation of authorisations </w:t>
      </w:r>
    </w:p>
    <w:p w14:paraId="64AB406C" w14:textId="05A8D575" w:rsidR="00BA10BB" w:rsidRPr="00074F63" w:rsidRDefault="00BA10BB" w:rsidP="00F27E97">
      <w:pPr>
        <w:spacing w:before="240" w:after="0" w:line="240" w:lineRule="auto"/>
        <w:rPr>
          <w:rFonts w:ascii="Times New Roman" w:hAnsi="Times New Roman" w:cs="Times New Roman"/>
        </w:rPr>
      </w:pPr>
      <w:r w:rsidRPr="00074F63">
        <w:rPr>
          <w:rFonts w:ascii="Times New Roman" w:hAnsi="Times New Roman" w:cs="Times New Roman"/>
        </w:rPr>
        <w:t>Section 9 provide</w:t>
      </w:r>
      <w:r w:rsidR="006B43F7" w:rsidRPr="00074F63">
        <w:rPr>
          <w:rFonts w:ascii="Times New Roman" w:hAnsi="Times New Roman" w:cs="Times New Roman"/>
        </w:rPr>
        <w:t>s</w:t>
      </w:r>
      <w:r w:rsidRPr="00074F63">
        <w:rPr>
          <w:rFonts w:ascii="Times New Roman" w:hAnsi="Times New Roman" w:cs="Times New Roman"/>
        </w:rPr>
        <w:t xml:space="preserve"> that an authorisation in force under section 6 of the </w:t>
      </w:r>
      <w:r w:rsidRPr="00074F63">
        <w:rPr>
          <w:rFonts w:ascii="Times New Roman" w:hAnsi="Times New Roman" w:cs="Times New Roman"/>
          <w:i/>
          <w:iCs/>
        </w:rPr>
        <w:t>Regulatory Powers (Standard Provisions) Regulation 2015</w:t>
      </w:r>
      <w:r w:rsidRPr="00074F63">
        <w:rPr>
          <w:rFonts w:ascii="Times New Roman" w:hAnsi="Times New Roman" w:cs="Times New Roman"/>
        </w:rPr>
        <w:t xml:space="preserve"> (the </w:t>
      </w:r>
      <w:r w:rsidRPr="00074F63">
        <w:rPr>
          <w:rFonts w:ascii="Times New Roman" w:hAnsi="Times New Roman" w:cs="Times New Roman"/>
          <w:b/>
          <w:bCs/>
          <w:i/>
          <w:iCs/>
        </w:rPr>
        <w:t>repealed instrument</w:t>
      </w:r>
      <w:r w:rsidRPr="00074F63">
        <w:rPr>
          <w:rFonts w:ascii="Times New Roman" w:hAnsi="Times New Roman" w:cs="Times New Roman"/>
        </w:rPr>
        <w:t xml:space="preserve">) immediately before the commencement of this instrument continues in force on and after that commencement as if it were an authorisation given under this instrument. </w:t>
      </w:r>
    </w:p>
    <w:p w14:paraId="776C41A3" w14:textId="039C2FB8" w:rsidR="00BA10BB" w:rsidRPr="00945244" w:rsidRDefault="00BA10BB" w:rsidP="00F27E97">
      <w:pPr>
        <w:pStyle w:val="paragraph0"/>
        <w:tabs>
          <w:tab w:val="right" w:pos="0"/>
        </w:tabs>
        <w:spacing w:before="240"/>
        <w:ind w:left="0" w:firstLine="0"/>
        <w:rPr>
          <w:szCs w:val="22"/>
        </w:rPr>
      </w:pPr>
      <w:r w:rsidRPr="00074F63">
        <w:rPr>
          <w:szCs w:val="22"/>
        </w:rPr>
        <w:t>This provides for the continua</w:t>
      </w:r>
      <w:r w:rsidR="00C65F8C">
        <w:rPr>
          <w:szCs w:val="22"/>
        </w:rPr>
        <w:t>tion</w:t>
      </w:r>
      <w:r w:rsidRPr="00074F63">
        <w:rPr>
          <w:szCs w:val="22"/>
        </w:rPr>
        <w:t xml:space="preserve"> of existing authorisations, thereby ensuring that any issued identity cards to which authorisations apply remain valid and do not require re-authorisation. </w:t>
      </w:r>
    </w:p>
    <w:p w14:paraId="016FB87C" w14:textId="47E6AC49" w:rsidR="00BA10BB" w:rsidRPr="00074F63" w:rsidRDefault="00BA10BB" w:rsidP="00F27E97">
      <w:pPr>
        <w:spacing w:before="360" w:after="0" w:line="240" w:lineRule="auto"/>
        <w:rPr>
          <w:rFonts w:ascii="Times New Roman" w:hAnsi="Times New Roman" w:cs="Times New Roman"/>
          <w:b/>
        </w:rPr>
      </w:pPr>
      <w:r w:rsidRPr="00074F63">
        <w:rPr>
          <w:rFonts w:ascii="Times New Roman" w:hAnsi="Times New Roman" w:cs="Times New Roman"/>
          <w:b/>
        </w:rPr>
        <w:t>Schedule 1 – Repeals</w:t>
      </w:r>
    </w:p>
    <w:p w14:paraId="36052937" w14:textId="35A3DAAE" w:rsidR="00BA10BB" w:rsidRPr="00074F63" w:rsidRDefault="00BA10BB" w:rsidP="00F27E97">
      <w:pPr>
        <w:spacing w:before="240" w:after="0" w:line="240" w:lineRule="auto"/>
        <w:rPr>
          <w:rFonts w:ascii="Times New Roman" w:hAnsi="Times New Roman" w:cs="Times New Roman"/>
        </w:rPr>
      </w:pPr>
      <w:r w:rsidRPr="00074F63">
        <w:rPr>
          <w:rFonts w:ascii="Times New Roman" w:hAnsi="Times New Roman" w:cs="Times New Roman"/>
        </w:rPr>
        <w:t>Schedule 1 provide</w:t>
      </w:r>
      <w:r w:rsidR="006B43F7" w:rsidRPr="00074F63">
        <w:rPr>
          <w:rFonts w:ascii="Times New Roman" w:hAnsi="Times New Roman" w:cs="Times New Roman"/>
        </w:rPr>
        <w:t>s</w:t>
      </w:r>
      <w:r w:rsidRPr="00074F63">
        <w:rPr>
          <w:rFonts w:ascii="Times New Roman" w:hAnsi="Times New Roman" w:cs="Times New Roman"/>
        </w:rPr>
        <w:t xml:space="preserve"> for the repeal of the </w:t>
      </w:r>
      <w:r w:rsidRPr="00074F63">
        <w:rPr>
          <w:rFonts w:ascii="Times New Roman" w:hAnsi="Times New Roman" w:cs="Times New Roman"/>
          <w:i/>
        </w:rPr>
        <w:t xml:space="preserve">Regulatory Powers (Standard Provisions) Regulation 2015. </w:t>
      </w:r>
      <w:r w:rsidRPr="00074F63">
        <w:rPr>
          <w:rFonts w:ascii="Times New Roman" w:hAnsi="Times New Roman" w:cs="Times New Roman"/>
        </w:rPr>
        <w:t>This ensure</w:t>
      </w:r>
      <w:r w:rsidR="006B43F7" w:rsidRPr="00074F63">
        <w:rPr>
          <w:rFonts w:ascii="Times New Roman" w:hAnsi="Times New Roman" w:cs="Times New Roman"/>
        </w:rPr>
        <w:t>s</w:t>
      </w:r>
      <w:r w:rsidRPr="00074F63">
        <w:rPr>
          <w:rFonts w:ascii="Times New Roman" w:hAnsi="Times New Roman" w:cs="Times New Roman"/>
        </w:rPr>
        <w:t xml:space="preserve"> that the </w:t>
      </w:r>
      <w:r w:rsidRPr="00074F63">
        <w:rPr>
          <w:rFonts w:ascii="Times New Roman" w:hAnsi="Times New Roman" w:cs="Times New Roman"/>
          <w:i/>
        </w:rPr>
        <w:t xml:space="preserve">Regulatory Powers (Standard Provisions) Regulation 2015 </w:t>
      </w:r>
      <w:r w:rsidRPr="00074F63">
        <w:rPr>
          <w:rFonts w:ascii="Times New Roman" w:hAnsi="Times New Roman" w:cs="Times New Roman"/>
        </w:rPr>
        <w:t>ceases operation concurrently with the commencement of the replacement instrument</w:t>
      </w:r>
      <w:r w:rsidR="00690626">
        <w:rPr>
          <w:rFonts w:ascii="Times New Roman" w:hAnsi="Times New Roman" w:cs="Times New Roman"/>
        </w:rPr>
        <w:t xml:space="preserve">. </w:t>
      </w:r>
    </w:p>
    <w:p w14:paraId="62C00ADD" w14:textId="77777777" w:rsidR="00BA10BB" w:rsidRPr="00074F63" w:rsidRDefault="00BA10BB" w:rsidP="00F27E97">
      <w:pPr>
        <w:spacing w:line="360" w:lineRule="auto"/>
        <w:rPr>
          <w:rFonts w:ascii="Times New Roman" w:hAnsi="Times New Roman" w:cs="Times New Roman"/>
        </w:rPr>
      </w:pPr>
    </w:p>
    <w:p w14:paraId="175665EA" w14:textId="77777777" w:rsidR="00BA10BB" w:rsidRPr="00074F63" w:rsidRDefault="00BA10BB" w:rsidP="00F27E97">
      <w:pPr>
        <w:spacing w:line="360" w:lineRule="auto"/>
        <w:rPr>
          <w:rFonts w:ascii="Times New Roman" w:hAnsi="Times New Roman" w:cs="Times New Roman"/>
        </w:rPr>
      </w:pPr>
    </w:p>
    <w:p w14:paraId="09BFDCFF" w14:textId="560B3579" w:rsidR="00F33269" w:rsidRPr="00074F63" w:rsidRDefault="00F33269" w:rsidP="00F27E97">
      <w:pPr>
        <w:pStyle w:val="Default"/>
        <w:spacing w:after="200"/>
        <w:rPr>
          <w:b/>
          <w:bCs/>
          <w:i/>
          <w:iCs/>
          <w:sz w:val="22"/>
          <w:szCs w:val="22"/>
        </w:rPr>
      </w:pPr>
    </w:p>
    <w:sectPr w:rsidR="00F33269" w:rsidRPr="00074F6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4F325" w14:textId="77777777" w:rsidR="00D75EDD" w:rsidRDefault="00D75EDD" w:rsidP="0002636A">
      <w:pPr>
        <w:spacing w:after="0" w:line="240" w:lineRule="auto"/>
      </w:pPr>
      <w:r>
        <w:separator/>
      </w:r>
    </w:p>
  </w:endnote>
  <w:endnote w:type="continuationSeparator" w:id="0">
    <w:p w14:paraId="4F39A39D" w14:textId="77777777" w:rsidR="00D75EDD" w:rsidRDefault="00D75EDD"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4314554"/>
      <w:docPartObj>
        <w:docPartGallery w:val="Page Numbers (Bottom of Page)"/>
        <w:docPartUnique/>
      </w:docPartObj>
    </w:sdtPr>
    <w:sdtEndPr>
      <w:rPr>
        <w:noProof/>
      </w:rPr>
    </w:sdtEndPr>
    <w:sdtContent>
      <w:p w14:paraId="09BFDD04" w14:textId="48D601F0" w:rsidR="0002636A" w:rsidRDefault="0002636A">
        <w:pPr>
          <w:pStyle w:val="Footer"/>
          <w:jc w:val="right"/>
        </w:pPr>
        <w:r>
          <w:fldChar w:fldCharType="begin"/>
        </w:r>
        <w:r>
          <w:instrText xml:space="preserve"> PAGE   \* MERGEFORMAT </w:instrText>
        </w:r>
        <w:r>
          <w:fldChar w:fldCharType="separate"/>
        </w:r>
        <w:r w:rsidR="005E2C79">
          <w:rPr>
            <w:noProof/>
          </w:rPr>
          <w:t>1</w:t>
        </w:r>
        <w:r>
          <w:rPr>
            <w:noProof/>
          </w:rPr>
          <w:fldChar w:fldCharType="end"/>
        </w:r>
      </w:p>
    </w:sdtContent>
  </w:sdt>
  <w:p w14:paraId="09BFDD05" w14:textId="77777777" w:rsidR="0002636A" w:rsidRDefault="00026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272BC" w14:textId="77777777" w:rsidR="00D75EDD" w:rsidRDefault="00D75EDD" w:rsidP="0002636A">
      <w:pPr>
        <w:spacing w:after="0" w:line="240" w:lineRule="auto"/>
      </w:pPr>
      <w:r>
        <w:separator/>
      </w:r>
    </w:p>
  </w:footnote>
  <w:footnote w:type="continuationSeparator" w:id="0">
    <w:p w14:paraId="4B4EC88D" w14:textId="77777777" w:rsidR="00D75EDD" w:rsidRDefault="00D75EDD" w:rsidP="000263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91C34"/>
    <w:multiLevelType w:val="hybridMultilevel"/>
    <w:tmpl w:val="7206A9D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6A5DEF"/>
    <w:multiLevelType w:val="hybridMultilevel"/>
    <w:tmpl w:val="C512FBF4"/>
    <w:lvl w:ilvl="0" w:tplc="0C090017">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5AF38DB"/>
    <w:multiLevelType w:val="hybridMultilevel"/>
    <w:tmpl w:val="BC92C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A705C34"/>
    <w:multiLevelType w:val="hybridMultilevel"/>
    <w:tmpl w:val="EC06674E"/>
    <w:lvl w:ilvl="0" w:tplc="0C090017">
      <w:start w:val="1"/>
      <w:numFmt w:val="lowerLetter"/>
      <w:lvlText w:val="%1)"/>
      <w:lvlJc w:val="left"/>
      <w:pPr>
        <w:ind w:left="720" w:hanging="360"/>
      </w:pPr>
    </w:lvl>
    <w:lvl w:ilvl="1" w:tplc="1D328DC2">
      <w:start w:val="1"/>
      <w:numFmt w:val="lowerRoman"/>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743920350">
    <w:abstractNumId w:val="7"/>
  </w:num>
  <w:num w:numId="2" w16cid:durableId="1066336556">
    <w:abstractNumId w:val="2"/>
  </w:num>
  <w:num w:numId="3" w16cid:durableId="459222837">
    <w:abstractNumId w:val="9"/>
  </w:num>
  <w:num w:numId="4" w16cid:durableId="608007198">
    <w:abstractNumId w:val="14"/>
  </w:num>
  <w:num w:numId="5" w16cid:durableId="1571962524">
    <w:abstractNumId w:val="4"/>
  </w:num>
  <w:num w:numId="6" w16cid:durableId="428476742">
    <w:abstractNumId w:val="15"/>
  </w:num>
  <w:num w:numId="7" w16cid:durableId="830758570">
    <w:abstractNumId w:val="1"/>
  </w:num>
  <w:num w:numId="8" w16cid:durableId="1396733058">
    <w:abstractNumId w:val="8"/>
  </w:num>
  <w:num w:numId="9" w16cid:durableId="1689327418">
    <w:abstractNumId w:val="5"/>
  </w:num>
  <w:num w:numId="10" w16cid:durableId="287780646">
    <w:abstractNumId w:val="13"/>
  </w:num>
  <w:num w:numId="11" w16cid:durableId="1627196524">
    <w:abstractNumId w:val="11"/>
  </w:num>
  <w:num w:numId="12" w16cid:durableId="1802992679">
    <w:abstractNumId w:val="10"/>
  </w:num>
  <w:num w:numId="13" w16cid:durableId="1972785698">
    <w:abstractNumId w:val="6"/>
  </w:num>
  <w:num w:numId="14" w16cid:durableId="1860504899">
    <w:abstractNumId w:val="12"/>
  </w:num>
  <w:num w:numId="15" w16cid:durableId="227304513">
    <w:abstractNumId w:val="3"/>
    <w:lvlOverride w:ilvl="0">
      <w:startOverride w:val="1"/>
    </w:lvlOverride>
    <w:lvlOverride w:ilvl="1"/>
    <w:lvlOverride w:ilvl="2"/>
    <w:lvlOverride w:ilvl="3"/>
    <w:lvlOverride w:ilvl="4"/>
    <w:lvlOverride w:ilvl="5"/>
    <w:lvlOverride w:ilvl="6"/>
    <w:lvlOverride w:ilvl="7"/>
    <w:lvlOverride w:ilvl="8"/>
  </w:num>
  <w:num w:numId="16" w16cid:durableId="17523879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41280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73684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269"/>
    <w:rsid w:val="00001A39"/>
    <w:rsid w:val="00012AD6"/>
    <w:rsid w:val="0002636A"/>
    <w:rsid w:val="000415BA"/>
    <w:rsid w:val="00043840"/>
    <w:rsid w:val="00074F63"/>
    <w:rsid w:val="00092565"/>
    <w:rsid w:val="0009428A"/>
    <w:rsid w:val="000A66BD"/>
    <w:rsid w:val="000C7ACE"/>
    <w:rsid w:val="000E1EA1"/>
    <w:rsid w:val="000E2C80"/>
    <w:rsid w:val="000F0FB1"/>
    <w:rsid w:val="0010364C"/>
    <w:rsid w:val="00106CBA"/>
    <w:rsid w:val="00132863"/>
    <w:rsid w:val="001469C7"/>
    <w:rsid w:val="00151031"/>
    <w:rsid w:val="0017632E"/>
    <w:rsid w:val="00186EFA"/>
    <w:rsid w:val="00195A18"/>
    <w:rsid w:val="001A56F2"/>
    <w:rsid w:val="001C4696"/>
    <w:rsid w:val="001D3031"/>
    <w:rsid w:val="002562BF"/>
    <w:rsid w:val="0026109C"/>
    <w:rsid w:val="00262B9E"/>
    <w:rsid w:val="0027108B"/>
    <w:rsid w:val="002B361E"/>
    <w:rsid w:val="002C5B76"/>
    <w:rsid w:val="002E2783"/>
    <w:rsid w:val="003516FD"/>
    <w:rsid w:val="00381AEC"/>
    <w:rsid w:val="00383C3D"/>
    <w:rsid w:val="003A3CC6"/>
    <w:rsid w:val="003B6050"/>
    <w:rsid w:val="003C6789"/>
    <w:rsid w:val="003D2997"/>
    <w:rsid w:val="00425FDD"/>
    <w:rsid w:val="00431C5B"/>
    <w:rsid w:val="004518A4"/>
    <w:rsid w:val="004709FE"/>
    <w:rsid w:val="0049094A"/>
    <w:rsid w:val="004946B6"/>
    <w:rsid w:val="004A0438"/>
    <w:rsid w:val="004A4086"/>
    <w:rsid w:val="004B3C03"/>
    <w:rsid w:val="004C5655"/>
    <w:rsid w:val="004D51F4"/>
    <w:rsid w:val="004F430F"/>
    <w:rsid w:val="0050398F"/>
    <w:rsid w:val="00513F15"/>
    <w:rsid w:val="00521029"/>
    <w:rsid w:val="00566C9B"/>
    <w:rsid w:val="00583699"/>
    <w:rsid w:val="005B2CF3"/>
    <w:rsid w:val="005B4B9C"/>
    <w:rsid w:val="005D194A"/>
    <w:rsid w:val="005E2C79"/>
    <w:rsid w:val="0063239B"/>
    <w:rsid w:val="00634AE9"/>
    <w:rsid w:val="00635C6A"/>
    <w:rsid w:val="00670C8D"/>
    <w:rsid w:val="006716F4"/>
    <w:rsid w:val="006733FE"/>
    <w:rsid w:val="00674543"/>
    <w:rsid w:val="00681AB8"/>
    <w:rsid w:val="00690626"/>
    <w:rsid w:val="006B43F7"/>
    <w:rsid w:val="00767451"/>
    <w:rsid w:val="007B7195"/>
    <w:rsid w:val="007C0952"/>
    <w:rsid w:val="007C555E"/>
    <w:rsid w:val="007F1D53"/>
    <w:rsid w:val="00872B27"/>
    <w:rsid w:val="00894D9D"/>
    <w:rsid w:val="008977AC"/>
    <w:rsid w:val="008B09E0"/>
    <w:rsid w:val="008B2955"/>
    <w:rsid w:val="008F69AB"/>
    <w:rsid w:val="00902F3D"/>
    <w:rsid w:val="00911332"/>
    <w:rsid w:val="009227B6"/>
    <w:rsid w:val="00935CE0"/>
    <w:rsid w:val="00945244"/>
    <w:rsid w:val="00957401"/>
    <w:rsid w:val="009601BB"/>
    <w:rsid w:val="00971554"/>
    <w:rsid w:val="009B1F88"/>
    <w:rsid w:val="009B6322"/>
    <w:rsid w:val="009C0BE2"/>
    <w:rsid w:val="009D2B82"/>
    <w:rsid w:val="00A41A31"/>
    <w:rsid w:val="00A42F5D"/>
    <w:rsid w:val="00AB3F89"/>
    <w:rsid w:val="00AC39E5"/>
    <w:rsid w:val="00AF0C63"/>
    <w:rsid w:val="00AF1C2F"/>
    <w:rsid w:val="00AF2820"/>
    <w:rsid w:val="00AF673F"/>
    <w:rsid w:val="00B273E1"/>
    <w:rsid w:val="00B427D5"/>
    <w:rsid w:val="00B57503"/>
    <w:rsid w:val="00B828BC"/>
    <w:rsid w:val="00BA10BB"/>
    <w:rsid w:val="00BA3F3C"/>
    <w:rsid w:val="00C16B35"/>
    <w:rsid w:val="00C572FB"/>
    <w:rsid w:val="00C63552"/>
    <w:rsid w:val="00C65F8C"/>
    <w:rsid w:val="00C858F4"/>
    <w:rsid w:val="00C971ED"/>
    <w:rsid w:val="00CE6485"/>
    <w:rsid w:val="00CF14E3"/>
    <w:rsid w:val="00D51A2A"/>
    <w:rsid w:val="00D75EDD"/>
    <w:rsid w:val="00D801E1"/>
    <w:rsid w:val="00DB2DA6"/>
    <w:rsid w:val="00DB54AF"/>
    <w:rsid w:val="00DC2CCC"/>
    <w:rsid w:val="00E23B2F"/>
    <w:rsid w:val="00E44073"/>
    <w:rsid w:val="00E81349"/>
    <w:rsid w:val="00ED357E"/>
    <w:rsid w:val="00F10A91"/>
    <w:rsid w:val="00F11561"/>
    <w:rsid w:val="00F17BF0"/>
    <w:rsid w:val="00F26896"/>
    <w:rsid w:val="00F27E97"/>
    <w:rsid w:val="00F33269"/>
    <w:rsid w:val="00F721D3"/>
    <w:rsid w:val="00F769DC"/>
    <w:rsid w:val="797FDF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DCC5"/>
  <w15:docId w15:val="{47051BD3-41E7-476F-854F-A00E22A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semiHidden/>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semiHidden/>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character" w:styleId="UnresolvedMention">
    <w:name w:val="Unresolved Mention"/>
    <w:basedOn w:val="DefaultParagraphFont"/>
    <w:uiPriority w:val="99"/>
    <w:semiHidden/>
    <w:unhideWhenUsed/>
    <w:rsid w:val="001A56F2"/>
    <w:rPr>
      <w:color w:val="605E5C"/>
      <w:shd w:val="clear" w:color="auto" w:fill="E1DFDD"/>
    </w:rPr>
  </w:style>
  <w:style w:type="paragraph" w:styleId="Revision">
    <w:name w:val="Revision"/>
    <w:hidden/>
    <w:uiPriority w:val="99"/>
    <w:semiHidden/>
    <w:rsid w:val="00C63552"/>
    <w:pPr>
      <w:spacing w:after="0" w:line="240" w:lineRule="auto"/>
    </w:pPr>
  </w:style>
  <w:style w:type="paragraph" w:customStyle="1" w:styleId="Celltext">
    <w:name w:val="Cell text"/>
    <w:basedOn w:val="Normal"/>
    <w:rsid w:val="00C572FB"/>
    <w:pPr>
      <w:spacing w:before="120" w:after="0" w:line="240" w:lineRule="auto"/>
    </w:pPr>
    <w:rPr>
      <w:rFonts w:ascii="Times New Roman" w:eastAsia="Times New Roman" w:hAnsi="Times New Roman" w:cs="Times New Roman"/>
      <w:sz w:val="24"/>
      <w:szCs w:val="20"/>
      <w:lang w:eastAsia="en-AU"/>
    </w:rPr>
  </w:style>
  <w:style w:type="paragraph" w:styleId="NormalWeb">
    <w:name w:val="Normal (Web)"/>
    <w:basedOn w:val="Normal"/>
    <w:uiPriority w:val="99"/>
    <w:semiHidden/>
    <w:unhideWhenUsed/>
    <w:rsid w:val="00BA10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0">
    <w:name w:val="paragraph"/>
    <w:aliases w:val="a"/>
    <w:basedOn w:val="Normal"/>
    <w:rsid w:val="00BA10B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BA10BB"/>
    <w:pPr>
      <w:tabs>
        <w:tab w:val="right" w:pos="1985"/>
      </w:tabs>
      <w:spacing w:before="40" w:after="0" w:line="240" w:lineRule="auto"/>
      <w:ind w:left="2098" w:hanging="2098"/>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880889">
      <w:bodyDiv w:val="1"/>
      <w:marLeft w:val="0"/>
      <w:marRight w:val="0"/>
      <w:marTop w:val="0"/>
      <w:marBottom w:val="0"/>
      <w:divBdr>
        <w:top w:val="none" w:sz="0" w:space="0" w:color="auto"/>
        <w:left w:val="none" w:sz="0" w:space="0" w:color="auto"/>
        <w:bottom w:val="none" w:sz="0" w:space="0" w:color="auto"/>
        <w:right w:val="none" w:sz="0" w:space="0" w:color="auto"/>
      </w:divBdr>
    </w:div>
    <w:div w:id="733352413">
      <w:bodyDiv w:val="1"/>
      <w:marLeft w:val="0"/>
      <w:marRight w:val="0"/>
      <w:marTop w:val="0"/>
      <w:marBottom w:val="0"/>
      <w:divBdr>
        <w:top w:val="none" w:sz="0" w:space="0" w:color="auto"/>
        <w:left w:val="none" w:sz="0" w:space="0" w:color="auto"/>
        <w:bottom w:val="none" w:sz="0" w:space="0" w:color="auto"/>
        <w:right w:val="none" w:sz="0" w:space="0" w:color="auto"/>
      </w:divBdr>
    </w:div>
    <w:div w:id="951060344">
      <w:bodyDiv w:val="1"/>
      <w:marLeft w:val="0"/>
      <w:marRight w:val="0"/>
      <w:marTop w:val="0"/>
      <w:marBottom w:val="0"/>
      <w:divBdr>
        <w:top w:val="none" w:sz="0" w:space="0" w:color="auto"/>
        <w:left w:val="none" w:sz="0" w:space="0" w:color="auto"/>
        <w:bottom w:val="none" w:sz="0" w:space="0" w:color="auto"/>
        <w:right w:val="none" w:sz="0" w:space="0" w:color="auto"/>
      </w:divBdr>
    </w:div>
    <w:div w:id="154412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65CBE5563E0324E9BDB943233702F04" ma:contentTypeVersion="" ma:contentTypeDescription="PDMS Document Site Content Type" ma:contentTypeScope="" ma:versionID="1aba1a4b6c43eedcf45ddd7d7879e24e">
  <xsd:schema xmlns:xsd="http://www.w3.org/2001/XMLSchema" xmlns:xs="http://www.w3.org/2001/XMLSchema" xmlns:p="http://schemas.microsoft.com/office/2006/metadata/properties" xmlns:ns2="DF15BC31-89A9-4A48-AF87-4A7451EB2E52" targetNamespace="http://schemas.microsoft.com/office/2006/metadata/properties" ma:root="true" ma:fieldsID="722dd76a70723deaa29efe296615c78a" ns2:_="">
    <xsd:import namespace="DF15BC31-89A9-4A48-AF87-4A7451EB2E5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5BC31-89A9-4A48-AF87-4A7451EB2E5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DF15BC31-89A9-4A48-AF87-4A7451EB2E52" xsi:nil="true"/>
  </documentManagement>
</p:properties>
</file>

<file path=customXml/itemProps1.xml><?xml version="1.0" encoding="utf-8"?>
<ds:datastoreItem xmlns:ds="http://schemas.openxmlformats.org/officeDocument/2006/customXml" ds:itemID="{A2C83E8D-706A-461F-98D7-CE79C811B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5BC31-89A9-4A48-AF87-4A7451EB2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6137D3-6CA2-4339-8FBD-AC7AA3001FA4}">
  <ds:schemaRefs>
    <ds:schemaRef ds:uri="http://schemas.openxmlformats.org/officeDocument/2006/bibliography"/>
  </ds:schemaRefs>
</ds:datastoreItem>
</file>

<file path=customXml/itemProps3.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4.xml><?xml version="1.0" encoding="utf-8"?>
<ds:datastoreItem xmlns:ds="http://schemas.openxmlformats.org/officeDocument/2006/customXml" ds:itemID="{9D74A69D-22E8-43A8-BB0F-D8E8F3411D3E}">
  <ds:schemaRef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DF15BC31-89A9-4A48-AF87-4A7451EB2E52"/>
    <ds:schemaRef ds:uri="http://www.w3.org/XML/1998/namespace"/>
    <ds:schemaRef ds:uri="http://purl.org/dc/terms/"/>
    <ds:schemaRef ds:uri="http://purl.org/dc/elements/1.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1921</Words>
  <Characters>10952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tayloh</dc:creator>
  <cp:lastModifiedBy>Bishop, Madeleine</cp:lastModifiedBy>
  <cp:revision>3</cp:revision>
  <dcterms:created xsi:type="dcterms:W3CDTF">2025-09-08T00:27:00Z</dcterms:created>
  <dcterms:modified xsi:type="dcterms:W3CDTF">2025-09-08T23:37:00Z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0x010100266966F133664895A6EE3632470D45F500A65CBE5563E0324E9BDB943233702F04</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