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bookmarkStart w:id="0" w:name="_GoBack"/>
      <w:bookmarkEnd w:id="0"/>
      <w:r>
        <w:t>EXPLANATORY STATEMENT</w:t>
      </w:r>
    </w:p>
    <w:p w14:paraId="6626F329" w14:textId="02023BD7" w:rsidR="009A6866" w:rsidRPr="009A6866" w:rsidRDefault="009A6866" w:rsidP="00682847">
      <w:pPr>
        <w:pStyle w:val="Heading6"/>
        <w:jc w:val="center"/>
      </w:pPr>
      <w:r w:rsidRPr="009A6866">
        <w:t xml:space="preserve">Defence Determination, Conditions of service Amendment </w:t>
      </w:r>
      <w:r w:rsidR="0008037A">
        <w:t xml:space="preserve"> Determination </w:t>
      </w:r>
      <w:r w:rsidR="00F774DD" w:rsidRPr="009A6866">
        <w:t>(No. </w:t>
      </w:r>
      <w:r w:rsidR="00CA02CC">
        <w:t>14</w:t>
      </w:r>
      <w:r w:rsidR="00F774DD" w:rsidRPr="009A6866">
        <w:t>)</w:t>
      </w:r>
      <w:r w:rsidR="00F774DD">
        <w:t xml:space="preserve"> </w:t>
      </w:r>
      <w:r w:rsidR="0008037A">
        <w:t>202</w:t>
      </w:r>
      <w:r w:rsidR="00F774DD">
        <w:t>5</w:t>
      </w:r>
      <w:r w:rsidRPr="009A6866">
        <w:t xml:space="preserve"> </w:t>
      </w:r>
    </w:p>
    <w:p w14:paraId="383649D3" w14:textId="11EF6769"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sunsetting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7A576B33" w:rsidR="00682847" w:rsidRDefault="00682847" w:rsidP="001E51FE">
      <w:pPr>
        <w:pStyle w:val="Sectiontext"/>
        <w:tabs>
          <w:tab w:val="left" w:pos="7380"/>
        </w:tabs>
      </w:pPr>
      <w:r>
        <w:t>This Determination amends the Principal Determination</w:t>
      </w:r>
      <w:r w:rsidR="00D86E70">
        <w:t>,</w:t>
      </w:r>
      <w:r>
        <w:t xml:space="preserve"> which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132D9111" w14:textId="66692E00" w:rsidR="00682847" w:rsidRDefault="00682847" w:rsidP="00682847">
      <w:pPr>
        <w:pStyle w:val="Sectiontext"/>
        <w:tabs>
          <w:tab w:val="left" w:pos="7380"/>
        </w:tabs>
      </w:pPr>
      <w:r>
        <w:t>The purpose of this Determination is to do the following:</w:t>
      </w:r>
    </w:p>
    <w:p w14:paraId="49F9D046" w14:textId="77777777" w:rsidR="00A1251E" w:rsidRDefault="00A1251E" w:rsidP="00A1251E">
      <w:pPr>
        <w:pStyle w:val="Sectiontext"/>
        <w:numPr>
          <w:ilvl w:val="0"/>
          <w:numId w:val="17"/>
        </w:numPr>
        <w:tabs>
          <w:tab w:val="left" w:pos="7380"/>
        </w:tabs>
      </w:pPr>
      <w:r>
        <w:t xml:space="preserve">Update the rates of allowances for members who perform duty in locations in Australia that involve hardship. These updates are routine in nature and are made annually to align with the Consumer Price Index and the adjustments recommended by the Australian Public Service Commission. </w:t>
      </w:r>
    </w:p>
    <w:p w14:paraId="3DE7E146" w14:textId="2DE229D3" w:rsidR="005156FA" w:rsidRPr="006C4161" w:rsidRDefault="005156FA" w:rsidP="005156FA">
      <w:pPr>
        <w:pStyle w:val="Sectiontext"/>
        <w:numPr>
          <w:ilvl w:val="0"/>
          <w:numId w:val="17"/>
        </w:numPr>
        <w:tabs>
          <w:tab w:val="left" w:pos="7380"/>
        </w:tabs>
      </w:pPr>
      <w:r w:rsidRPr="006C4161">
        <w:t xml:space="preserve">Provide early removal benefits to members posted to RAAF Base Tindal and their dependants to facilitate </w:t>
      </w:r>
      <w:r>
        <w:t xml:space="preserve">their </w:t>
      </w:r>
      <w:r w:rsidR="00D86E70">
        <w:t>move</w:t>
      </w:r>
      <w:r w:rsidRPr="006C4161">
        <w:t>.</w:t>
      </w:r>
    </w:p>
    <w:p w14:paraId="2A644980" w14:textId="4D0FF3D1" w:rsidR="00682847" w:rsidRDefault="00CA02CC" w:rsidP="00682847">
      <w:pPr>
        <w:pStyle w:val="Sectiontext"/>
        <w:numPr>
          <w:ilvl w:val="0"/>
          <w:numId w:val="17"/>
        </w:numPr>
        <w:tabs>
          <w:tab w:val="left" w:pos="7380"/>
        </w:tabs>
      </w:pPr>
      <w:r>
        <w:t>Update the post index locations following a review of the post index rates applicable to the United States of America.</w:t>
      </w:r>
    </w:p>
    <w:p w14:paraId="2A1FBFC2" w14:textId="5DF33C05" w:rsidR="00B04D66" w:rsidRDefault="00B04D66" w:rsidP="001873D2">
      <w:pPr>
        <w:pStyle w:val="Sectiontext"/>
        <w:numPr>
          <w:ilvl w:val="0"/>
          <w:numId w:val="17"/>
        </w:numPr>
        <w:tabs>
          <w:tab w:val="left" w:pos="7380"/>
        </w:tabs>
      </w:pPr>
      <w:r>
        <w:lastRenderedPageBreak/>
        <w:t>Establish a special location allowance for members on a long-term posting to Kyiv, Ukraine.</w:t>
      </w:r>
    </w:p>
    <w:p w14:paraId="1F0C42CE" w14:textId="77777777" w:rsidR="00B04D66" w:rsidRDefault="00B04D66" w:rsidP="00B04D66">
      <w:pPr>
        <w:pStyle w:val="Sectiontext"/>
        <w:numPr>
          <w:ilvl w:val="0"/>
          <w:numId w:val="17"/>
        </w:numPr>
        <w:tabs>
          <w:tab w:val="left" w:pos="7380"/>
        </w:tabs>
      </w:pPr>
      <w:r>
        <w:t xml:space="preserve">Repeal the special location allowance for the Defence Attaché Baghdad, Iraq, as the position no longer exists. </w:t>
      </w:r>
    </w:p>
    <w:p w14:paraId="346B9DB2" w14:textId="77777777" w:rsidR="00B04D66" w:rsidRDefault="00B04D66" w:rsidP="00B04D66">
      <w:pPr>
        <w:pStyle w:val="Sectiontext"/>
        <w:numPr>
          <w:ilvl w:val="0"/>
          <w:numId w:val="17"/>
        </w:numPr>
        <w:tabs>
          <w:tab w:val="left" w:pos="7380"/>
        </w:tabs>
      </w:pPr>
      <w:r>
        <w:rPr>
          <w:rFonts w:cs="Arial"/>
          <w:color w:val="000000"/>
        </w:rPr>
        <w:t xml:space="preserve">Amend the daily rate of special location </w:t>
      </w:r>
      <w:r w:rsidRPr="00D314FE">
        <w:rPr>
          <w:rFonts w:cs="Arial"/>
        </w:rPr>
        <w:t xml:space="preserve">allowance </w:t>
      </w:r>
      <w:r w:rsidRPr="00D314FE">
        <w:t>for members on a long-term posting to Ukraine</w:t>
      </w:r>
      <w:r w:rsidRPr="00D314FE">
        <w:rPr>
          <w:rFonts w:cs="Arial"/>
        </w:rPr>
        <w:t xml:space="preserve"> </w:t>
      </w:r>
      <w:r>
        <w:rPr>
          <w:rFonts w:cs="Arial"/>
          <w:color w:val="000000"/>
        </w:rPr>
        <w:t>by 3.4% in line with the ADF’s Workplace Remuneration Arrangement.</w:t>
      </w:r>
    </w:p>
    <w:p w14:paraId="3C8B5F1B" w14:textId="77777777" w:rsidR="009D3E50" w:rsidRDefault="009D3E50" w:rsidP="009D3E50">
      <w:pPr>
        <w:pStyle w:val="Sectiontext"/>
        <w:numPr>
          <w:ilvl w:val="0"/>
          <w:numId w:val="17"/>
        </w:numPr>
        <w:tabs>
          <w:tab w:val="left" w:pos="7380"/>
        </w:tabs>
      </w:pPr>
      <w:r>
        <w:t xml:space="preserve">Amend eligibility to travel for specialist medical or dental treatment for members in </w:t>
      </w:r>
      <w:r>
        <w:rPr>
          <w:rFonts w:cs="Arial"/>
          <w:lang w:eastAsia="en-US"/>
        </w:rPr>
        <w:t>grade C, D or E remote locations to account for locations where members have access to a</w:t>
      </w:r>
      <w:r w:rsidRPr="00C50B38">
        <w:rPr>
          <w:rFonts w:cs="Arial"/>
          <w:lang w:eastAsia="en-US"/>
        </w:rPr>
        <w:t xml:space="preserve"> doctor or dentist</w:t>
      </w:r>
      <w:r>
        <w:rPr>
          <w:rFonts w:cs="Arial"/>
          <w:lang w:eastAsia="en-US"/>
        </w:rPr>
        <w:t xml:space="preserve"> in the location. </w:t>
      </w:r>
    </w:p>
    <w:p w14:paraId="3EE93BBB" w14:textId="54ED48AA" w:rsidR="009D3E50" w:rsidRDefault="00D86E70" w:rsidP="003D52C7">
      <w:pPr>
        <w:pStyle w:val="Sectiontext"/>
        <w:numPr>
          <w:ilvl w:val="0"/>
          <w:numId w:val="17"/>
        </w:numPr>
        <w:tabs>
          <w:tab w:val="left" w:pos="7380"/>
        </w:tabs>
      </w:pPr>
      <w:r>
        <w:t>Update cross-references and to c</w:t>
      </w:r>
      <w:r w:rsidR="009D3E50">
        <w:t>orrect typographical and punctuation errors.</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5CD30C56" w14:textId="0D0D896F" w:rsidR="00682847" w:rsidRPr="003160EA" w:rsidRDefault="00682847" w:rsidP="00DF5F1D">
      <w:pPr>
        <w:pStyle w:val="Sectiontext"/>
        <w:keepNext/>
        <w:tabs>
          <w:tab w:val="left" w:pos="7380"/>
        </w:tabs>
        <w:jc w:val="center"/>
        <w:rPr>
          <w:b/>
        </w:rPr>
      </w:pPr>
      <w:r w:rsidRPr="003160EA">
        <w:rPr>
          <w:b/>
        </w:rPr>
        <w:t>R</w:t>
      </w:r>
      <w:r w:rsidR="00AA0D47" w:rsidRPr="003160EA">
        <w:rPr>
          <w:b/>
        </w:rPr>
        <w:t>etrospective application</w:t>
      </w:r>
    </w:p>
    <w:p w14:paraId="5B5E109C" w14:textId="70B846A9" w:rsidR="00AA0D47" w:rsidRPr="003160EA" w:rsidRDefault="00AA0D47" w:rsidP="00AA0D47">
      <w:pPr>
        <w:pStyle w:val="Sectiontext"/>
        <w:tabs>
          <w:tab w:val="left" w:pos="7380"/>
        </w:tabs>
        <w:rPr>
          <w:b/>
        </w:rPr>
      </w:pPr>
      <w:r w:rsidRPr="003160EA">
        <w:t>The retrospective application of this Determination does not affect the rights of a person (other than the Commonwealth) in a manner prejudicial to that person, nor does it impose any liability on such person</w:t>
      </w:r>
      <w:r w:rsidR="00E81ECD" w:rsidRPr="003160EA">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3E30BDC2" w14:textId="2A5E861C" w:rsidR="00AA0D47" w:rsidRDefault="00AA0D47" w:rsidP="00AA0D47">
      <w:pPr>
        <w:pStyle w:val="Sectiontext"/>
        <w:rPr>
          <w:snapToGrid w:val="0"/>
        </w:rPr>
      </w:pPr>
      <w:r>
        <w:rPr>
          <w:snapToGrid w:val="0"/>
        </w:rPr>
        <w:t>Bef</w:t>
      </w:r>
      <w:r w:rsidR="00C40348">
        <w:rPr>
          <w:snapToGrid w:val="0"/>
        </w:rPr>
        <w:t>ore this Determination was made</w:t>
      </w:r>
      <w:r>
        <w:rPr>
          <w:snapToGrid w:val="0"/>
        </w:rPr>
        <w:t>, the consultation was undertaken</w:t>
      </w:r>
      <w:r w:rsidR="00E81ECD">
        <w:rPr>
          <w:snapToGrid w:val="0"/>
        </w:rPr>
        <w:t xml:space="preserve"> with</w:t>
      </w:r>
      <w:r>
        <w:rPr>
          <w:snapToGrid w:val="0"/>
        </w:rPr>
        <w:t>:</w:t>
      </w:r>
    </w:p>
    <w:p w14:paraId="4F0B751E" w14:textId="4C96B094" w:rsidR="00AA0D47" w:rsidRDefault="00AA0D47" w:rsidP="00AA0D47">
      <w:pPr>
        <w:pStyle w:val="Sectiontext"/>
        <w:numPr>
          <w:ilvl w:val="0"/>
          <w:numId w:val="19"/>
        </w:numPr>
        <w:rPr>
          <w:snapToGrid w:val="0"/>
        </w:rPr>
      </w:pPr>
      <w:r>
        <w:rPr>
          <w:snapToGrid w:val="0"/>
        </w:rPr>
        <w:lastRenderedPageBreak/>
        <w:t>Schedule 1:</w:t>
      </w:r>
      <w:r w:rsidR="003160EA" w:rsidRPr="003160EA">
        <w:rPr>
          <w:snapToGrid w:val="0"/>
        </w:rPr>
        <w:t xml:space="preserve"> </w:t>
      </w:r>
      <w:r w:rsidR="003160EA" w:rsidRPr="00BD6CF7">
        <w:rPr>
          <w:snapToGrid w:val="0"/>
        </w:rPr>
        <w:t>Payroll</w:t>
      </w:r>
      <w:r w:rsidR="003160EA">
        <w:rPr>
          <w:snapToGrid w:val="0"/>
        </w:rPr>
        <w:t xml:space="preserve"> Systems and Payroll</w:t>
      </w:r>
      <w:r w:rsidR="003160EA" w:rsidRPr="00BD6CF7">
        <w:rPr>
          <w:snapToGrid w:val="0"/>
        </w:rPr>
        <w:t xml:space="preserve"> Services Branch</w:t>
      </w:r>
      <w:r w:rsidR="00770128">
        <w:rPr>
          <w:snapToGrid w:val="0"/>
        </w:rPr>
        <w:t xml:space="preserve">, and </w:t>
      </w:r>
      <w:r w:rsidR="00770128" w:rsidRPr="00F04498">
        <w:rPr>
          <w:snapToGrid w:val="0"/>
        </w:rPr>
        <w:t>Directorate of Attaché and Overseas Management, the Directorate of Personnel Policy Operation.</w:t>
      </w:r>
    </w:p>
    <w:p w14:paraId="3F6C254C" w14:textId="67167C18" w:rsidR="00AA0D47" w:rsidRDefault="00AA0D47" w:rsidP="00AA0D47">
      <w:pPr>
        <w:pStyle w:val="Sectiontext"/>
        <w:numPr>
          <w:ilvl w:val="0"/>
          <w:numId w:val="19"/>
        </w:numPr>
        <w:rPr>
          <w:snapToGrid w:val="0"/>
        </w:rPr>
      </w:pPr>
      <w:r>
        <w:rPr>
          <w:snapToGrid w:val="0"/>
        </w:rPr>
        <w:t>Schedule 2:</w:t>
      </w:r>
      <w:r w:rsidR="003160EA" w:rsidRPr="003160EA">
        <w:rPr>
          <w:snapToGrid w:val="0"/>
        </w:rPr>
        <w:t xml:space="preserve"> </w:t>
      </w:r>
      <w:r w:rsidR="003160EA">
        <w:rPr>
          <w:snapToGrid w:val="0"/>
        </w:rPr>
        <w:t>Directorate of Personnel Policy Operations, Security and Estate Group – Directorate of Relocations and Housing and the base management team – RAAF Base Tindal.</w:t>
      </w:r>
    </w:p>
    <w:p w14:paraId="7121E66B" w14:textId="4B532EC6" w:rsidR="003160EA" w:rsidRDefault="00AA0D47" w:rsidP="007B6FCF">
      <w:pPr>
        <w:pStyle w:val="Sectiontext"/>
        <w:numPr>
          <w:ilvl w:val="0"/>
          <w:numId w:val="19"/>
        </w:numPr>
        <w:rPr>
          <w:snapToGrid w:val="0"/>
        </w:rPr>
      </w:pPr>
      <w:r w:rsidRPr="003160EA">
        <w:rPr>
          <w:snapToGrid w:val="0"/>
        </w:rPr>
        <w:t xml:space="preserve">Schedule 3: </w:t>
      </w:r>
      <w:r w:rsidR="00CA02CC" w:rsidRPr="004A0628">
        <w:rPr>
          <w:snapToGrid w:val="0"/>
        </w:rPr>
        <w:t xml:space="preserve">The rule maker was satisfied that the changes made by this Schedule are </w:t>
      </w:r>
      <w:r w:rsidR="00CA02CC">
        <w:rPr>
          <w:snapToGrid w:val="0"/>
        </w:rPr>
        <w:t>routine</w:t>
      </w:r>
      <w:r w:rsidR="00CA02CC" w:rsidRPr="004A0628">
        <w:rPr>
          <w:snapToGrid w:val="0"/>
        </w:rPr>
        <w:t xml:space="preserve"> in nature and consultation was not required.</w:t>
      </w:r>
    </w:p>
    <w:p w14:paraId="6B4839E3" w14:textId="7A233026" w:rsidR="009D3E50" w:rsidRPr="00F04498" w:rsidRDefault="00770128" w:rsidP="007B6FCF">
      <w:pPr>
        <w:pStyle w:val="Sectiontext"/>
        <w:numPr>
          <w:ilvl w:val="0"/>
          <w:numId w:val="19"/>
        </w:numPr>
        <w:tabs>
          <w:tab w:val="left" w:pos="7380"/>
        </w:tabs>
      </w:pPr>
      <w:r w:rsidRPr="00770128">
        <w:t xml:space="preserve">Schedule 4: </w:t>
      </w:r>
      <w:r w:rsidR="00F04498" w:rsidRPr="00FD1310">
        <w:rPr>
          <w:snapToGrid w:val="0"/>
        </w:rPr>
        <w:t>Directorate of Attaché and Overseas Management, the Directorate of Personnel Policy Operation.</w:t>
      </w:r>
    </w:p>
    <w:p w14:paraId="3B2E144B" w14:textId="394CCD6F" w:rsidR="003160EA" w:rsidRDefault="009D3E50" w:rsidP="007B6FCF">
      <w:pPr>
        <w:pStyle w:val="Sectiontext"/>
        <w:numPr>
          <w:ilvl w:val="0"/>
          <w:numId w:val="19"/>
        </w:numPr>
        <w:rPr>
          <w:snapToGrid w:val="0"/>
        </w:rPr>
      </w:pPr>
      <w:r>
        <w:rPr>
          <w:snapToGrid w:val="0"/>
        </w:rPr>
        <w:t>Schedule</w:t>
      </w:r>
      <w:r w:rsidR="00770128">
        <w:rPr>
          <w:snapToGrid w:val="0"/>
        </w:rPr>
        <w:t>s</w:t>
      </w:r>
      <w:r>
        <w:rPr>
          <w:snapToGrid w:val="0"/>
        </w:rPr>
        <w:t xml:space="preserve"> </w:t>
      </w:r>
      <w:r w:rsidR="00FD1310">
        <w:rPr>
          <w:snapToGrid w:val="0"/>
        </w:rPr>
        <w:t>5 and 6</w:t>
      </w:r>
      <w:r w:rsidR="00FE1B0E">
        <w:rPr>
          <w:snapToGrid w:val="0"/>
        </w:rPr>
        <w:t xml:space="preserve">: </w:t>
      </w:r>
      <w:r w:rsidR="00FE1B0E" w:rsidRPr="00FD0224">
        <w:rPr>
          <w:snapToGrid w:val="0"/>
        </w:rPr>
        <w:t>The rule maker was satisfied that the changes made by this Schedule are technical in nature and consultation was not required.</w:t>
      </w:r>
    </w:p>
    <w:p w14:paraId="064A18AC" w14:textId="763DC7FC" w:rsidR="00C72AFD" w:rsidRPr="003160EA" w:rsidRDefault="00C72AFD" w:rsidP="003160EA">
      <w:pPr>
        <w:pStyle w:val="Sectiontext"/>
        <w:rPr>
          <w:snapToGrid w:val="0"/>
        </w:rPr>
      </w:pPr>
      <w:r w:rsidRPr="003160EA">
        <w:rPr>
          <w:snapToGrid w:val="0"/>
        </w:rPr>
        <w:t>Th</w:t>
      </w:r>
      <w:r w:rsidR="00C40348" w:rsidRPr="003160EA">
        <w:rPr>
          <w:snapToGrid w:val="0"/>
        </w:rPr>
        <w:t>e rule maker was satisfied that</w:t>
      </w:r>
      <w:r w:rsidRPr="003160EA">
        <w:rPr>
          <w:snapToGrid w:val="0"/>
        </w:rPr>
        <w:t xml:space="preserve"> further consultation was not required.</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7B6FCF">
        <w:tc>
          <w:tcPr>
            <w:tcW w:w="4672" w:type="dxa"/>
          </w:tcPr>
          <w:p w14:paraId="218C04DB" w14:textId="77777777" w:rsidR="00AA0D47" w:rsidRDefault="00AA0D47" w:rsidP="007B6FCF">
            <w:pPr>
              <w:keepNext/>
              <w:jc w:val="right"/>
              <w:rPr>
                <w:rFonts w:ascii="Arial" w:hAnsi="Arial" w:cs="Arial"/>
                <w:b/>
                <w:sz w:val="20"/>
              </w:rPr>
            </w:pPr>
            <w:r>
              <w:rPr>
                <w:rFonts w:ascii="Arial" w:hAnsi="Arial" w:cs="Arial"/>
                <w:b/>
                <w:sz w:val="20"/>
              </w:rPr>
              <w:t>Approved by:</w:t>
            </w:r>
          </w:p>
        </w:tc>
        <w:tc>
          <w:tcPr>
            <w:tcW w:w="4673" w:type="dxa"/>
          </w:tcPr>
          <w:p w14:paraId="11A2F735" w14:textId="77777777" w:rsidR="003160EA" w:rsidRPr="00BE28F0" w:rsidRDefault="003160EA" w:rsidP="003160EA">
            <w:pPr>
              <w:keepNext/>
              <w:jc w:val="right"/>
              <w:rPr>
                <w:rFonts w:ascii="Arial" w:hAnsi="Arial" w:cs="Arial"/>
                <w:b/>
                <w:sz w:val="20"/>
              </w:rPr>
            </w:pPr>
            <w:r>
              <w:rPr>
                <w:rFonts w:ascii="Arial" w:hAnsi="Arial" w:cs="Arial"/>
                <w:b/>
                <w:sz w:val="20"/>
              </w:rPr>
              <w:t>BRIG Kirk Lloyd</w:t>
            </w:r>
          </w:p>
          <w:p w14:paraId="738562E6" w14:textId="1C1D5253" w:rsidR="00AA0D47" w:rsidRDefault="00255473" w:rsidP="007B6FCF">
            <w:pPr>
              <w:keepNext/>
              <w:jc w:val="right"/>
              <w:rPr>
                <w:rFonts w:ascii="Arial" w:hAnsi="Arial" w:cs="Arial"/>
                <w:sz w:val="20"/>
              </w:rPr>
            </w:pPr>
            <w:r>
              <w:rPr>
                <w:rFonts w:ascii="Arial" w:hAnsi="Arial" w:cs="Arial"/>
                <w:sz w:val="20"/>
              </w:rPr>
              <w:t>Director General</w:t>
            </w:r>
          </w:p>
          <w:p w14:paraId="5F2FF655" w14:textId="77777777" w:rsidR="00AA0D47" w:rsidRPr="00263C24" w:rsidRDefault="00AA0D47" w:rsidP="007B6FCF">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7B6FCF">
            <w:pPr>
              <w:keepNext/>
              <w:jc w:val="right"/>
              <w:rPr>
                <w:rFonts w:ascii="Arial" w:hAnsi="Arial" w:cs="Arial"/>
                <w:b/>
                <w:sz w:val="20"/>
              </w:rPr>
            </w:pPr>
          </w:p>
        </w:tc>
      </w:tr>
      <w:tr w:rsidR="00AA0D47" w:rsidRPr="006109CE" w14:paraId="2232ED17" w14:textId="77777777" w:rsidTr="007B6FCF">
        <w:tc>
          <w:tcPr>
            <w:tcW w:w="4672" w:type="dxa"/>
          </w:tcPr>
          <w:p w14:paraId="320EE412" w14:textId="77777777" w:rsidR="00AA0D47" w:rsidRPr="006109CE" w:rsidRDefault="00AA0D47" w:rsidP="007B6FCF">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7B6FCF">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62AE2E7A" w:rsidR="00417CDA" w:rsidRDefault="00417CDA" w:rsidP="00AA0D47">
      <w:pPr>
        <w:pStyle w:val="Sectiontext"/>
        <w:jc w:val="center"/>
        <w:rPr>
          <w:b/>
          <w:bCs/>
          <w:i/>
          <w:noProof/>
          <w:snapToGrid w:val="0"/>
          <w:lang w:val="en-US"/>
        </w:rPr>
      </w:pPr>
      <w:r w:rsidRPr="00417CDA">
        <w:rPr>
          <w:b/>
          <w:bCs/>
          <w:i/>
          <w:noProof/>
          <w:snapToGrid w:val="0"/>
          <w:lang w:val="en-US"/>
        </w:rPr>
        <w:t xml:space="preserve">Defence Determination, Conditions of service Amendment Determination </w:t>
      </w:r>
      <w:r w:rsidR="00F774DD">
        <w:rPr>
          <w:b/>
          <w:bCs/>
          <w:i/>
          <w:noProof/>
          <w:snapToGrid w:val="0"/>
          <w:lang w:val="en-US"/>
        </w:rPr>
        <w:t>(No. </w:t>
      </w:r>
      <w:r w:rsidR="00CA02CC">
        <w:rPr>
          <w:b/>
          <w:bCs/>
          <w:i/>
          <w:noProof/>
          <w:snapToGrid w:val="0"/>
          <w:lang w:val="en-US"/>
        </w:rPr>
        <w:t>14</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F774DD">
        <w:rPr>
          <w:b/>
          <w:bCs/>
          <w:i/>
          <w:noProof/>
          <w:snapToGrid w:val="0"/>
          <w:lang w:val="en-US"/>
        </w:rPr>
        <w:t xml:space="preserve">5 </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4EE8C121" w14:textId="7E1272ED" w:rsidR="00AA0D47" w:rsidRDefault="00AA0D47" w:rsidP="00AA0D47">
      <w:pPr>
        <w:pStyle w:val="Sectiontext"/>
        <w:rPr>
          <w:snapToGrid w:val="0"/>
        </w:rPr>
      </w:pPr>
      <w:r w:rsidRPr="00263C24">
        <w:rPr>
          <w:snapToGrid w:val="0"/>
        </w:rPr>
        <w:t>Section 2 provides the following commencement dates:</w:t>
      </w:r>
    </w:p>
    <w:p w14:paraId="5245F172" w14:textId="510CE6B6" w:rsidR="00AA0D47" w:rsidRDefault="00AA0D47" w:rsidP="00AA0D47">
      <w:pPr>
        <w:pStyle w:val="Sectiontext"/>
        <w:numPr>
          <w:ilvl w:val="0"/>
          <w:numId w:val="20"/>
        </w:numPr>
        <w:rPr>
          <w:snapToGrid w:val="0"/>
        </w:rPr>
      </w:pPr>
      <w:r>
        <w:rPr>
          <w:snapToGrid w:val="0"/>
        </w:rPr>
        <w:t>S</w:t>
      </w:r>
      <w:r w:rsidRPr="00F46ABF">
        <w:rPr>
          <w:snapToGrid w:val="0"/>
        </w:rPr>
        <w:t xml:space="preserve">ections 1 to 4 of </w:t>
      </w:r>
      <w:r>
        <w:rPr>
          <w:snapToGrid w:val="0"/>
        </w:rPr>
        <w:t>the Determination</w:t>
      </w:r>
      <w:r w:rsidRPr="00F46ABF">
        <w:rPr>
          <w:snapToGrid w:val="0"/>
        </w:rPr>
        <w:t xml:space="preserve"> commences on the day </w:t>
      </w:r>
      <w:r>
        <w:rPr>
          <w:snapToGrid w:val="0"/>
        </w:rPr>
        <w:t>the instrument is registered.</w:t>
      </w:r>
    </w:p>
    <w:p w14:paraId="636E01BD" w14:textId="6A02211B" w:rsidR="00AA0D47" w:rsidRDefault="00AA0D47" w:rsidP="00AA0D47">
      <w:pPr>
        <w:pStyle w:val="Sectiontext"/>
        <w:numPr>
          <w:ilvl w:val="0"/>
          <w:numId w:val="20"/>
        </w:numPr>
        <w:rPr>
          <w:snapToGrid w:val="0"/>
        </w:rPr>
      </w:pPr>
      <w:r>
        <w:rPr>
          <w:snapToGrid w:val="0"/>
        </w:rPr>
        <w:t xml:space="preserve">Schedule 1 </w:t>
      </w:r>
      <w:r w:rsidR="00F04498">
        <w:rPr>
          <w:snapToGrid w:val="0"/>
        </w:rPr>
        <w:t>of the Determination commence</w:t>
      </w:r>
      <w:r w:rsidR="00147C1F">
        <w:rPr>
          <w:snapToGrid w:val="0"/>
        </w:rPr>
        <w:t>s</w:t>
      </w:r>
      <w:r w:rsidR="00737505">
        <w:rPr>
          <w:snapToGrid w:val="0"/>
        </w:rPr>
        <w:t xml:space="preserve"> on </w:t>
      </w:r>
      <w:r w:rsidR="00A1251E">
        <w:rPr>
          <w:snapToGrid w:val="0"/>
        </w:rPr>
        <w:t>6 November 2025.</w:t>
      </w:r>
    </w:p>
    <w:p w14:paraId="6656275F" w14:textId="34E8BB16" w:rsidR="00A1251E" w:rsidRDefault="00677594" w:rsidP="00AA0D47">
      <w:pPr>
        <w:pStyle w:val="Sectiontext"/>
        <w:numPr>
          <w:ilvl w:val="0"/>
          <w:numId w:val="20"/>
        </w:numPr>
        <w:rPr>
          <w:snapToGrid w:val="0"/>
        </w:rPr>
      </w:pPr>
      <w:r>
        <w:rPr>
          <w:snapToGrid w:val="0"/>
        </w:rPr>
        <w:t>Schedule</w:t>
      </w:r>
      <w:r w:rsidR="00CA02CC">
        <w:rPr>
          <w:snapToGrid w:val="0"/>
        </w:rPr>
        <w:t>s</w:t>
      </w:r>
      <w:r>
        <w:rPr>
          <w:snapToGrid w:val="0"/>
        </w:rPr>
        <w:t xml:space="preserve"> 2</w:t>
      </w:r>
      <w:r w:rsidR="007B6FCF">
        <w:rPr>
          <w:snapToGrid w:val="0"/>
        </w:rPr>
        <w:t>, 3</w:t>
      </w:r>
      <w:r w:rsidR="00BA3C71">
        <w:rPr>
          <w:snapToGrid w:val="0"/>
        </w:rPr>
        <w:t xml:space="preserve"> </w:t>
      </w:r>
      <w:r w:rsidR="007B6FCF">
        <w:rPr>
          <w:snapToGrid w:val="0"/>
        </w:rPr>
        <w:t>and 5</w:t>
      </w:r>
      <w:r w:rsidR="00FE1B0E">
        <w:rPr>
          <w:snapToGrid w:val="0"/>
        </w:rPr>
        <w:t xml:space="preserve"> </w:t>
      </w:r>
      <w:r w:rsidR="00F04498">
        <w:rPr>
          <w:snapToGrid w:val="0"/>
        </w:rPr>
        <w:t>of the Determination commence</w:t>
      </w:r>
      <w:r>
        <w:rPr>
          <w:snapToGrid w:val="0"/>
        </w:rPr>
        <w:t xml:space="preserve"> on 11 September 2025.</w:t>
      </w:r>
    </w:p>
    <w:p w14:paraId="678533CE" w14:textId="5B0A56E0" w:rsidR="00BA3C71" w:rsidRDefault="007B6FCF" w:rsidP="00AA0D47">
      <w:pPr>
        <w:pStyle w:val="Sectiontext"/>
        <w:numPr>
          <w:ilvl w:val="0"/>
          <w:numId w:val="20"/>
        </w:numPr>
        <w:rPr>
          <w:snapToGrid w:val="0"/>
        </w:rPr>
      </w:pPr>
      <w:r>
        <w:rPr>
          <w:snapToGrid w:val="0"/>
        </w:rPr>
        <w:t>Schedule</w:t>
      </w:r>
      <w:r w:rsidR="00992A2A">
        <w:rPr>
          <w:snapToGrid w:val="0"/>
        </w:rPr>
        <w:t>s</w:t>
      </w:r>
      <w:r>
        <w:rPr>
          <w:snapToGrid w:val="0"/>
        </w:rPr>
        <w:t xml:space="preserve"> 4 and 6 of the Determination commence</w:t>
      </w:r>
      <w:r w:rsidR="00BA3C71">
        <w:rPr>
          <w:snapToGrid w:val="0"/>
        </w:rPr>
        <w:t xml:space="preserve"> on 9 October 2025.</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77777777"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05A0B6A9" w14:textId="77777777" w:rsidR="00A1251E" w:rsidRDefault="00A1251E" w:rsidP="00A1251E">
      <w:pPr>
        <w:pStyle w:val="Sectiontext"/>
        <w:rPr>
          <w:i/>
          <w:snapToGrid w:val="0"/>
          <w:u w:val="single"/>
        </w:rPr>
      </w:pPr>
      <w:r>
        <w:rPr>
          <w:i/>
          <w:snapToGrid w:val="0"/>
          <w:u w:val="single"/>
        </w:rPr>
        <w:t>Schedule 1</w:t>
      </w:r>
      <w:r>
        <w:rPr>
          <w:rFonts w:cs="Arial"/>
          <w:i/>
          <w:snapToGrid w:val="0"/>
          <w:u w:val="single"/>
        </w:rPr>
        <w:t>—</w:t>
      </w:r>
      <w:r>
        <w:rPr>
          <w:i/>
          <w:snapToGrid w:val="0"/>
          <w:u w:val="single"/>
        </w:rPr>
        <w:t>Location allowances amendments</w:t>
      </w:r>
    </w:p>
    <w:p w14:paraId="018C30CA" w14:textId="3253C38F" w:rsidR="00A1251E" w:rsidRPr="00DD077C" w:rsidRDefault="00A1251E" w:rsidP="00A1251E">
      <w:pPr>
        <w:pStyle w:val="Sectiontext"/>
      </w:pPr>
      <w:r>
        <w:rPr>
          <w:snapToGrid w:val="0"/>
        </w:rPr>
        <w:t>Item 1</w:t>
      </w:r>
      <w:r w:rsidRPr="00DD077C">
        <w:rPr>
          <w:snapToGrid w:val="0"/>
        </w:rPr>
        <w:t xml:space="preserve"> </w:t>
      </w:r>
      <w:r w:rsidRPr="00DD077C">
        <w:rPr>
          <w:snapToGrid w:val="0"/>
          <w:color w:val="000000" w:themeColor="text1"/>
        </w:rPr>
        <w:t xml:space="preserve">amends </w:t>
      </w:r>
      <w:r>
        <w:rPr>
          <w:snapToGrid w:val="0"/>
          <w:color w:val="000000" w:themeColor="text1"/>
        </w:rPr>
        <w:t>sub</w:t>
      </w:r>
      <w:r w:rsidRPr="00DD077C">
        <w:rPr>
          <w:snapToGrid w:val="0"/>
          <w:color w:val="000000" w:themeColor="text1"/>
        </w:rPr>
        <w:t>section 4.4.9.1</w:t>
      </w:r>
      <w:r w:rsidRPr="00DD077C">
        <w:rPr>
          <w:snapToGrid w:val="0"/>
          <w:color w:val="FF0000"/>
        </w:rPr>
        <w:t xml:space="preserve"> </w:t>
      </w:r>
      <w:r w:rsidRPr="00DD077C">
        <w:rPr>
          <w:snapToGrid w:val="0"/>
        </w:rPr>
        <w:t>of the Principal Determination</w:t>
      </w:r>
      <w:r w:rsidR="00D86E70">
        <w:rPr>
          <w:snapToGrid w:val="0"/>
        </w:rPr>
        <w:t>,</w:t>
      </w:r>
      <w:r w:rsidRPr="00DD077C">
        <w:rPr>
          <w:snapToGrid w:val="0"/>
        </w:rPr>
        <w:t xml:space="preserve"> which sets out the rate of district allowance payable to members </w:t>
      </w:r>
      <w:r>
        <w:rPr>
          <w:snapToGrid w:val="0"/>
        </w:rPr>
        <w:t>whose housing benefit location is a</w:t>
      </w:r>
      <w:r w:rsidRPr="00DD077C">
        <w:rPr>
          <w:snapToGrid w:val="0"/>
        </w:rPr>
        <w:t xml:space="preserve"> remote location. The amendment </w:t>
      </w:r>
      <w:r>
        <w:rPr>
          <w:snapToGrid w:val="0"/>
        </w:rPr>
        <w:t>repeal</w:t>
      </w:r>
      <w:r w:rsidRPr="00DD077C">
        <w:rPr>
          <w:snapToGrid w:val="0"/>
        </w:rPr>
        <w:t>s and substitutes the table</w:t>
      </w:r>
      <w:r>
        <w:rPr>
          <w:snapToGrid w:val="0"/>
        </w:rPr>
        <w:t xml:space="preserve"> </w:t>
      </w:r>
      <w:r w:rsidRPr="00DD077C">
        <w:rPr>
          <w:snapToGrid w:val="0"/>
        </w:rPr>
        <w:t xml:space="preserve">to provide the updated rates of allowance. The allowance rates are increased in line with the </w:t>
      </w:r>
      <w:r>
        <w:rPr>
          <w:snapToGrid w:val="0"/>
        </w:rPr>
        <w:t>a</w:t>
      </w:r>
      <w:r w:rsidRPr="00DD077C">
        <w:rPr>
          <w:snapToGrid w:val="0"/>
        </w:rPr>
        <w:t xml:space="preserve">ll </w:t>
      </w:r>
      <w:r>
        <w:rPr>
          <w:snapToGrid w:val="0"/>
        </w:rPr>
        <w:t>g</w:t>
      </w:r>
      <w:r w:rsidRPr="00DD077C">
        <w:rPr>
          <w:snapToGrid w:val="0"/>
        </w:rPr>
        <w:t>roups component of the Consumer Price Index for the 12</w:t>
      </w:r>
      <w:r>
        <w:rPr>
          <w:snapToGrid w:val="0"/>
        </w:rPr>
        <w:noBreakHyphen/>
        <w:t>month period ending March 2025 and</w:t>
      </w:r>
      <w:r w:rsidRPr="00DD077C">
        <w:rPr>
          <w:snapToGrid w:val="0"/>
        </w:rPr>
        <w:t xml:space="preserve"> rounded to the nearest five dollars.</w:t>
      </w:r>
    </w:p>
    <w:p w14:paraId="7A385C1E" w14:textId="400B0169" w:rsidR="00A1251E" w:rsidRPr="00DD077C" w:rsidRDefault="00A1251E" w:rsidP="00A1251E">
      <w:pPr>
        <w:pStyle w:val="Sectiontext"/>
        <w:rPr>
          <w:snapToGrid w:val="0"/>
        </w:rPr>
      </w:pPr>
      <w:r>
        <w:rPr>
          <w:snapToGrid w:val="0"/>
        </w:rPr>
        <w:t>Items 2 and 3 amend</w:t>
      </w:r>
      <w:r w:rsidRPr="00DD077C">
        <w:rPr>
          <w:snapToGrid w:val="0"/>
        </w:rPr>
        <w:t xml:space="preserve"> </w:t>
      </w:r>
      <w:r>
        <w:rPr>
          <w:snapToGrid w:val="0"/>
        </w:rPr>
        <w:t>sub</w:t>
      </w:r>
      <w:r w:rsidRPr="00DD077C">
        <w:rPr>
          <w:snapToGrid w:val="0"/>
        </w:rPr>
        <w:t>section 4.4.19.2 of the Principal Determination</w:t>
      </w:r>
      <w:r w:rsidR="00D86E70">
        <w:rPr>
          <w:snapToGrid w:val="0"/>
        </w:rPr>
        <w:t>,</w:t>
      </w:r>
      <w:r w:rsidRPr="00DD077C">
        <w:rPr>
          <w:snapToGrid w:val="0"/>
        </w:rPr>
        <w:t xml:space="preserve"> which sets out the rate of Port Wakefield allowance payable to members </w:t>
      </w:r>
      <w:r>
        <w:rPr>
          <w:snapToGrid w:val="0"/>
        </w:rPr>
        <w:t>who live at the</w:t>
      </w:r>
      <w:r w:rsidRPr="00DD077C">
        <w:rPr>
          <w:snapToGrid w:val="0"/>
        </w:rPr>
        <w:t xml:space="preserve"> Proof and Experimental E</w:t>
      </w:r>
      <w:r>
        <w:rPr>
          <w:snapToGrid w:val="0"/>
        </w:rPr>
        <w:t xml:space="preserve">stablishment at Port Wakefield. </w:t>
      </w:r>
      <w:r w:rsidRPr="00DD077C">
        <w:rPr>
          <w:snapToGrid w:val="0"/>
        </w:rPr>
        <w:t>The amendment</w:t>
      </w:r>
      <w:r>
        <w:rPr>
          <w:snapToGrid w:val="0"/>
        </w:rPr>
        <w:t>s</w:t>
      </w:r>
      <w:r w:rsidRPr="00DD077C">
        <w:rPr>
          <w:snapToGrid w:val="0"/>
        </w:rPr>
        <w:t xml:space="preserve"> </w:t>
      </w:r>
      <w:r>
        <w:rPr>
          <w:snapToGrid w:val="0"/>
        </w:rPr>
        <w:t>provide the updated</w:t>
      </w:r>
      <w:r w:rsidRPr="00DD077C">
        <w:rPr>
          <w:snapToGrid w:val="0"/>
        </w:rPr>
        <w:t xml:space="preserve"> annual rate of allowance</w:t>
      </w:r>
      <w:r>
        <w:rPr>
          <w:snapToGrid w:val="0"/>
        </w:rPr>
        <w:t>.</w:t>
      </w:r>
      <w:r w:rsidRPr="00DD077C">
        <w:rPr>
          <w:snapToGrid w:val="0"/>
        </w:rPr>
        <w:t xml:space="preserve"> The allowance rates are increased in line with the </w:t>
      </w:r>
      <w:r>
        <w:rPr>
          <w:snapToGrid w:val="0"/>
        </w:rPr>
        <w:lastRenderedPageBreak/>
        <w:t>a</w:t>
      </w:r>
      <w:r w:rsidRPr="00DD077C">
        <w:rPr>
          <w:snapToGrid w:val="0"/>
        </w:rPr>
        <w:t xml:space="preserve">ll </w:t>
      </w:r>
      <w:r>
        <w:rPr>
          <w:snapToGrid w:val="0"/>
        </w:rPr>
        <w:t>g</w:t>
      </w:r>
      <w:r w:rsidRPr="00DD077C">
        <w:rPr>
          <w:snapToGrid w:val="0"/>
        </w:rPr>
        <w:t>roups component of the Consumer Price Index for the 1</w:t>
      </w:r>
      <w:r>
        <w:rPr>
          <w:snapToGrid w:val="0"/>
        </w:rPr>
        <w:t>2</w:t>
      </w:r>
      <w:r>
        <w:rPr>
          <w:snapToGrid w:val="0"/>
        </w:rPr>
        <w:noBreakHyphen/>
        <w:t>month period ending March 2025 and</w:t>
      </w:r>
      <w:r w:rsidRPr="00DD077C">
        <w:rPr>
          <w:snapToGrid w:val="0"/>
        </w:rPr>
        <w:t xml:space="preserve"> rounded to the nearest five dollars</w:t>
      </w:r>
      <w:r>
        <w:rPr>
          <w:snapToGrid w:val="0"/>
        </w:rPr>
        <w:t>.</w:t>
      </w:r>
    </w:p>
    <w:p w14:paraId="5F32E794" w14:textId="323E7E1C" w:rsidR="00A1251E" w:rsidRDefault="00A1251E" w:rsidP="00A1251E">
      <w:pPr>
        <w:pStyle w:val="Sectiontext"/>
        <w:rPr>
          <w:snapToGrid w:val="0"/>
        </w:rPr>
      </w:pPr>
      <w:r>
        <w:rPr>
          <w:snapToGrid w:val="0"/>
        </w:rPr>
        <w:t>Items 4 and 5 amend</w:t>
      </w:r>
      <w:r w:rsidRPr="00DD077C">
        <w:rPr>
          <w:snapToGrid w:val="0"/>
        </w:rPr>
        <w:t xml:space="preserve"> section 4.4.31 of the Principal Determination</w:t>
      </w:r>
      <w:r w:rsidR="00D86E70">
        <w:rPr>
          <w:snapToGrid w:val="0"/>
        </w:rPr>
        <w:t>,</w:t>
      </w:r>
      <w:r w:rsidRPr="00DD077C">
        <w:rPr>
          <w:snapToGrid w:val="0"/>
        </w:rPr>
        <w:t xml:space="preserve"> which sets out the rates for Antarctic allowance payable to members posted to, or serving in, Antarctica. The amendment</w:t>
      </w:r>
      <w:r>
        <w:rPr>
          <w:snapToGrid w:val="0"/>
        </w:rPr>
        <w:t>s</w:t>
      </w:r>
      <w:r w:rsidRPr="00DD077C">
        <w:rPr>
          <w:snapToGrid w:val="0"/>
        </w:rPr>
        <w:t xml:space="preserve"> </w:t>
      </w:r>
      <w:r>
        <w:rPr>
          <w:snapToGrid w:val="0"/>
        </w:rPr>
        <w:t>provide the updated</w:t>
      </w:r>
      <w:r w:rsidRPr="00DD077C">
        <w:rPr>
          <w:snapToGrid w:val="0"/>
        </w:rPr>
        <w:t xml:space="preserve"> annual rate of allowance</w:t>
      </w:r>
      <w:r>
        <w:rPr>
          <w:snapToGrid w:val="0"/>
        </w:rPr>
        <w:t>.</w:t>
      </w:r>
      <w:r w:rsidRPr="00DD077C">
        <w:rPr>
          <w:snapToGrid w:val="0"/>
        </w:rPr>
        <w:t xml:space="preserve"> The allowance rates are increased based on advice from</w:t>
      </w:r>
      <w:r>
        <w:rPr>
          <w:snapToGrid w:val="0"/>
        </w:rPr>
        <w:t xml:space="preserve"> a contracted service provider.</w:t>
      </w:r>
    </w:p>
    <w:p w14:paraId="3EEB07BC" w14:textId="62F61AB9" w:rsidR="00A1251E" w:rsidRDefault="00A1251E" w:rsidP="00A1251E">
      <w:pPr>
        <w:pStyle w:val="Sectiontext"/>
        <w:rPr>
          <w:snapToGrid w:val="0"/>
        </w:rPr>
      </w:pPr>
      <w:r>
        <w:rPr>
          <w:snapToGrid w:val="0"/>
        </w:rPr>
        <w:t xml:space="preserve">Item 6 amends subsection 4.4.36.2 </w:t>
      </w:r>
      <w:r w:rsidRPr="00DD077C">
        <w:rPr>
          <w:snapToGrid w:val="0"/>
        </w:rPr>
        <w:t xml:space="preserve">of the Principal Determination which sets out the rates for Antarctic allowance payable to members </w:t>
      </w:r>
      <w:r>
        <w:rPr>
          <w:snapToGrid w:val="0"/>
        </w:rPr>
        <w:t>who are eligible for common duties allowance and performing duties that are additional and unrelated to their ordinary duties for a period in</w:t>
      </w:r>
      <w:r w:rsidRPr="00DD077C">
        <w:rPr>
          <w:snapToGrid w:val="0"/>
        </w:rPr>
        <w:t xml:space="preserve"> Antarctica. The amendment provide</w:t>
      </w:r>
      <w:r>
        <w:rPr>
          <w:snapToGrid w:val="0"/>
        </w:rPr>
        <w:t>s</w:t>
      </w:r>
      <w:r w:rsidRPr="00DD077C">
        <w:rPr>
          <w:snapToGrid w:val="0"/>
        </w:rPr>
        <w:t xml:space="preserve"> the updated annual rate of allowance. The allowance rates are increased based on advice from</w:t>
      </w:r>
      <w:r>
        <w:rPr>
          <w:snapToGrid w:val="0"/>
        </w:rPr>
        <w:t xml:space="preserve"> a contracted service provider.</w:t>
      </w:r>
    </w:p>
    <w:p w14:paraId="1E36895B" w14:textId="3BA69834" w:rsidR="00147C1F" w:rsidRPr="00FA083A" w:rsidRDefault="00147C1F" w:rsidP="00147C1F">
      <w:pPr>
        <w:pStyle w:val="Sectiontext"/>
        <w:rPr>
          <w:snapToGrid w:val="0"/>
        </w:rPr>
      </w:pPr>
      <w:r>
        <w:rPr>
          <w:snapToGrid w:val="0"/>
        </w:rPr>
        <w:t>Item 7 amends section 16.8.2 of the Principal Determination</w:t>
      </w:r>
      <w:r w:rsidR="00D86E70">
        <w:rPr>
          <w:snapToGrid w:val="0"/>
        </w:rPr>
        <w:t>,</w:t>
      </w:r>
      <w:r>
        <w:rPr>
          <w:snapToGrid w:val="0"/>
        </w:rPr>
        <w:t xml:space="preserve"> which provides a special location allowance for members on long-term posting to Kyiv, U</w:t>
      </w:r>
      <w:r w:rsidR="007929D4">
        <w:rPr>
          <w:snapToGrid w:val="0"/>
        </w:rPr>
        <w:t>kraine, as amended by schedule 4 of this Determination</w:t>
      </w:r>
      <w:r>
        <w:rPr>
          <w:snapToGrid w:val="0"/>
        </w:rPr>
        <w:t xml:space="preserve">. Item </w:t>
      </w:r>
      <w:r w:rsidR="007929D4">
        <w:rPr>
          <w:snapToGrid w:val="0"/>
        </w:rPr>
        <w:t>7</w:t>
      </w:r>
      <w:r>
        <w:rPr>
          <w:snapToGrid w:val="0"/>
        </w:rPr>
        <w:t xml:space="preserve"> increases the daily rate of the allowance from AUD 50.40 to AUD 52.10</w:t>
      </w:r>
      <w:r w:rsidR="00D86E70">
        <w:rPr>
          <w:snapToGrid w:val="0"/>
        </w:rPr>
        <w:t>,</w:t>
      </w:r>
      <w:r>
        <w:rPr>
          <w:snapToGrid w:val="0"/>
        </w:rPr>
        <w:t xml:space="preserve"> which is an increase of 3.4% in line with the ADF Workplace Remuneration Arrangement.</w:t>
      </w:r>
    </w:p>
    <w:p w14:paraId="3AAF27D8" w14:textId="628B664C" w:rsidR="00677594" w:rsidRDefault="00677594" w:rsidP="00677594">
      <w:pPr>
        <w:pStyle w:val="Sectiontext"/>
        <w:rPr>
          <w:i/>
          <w:snapToGrid w:val="0"/>
          <w:u w:val="single"/>
        </w:rPr>
      </w:pPr>
      <w:r>
        <w:rPr>
          <w:i/>
          <w:snapToGrid w:val="0"/>
          <w:u w:val="single"/>
        </w:rPr>
        <w:t>Schedule 2</w:t>
      </w:r>
      <w:r>
        <w:rPr>
          <w:rFonts w:cs="Arial"/>
          <w:i/>
          <w:snapToGrid w:val="0"/>
          <w:u w:val="single"/>
        </w:rPr>
        <w:t>—</w:t>
      </w:r>
      <w:r>
        <w:rPr>
          <w:i/>
          <w:snapToGrid w:val="0"/>
          <w:u w:val="single"/>
        </w:rPr>
        <w:t>Temporary accommodation at losing location amendments</w:t>
      </w:r>
    </w:p>
    <w:p w14:paraId="6C984C9A" w14:textId="229AC5EA" w:rsidR="00677594" w:rsidRDefault="00677594" w:rsidP="00677594">
      <w:pPr>
        <w:pStyle w:val="Sectiontext"/>
        <w:rPr>
          <w:snapToGrid w:val="0"/>
        </w:rPr>
      </w:pPr>
      <w:r>
        <w:rPr>
          <w:snapToGrid w:val="0"/>
        </w:rPr>
        <w:t>Item 1 amends section 6.5.32 of the Principal Determination</w:t>
      </w:r>
      <w:r w:rsidR="00D86E70">
        <w:rPr>
          <w:snapToGrid w:val="0"/>
        </w:rPr>
        <w:t>,</w:t>
      </w:r>
      <w:r>
        <w:rPr>
          <w:snapToGrid w:val="0"/>
        </w:rPr>
        <w:t xml:space="preserve"> which provides that a member who has received a posting order is eligible for early removal of their furniture and effects before the start of their posting. The item repeals and substitutes paragraph b to include eligibility for a member who is being posted to RAAF Base Tindal for an early removal that does not require a decision maker’s approval.</w:t>
      </w:r>
    </w:p>
    <w:p w14:paraId="29BFA68F" w14:textId="3C4B5E83" w:rsidR="00677594" w:rsidRDefault="00677594" w:rsidP="00677594">
      <w:pPr>
        <w:pStyle w:val="Sectiontext"/>
        <w:rPr>
          <w:snapToGrid w:val="0"/>
        </w:rPr>
      </w:pPr>
      <w:r>
        <w:rPr>
          <w:snapToGrid w:val="0"/>
        </w:rPr>
        <w:t>Items 2 and 3 amend section 7.5.17 of the Principal Determination</w:t>
      </w:r>
      <w:r w:rsidR="00D86E70">
        <w:rPr>
          <w:snapToGrid w:val="0"/>
        </w:rPr>
        <w:t>,</w:t>
      </w:r>
      <w:r>
        <w:rPr>
          <w:snapToGrid w:val="0"/>
        </w:rPr>
        <w:t xml:space="preserve"> which provides the maximum period the member is eligible for payment of temporary accommodation allowance in specific circumstances. The amendments to subsection 1, as a consequence of the changes made by item 1 of this </w:t>
      </w:r>
      <w:r w:rsidR="00690664">
        <w:rPr>
          <w:snapToGrid w:val="0"/>
        </w:rPr>
        <w:t>Schedule</w:t>
      </w:r>
      <w:r>
        <w:rPr>
          <w:snapToGrid w:val="0"/>
        </w:rPr>
        <w:t>, are as follows:</w:t>
      </w:r>
    </w:p>
    <w:p w14:paraId="3865841B" w14:textId="20FBE945" w:rsidR="00677594" w:rsidRDefault="00677594" w:rsidP="00677594">
      <w:pPr>
        <w:pStyle w:val="Sectiontext"/>
        <w:numPr>
          <w:ilvl w:val="0"/>
          <w:numId w:val="19"/>
        </w:numPr>
        <w:rPr>
          <w:snapToGrid w:val="0"/>
        </w:rPr>
      </w:pPr>
      <w:r>
        <w:rPr>
          <w:snapToGrid w:val="0"/>
        </w:rPr>
        <w:t>Item 2 repeals and substitutes the cell in column B of item 1 of the table to provide that a member whose next posting is to RAAF Base Tindal is eligible for a maximum of 6 weeks’ payment of temporary accommodation allowance at their losing location</w:t>
      </w:r>
      <w:r w:rsidR="00B61BC4">
        <w:rPr>
          <w:snapToGrid w:val="0"/>
        </w:rPr>
        <w:t>. This will apply</w:t>
      </w:r>
      <w:r>
        <w:rPr>
          <w:snapToGrid w:val="0"/>
        </w:rPr>
        <w:t xml:space="preserve"> if they have at least one of their resident family or recognised other persons with them when they leave the losing location.</w:t>
      </w:r>
    </w:p>
    <w:p w14:paraId="2989D694" w14:textId="47F1C6BA" w:rsidR="00677594" w:rsidRPr="008F063E" w:rsidRDefault="00677594" w:rsidP="00677594">
      <w:pPr>
        <w:pStyle w:val="Sectiontext"/>
        <w:numPr>
          <w:ilvl w:val="0"/>
          <w:numId w:val="19"/>
        </w:numPr>
        <w:rPr>
          <w:snapToGrid w:val="0"/>
        </w:rPr>
      </w:pPr>
      <w:r>
        <w:rPr>
          <w:snapToGrid w:val="0"/>
        </w:rPr>
        <w:t xml:space="preserve">Item 3 repeals and substitutes the cell in column B of item 2 of the table to provide that a member whose next posting is to RAAF Base Tindal is eligible </w:t>
      </w:r>
      <w:r>
        <w:rPr>
          <w:snapToGrid w:val="0"/>
        </w:rPr>
        <w:lastRenderedPageBreak/>
        <w:t>for a maximum of 3 nights’ payment of temporary accommodation allowance at that location</w:t>
      </w:r>
      <w:r w:rsidR="00B61BC4">
        <w:rPr>
          <w:snapToGrid w:val="0"/>
        </w:rPr>
        <w:t>. This will apply</w:t>
      </w:r>
      <w:r>
        <w:rPr>
          <w:snapToGrid w:val="0"/>
        </w:rPr>
        <w:t xml:space="preserve"> if they have at least one of their resident family or recognised other persons with them when they arrive </w:t>
      </w:r>
      <w:r w:rsidR="00B61BC4">
        <w:rPr>
          <w:snapToGrid w:val="0"/>
        </w:rPr>
        <w:t>at RAAF Base Tindal</w:t>
      </w:r>
      <w:r>
        <w:rPr>
          <w:snapToGrid w:val="0"/>
        </w:rPr>
        <w:t>.</w:t>
      </w:r>
    </w:p>
    <w:p w14:paraId="1774A64D" w14:textId="09B84215" w:rsidR="00CA02CC" w:rsidRDefault="00CA02CC" w:rsidP="00CA02CC">
      <w:pPr>
        <w:pStyle w:val="Sectiontext"/>
        <w:rPr>
          <w:i/>
          <w:snapToGrid w:val="0"/>
          <w:u w:val="single"/>
        </w:rPr>
      </w:pPr>
      <w:r>
        <w:rPr>
          <w:i/>
          <w:snapToGrid w:val="0"/>
          <w:u w:val="single"/>
        </w:rPr>
        <w:t>Schedule 3</w:t>
      </w:r>
      <w:r>
        <w:rPr>
          <w:rFonts w:cs="Arial"/>
          <w:i/>
          <w:snapToGrid w:val="0"/>
          <w:u w:val="single"/>
        </w:rPr>
        <w:t>—</w:t>
      </w:r>
      <w:r>
        <w:rPr>
          <w:i/>
          <w:snapToGrid w:val="0"/>
          <w:u w:val="single"/>
        </w:rPr>
        <w:t>Post index locations – USA amendments</w:t>
      </w:r>
    </w:p>
    <w:p w14:paraId="711C92DD" w14:textId="77777777" w:rsidR="00CA02CC" w:rsidRDefault="00CA02CC" w:rsidP="00CA02CC">
      <w:pPr>
        <w:pStyle w:val="Sectiontext"/>
        <w:rPr>
          <w:snapToGrid w:val="0"/>
        </w:rPr>
      </w:pPr>
      <w:r>
        <w:rPr>
          <w:snapToGrid w:val="0"/>
        </w:rPr>
        <w:t>Items 1 to 8 amend Annex 12.3.B of the Principal Determination, which provides the post index for overseas locations where a member is posted. Annex 12.3.B is amended as follows:</w:t>
      </w:r>
    </w:p>
    <w:p w14:paraId="703B1FA5" w14:textId="77777777" w:rsidR="00CA02CC" w:rsidRDefault="00CA02CC" w:rsidP="00CA02CC">
      <w:pPr>
        <w:pStyle w:val="Sectiontext"/>
        <w:numPr>
          <w:ilvl w:val="0"/>
          <w:numId w:val="19"/>
        </w:numPr>
        <w:rPr>
          <w:snapToGrid w:val="0"/>
        </w:rPr>
      </w:pPr>
      <w:r>
        <w:rPr>
          <w:snapToGrid w:val="0"/>
        </w:rPr>
        <w:t>Item 1 repeals and substitutes table item 56 to replace Los Angeles as the location for California with San Francisco;</w:t>
      </w:r>
    </w:p>
    <w:p w14:paraId="2739E46B" w14:textId="77777777" w:rsidR="00CA02CC" w:rsidRDefault="00CA02CC" w:rsidP="00CA02CC">
      <w:pPr>
        <w:pStyle w:val="Sectiontext"/>
        <w:numPr>
          <w:ilvl w:val="0"/>
          <w:numId w:val="19"/>
        </w:numPr>
        <w:rPr>
          <w:snapToGrid w:val="0"/>
        </w:rPr>
      </w:pPr>
      <w:r>
        <w:rPr>
          <w:snapToGrid w:val="0"/>
        </w:rPr>
        <w:t>The following amendments have been made to separate combined post index locations:</w:t>
      </w:r>
    </w:p>
    <w:p w14:paraId="72FCB0DD" w14:textId="77777777" w:rsidR="00CA02CC" w:rsidRDefault="00CA02CC" w:rsidP="00B61BC4">
      <w:pPr>
        <w:pStyle w:val="Sectiontext"/>
        <w:numPr>
          <w:ilvl w:val="0"/>
          <w:numId w:val="27"/>
        </w:numPr>
        <w:rPr>
          <w:snapToGrid w:val="0"/>
        </w:rPr>
      </w:pPr>
      <w:r>
        <w:rPr>
          <w:snapToGrid w:val="0"/>
        </w:rPr>
        <w:t>Item 2 repeals and substitutes table item 58 to reinsert Connecticut;</w:t>
      </w:r>
    </w:p>
    <w:p w14:paraId="6319FFE0" w14:textId="77777777" w:rsidR="00CA02CC" w:rsidRDefault="00CA02CC" w:rsidP="00B61BC4">
      <w:pPr>
        <w:pStyle w:val="Sectiontext"/>
        <w:numPr>
          <w:ilvl w:val="0"/>
          <w:numId w:val="27"/>
        </w:numPr>
        <w:rPr>
          <w:snapToGrid w:val="0"/>
        </w:rPr>
      </w:pPr>
      <w:r>
        <w:rPr>
          <w:snapToGrid w:val="0"/>
        </w:rPr>
        <w:t>Item 5 repeals and substitutes table item 64 to reinsert Maryland;</w:t>
      </w:r>
    </w:p>
    <w:p w14:paraId="777A1C4C" w14:textId="77777777" w:rsidR="00CA02CC" w:rsidRDefault="00CA02CC" w:rsidP="00B61BC4">
      <w:pPr>
        <w:pStyle w:val="Sectiontext"/>
        <w:numPr>
          <w:ilvl w:val="0"/>
          <w:numId w:val="27"/>
        </w:numPr>
        <w:rPr>
          <w:snapToGrid w:val="0"/>
        </w:rPr>
      </w:pPr>
      <w:r>
        <w:rPr>
          <w:snapToGrid w:val="0"/>
        </w:rPr>
        <w:t>Item 8 reinserts Virginia and Washington DC as table items 69A and 69B respectively;</w:t>
      </w:r>
    </w:p>
    <w:p w14:paraId="229C8D57" w14:textId="749A91CE" w:rsidR="00CA02CC" w:rsidRDefault="00CA02CC" w:rsidP="00CA02CC">
      <w:pPr>
        <w:pStyle w:val="Sectiontext"/>
        <w:numPr>
          <w:ilvl w:val="0"/>
          <w:numId w:val="19"/>
        </w:numPr>
        <w:rPr>
          <w:snapToGrid w:val="0"/>
        </w:rPr>
      </w:pPr>
      <w:r>
        <w:rPr>
          <w:snapToGrid w:val="0"/>
        </w:rPr>
        <w:t xml:space="preserve">Item 3 repeals and substitutes table item 59 to replace the location for Florida from Miami to Jacksonville. As Miami is a city with a significantly higher post index than the rest of its state’s post index it is, therefore, reinserted as its own post index location by item 7 of this </w:t>
      </w:r>
      <w:r w:rsidR="00CC6010">
        <w:rPr>
          <w:snapToGrid w:val="0"/>
        </w:rPr>
        <w:t>Schedule</w:t>
      </w:r>
      <w:r>
        <w:rPr>
          <w:snapToGrid w:val="0"/>
        </w:rPr>
        <w:t>.</w:t>
      </w:r>
    </w:p>
    <w:p w14:paraId="6AE714A6" w14:textId="77777777" w:rsidR="00CA02CC" w:rsidRDefault="00CA02CC" w:rsidP="00CA02CC">
      <w:pPr>
        <w:pStyle w:val="Sectiontext"/>
        <w:numPr>
          <w:ilvl w:val="0"/>
          <w:numId w:val="19"/>
        </w:numPr>
        <w:rPr>
          <w:snapToGrid w:val="0"/>
        </w:rPr>
      </w:pPr>
      <w:r w:rsidRPr="00806BAA">
        <w:rPr>
          <w:snapToGrid w:val="0"/>
        </w:rPr>
        <w:t>Items 4 and 6 remove</w:t>
      </w:r>
      <w:r>
        <w:rPr>
          <w:snapToGrid w:val="0"/>
        </w:rPr>
        <w:t xml:space="preserve"> the following, including Rhode Island, as a consequence of the changes made by item 7:</w:t>
      </w:r>
    </w:p>
    <w:p w14:paraId="3E102089" w14:textId="77777777" w:rsidR="00CA02CC" w:rsidRDefault="00CA02CC" w:rsidP="00B61BC4">
      <w:pPr>
        <w:pStyle w:val="Sectiontext"/>
        <w:numPr>
          <w:ilvl w:val="0"/>
          <w:numId w:val="28"/>
        </w:numPr>
        <w:rPr>
          <w:snapToGrid w:val="0"/>
        </w:rPr>
      </w:pPr>
      <w:r>
        <w:rPr>
          <w:snapToGrid w:val="0"/>
        </w:rPr>
        <w:t>Table item 63:</w:t>
      </w:r>
      <w:r w:rsidRPr="00806BAA">
        <w:rPr>
          <w:snapToGrid w:val="0"/>
        </w:rPr>
        <w:t xml:space="preserve"> </w:t>
      </w:r>
      <w:r>
        <w:rPr>
          <w:snapToGrid w:val="0"/>
        </w:rPr>
        <w:t>Illinois;</w:t>
      </w:r>
    </w:p>
    <w:p w14:paraId="0BBD07E8" w14:textId="77777777" w:rsidR="00CA02CC" w:rsidRDefault="00CA02CC" w:rsidP="00B61BC4">
      <w:pPr>
        <w:pStyle w:val="Sectiontext"/>
        <w:numPr>
          <w:ilvl w:val="0"/>
          <w:numId w:val="28"/>
        </w:numPr>
        <w:rPr>
          <w:snapToGrid w:val="0"/>
        </w:rPr>
      </w:pPr>
      <w:r>
        <w:t>Table i</w:t>
      </w:r>
      <w:r w:rsidRPr="00376F2F">
        <w:t>tem</w:t>
      </w:r>
      <w:r>
        <w:t xml:space="preserve"> 65: </w:t>
      </w:r>
      <w:r w:rsidRPr="00376F2F">
        <w:t>Massachusetts</w:t>
      </w:r>
      <w:r>
        <w:rPr>
          <w:snapToGrid w:val="0"/>
        </w:rPr>
        <w:t>;</w:t>
      </w:r>
    </w:p>
    <w:p w14:paraId="6DE5047A" w14:textId="77777777" w:rsidR="00CA02CC" w:rsidRDefault="00CA02CC" w:rsidP="00B61BC4">
      <w:pPr>
        <w:pStyle w:val="Sectiontext"/>
        <w:numPr>
          <w:ilvl w:val="0"/>
          <w:numId w:val="28"/>
        </w:numPr>
        <w:rPr>
          <w:snapToGrid w:val="0"/>
        </w:rPr>
      </w:pPr>
      <w:r>
        <w:rPr>
          <w:snapToGrid w:val="0"/>
        </w:rPr>
        <w:t>Table item 66: Missouri;</w:t>
      </w:r>
    </w:p>
    <w:p w14:paraId="05E9BB2E" w14:textId="77777777" w:rsidR="00CA02CC" w:rsidRPr="00806BAA" w:rsidRDefault="00CA02CC" w:rsidP="00B61BC4">
      <w:pPr>
        <w:pStyle w:val="Sectiontext"/>
        <w:numPr>
          <w:ilvl w:val="0"/>
          <w:numId w:val="28"/>
        </w:numPr>
        <w:rPr>
          <w:snapToGrid w:val="0"/>
        </w:rPr>
      </w:pPr>
      <w:r>
        <w:rPr>
          <w:snapToGrid w:val="0"/>
        </w:rPr>
        <w:t xml:space="preserve">Table item 67: </w:t>
      </w:r>
      <w:r w:rsidRPr="00806BAA">
        <w:rPr>
          <w:snapToGrid w:val="0"/>
        </w:rPr>
        <w:t>New Your State, excluding Manhattan</w:t>
      </w:r>
      <w:r>
        <w:rPr>
          <w:snapToGrid w:val="0"/>
        </w:rPr>
        <w:t>;</w:t>
      </w:r>
    </w:p>
    <w:p w14:paraId="72BE74C0" w14:textId="77777777" w:rsidR="00CA02CC" w:rsidRDefault="00CA02CC" w:rsidP="00CA02CC">
      <w:pPr>
        <w:pStyle w:val="Sectiontext"/>
        <w:numPr>
          <w:ilvl w:val="0"/>
          <w:numId w:val="23"/>
        </w:numPr>
        <w:rPr>
          <w:snapToGrid w:val="0"/>
        </w:rPr>
      </w:pPr>
      <w:r>
        <w:rPr>
          <w:snapToGrid w:val="0"/>
        </w:rPr>
        <w:t>Item 7 inserts the following as there are more than 10 personnel posted in each state and are, therefore, listed as post index locations:</w:t>
      </w:r>
    </w:p>
    <w:p w14:paraId="0F91EDED" w14:textId="77777777" w:rsidR="00CA02CC" w:rsidRDefault="00CA02CC" w:rsidP="00CA02CC">
      <w:pPr>
        <w:pStyle w:val="Sectiontext"/>
        <w:numPr>
          <w:ilvl w:val="0"/>
          <w:numId w:val="25"/>
        </w:numPr>
        <w:rPr>
          <w:snapToGrid w:val="0"/>
        </w:rPr>
      </w:pPr>
      <w:r>
        <w:rPr>
          <w:snapToGrid w:val="0"/>
        </w:rPr>
        <w:lastRenderedPageBreak/>
        <w:t>Table item 68B: Pennsylvania;</w:t>
      </w:r>
    </w:p>
    <w:p w14:paraId="6C616075" w14:textId="4AF7E1D6" w:rsidR="00CA02CC" w:rsidRDefault="00CA02CC" w:rsidP="00CA02CC">
      <w:pPr>
        <w:pStyle w:val="Sectiontext"/>
        <w:numPr>
          <w:ilvl w:val="0"/>
          <w:numId w:val="25"/>
        </w:numPr>
        <w:rPr>
          <w:snapToGrid w:val="0"/>
        </w:rPr>
      </w:pPr>
      <w:r>
        <w:rPr>
          <w:snapToGrid w:val="0"/>
        </w:rPr>
        <w:t>Table item 68C: South Carolina.</w:t>
      </w:r>
    </w:p>
    <w:p w14:paraId="7CC21E07" w14:textId="4297FCE1" w:rsidR="00F04498" w:rsidRDefault="00F04498" w:rsidP="004C22C3">
      <w:pPr>
        <w:pStyle w:val="Sectiontext"/>
        <w:rPr>
          <w:i/>
          <w:snapToGrid w:val="0"/>
          <w:u w:val="single"/>
        </w:rPr>
      </w:pPr>
      <w:r>
        <w:rPr>
          <w:i/>
          <w:snapToGrid w:val="0"/>
          <w:u w:val="single"/>
        </w:rPr>
        <w:t xml:space="preserve">Schedule </w:t>
      </w:r>
      <w:r w:rsidR="00FD1310">
        <w:rPr>
          <w:i/>
          <w:snapToGrid w:val="0"/>
          <w:u w:val="single"/>
        </w:rPr>
        <w:t>4</w:t>
      </w:r>
      <w:r>
        <w:rPr>
          <w:rFonts w:cs="Arial"/>
          <w:i/>
          <w:snapToGrid w:val="0"/>
          <w:u w:val="single"/>
        </w:rPr>
        <w:t>—</w:t>
      </w:r>
      <w:r>
        <w:rPr>
          <w:i/>
          <w:snapToGrid w:val="0"/>
          <w:u w:val="single"/>
        </w:rPr>
        <w:t>Special location allowance amendments</w:t>
      </w:r>
    </w:p>
    <w:p w14:paraId="3E06E4CF" w14:textId="76F2BDF5" w:rsidR="00F04498" w:rsidRPr="00FA083A" w:rsidRDefault="00F04498" w:rsidP="00F04498">
      <w:pPr>
        <w:pStyle w:val="Sectiontext"/>
        <w:rPr>
          <w:snapToGrid w:val="0"/>
        </w:rPr>
      </w:pPr>
      <w:r>
        <w:rPr>
          <w:snapToGrid w:val="0"/>
        </w:rPr>
        <w:t>Item 1 amends section 16.8.2 of the Principal Determination</w:t>
      </w:r>
      <w:r w:rsidR="00D86E70">
        <w:rPr>
          <w:snapToGrid w:val="0"/>
        </w:rPr>
        <w:t>,</w:t>
      </w:r>
      <w:r>
        <w:rPr>
          <w:snapToGrid w:val="0"/>
        </w:rPr>
        <w:t xml:space="preserve"> which identifies the members to whom Part 8 of Chapter 16 applies. The section has been amended to remove ‘Iraq’ and substitute it with ‘Ukraine’ to reflect the change made by item 2 of this Schedule.</w:t>
      </w:r>
    </w:p>
    <w:p w14:paraId="2984B331" w14:textId="57546BD9" w:rsidR="00F04498" w:rsidRDefault="00F04498" w:rsidP="00F04498">
      <w:pPr>
        <w:pStyle w:val="Sectiontext"/>
        <w:rPr>
          <w:snapToGrid w:val="0"/>
        </w:rPr>
      </w:pPr>
      <w:r>
        <w:rPr>
          <w:snapToGrid w:val="0"/>
        </w:rPr>
        <w:t>Item 2 repeals and substitutes section 16.8.3 of the Principal Determination</w:t>
      </w:r>
      <w:r w:rsidR="00B61BC4">
        <w:rPr>
          <w:snapToGrid w:val="0"/>
        </w:rPr>
        <w:t>,</w:t>
      </w:r>
      <w:r>
        <w:rPr>
          <w:snapToGrid w:val="0"/>
        </w:rPr>
        <w:t xml:space="preserve"> which provides a special location allowance for the Defence Attaché Baghdad. The allowance is no longer </w:t>
      </w:r>
      <w:r w:rsidR="00B61BC4">
        <w:rPr>
          <w:snapToGrid w:val="0"/>
        </w:rPr>
        <w:t>required,</w:t>
      </w:r>
      <w:r>
        <w:rPr>
          <w:snapToGrid w:val="0"/>
        </w:rPr>
        <w:t xml:space="preserve"> as the position of Defence Attaché Baghdad no longer exists. The new section provides </w:t>
      </w:r>
      <w:r w:rsidR="007929D4">
        <w:rPr>
          <w:snapToGrid w:val="0"/>
        </w:rPr>
        <w:t xml:space="preserve">a </w:t>
      </w:r>
      <w:r>
        <w:rPr>
          <w:snapToGrid w:val="0"/>
        </w:rPr>
        <w:t>special location allowance for a member on long-term posting to Kyiv, Ukraine. The allowance ceases to be payable to a member if they are temporarily absent from the location for longer than 28 days. The allowance becomes payable again on the day they return to the posting location.</w:t>
      </w:r>
    </w:p>
    <w:p w14:paraId="547AD209" w14:textId="1CCA1384" w:rsidR="006E6AA6" w:rsidRDefault="006E6AA6" w:rsidP="00FD1310">
      <w:pPr>
        <w:pStyle w:val="Sectiontext"/>
        <w:keepNext/>
        <w:rPr>
          <w:i/>
          <w:snapToGrid w:val="0"/>
          <w:u w:val="single"/>
        </w:rPr>
      </w:pPr>
      <w:r>
        <w:rPr>
          <w:i/>
          <w:snapToGrid w:val="0"/>
          <w:u w:val="single"/>
        </w:rPr>
        <w:t xml:space="preserve">Schedule </w:t>
      </w:r>
      <w:r w:rsidR="00FD1310">
        <w:rPr>
          <w:i/>
          <w:snapToGrid w:val="0"/>
          <w:u w:val="single"/>
        </w:rPr>
        <w:t>5</w:t>
      </w:r>
      <w:r>
        <w:rPr>
          <w:rFonts w:cs="Arial"/>
          <w:i/>
          <w:snapToGrid w:val="0"/>
          <w:u w:val="single"/>
        </w:rPr>
        <w:t>—</w:t>
      </w:r>
      <w:r>
        <w:rPr>
          <w:i/>
          <w:snapToGrid w:val="0"/>
          <w:u w:val="single"/>
        </w:rPr>
        <w:t>Miscellaneous amendments</w:t>
      </w:r>
    </w:p>
    <w:p w14:paraId="59687059" w14:textId="1CB92442" w:rsidR="00CB7511" w:rsidRDefault="00CB7511" w:rsidP="006E6AA6">
      <w:pPr>
        <w:pStyle w:val="Sectiontext"/>
      </w:pPr>
      <w:r>
        <w:t>Items 1 and 2 amend subsection 3.2.47AD, which provides the anniversary day for a cyber warfare member. Item 1 amends subsection 3 updating a reference from subsection 1 to paragraph 1.a. T</w:t>
      </w:r>
      <w:r w:rsidR="00D00CE9">
        <w:t>his means that a member’s anniversary day under subsection 1</w:t>
      </w:r>
      <w:r w:rsidR="00051E8F">
        <w:t xml:space="preserve"> </w:t>
      </w:r>
      <w:r w:rsidR="00D00CE9">
        <w:t xml:space="preserve">is </w:t>
      </w:r>
      <w:r>
        <w:t>only</w:t>
      </w:r>
      <w:r w:rsidR="00D00CE9">
        <w:t xml:space="preserve"> affected by subsection 3 </w:t>
      </w:r>
      <w:r>
        <w:t>if it were the day the member became a cyber warfare member. Item 2 replaces the phrase “commencement of this Division” with the date the division commenced. As the date is now known, it will improve the comprehension of the subsection.</w:t>
      </w:r>
    </w:p>
    <w:p w14:paraId="06D8789E" w14:textId="746ECAD6" w:rsidR="006E6AA6" w:rsidRDefault="00CB7511" w:rsidP="006E6AA6">
      <w:pPr>
        <w:pStyle w:val="Sectiontext"/>
      </w:pPr>
      <w:r>
        <w:t>Item 3</w:t>
      </w:r>
      <w:r w:rsidR="006E6AA6">
        <w:t xml:space="preserve"> amends section 4.4.6 of the Principal Determination</w:t>
      </w:r>
      <w:r w:rsidR="00D86E70">
        <w:t>,</w:t>
      </w:r>
      <w:r w:rsidR="006E6AA6">
        <w:t xml:space="preserve"> which provides</w:t>
      </w:r>
      <w:r w:rsidR="006E6AA6" w:rsidRPr="00572EE6">
        <w:t xml:space="preserve"> </w:t>
      </w:r>
      <w:r w:rsidR="006E6AA6">
        <w:t>that a</w:t>
      </w:r>
      <w:r w:rsidR="006E6AA6" w:rsidRPr="00572EE6">
        <w:t xml:space="preserve"> member is not eligible for ADF district allowance for any period they are eligible for Antarctic allowance</w:t>
      </w:r>
      <w:r w:rsidR="006E6AA6">
        <w:t>. The section is amended to update an incorrect cross-reference.</w:t>
      </w:r>
    </w:p>
    <w:p w14:paraId="3997F49B" w14:textId="3B6202EA" w:rsidR="006E6AA6" w:rsidRDefault="00CB7511" w:rsidP="006E6AA6">
      <w:pPr>
        <w:pStyle w:val="Sectiontext"/>
        <w:rPr>
          <w:iCs/>
        </w:rPr>
      </w:pPr>
      <w:r>
        <w:rPr>
          <w:iCs/>
        </w:rPr>
        <w:t>Items 4 and 9</w:t>
      </w:r>
      <w:r w:rsidR="006E6AA6">
        <w:rPr>
          <w:iCs/>
        </w:rPr>
        <w:t xml:space="preserve"> respectively amend sections 6.5.37A and 7.5.17 of the Principal Determination to correct typographical and punctuation errors and promote the use of contemporary drafting styles.</w:t>
      </w:r>
    </w:p>
    <w:p w14:paraId="158FA26C" w14:textId="3ED73BF6" w:rsidR="006E6AA6" w:rsidRDefault="00CB7511" w:rsidP="006E6AA6">
      <w:pPr>
        <w:pStyle w:val="Sectiontext"/>
        <w:rPr>
          <w:snapToGrid w:val="0"/>
        </w:rPr>
      </w:pPr>
      <w:r>
        <w:rPr>
          <w:snapToGrid w:val="0"/>
        </w:rPr>
        <w:t>Item 5 and 6</w:t>
      </w:r>
      <w:r w:rsidR="006E6AA6">
        <w:rPr>
          <w:snapToGrid w:val="0"/>
        </w:rPr>
        <w:t xml:space="preserve"> amend section 9.2.26 of the Principal Determination</w:t>
      </w:r>
      <w:r w:rsidR="00D86E70">
        <w:rPr>
          <w:snapToGrid w:val="0"/>
        </w:rPr>
        <w:t>,</w:t>
      </w:r>
      <w:r w:rsidR="006E6AA6">
        <w:rPr>
          <w:snapToGrid w:val="0"/>
        </w:rPr>
        <w:t xml:space="preserve"> which provides travel for a member’s accompanied resident family to access specialist medical or dental treatment. The changes are as follows:</w:t>
      </w:r>
    </w:p>
    <w:p w14:paraId="4256C0FB" w14:textId="189978E2" w:rsidR="006E6AA6" w:rsidRDefault="00CB7511" w:rsidP="006E6AA6">
      <w:pPr>
        <w:pStyle w:val="Sectiontext"/>
        <w:numPr>
          <w:ilvl w:val="0"/>
          <w:numId w:val="19"/>
        </w:numPr>
        <w:rPr>
          <w:iCs/>
        </w:rPr>
      </w:pPr>
      <w:r>
        <w:rPr>
          <w:snapToGrid w:val="0"/>
        </w:rPr>
        <w:t>Item 5</w:t>
      </w:r>
      <w:r w:rsidR="006E6AA6">
        <w:rPr>
          <w:snapToGrid w:val="0"/>
        </w:rPr>
        <w:t xml:space="preserve"> amends paragraph 9.2.26.1A.a to clarify that a member who lives in a grade C, D or E location can only have their</w:t>
      </w:r>
      <w:r w:rsidR="006E6AA6">
        <w:rPr>
          <w:rFonts w:cs="Arial"/>
          <w:lang w:eastAsia="en-US"/>
        </w:rPr>
        <w:t xml:space="preserve"> </w:t>
      </w:r>
      <w:r w:rsidR="006E6AA6">
        <w:rPr>
          <w:iCs/>
        </w:rPr>
        <w:t xml:space="preserve">Commanding Officer to certify </w:t>
      </w:r>
      <w:r w:rsidR="006E6AA6">
        <w:rPr>
          <w:rFonts w:cs="Arial"/>
          <w:lang w:eastAsia="en-US"/>
        </w:rPr>
        <w:lastRenderedPageBreak/>
        <w:t>that specialist treatment is necessary and cannot be provided in the member’s housing benefit location</w:t>
      </w:r>
      <w:r w:rsidR="006E6AA6">
        <w:rPr>
          <w:iCs/>
        </w:rPr>
        <w:t xml:space="preserve"> </w:t>
      </w:r>
      <w:r w:rsidR="006E6AA6">
        <w:rPr>
          <w:rFonts w:cs="Arial"/>
          <w:lang w:eastAsia="en-US"/>
        </w:rPr>
        <w:t xml:space="preserve">if they are unable to access a doctor or dentist in the location. </w:t>
      </w:r>
    </w:p>
    <w:p w14:paraId="15363C6C" w14:textId="0FB8E1E2" w:rsidR="006E6AA6" w:rsidRDefault="00CB7511" w:rsidP="006E6AA6">
      <w:pPr>
        <w:pStyle w:val="Sectiontext"/>
        <w:numPr>
          <w:ilvl w:val="0"/>
          <w:numId w:val="19"/>
        </w:numPr>
        <w:rPr>
          <w:iCs/>
        </w:rPr>
      </w:pPr>
      <w:r>
        <w:rPr>
          <w:iCs/>
        </w:rPr>
        <w:t>Item 6</w:t>
      </w:r>
      <w:r w:rsidR="006E6AA6">
        <w:rPr>
          <w:iCs/>
        </w:rPr>
        <w:t xml:space="preserve"> amends paragraph 9.2.26.1A.b to correct a typographical error.</w:t>
      </w:r>
    </w:p>
    <w:p w14:paraId="5CB8A98A" w14:textId="6D158E7C" w:rsidR="006E6AA6" w:rsidRDefault="006E6AA6" w:rsidP="006E6AA6">
      <w:pPr>
        <w:pStyle w:val="Sectiontext"/>
        <w:rPr>
          <w:iCs/>
        </w:rPr>
      </w:pPr>
      <w:r>
        <w:rPr>
          <w:iCs/>
        </w:rPr>
        <w:t xml:space="preserve">Item </w:t>
      </w:r>
      <w:r w:rsidR="00CB7511">
        <w:rPr>
          <w:iCs/>
        </w:rPr>
        <w:t>7</w:t>
      </w:r>
      <w:r>
        <w:rPr>
          <w:iCs/>
        </w:rPr>
        <w:t xml:space="preserve"> </w:t>
      </w:r>
      <w:r>
        <w:rPr>
          <w:snapToGrid w:val="0"/>
        </w:rPr>
        <w:t>repeals and substitutes section 14.6.17 of the Principal Determination</w:t>
      </w:r>
      <w:r w:rsidR="00B61BC4">
        <w:rPr>
          <w:snapToGrid w:val="0"/>
        </w:rPr>
        <w:t>,</w:t>
      </w:r>
      <w:r>
        <w:rPr>
          <w:snapToGrid w:val="0"/>
        </w:rPr>
        <w:t xml:space="preserve"> which provides that a member is eligible for payment of an amount for financial losses that have resulted from a withdrawal at short notice from a posting location overseas. The section is amended to include a definition o</w:t>
      </w:r>
      <w:r w:rsidR="00431984">
        <w:rPr>
          <w:snapToGrid w:val="0"/>
        </w:rPr>
        <w:t>f ‘withdrawal at short notice’</w:t>
      </w:r>
      <w:r>
        <w:rPr>
          <w:snapToGrid w:val="0"/>
        </w:rPr>
        <w:t>.</w:t>
      </w:r>
    </w:p>
    <w:p w14:paraId="334CF6B7" w14:textId="2DFE3FF1" w:rsidR="006E6AA6" w:rsidRDefault="006E6AA6" w:rsidP="006E6AA6">
      <w:pPr>
        <w:pStyle w:val="Sectiontext"/>
        <w:rPr>
          <w:iCs/>
        </w:rPr>
      </w:pPr>
      <w:r>
        <w:rPr>
          <w:iCs/>
        </w:rPr>
        <w:t xml:space="preserve">Item </w:t>
      </w:r>
      <w:r w:rsidR="00CB7511">
        <w:rPr>
          <w:iCs/>
        </w:rPr>
        <w:t>8</w:t>
      </w:r>
      <w:r>
        <w:rPr>
          <w:iCs/>
        </w:rPr>
        <w:t xml:space="preserve"> amends section 15.3.30 of the Principal Determination</w:t>
      </w:r>
      <w:r w:rsidR="00B61BC4">
        <w:rPr>
          <w:iCs/>
        </w:rPr>
        <w:t>,</w:t>
      </w:r>
      <w:r>
        <w:rPr>
          <w:iCs/>
        </w:rPr>
        <w:t xml:space="preserve"> which provides the purpose statement for Division 6 of Part 3 of Chapter 15 (Travel for compassionate reasons). The section is amended to </w:t>
      </w:r>
      <w:r w:rsidR="00431984">
        <w:rPr>
          <w:iCs/>
        </w:rPr>
        <w:t xml:space="preserve">provide, </w:t>
      </w:r>
      <w:r>
        <w:rPr>
          <w:iCs/>
        </w:rPr>
        <w:t xml:space="preserve">in addition to travel related to a very serious illness or death, travel for compassionate reasons </w:t>
      </w:r>
      <w:r w:rsidR="00431984">
        <w:rPr>
          <w:iCs/>
        </w:rPr>
        <w:t>for a</w:t>
      </w:r>
      <w:r>
        <w:rPr>
          <w:iCs/>
        </w:rPr>
        <w:t xml:space="preserve"> serious illness.</w:t>
      </w:r>
    </w:p>
    <w:p w14:paraId="0DE7B933" w14:textId="0234ED32" w:rsidR="00CB7511" w:rsidRDefault="00CB7511" w:rsidP="006E6AA6">
      <w:pPr>
        <w:pStyle w:val="Sectiontext"/>
        <w:rPr>
          <w:iCs/>
        </w:rPr>
      </w:pPr>
      <w:r>
        <w:rPr>
          <w:iCs/>
        </w:rPr>
        <w:t>Item 9 amends various references in section 7.5.17.1, which provides the period of eligibility for temporary accommodation allowance. The amendments are technical in nature to update drafting styles and to correct grammatical errors, as specified in the list.</w:t>
      </w:r>
    </w:p>
    <w:p w14:paraId="2AA18D51" w14:textId="164E7412" w:rsidR="006E6AA6" w:rsidRPr="002E62CC" w:rsidRDefault="006E6AA6" w:rsidP="006E6AA6">
      <w:pPr>
        <w:pStyle w:val="Sectiontext"/>
        <w:rPr>
          <w:snapToGrid w:val="0"/>
        </w:rPr>
      </w:pPr>
      <w:r w:rsidRPr="002E62CC">
        <w:rPr>
          <w:snapToGrid w:val="0"/>
        </w:rPr>
        <w:t>Technical amendments made under this Schedule do not alter the underlying policies, or the benefits are currently provided.</w:t>
      </w:r>
    </w:p>
    <w:p w14:paraId="45236F19" w14:textId="6AEA88D0" w:rsidR="00F04498" w:rsidRDefault="00F04498" w:rsidP="00F04498">
      <w:pPr>
        <w:pStyle w:val="Sectiontext"/>
        <w:rPr>
          <w:i/>
          <w:snapToGrid w:val="0"/>
          <w:u w:val="single"/>
        </w:rPr>
      </w:pPr>
      <w:r>
        <w:rPr>
          <w:i/>
          <w:snapToGrid w:val="0"/>
          <w:u w:val="single"/>
        </w:rPr>
        <w:t xml:space="preserve">Schedule </w:t>
      </w:r>
      <w:r w:rsidR="00FD1310">
        <w:rPr>
          <w:i/>
          <w:snapToGrid w:val="0"/>
          <w:u w:val="single"/>
        </w:rPr>
        <w:t>6</w:t>
      </w:r>
      <w:r>
        <w:rPr>
          <w:rFonts w:cs="Arial"/>
          <w:i/>
          <w:snapToGrid w:val="0"/>
          <w:u w:val="single"/>
        </w:rPr>
        <w:t>—</w:t>
      </w:r>
      <w:r>
        <w:rPr>
          <w:i/>
          <w:snapToGrid w:val="0"/>
          <w:u w:val="single"/>
        </w:rPr>
        <w:t>Transitional provisions</w:t>
      </w:r>
    </w:p>
    <w:p w14:paraId="7B69E553" w14:textId="77777777" w:rsidR="00F04498" w:rsidRPr="005B1D73" w:rsidRDefault="00F04498" w:rsidP="00F04498">
      <w:pPr>
        <w:pStyle w:val="Sectiontext"/>
        <w:rPr>
          <w:snapToGrid w:val="0"/>
        </w:rPr>
      </w:pPr>
      <w:r w:rsidRPr="005B1D73">
        <w:rPr>
          <w:snapToGrid w:val="0"/>
        </w:rPr>
        <w:t>Clause 1 defines ‘Defence Determination’ for the purpose of this Schedule</w:t>
      </w:r>
      <w:r w:rsidRPr="004D1F92">
        <w:rPr>
          <w:snapToGrid w:val="0"/>
        </w:rPr>
        <w:t xml:space="preserve"> </w:t>
      </w:r>
      <w:r>
        <w:rPr>
          <w:snapToGrid w:val="0"/>
        </w:rPr>
        <w:t>as meaning the</w:t>
      </w:r>
      <w:r w:rsidRPr="005B1D73">
        <w:rPr>
          <w:snapToGrid w:val="0"/>
        </w:rPr>
        <w:t xml:space="preserve"> </w:t>
      </w:r>
      <w:r w:rsidRPr="005B1D73">
        <w:rPr>
          <w:i/>
          <w:snapToGrid w:val="0"/>
        </w:rPr>
        <w:t>Defence Determination 2016/19, Conditions of service</w:t>
      </w:r>
      <w:r>
        <w:rPr>
          <w:snapToGrid w:val="0"/>
        </w:rPr>
        <w:t>, as in force from time to time.</w:t>
      </w:r>
      <w:r w:rsidRPr="005B1D73">
        <w:rPr>
          <w:snapToGrid w:val="0"/>
        </w:rPr>
        <w:t xml:space="preserve"> </w:t>
      </w:r>
    </w:p>
    <w:p w14:paraId="288F99CA" w14:textId="3B946A34" w:rsidR="00F04498" w:rsidRPr="00FA083A" w:rsidRDefault="00F04498" w:rsidP="00F04498">
      <w:pPr>
        <w:pStyle w:val="Sectiontext"/>
        <w:rPr>
          <w:snapToGrid w:val="0"/>
        </w:rPr>
      </w:pPr>
      <w:r>
        <w:rPr>
          <w:snapToGrid w:val="0"/>
        </w:rPr>
        <w:t xml:space="preserve">Clause 2 provides </w:t>
      </w:r>
      <w:r w:rsidR="00431984">
        <w:rPr>
          <w:snapToGrid w:val="0"/>
        </w:rPr>
        <w:t>a transitional benefit to members</w:t>
      </w:r>
      <w:r>
        <w:rPr>
          <w:snapToGrid w:val="0"/>
        </w:rPr>
        <w:t xml:space="preserve"> on long-term posting to Kyiv, Ukraine, between 1 April 2025 and th</w:t>
      </w:r>
      <w:r w:rsidR="00431984">
        <w:rPr>
          <w:snapToGrid w:val="0"/>
        </w:rPr>
        <w:t>e commencement of this Schedule. M</w:t>
      </w:r>
      <w:r>
        <w:rPr>
          <w:snapToGrid w:val="0"/>
        </w:rPr>
        <w:t>ember</w:t>
      </w:r>
      <w:r w:rsidR="00431984">
        <w:rPr>
          <w:snapToGrid w:val="0"/>
        </w:rPr>
        <w:t>s are</w:t>
      </w:r>
      <w:r>
        <w:rPr>
          <w:snapToGrid w:val="0"/>
        </w:rPr>
        <w:t xml:space="preserve"> eligible for the payment of special location allowance under section 16.8.3 of the Defence Determination as though the cha</w:t>
      </w:r>
      <w:r w:rsidR="007929D4">
        <w:rPr>
          <w:snapToGrid w:val="0"/>
        </w:rPr>
        <w:t>nge made by item 2 of Schedule 4</w:t>
      </w:r>
      <w:r>
        <w:rPr>
          <w:snapToGrid w:val="0"/>
        </w:rPr>
        <w:t xml:space="preserve"> of this Determination had applied at the time.</w:t>
      </w:r>
    </w:p>
    <w:p w14:paraId="2BFF7EC7" w14:textId="77777777" w:rsidR="006E6AA6" w:rsidRDefault="006E6AA6" w:rsidP="001E51FE">
      <w:pPr>
        <w:autoSpaceDE w:val="0"/>
        <w:autoSpaceDN w:val="0"/>
        <w:adjustRightInd w:val="0"/>
        <w:rPr>
          <w:snapToGrid w:val="0"/>
          <w:sz w:val="20"/>
        </w:rPr>
      </w:pPr>
    </w:p>
    <w:p w14:paraId="2E167B40" w14:textId="77777777" w:rsidR="00677594" w:rsidRPr="00CA5BE0" w:rsidRDefault="00677594"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1C27842E" w:rsidR="00417CDA" w:rsidRDefault="00417CDA" w:rsidP="00486185">
      <w:pPr>
        <w:pStyle w:val="BlockText-Plain"/>
        <w:jc w:val="center"/>
        <w:rPr>
          <w:b/>
          <w:i/>
          <w:snapToGrid w:val="0"/>
        </w:rPr>
      </w:pPr>
      <w:r w:rsidRPr="00417CDA">
        <w:rPr>
          <w:b/>
          <w:bCs/>
          <w:i/>
          <w:noProof/>
          <w:snapToGrid w:val="0"/>
          <w:lang w:val="en-US"/>
        </w:rPr>
        <w:t xml:space="preserve">Defence Determination, Conditions of service Amendment </w:t>
      </w:r>
      <w:r w:rsidR="0008037A">
        <w:rPr>
          <w:b/>
          <w:bCs/>
          <w:i/>
          <w:noProof/>
          <w:snapToGrid w:val="0"/>
          <w:lang w:val="en-US"/>
        </w:rPr>
        <w:t xml:space="preserve">Determination </w:t>
      </w:r>
      <w:r w:rsidR="00F774DD">
        <w:rPr>
          <w:b/>
          <w:bCs/>
          <w:i/>
          <w:noProof/>
          <w:snapToGrid w:val="0"/>
          <w:lang w:val="en-US"/>
        </w:rPr>
        <w:t>(No. </w:t>
      </w:r>
      <w:r w:rsidR="00677594">
        <w:rPr>
          <w:b/>
          <w:bCs/>
          <w:i/>
          <w:noProof/>
          <w:snapToGrid w:val="0"/>
          <w:lang w:val="en-US"/>
        </w:rPr>
        <w:t>14</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7F56D9BE" w14:textId="0A2DB4F3" w:rsidR="00737505" w:rsidRDefault="00737505" w:rsidP="007753AD">
      <w:pPr>
        <w:pStyle w:val="Sectiontext"/>
      </w:pPr>
      <w:r w:rsidRPr="00737505">
        <w:t>The P</w:t>
      </w:r>
      <w:r>
        <w:t>ur</w:t>
      </w:r>
      <w:r w:rsidRPr="00737505">
        <w:t>pose of this Determination is to do the following:</w:t>
      </w:r>
    </w:p>
    <w:p w14:paraId="59BC730E" w14:textId="77777777" w:rsidR="006E29D5" w:rsidRDefault="006E29D5" w:rsidP="006E29D5">
      <w:pPr>
        <w:pStyle w:val="Sectiontext"/>
        <w:numPr>
          <w:ilvl w:val="0"/>
          <w:numId w:val="17"/>
        </w:numPr>
        <w:tabs>
          <w:tab w:val="left" w:pos="7380"/>
        </w:tabs>
      </w:pPr>
      <w:r>
        <w:t xml:space="preserve">Update the rates of allowances for members who perform duty in locations in Australia that involve hardship. These updates are routine in nature and are made annually to align with the Consumer Price Index and the adjustments recommended by the Australian Public Service Commission. </w:t>
      </w:r>
    </w:p>
    <w:p w14:paraId="2D96B6C8" w14:textId="30FA95AC" w:rsidR="006E29D5" w:rsidRPr="006C4161" w:rsidRDefault="006E29D5" w:rsidP="006E29D5">
      <w:pPr>
        <w:pStyle w:val="Sectiontext"/>
        <w:numPr>
          <w:ilvl w:val="0"/>
          <w:numId w:val="17"/>
        </w:numPr>
        <w:tabs>
          <w:tab w:val="left" w:pos="7380"/>
        </w:tabs>
      </w:pPr>
      <w:r w:rsidRPr="006C4161">
        <w:t xml:space="preserve">Provide early removal benefits to members posted to RAAF Base Tindal and their dependants to facilitate </w:t>
      </w:r>
      <w:r>
        <w:t xml:space="preserve">their </w:t>
      </w:r>
      <w:r w:rsidR="00431984">
        <w:t>m</w:t>
      </w:r>
      <w:r w:rsidR="0090684C">
        <w:t>ove</w:t>
      </w:r>
      <w:r w:rsidRPr="006C4161">
        <w:t>.</w:t>
      </w:r>
    </w:p>
    <w:p w14:paraId="09EED034" w14:textId="77777777" w:rsidR="006E29D5" w:rsidRDefault="006E29D5" w:rsidP="006E29D5">
      <w:pPr>
        <w:pStyle w:val="Sectiontext"/>
        <w:numPr>
          <w:ilvl w:val="0"/>
          <w:numId w:val="17"/>
        </w:numPr>
        <w:tabs>
          <w:tab w:val="left" w:pos="7380"/>
        </w:tabs>
      </w:pPr>
      <w:r>
        <w:t>Update the post index locations following a review of the post index rates applicable to the United States of America.</w:t>
      </w:r>
    </w:p>
    <w:p w14:paraId="29B6218D" w14:textId="77777777" w:rsidR="006E29D5" w:rsidRDefault="006E29D5" w:rsidP="006E29D5">
      <w:pPr>
        <w:pStyle w:val="Sectiontext"/>
        <w:numPr>
          <w:ilvl w:val="0"/>
          <w:numId w:val="17"/>
        </w:numPr>
        <w:tabs>
          <w:tab w:val="left" w:pos="7380"/>
        </w:tabs>
      </w:pPr>
      <w:r>
        <w:t>Establish a special location allowance for members on a long-term posting to Kyiv, Ukraine.</w:t>
      </w:r>
    </w:p>
    <w:p w14:paraId="4B31DCB6" w14:textId="77777777" w:rsidR="006E29D5" w:rsidRDefault="006E29D5" w:rsidP="006E29D5">
      <w:pPr>
        <w:pStyle w:val="Sectiontext"/>
        <w:numPr>
          <w:ilvl w:val="0"/>
          <w:numId w:val="17"/>
        </w:numPr>
        <w:tabs>
          <w:tab w:val="left" w:pos="7380"/>
        </w:tabs>
      </w:pPr>
      <w:r>
        <w:t xml:space="preserve">Repeal the special location allowance for the Defence Attaché Baghdad, Iraq, as the position no longer exists. </w:t>
      </w:r>
    </w:p>
    <w:p w14:paraId="52ED1EB0" w14:textId="77777777" w:rsidR="006E29D5" w:rsidRDefault="006E29D5" w:rsidP="006E29D5">
      <w:pPr>
        <w:pStyle w:val="Sectiontext"/>
        <w:numPr>
          <w:ilvl w:val="0"/>
          <w:numId w:val="17"/>
        </w:numPr>
        <w:tabs>
          <w:tab w:val="left" w:pos="7380"/>
        </w:tabs>
      </w:pPr>
      <w:r>
        <w:rPr>
          <w:rFonts w:cs="Arial"/>
          <w:color w:val="000000"/>
        </w:rPr>
        <w:t xml:space="preserve">Amend the daily rate of special location </w:t>
      </w:r>
      <w:r w:rsidRPr="00D314FE">
        <w:rPr>
          <w:rFonts w:cs="Arial"/>
        </w:rPr>
        <w:t xml:space="preserve">allowance </w:t>
      </w:r>
      <w:r w:rsidRPr="00D314FE">
        <w:t>for members on a long-term posting to Ukraine</w:t>
      </w:r>
      <w:r w:rsidRPr="00D314FE">
        <w:rPr>
          <w:rFonts w:cs="Arial"/>
        </w:rPr>
        <w:t xml:space="preserve"> </w:t>
      </w:r>
      <w:r>
        <w:rPr>
          <w:rFonts w:cs="Arial"/>
          <w:color w:val="000000"/>
        </w:rPr>
        <w:t>by 3.4% in line with the ADF’s Workplace Remuneration Arrangement.</w:t>
      </w:r>
    </w:p>
    <w:p w14:paraId="6DBF2758" w14:textId="77777777" w:rsidR="006E29D5" w:rsidRDefault="006E29D5" w:rsidP="006E29D5">
      <w:pPr>
        <w:pStyle w:val="Sectiontext"/>
        <w:numPr>
          <w:ilvl w:val="0"/>
          <w:numId w:val="17"/>
        </w:numPr>
        <w:tabs>
          <w:tab w:val="left" w:pos="7380"/>
        </w:tabs>
      </w:pPr>
      <w:r>
        <w:t xml:space="preserve">Amend eligibility to travel for specialist medical or dental treatment for members in </w:t>
      </w:r>
      <w:r>
        <w:rPr>
          <w:rFonts w:cs="Arial"/>
          <w:lang w:eastAsia="en-US"/>
        </w:rPr>
        <w:t>grade C, D or E remote locations to account for locations where members have access to a</w:t>
      </w:r>
      <w:r w:rsidRPr="00C50B38">
        <w:rPr>
          <w:rFonts w:cs="Arial"/>
          <w:lang w:eastAsia="en-US"/>
        </w:rPr>
        <w:t xml:space="preserve"> doctor or dentist</w:t>
      </w:r>
      <w:r>
        <w:rPr>
          <w:rFonts w:cs="Arial"/>
          <w:lang w:eastAsia="en-US"/>
        </w:rPr>
        <w:t xml:space="preserve"> in the location. </w:t>
      </w:r>
    </w:p>
    <w:p w14:paraId="359B3227" w14:textId="1728CAFA" w:rsidR="006E29D5" w:rsidRDefault="0090684C" w:rsidP="001C58FE">
      <w:pPr>
        <w:pStyle w:val="Sectiontext"/>
        <w:numPr>
          <w:ilvl w:val="0"/>
          <w:numId w:val="17"/>
        </w:numPr>
        <w:tabs>
          <w:tab w:val="left" w:pos="7380"/>
        </w:tabs>
      </w:pPr>
      <w:r>
        <w:t>Update cross-references and to c</w:t>
      </w:r>
      <w:r w:rsidR="006E29D5">
        <w:t>orrect typographical and punctuation errors.</w:t>
      </w:r>
    </w:p>
    <w:p w14:paraId="38FFFAF4" w14:textId="2FF8AB9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4F4B2D7E" w14:textId="77777777" w:rsidR="001E51FE" w:rsidRPr="0021243D" w:rsidRDefault="001E51FE" w:rsidP="007753AD">
      <w:pPr>
        <w:spacing w:after="200" w:line="240" w:lineRule="auto"/>
        <w:rPr>
          <w:rFonts w:ascii="Arial" w:hAnsi="Arial" w:cs="Arial"/>
          <w:sz w:val="24"/>
          <w:szCs w:val="24"/>
        </w:rPr>
      </w:pPr>
      <w:r w:rsidRPr="0021243D">
        <w:rPr>
          <w:rFonts w:ascii="Arial" w:hAnsi="Arial" w:cs="Arial"/>
          <w:i/>
          <w:sz w:val="20"/>
        </w:rPr>
        <w:lastRenderedPageBreak/>
        <w:t>Right to the enjoyment of just and favourable conditions of work</w:t>
      </w:r>
    </w:p>
    <w:p w14:paraId="121D2639" w14:textId="1BF1CD1F" w:rsidR="001E51FE" w:rsidRPr="00A575F1" w:rsidRDefault="001E51FE" w:rsidP="007753AD">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sidR="006B7FE3">
        <w:rPr>
          <w:snapToGrid w:val="0"/>
        </w:rPr>
        <w:t>ensures</w:t>
      </w:r>
      <w:r w:rsidRPr="00A575F1">
        <w:rPr>
          <w:snapToGrid w:val="0"/>
        </w:rPr>
        <w:t xml:space="preserve"> just and favourable conditions of work, including remuneration, safe and healthy conditions, equal opportunity and reasonable limitations.</w:t>
      </w:r>
    </w:p>
    <w:p w14:paraId="5B13D224" w14:textId="77777777" w:rsidR="00FC49E0" w:rsidRPr="0021243D" w:rsidRDefault="00FC49E0" w:rsidP="00FC49E0">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227195BB" w14:textId="77777777" w:rsidR="00FC49E0" w:rsidRDefault="00FC49E0" w:rsidP="00FC49E0">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08EBD08E" w14:textId="0CC6187C" w:rsidR="00BC00AA" w:rsidRDefault="00737505" w:rsidP="001873D2">
      <w:pPr>
        <w:keepNext/>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4F426DCA" w14:textId="474FD6FD" w:rsidR="0074524B" w:rsidRDefault="0090684C" w:rsidP="0074524B">
      <w:pPr>
        <w:shd w:val="clear" w:color="auto" w:fill="FFFFFF"/>
        <w:spacing w:before="100" w:beforeAutospacing="1" w:after="200" w:line="240" w:lineRule="auto"/>
        <w:rPr>
          <w:rFonts w:ascii="Arial" w:hAnsi="Arial" w:cs="Arial"/>
          <w:color w:val="000000"/>
          <w:sz w:val="20"/>
        </w:rPr>
      </w:pPr>
      <w:r w:rsidRPr="00737505">
        <w:rPr>
          <w:rFonts w:ascii="Arial" w:hAnsi="Arial" w:cs="Arial"/>
          <w:iCs/>
          <w:sz w:val="20"/>
        </w:rPr>
        <w:t xml:space="preserve">Schedule 1 </w:t>
      </w:r>
      <w:r>
        <w:rPr>
          <w:rFonts w:ascii="Arial" w:hAnsi="Arial" w:cs="Arial"/>
          <w:iCs/>
          <w:sz w:val="20"/>
        </w:rPr>
        <w:t>is compatible with human rights as it promotes a member’s right to just and favourable conditions of work by adjusting</w:t>
      </w:r>
      <w:r w:rsidRPr="000147B9">
        <w:rPr>
          <w:rFonts w:ascii="Arial" w:hAnsi="Arial" w:cs="Arial"/>
          <w:iCs/>
          <w:sz w:val="20"/>
        </w:rPr>
        <w:t xml:space="preserve"> the rates of location allowances to reflect the current cost of living and </w:t>
      </w:r>
      <w:r>
        <w:rPr>
          <w:rFonts w:ascii="Arial" w:hAnsi="Arial" w:cs="Arial"/>
          <w:iCs/>
          <w:sz w:val="20"/>
        </w:rPr>
        <w:t>are</w:t>
      </w:r>
      <w:r w:rsidR="005156FA" w:rsidRPr="000147B9">
        <w:rPr>
          <w:rFonts w:ascii="Arial" w:hAnsi="Arial" w:cs="Arial"/>
          <w:iCs/>
          <w:sz w:val="20"/>
        </w:rPr>
        <w:t xml:space="preserve"> proportionate to the hardship</w:t>
      </w:r>
      <w:r>
        <w:rPr>
          <w:rFonts w:ascii="Arial" w:hAnsi="Arial" w:cs="Arial"/>
          <w:iCs/>
          <w:sz w:val="20"/>
        </w:rPr>
        <w:t xml:space="preserve"> a member</w:t>
      </w:r>
      <w:r w:rsidR="005156FA" w:rsidRPr="000147B9">
        <w:rPr>
          <w:rFonts w:ascii="Arial" w:hAnsi="Arial" w:cs="Arial"/>
          <w:iCs/>
          <w:sz w:val="20"/>
        </w:rPr>
        <w:t xml:space="preserve"> encounter</w:t>
      </w:r>
      <w:r>
        <w:rPr>
          <w:rFonts w:ascii="Arial" w:hAnsi="Arial" w:cs="Arial"/>
          <w:iCs/>
          <w:sz w:val="20"/>
        </w:rPr>
        <w:t>s</w:t>
      </w:r>
      <w:r w:rsidR="005156FA" w:rsidRPr="000147B9">
        <w:rPr>
          <w:rFonts w:ascii="Arial" w:hAnsi="Arial" w:cs="Arial"/>
          <w:iCs/>
          <w:sz w:val="20"/>
        </w:rPr>
        <w:t xml:space="preserve"> at remote locations.</w:t>
      </w:r>
      <w:r w:rsidR="003928D1">
        <w:rPr>
          <w:rFonts w:ascii="Arial" w:hAnsi="Arial" w:cs="Arial"/>
          <w:iCs/>
          <w:sz w:val="20"/>
        </w:rPr>
        <w:t xml:space="preserve"> The schedule includes </w:t>
      </w:r>
      <w:r w:rsidR="0074524B">
        <w:rPr>
          <w:rFonts w:ascii="Arial" w:hAnsi="Arial" w:cs="Arial"/>
          <w:color w:val="000000"/>
          <w:sz w:val="20"/>
        </w:rPr>
        <w:t>a daily allowance to a member who is on a long-term posting to Kyiv, Ukraine, to recognise additional difficulties the member may experience in the location.</w:t>
      </w:r>
    </w:p>
    <w:p w14:paraId="226A912C" w14:textId="18161236" w:rsidR="00677594" w:rsidRPr="00737505" w:rsidRDefault="00677594" w:rsidP="00677594">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w:t>
      </w:r>
      <w:r>
        <w:rPr>
          <w:rFonts w:ascii="Arial" w:hAnsi="Arial" w:cs="Arial"/>
          <w:iCs/>
          <w:sz w:val="20"/>
        </w:rPr>
        <w:t>2</w:t>
      </w:r>
      <w:r w:rsidRPr="00737505">
        <w:rPr>
          <w:rFonts w:ascii="Arial" w:hAnsi="Arial" w:cs="Arial"/>
          <w:iCs/>
          <w:sz w:val="20"/>
        </w:rPr>
        <w:t xml:space="preserve"> </w:t>
      </w:r>
      <w:r>
        <w:rPr>
          <w:rFonts w:ascii="Arial" w:hAnsi="Arial" w:cs="Arial"/>
          <w:iCs/>
          <w:sz w:val="20"/>
        </w:rPr>
        <w:t xml:space="preserve">is compatible with human rights as it ensures just and favourable conditions of work for a member by providing early removal benefits if the member is posted to a remote location, which will assist them in their </w:t>
      </w:r>
      <w:r w:rsidR="0090684C">
        <w:rPr>
          <w:rFonts w:ascii="Arial" w:hAnsi="Arial" w:cs="Arial"/>
          <w:iCs/>
          <w:sz w:val="20"/>
        </w:rPr>
        <w:t>move to the new posting location</w:t>
      </w:r>
      <w:r>
        <w:rPr>
          <w:rFonts w:ascii="Arial" w:hAnsi="Arial" w:cs="Arial"/>
          <w:iCs/>
          <w:sz w:val="20"/>
        </w:rPr>
        <w:t>.</w:t>
      </w:r>
    </w:p>
    <w:p w14:paraId="69961F54" w14:textId="62F7F158" w:rsidR="00FC49E0" w:rsidRPr="008417DF" w:rsidRDefault="00FC49E0" w:rsidP="00FC49E0">
      <w:pPr>
        <w:shd w:val="clear" w:color="auto" w:fill="FFFFFF"/>
        <w:spacing w:before="100" w:beforeAutospacing="1" w:after="200" w:line="240" w:lineRule="auto"/>
        <w:rPr>
          <w:rFonts w:ascii="Arial" w:hAnsi="Arial" w:cs="Arial"/>
          <w:sz w:val="20"/>
        </w:rPr>
      </w:pPr>
      <w:r>
        <w:rPr>
          <w:rFonts w:ascii="Arial" w:hAnsi="Arial" w:cs="Arial"/>
          <w:iCs/>
          <w:sz w:val="20"/>
        </w:rPr>
        <w:t xml:space="preserve">Schedule 3 is compatible with human rights as it promotes a member’s right to just and favourable conditions of work and the right to an adequate standard of living by ensuring that the location on which the member’s post index rate is based </w:t>
      </w:r>
      <w:r w:rsidR="0090684C">
        <w:rPr>
          <w:rFonts w:ascii="Arial" w:hAnsi="Arial" w:cs="Arial"/>
          <w:iCs/>
          <w:sz w:val="20"/>
        </w:rPr>
        <w:t>remains current.</w:t>
      </w:r>
    </w:p>
    <w:p w14:paraId="0E358EAD" w14:textId="0F93AAF7" w:rsidR="00635D6A" w:rsidRDefault="00635D6A" w:rsidP="00635D6A">
      <w:pPr>
        <w:shd w:val="clear" w:color="auto" w:fill="FFFFFF"/>
        <w:spacing w:before="100" w:beforeAutospacing="1" w:after="200" w:line="240" w:lineRule="auto"/>
        <w:rPr>
          <w:rFonts w:ascii="Arial" w:hAnsi="Arial" w:cs="Arial"/>
          <w:color w:val="000000"/>
          <w:sz w:val="20"/>
        </w:rPr>
      </w:pPr>
      <w:r>
        <w:rPr>
          <w:rFonts w:ascii="Arial" w:hAnsi="Arial" w:cs="Arial"/>
          <w:color w:val="000000"/>
          <w:sz w:val="20"/>
        </w:rPr>
        <w:t>S</w:t>
      </w:r>
      <w:r w:rsidR="0074524B">
        <w:rPr>
          <w:rFonts w:ascii="Arial" w:hAnsi="Arial" w:cs="Arial"/>
          <w:color w:val="000000"/>
          <w:sz w:val="20"/>
        </w:rPr>
        <w:t>chedule</w:t>
      </w:r>
      <w:r>
        <w:rPr>
          <w:rFonts w:ascii="Arial" w:hAnsi="Arial" w:cs="Arial"/>
          <w:color w:val="000000"/>
          <w:sz w:val="20"/>
        </w:rPr>
        <w:t xml:space="preserve"> </w:t>
      </w:r>
      <w:r w:rsidR="003B4A49">
        <w:rPr>
          <w:rFonts w:ascii="Arial" w:hAnsi="Arial" w:cs="Arial"/>
          <w:color w:val="000000"/>
          <w:sz w:val="20"/>
        </w:rPr>
        <w:t>4</w:t>
      </w:r>
      <w:r>
        <w:rPr>
          <w:rFonts w:ascii="Arial" w:hAnsi="Arial" w:cs="Arial"/>
          <w:color w:val="000000"/>
          <w:sz w:val="20"/>
        </w:rPr>
        <w:t xml:space="preserve"> </w:t>
      </w:r>
      <w:r w:rsidR="0074524B">
        <w:rPr>
          <w:rFonts w:ascii="Arial" w:hAnsi="Arial" w:cs="Arial"/>
          <w:color w:val="000000"/>
          <w:sz w:val="20"/>
        </w:rPr>
        <w:t>is</w:t>
      </w:r>
      <w:r>
        <w:rPr>
          <w:rFonts w:ascii="Arial" w:hAnsi="Arial" w:cs="Arial"/>
          <w:color w:val="000000"/>
          <w:sz w:val="20"/>
        </w:rPr>
        <w:t xml:space="preserve"> compatible with human rights as it promotes a member’s right to just and favourable conditions of work by providing a daily allowance to a member who is on a long-term posting to Kyiv, Ukraine, to recognise additional difficulties the member may experience in the location.</w:t>
      </w:r>
    </w:p>
    <w:p w14:paraId="1B628620" w14:textId="77777777" w:rsidR="0090684C" w:rsidRDefault="009D3E50" w:rsidP="009D3E50">
      <w:pPr>
        <w:shd w:val="clear" w:color="auto" w:fill="FFFFFF"/>
        <w:spacing w:before="100" w:beforeAutospacing="1" w:after="200" w:line="240" w:lineRule="auto"/>
        <w:rPr>
          <w:rFonts w:ascii="Arial" w:hAnsi="Arial" w:cs="Arial"/>
          <w:iCs/>
          <w:sz w:val="20"/>
        </w:rPr>
      </w:pPr>
      <w:r>
        <w:rPr>
          <w:rFonts w:ascii="Arial" w:hAnsi="Arial" w:cs="Arial"/>
          <w:iCs/>
          <w:sz w:val="20"/>
        </w:rPr>
        <w:lastRenderedPageBreak/>
        <w:t xml:space="preserve">Schedule </w:t>
      </w:r>
      <w:r w:rsidR="003B4A49">
        <w:rPr>
          <w:rFonts w:ascii="Arial" w:hAnsi="Arial" w:cs="Arial"/>
          <w:iCs/>
          <w:sz w:val="20"/>
        </w:rPr>
        <w:t>5</w:t>
      </w:r>
      <w:r w:rsidRPr="00737505">
        <w:rPr>
          <w:rFonts w:ascii="Arial" w:hAnsi="Arial" w:cs="Arial"/>
          <w:iCs/>
          <w:sz w:val="20"/>
        </w:rPr>
        <w:t xml:space="preserve"> </w:t>
      </w:r>
      <w:r>
        <w:rPr>
          <w:rFonts w:ascii="Arial" w:hAnsi="Arial" w:cs="Arial"/>
          <w:iCs/>
          <w:sz w:val="20"/>
        </w:rPr>
        <w:t xml:space="preserve">is compatible with human rights as it promotes just and favourable conditions of work by ensuring that specialist treatment is accessible to a member and their dependants in remote location. </w:t>
      </w:r>
    </w:p>
    <w:p w14:paraId="120B1E7B" w14:textId="1FB26F3F" w:rsidR="009D3E50" w:rsidRDefault="009D3E50" w:rsidP="009D3E50">
      <w:pPr>
        <w:shd w:val="clear" w:color="auto" w:fill="FFFFFF"/>
        <w:spacing w:before="100" w:beforeAutospacing="1" w:after="200" w:line="240" w:lineRule="auto"/>
        <w:rPr>
          <w:rFonts w:ascii="Arial" w:hAnsi="Arial" w:cs="Arial"/>
          <w:iCs/>
          <w:sz w:val="20"/>
        </w:rPr>
      </w:pPr>
      <w:r>
        <w:rPr>
          <w:rFonts w:ascii="Arial" w:hAnsi="Arial" w:cs="Arial"/>
          <w:iCs/>
          <w:sz w:val="20"/>
        </w:rPr>
        <w:t>The remainder of a</w:t>
      </w:r>
      <w:r w:rsidRPr="004E2521">
        <w:rPr>
          <w:rFonts w:ascii="Arial" w:hAnsi="Arial" w:cs="Arial"/>
          <w:iCs/>
          <w:sz w:val="20"/>
        </w:rPr>
        <w:t>mendments</w:t>
      </w:r>
      <w:r>
        <w:rPr>
          <w:rFonts w:ascii="Arial" w:hAnsi="Arial" w:cs="Arial"/>
          <w:iCs/>
          <w:sz w:val="20"/>
        </w:rPr>
        <w:t xml:space="preserve"> made by this Schedule</w:t>
      </w:r>
      <w:r w:rsidRPr="004E2521">
        <w:rPr>
          <w:rFonts w:ascii="Arial" w:hAnsi="Arial" w:cs="Arial"/>
          <w:iCs/>
          <w:sz w:val="20"/>
        </w:rPr>
        <w:t xml:space="preserve"> do not change the underlying p</w:t>
      </w:r>
      <w:r>
        <w:rPr>
          <w:rFonts w:ascii="Arial" w:hAnsi="Arial" w:cs="Arial"/>
          <w:iCs/>
          <w:sz w:val="20"/>
        </w:rPr>
        <w:t>olicies or benefits. As such, they do</w:t>
      </w:r>
      <w:r w:rsidRPr="004E2521">
        <w:rPr>
          <w:rFonts w:ascii="Arial" w:hAnsi="Arial" w:cs="Arial"/>
          <w:iCs/>
          <w:sz w:val="20"/>
        </w:rPr>
        <w:t xml:space="preserve"> not engage with any of the applicable rights or freedoms.</w:t>
      </w:r>
    </w:p>
    <w:p w14:paraId="337EC6D7" w14:textId="07B2BD91" w:rsidR="0074524B" w:rsidRPr="00737505" w:rsidRDefault="0074524B" w:rsidP="009D3E50">
      <w:pPr>
        <w:shd w:val="clear" w:color="auto" w:fill="FFFFFF"/>
        <w:spacing w:before="100" w:beforeAutospacing="1" w:after="200" w:line="240" w:lineRule="auto"/>
        <w:rPr>
          <w:rFonts w:ascii="Arial" w:hAnsi="Arial" w:cs="Arial"/>
          <w:iCs/>
          <w:sz w:val="20"/>
        </w:rPr>
      </w:pPr>
      <w:r>
        <w:rPr>
          <w:rFonts w:ascii="Arial" w:hAnsi="Arial" w:cs="Arial"/>
          <w:iCs/>
          <w:sz w:val="20"/>
        </w:rPr>
        <w:t>The trans</w:t>
      </w:r>
      <w:r w:rsidR="003B4A49">
        <w:rPr>
          <w:rFonts w:ascii="Arial" w:hAnsi="Arial" w:cs="Arial"/>
          <w:iCs/>
          <w:sz w:val="20"/>
        </w:rPr>
        <w:t>itional provisions in Schedule 6</w:t>
      </w:r>
      <w:r>
        <w:rPr>
          <w:rFonts w:ascii="Arial" w:hAnsi="Arial" w:cs="Arial"/>
          <w:iCs/>
          <w:sz w:val="20"/>
        </w:rPr>
        <w:t xml:space="preserve"> of this Determination </w:t>
      </w:r>
      <w:r w:rsidRPr="00067F0D">
        <w:rPr>
          <w:rFonts w:ascii="Arial" w:hAnsi="Arial" w:cs="Arial"/>
          <w:iCs/>
          <w:sz w:val="20"/>
        </w:rPr>
        <w:t xml:space="preserve">do not change the underlying policies or benefits, as such, </w:t>
      </w:r>
      <w:r>
        <w:rPr>
          <w:rFonts w:ascii="Arial" w:hAnsi="Arial" w:cs="Arial"/>
          <w:iCs/>
          <w:sz w:val="20"/>
        </w:rPr>
        <w:t>it</w:t>
      </w:r>
      <w:r w:rsidRPr="00067F0D">
        <w:rPr>
          <w:rFonts w:ascii="Arial" w:hAnsi="Arial" w:cs="Arial"/>
          <w:iCs/>
          <w:sz w:val="20"/>
        </w:rPr>
        <w:t xml:space="preserve"> do</w:t>
      </w:r>
      <w:r>
        <w:rPr>
          <w:rFonts w:ascii="Arial" w:hAnsi="Arial" w:cs="Arial"/>
          <w:iCs/>
          <w:sz w:val="20"/>
        </w:rPr>
        <w:t>es</w:t>
      </w:r>
      <w:r w:rsidRPr="00067F0D">
        <w:rPr>
          <w:rFonts w:ascii="Arial" w:hAnsi="Arial" w:cs="Arial"/>
          <w:iCs/>
          <w:sz w:val="20"/>
        </w:rPr>
        <w:t xml:space="preserve"> not engage with any of the applicable rights or freedoms.</w:t>
      </w:r>
    </w:p>
    <w:p w14:paraId="494DEA52" w14:textId="76A6CCAD"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19939" w14:textId="77777777" w:rsidR="00690664" w:rsidRDefault="00690664" w:rsidP="0048364F">
      <w:pPr>
        <w:spacing w:line="240" w:lineRule="auto"/>
      </w:pPr>
      <w:r>
        <w:separator/>
      </w:r>
    </w:p>
  </w:endnote>
  <w:endnote w:type="continuationSeparator" w:id="0">
    <w:p w14:paraId="24D2D3A4" w14:textId="77777777" w:rsidR="00690664" w:rsidRDefault="0069066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3148E2C7" w:rsidR="00690664" w:rsidRDefault="00690664">
        <w:pPr>
          <w:pStyle w:val="Footer"/>
          <w:jc w:val="right"/>
        </w:pPr>
        <w:r>
          <w:fldChar w:fldCharType="begin"/>
        </w:r>
        <w:r>
          <w:instrText xml:space="preserve"> PAGE   \* MERGEFORMAT </w:instrText>
        </w:r>
        <w:r>
          <w:fldChar w:fldCharType="separate"/>
        </w:r>
        <w:r w:rsidR="00964BB5">
          <w:rPr>
            <w:noProof/>
          </w:rPr>
          <w:t>2</w:t>
        </w:r>
        <w:r>
          <w:rPr>
            <w:noProof/>
          </w:rPr>
          <w:fldChar w:fldCharType="end"/>
        </w:r>
      </w:p>
    </w:sdtContent>
  </w:sdt>
  <w:p w14:paraId="080BA358" w14:textId="77777777" w:rsidR="00690664" w:rsidRPr="00ED79B6" w:rsidRDefault="00690664"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022F2C09" w:rsidR="00690664" w:rsidRPr="00A36CD7" w:rsidRDefault="00690664">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964BB5">
          <w:rPr>
            <w:noProof/>
            <w:sz w:val="18"/>
            <w:szCs w:val="18"/>
          </w:rPr>
          <w:t>1</w:t>
        </w:r>
        <w:r w:rsidRPr="00A36CD7">
          <w:rPr>
            <w:noProof/>
            <w:sz w:val="18"/>
            <w:szCs w:val="18"/>
          </w:rPr>
          <w:fldChar w:fldCharType="end"/>
        </w:r>
      </w:p>
    </w:sdtContent>
  </w:sdt>
  <w:p w14:paraId="53A836F1" w14:textId="77777777" w:rsidR="00690664" w:rsidRPr="00ED79B6" w:rsidRDefault="00690664"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87449" w14:textId="77777777" w:rsidR="00690664" w:rsidRDefault="00690664" w:rsidP="0048364F">
      <w:pPr>
        <w:spacing w:line="240" w:lineRule="auto"/>
      </w:pPr>
      <w:r>
        <w:separator/>
      </w:r>
    </w:p>
  </w:footnote>
  <w:footnote w:type="continuationSeparator" w:id="0">
    <w:p w14:paraId="3AFC2BFE" w14:textId="77777777" w:rsidR="00690664" w:rsidRDefault="0069066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690664" w:rsidRPr="00486185" w:rsidRDefault="00690664"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55"/>
    <w:multiLevelType w:val="hybridMultilevel"/>
    <w:tmpl w:val="4D44BC5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4"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806D9A"/>
    <w:multiLevelType w:val="hybridMultilevel"/>
    <w:tmpl w:val="F31AD70A"/>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6" w15:restartNumberingAfterBreak="0">
    <w:nsid w:val="2536524C"/>
    <w:multiLevelType w:val="hybridMultilevel"/>
    <w:tmpl w:val="E188CF6C"/>
    <w:lvl w:ilvl="0" w:tplc="0C090003">
      <w:start w:val="1"/>
      <w:numFmt w:val="bullet"/>
      <w:lvlText w:val="o"/>
      <w:lvlJc w:val="left"/>
      <w:pPr>
        <w:ind w:left="1496" w:hanging="360"/>
      </w:pPr>
      <w:rPr>
        <w:rFonts w:ascii="Courier New" w:hAnsi="Courier New" w:cs="Courier New"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7"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6F3570"/>
    <w:multiLevelType w:val="hybridMultilevel"/>
    <w:tmpl w:val="77EAA67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D43652"/>
    <w:multiLevelType w:val="hybridMultilevel"/>
    <w:tmpl w:val="68B460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740567"/>
    <w:multiLevelType w:val="hybridMultilevel"/>
    <w:tmpl w:val="BBF2D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6815F9"/>
    <w:multiLevelType w:val="hybridMultilevel"/>
    <w:tmpl w:val="3EBC15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21"/>
  </w:num>
  <w:num w:numId="15">
    <w:abstractNumId w:val="26"/>
  </w:num>
  <w:num w:numId="16">
    <w:abstractNumId w:val="23"/>
  </w:num>
  <w:num w:numId="17">
    <w:abstractNumId w:val="12"/>
  </w:num>
  <w:num w:numId="18">
    <w:abstractNumId w:val="20"/>
  </w:num>
  <w:num w:numId="19">
    <w:abstractNumId w:val="17"/>
  </w:num>
  <w:num w:numId="20">
    <w:abstractNumId w:val="14"/>
  </w:num>
  <w:num w:numId="21">
    <w:abstractNumId w:val="25"/>
  </w:num>
  <w:num w:numId="22">
    <w:abstractNumId w:val="10"/>
  </w:num>
  <w:num w:numId="23">
    <w:abstractNumId w:val="24"/>
  </w:num>
  <w:num w:numId="24">
    <w:abstractNumId w:val="16"/>
  </w:num>
  <w:num w:numId="25">
    <w:abstractNumId w:val="18"/>
  </w:num>
  <w:num w:numId="26">
    <w:abstractNumId w:val="27"/>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1E8F"/>
    <w:rsid w:val="00054577"/>
    <w:rsid w:val="000614BF"/>
    <w:rsid w:val="0007169C"/>
    <w:rsid w:val="00077593"/>
    <w:rsid w:val="0008037A"/>
    <w:rsid w:val="00083F48"/>
    <w:rsid w:val="000A479A"/>
    <w:rsid w:val="000A7DF9"/>
    <w:rsid w:val="000C3AA3"/>
    <w:rsid w:val="000C696D"/>
    <w:rsid w:val="000D05EF"/>
    <w:rsid w:val="000D3FB9"/>
    <w:rsid w:val="000D5485"/>
    <w:rsid w:val="000E598E"/>
    <w:rsid w:val="000E5A3D"/>
    <w:rsid w:val="000F0ADA"/>
    <w:rsid w:val="000F21C1"/>
    <w:rsid w:val="0010745C"/>
    <w:rsid w:val="001122FF"/>
    <w:rsid w:val="00116410"/>
    <w:rsid w:val="00147C1F"/>
    <w:rsid w:val="00160BD7"/>
    <w:rsid w:val="001643C9"/>
    <w:rsid w:val="00164901"/>
    <w:rsid w:val="00165568"/>
    <w:rsid w:val="00166082"/>
    <w:rsid w:val="00166C2F"/>
    <w:rsid w:val="001716C9"/>
    <w:rsid w:val="00184261"/>
    <w:rsid w:val="001873D2"/>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B1B7A"/>
    <w:rsid w:val="002C152A"/>
    <w:rsid w:val="002C71AE"/>
    <w:rsid w:val="002D043A"/>
    <w:rsid w:val="003160EA"/>
    <w:rsid w:val="0031713F"/>
    <w:rsid w:val="003222D1"/>
    <w:rsid w:val="0032750F"/>
    <w:rsid w:val="003415D3"/>
    <w:rsid w:val="003442F6"/>
    <w:rsid w:val="00346335"/>
    <w:rsid w:val="00352B0F"/>
    <w:rsid w:val="003561B0"/>
    <w:rsid w:val="00372E78"/>
    <w:rsid w:val="003928D1"/>
    <w:rsid w:val="00397893"/>
    <w:rsid w:val="003A15AC"/>
    <w:rsid w:val="003A3E28"/>
    <w:rsid w:val="003B0627"/>
    <w:rsid w:val="003B4A49"/>
    <w:rsid w:val="003C5F2B"/>
    <w:rsid w:val="003C7D35"/>
    <w:rsid w:val="003D0BFE"/>
    <w:rsid w:val="003D5700"/>
    <w:rsid w:val="003F506B"/>
    <w:rsid w:val="003F5072"/>
    <w:rsid w:val="003F6F52"/>
    <w:rsid w:val="004022CA"/>
    <w:rsid w:val="004116CD"/>
    <w:rsid w:val="00414ADE"/>
    <w:rsid w:val="00417CDA"/>
    <w:rsid w:val="00424CA9"/>
    <w:rsid w:val="004257BB"/>
    <w:rsid w:val="00431984"/>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22C3"/>
    <w:rsid w:val="004C5A5D"/>
    <w:rsid w:val="004F1FAC"/>
    <w:rsid w:val="004F676E"/>
    <w:rsid w:val="004F71C0"/>
    <w:rsid w:val="00506A01"/>
    <w:rsid w:val="005156FA"/>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35D6A"/>
    <w:rsid w:val="00640402"/>
    <w:rsid w:val="00640F78"/>
    <w:rsid w:val="006422B7"/>
    <w:rsid w:val="00655D6A"/>
    <w:rsid w:val="00656DE9"/>
    <w:rsid w:val="00672876"/>
    <w:rsid w:val="00677594"/>
    <w:rsid w:val="00677CC2"/>
    <w:rsid w:val="00682847"/>
    <w:rsid w:val="00685F42"/>
    <w:rsid w:val="00690664"/>
    <w:rsid w:val="0069207B"/>
    <w:rsid w:val="00697CB2"/>
    <w:rsid w:val="006A297B"/>
    <w:rsid w:val="006A304E"/>
    <w:rsid w:val="006B7006"/>
    <w:rsid w:val="006B7FE3"/>
    <w:rsid w:val="006C7F8C"/>
    <w:rsid w:val="006D7AB9"/>
    <w:rsid w:val="006E29D5"/>
    <w:rsid w:val="006E6AA6"/>
    <w:rsid w:val="00700B2C"/>
    <w:rsid w:val="00713084"/>
    <w:rsid w:val="00717463"/>
    <w:rsid w:val="00720FC2"/>
    <w:rsid w:val="00722E89"/>
    <w:rsid w:val="00724541"/>
    <w:rsid w:val="00727C2F"/>
    <w:rsid w:val="00731E00"/>
    <w:rsid w:val="007339C7"/>
    <w:rsid w:val="00737505"/>
    <w:rsid w:val="007440B7"/>
    <w:rsid w:val="0074524B"/>
    <w:rsid w:val="00747993"/>
    <w:rsid w:val="007551C1"/>
    <w:rsid w:val="007634AD"/>
    <w:rsid w:val="00770128"/>
    <w:rsid w:val="007715C9"/>
    <w:rsid w:val="00774EDD"/>
    <w:rsid w:val="007753AD"/>
    <w:rsid w:val="007757EC"/>
    <w:rsid w:val="007929D4"/>
    <w:rsid w:val="007952E9"/>
    <w:rsid w:val="007A6863"/>
    <w:rsid w:val="007B51E4"/>
    <w:rsid w:val="007B6FCF"/>
    <w:rsid w:val="007B7E65"/>
    <w:rsid w:val="007C78B4"/>
    <w:rsid w:val="007E0853"/>
    <w:rsid w:val="007E32B6"/>
    <w:rsid w:val="007E3976"/>
    <w:rsid w:val="007E486B"/>
    <w:rsid w:val="007E7D4A"/>
    <w:rsid w:val="007F48ED"/>
    <w:rsid w:val="007F5E3F"/>
    <w:rsid w:val="00802FFE"/>
    <w:rsid w:val="00812F45"/>
    <w:rsid w:val="008278DA"/>
    <w:rsid w:val="00836FE9"/>
    <w:rsid w:val="0084172C"/>
    <w:rsid w:val="008417DF"/>
    <w:rsid w:val="0085175E"/>
    <w:rsid w:val="00856A31"/>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84C"/>
    <w:rsid w:val="009069AD"/>
    <w:rsid w:val="00910E64"/>
    <w:rsid w:val="00922764"/>
    <w:rsid w:val="009278C1"/>
    <w:rsid w:val="00932377"/>
    <w:rsid w:val="009346E3"/>
    <w:rsid w:val="0094523D"/>
    <w:rsid w:val="00964BB5"/>
    <w:rsid w:val="00976A63"/>
    <w:rsid w:val="00991733"/>
    <w:rsid w:val="00992A2A"/>
    <w:rsid w:val="009A6866"/>
    <w:rsid w:val="009B2490"/>
    <w:rsid w:val="009B50E5"/>
    <w:rsid w:val="009C3431"/>
    <w:rsid w:val="009C5989"/>
    <w:rsid w:val="009C6A32"/>
    <w:rsid w:val="009D08DA"/>
    <w:rsid w:val="009D3E50"/>
    <w:rsid w:val="009F1229"/>
    <w:rsid w:val="00A003BB"/>
    <w:rsid w:val="00A06860"/>
    <w:rsid w:val="00A07DDE"/>
    <w:rsid w:val="00A1251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905DB"/>
    <w:rsid w:val="00A9231A"/>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4D66"/>
    <w:rsid w:val="00B05D72"/>
    <w:rsid w:val="00B20990"/>
    <w:rsid w:val="00B23770"/>
    <w:rsid w:val="00B23FAF"/>
    <w:rsid w:val="00B26ED7"/>
    <w:rsid w:val="00B33B3C"/>
    <w:rsid w:val="00B40D74"/>
    <w:rsid w:val="00B42649"/>
    <w:rsid w:val="00B46467"/>
    <w:rsid w:val="00B516C8"/>
    <w:rsid w:val="00B52663"/>
    <w:rsid w:val="00B56DCB"/>
    <w:rsid w:val="00B61728"/>
    <w:rsid w:val="00B61BC4"/>
    <w:rsid w:val="00B770D2"/>
    <w:rsid w:val="00B908E1"/>
    <w:rsid w:val="00B93516"/>
    <w:rsid w:val="00B96776"/>
    <w:rsid w:val="00B973E5"/>
    <w:rsid w:val="00BA0F45"/>
    <w:rsid w:val="00BA3C71"/>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02CC"/>
    <w:rsid w:val="00CA7844"/>
    <w:rsid w:val="00CB3DD4"/>
    <w:rsid w:val="00CB5822"/>
    <w:rsid w:val="00CB58EF"/>
    <w:rsid w:val="00CB7511"/>
    <w:rsid w:val="00CC3872"/>
    <w:rsid w:val="00CC6010"/>
    <w:rsid w:val="00CE0A93"/>
    <w:rsid w:val="00CF0BB2"/>
    <w:rsid w:val="00CF7C4E"/>
    <w:rsid w:val="00D00CE9"/>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86E70"/>
    <w:rsid w:val="00D90841"/>
    <w:rsid w:val="00D9443A"/>
    <w:rsid w:val="00D94896"/>
    <w:rsid w:val="00D954D8"/>
    <w:rsid w:val="00DA2439"/>
    <w:rsid w:val="00DA6F05"/>
    <w:rsid w:val="00DB64FC"/>
    <w:rsid w:val="00DE149E"/>
    <w:rsid w:val="00DF5F1D"/>
    <w:rsid w:val="00E034DB"/>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7334"/>
    <w:rsid w:val="00EB3A99"/>
    <w:rsid w:val="00EB65F8"/>
    <w:rsid w:val="00EC45EE"/>
    <w:rsid w:val="00EC7475"/>
    <w:rsid w:val="00ED4928"/>
    <w:rsid w:val="00EE3FFE"/>
    <w:rsid w:val="00EE57E8"/>
    <w:rsid w:val="00EE6190"/>
    <w:rsid w:val="00EF2E3A"/>
    <w:rsid w:val="00EF6402"/>
    <w:rsid w:val="00F04498"/>
    <w:rsid w:val="00F047E2"/>
    <w:rsid w:val="00F04D57"/>
    <w:rsid w:val="00F078DC"/>
    <w:rsid w:val="00F13E86"/>
    <w:rsid w:val="00F20B52"/>
    <w:rsid w:val="00F252A8"/>
    <w:rsid w:val="00F32FCB"/>
    <w:rsid w:val="00F33523"/>
    <w:rsid w:val="00F677A9"/>
    <w:rsid w:val="00F774DD"/>
    <w:rsid w:val="00F8121C"/>
    <w:rsid w:val="00F84735"/>
    <w:rsid w:val="00F84CF5"/>
    <w:rsid w:val="00F8612E"/>
    <w:rsid w:val="00F94583"/>
    <w:rsid w:val="00FA083A"/>
    <w:rsid w:val="00FA420B"/>
    <w:rsid w:val="00FB6AEE"/>
    <w:rsid w:val="00FC3EAC"/>
    <w:rsid w:val="00FC49E0"/>
    <w:rsid w:val="00FD1310"/>
    <w:rsid w:val="00FE1B0E"/>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character" w:customStyle="1" w:styleId="normaltextrun">
    <w:name w:val="normaltextrun"/>
    <w:basedOn w:val="DefaultParagraphFont"/>
    <w:rsid w:val="0014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D8FDB15E3383846B12DA0FF07D4A275" ma:contentTypeVersion="" ma:contentTypeDescription="PDMS Document Site Content Type" ma:contentTypeScope="" ma:versionID="146fbd89ead09ea625647f58ef66b92f">
  <xsd:schema xmlns:xsd="http://www.w3.org/2001/XMLSchema" xmlns:xs="http://www.w3.org/2001/XMLSchema" xmlns:p="http://schemas.microsoft.com/office/2006/metadata/properties" xmlns:ns2="EAE5C9E7-C80E-4CCD-B48C-BA9896284A29" targetNamespace="http://schemas.microsoft.com/office/2006/metadata/properties" ma:root="true" ma:fieldsID="ebea21e314ab8e3ded1c5a3845f305e0" ns2:_="">
    <xsd:import namespace="EAE5C9E7-C80E-4CCD-B48C-BA9896284A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5C9E7-C80E-4CCD-B48C-BA9896284A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AE5C9E7-C80E-4CCD-B48C-BA9896284A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06DED807-6A37-4A59-ABFB-FB26DD6A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5C9E7-C80E-4CCD-B48C-BA9896284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11F83-DD14-4CEE-AC23-8FE7D146EB5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AE5C9E7-C80E-4CCD-B48C-BA9896284A29"/>
    <ds:schemaRef ds:uri="http://purl.org/dc/elements/1.1/"/>
    <ds:schemaRef ds:uri="http://www.w3.org/XML/1998/namespace"/>
  </ds:schemaRefs>
</ds:datastoreItem>
</file>

<file path=customXml/itemProps4.xml><?xml version="1.0" encoding="utf-8"?>
<ds:datastoreItem xmlns:ds="http://schemas.openxmlformats.org/officeDocument/2006/customXml" ds:itemID="{C15DFDFC-122F-4824-AA00-C3B8DFF4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0</TotalTime>
  <Pages>7</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Alberts, Jacqueline MS</cp:lastModifiedBy>
  <cp:revision>2</cp:revision>
  <cp:lastPrinted>2019-05-12T23:26:00Z</cp:lastPrinted>
  <dcterms:created xsi:type="dcterms:W3CDTF">2025-09-09T04:05:00Z</dcterms:created>
  <dcterms:modified xsi:type="dcterms:W3CDTF">2025-09-09T04:05:00Z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BN107684704</vt:lpwstr>
  </property>
  <property fmtid="{D5CDD505-2E9C-101B-9397-08002B2CF9AE}" pid="4" name="Objective-Title">
    <vt:lpwstr>September Omni - 58B ES and HRS</vt:lpwstr>
  </property>
  <property fmtid="{D5CDD505-2E9C-101B-9397-08002B2CF9AE}" pid="5" name="Objective-Comment">
    <vt:lpwstr/>
  </property>
  <property fmtid="{D5CDD505-2E9C-101B-9397-08002B2CF9AE}" pid="6" name="Objective-CreationStamp">
    <vt:filetime>2025-08-26T04:52:35Z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2025-08-29T05:09:25Z</vt:filetime>
  </property>
  <property fmtid="{D5CDD505-2E9C-101B-9397-08002B2CF9AE}" pid="10" name="Objective-ModificationStamp">
    <vt:filetime>2025-08-29T05:09:25Z</vt:filetime>
  </property>
  <property fmtid="{D5CDD505-2E9C-101B-9397-08002B2CF9AE}" pid="11" name="Objective-Owner">
    <vt:lpwstr>Smith, Becci MISS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6</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0x010100266966F133664895A6EE3632470D45F5005D8FDB15E3383846B12DA0FF07D4A275</vt:lpwstr>
  </property>
  <property fmtid="{D5CDD505-2E9C-101B-9397-08002B2CF9AE}" pid="23" name="Objective-Reason for Security Classification Change [system]">
    <vt:lpwstr/>
  </property>
</Properties>
</file>