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E194" w14:textId="3944F2AC" w:rsidR="0096753E" w:rsidRPr="0052253B" w:rsidRDefault="0096753E" w:rsidP="0096753E">
      <w:pPr>
        <w:keepNext/>
        <w:spacing w:before="240" w:after="360" w:line="240" w:lineRule="auto"/>
        <w:jc w:val="center"/>
        <w:outlineLvl w:val="0"/>
        <w:rPr>
          <w:rFonts w:ascii="Times New Roman" w:eastAsia="Times New Roman" w:hAnsi="Times New Roman" w:cs="Times New Roman"/>
          <w:b/>
          <w:kern w:val="28"/>
          <w:sz w:val="24"/>
          <w:szCs w:val="24"/>
          <w:u w:val="single"/>
          <w:lang w:eastAsia="en-AU"/>
          <w14:ligatures w14:val="none"/>
        </w:rPr>
      </w:pPr>
      <w:r w:rsidRPr="0052253B">
        <w:rPr>
          <w:rFonts w:ascii="Times New Roman" w:eastAsia="Times New Roman" w:hAnsi="Times New Roman" w:cs="Times New Roman"/>
          <w:b/>
          <w:kern w:val="28"/>
          <w:sz w:val="24"/>
          <w:szCs w:val="24"/>
          <w:u w:val="single"/>
          <w:lang w:eastAsia="en-AU"/>
          <w14:ligatures w14:val="none"/>
        </w:rPr>
        <w:t>EXPLANATORY STATEMENT</w:t>
      </w:r>
    </w:p>
    <w:p w14:paraId="46CF9CF8" w14:textId="77777777" w:rsidR="0096753E" w:rsidRPr="0052253B" w:rsidRDefault="0096753E" w:rsidP="0096753E">
      <w:pPr>
        <w:keepNext/>
        <w:spacing w:before="240" w:after="60" w:line="240" w:lineRule="auto"/>
        <w:jc w:val="center"/>
        <w:outlineLvl w:val="1"/>
        <w:rPr>
          <w:rFonts w:ascii="Times New Roman" w:eastAsia="Times New Roman" w:hAnsi="Times New Roman" w:cs="Times New Roman"/>
          <w:b/>
          <w:kern w:val="0"/>
          <w:sz w:val="24"/>
          <w:szCs w:val="24"/>
          <w:u w:val="single"/>
          <w:lang w:eastAsia="en-AU"/>
          <w14:ligatures w14:val="none"/>
        </w:rPr>
      </w:pPr>
      <w:r w:rsidRPr="0052253B">
        <w:rPr>
          <w:rFonts w:ascii="Times New Roman" w:eastAsia="Times New Roman" w:hAnsi="Times New Roman" w:cs="Times New Roman"/>
          <w:b/>
          <w:kern w:val="0"/>
          <w:sz w:val="24"/>
          <w:szCs w:val="24"/>
          <w:u w:val="single"/>
          <w:lang w:eastAsia="en-AU"/>
          <w14:ligatures w14:val="none"/>
        </w:rPr>
        <w:t xml:space="preserve">Issued by authority of the Assistant Minister for </w:t>
      </w:r>
      <w:r>
        <w:rPr>
          <w:rFonts w:ascii="Times New Roman" w:eastAsia="Times New Roman" w:hAnsi="Times New Roman" w:cs="Times New Roman"/>
          <w:b/>
          <w:kern w:val="0"/>
          <w:sz w:val="24"/>
          <w:szCs w:val="24"/>
          <w:u w:val="single"/>
          <w:lang w:eastAsia="en-AU"/>
          <w14:ligatures w14:val="none"/>
        </w:rPr>
        <w:t xml:space="preserve">Productivity, </w:t>
      </w:r>
      <w:r w:rsidRPr="0052253B">
        <w:rPr>
          <w:rFonts w:ascii="Times New Roman" w:eastAsia="Times New Roman" w:hAnsi="Times New Roman" w:cs="Times New Roman"/>
          <w:b/>
          <w:kern w:val="0"/>
          <w:sz w:val="24"/>
          <w:szCs w:val="24"/>
          <w:u w:val="single"/>
          <w:lang w:eastAsia="en-AU"/>
          <w14:ligatures w14:val="none"/>
        </w:rPr>
        <w:t>Competition, Charities and Treasury</w:t>
      </w:r>
    </w:p>
    <w:p w14:paraId="25C5A465" w14:textId="77777777" w:rsidR="0096753E" w:rsidRPr="0052253B" w:rsidRDefault="0096753E" w:rsidP="0096753E">
      <w:pPr>
        <w:spacing w:before="240" w:after="240"/>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Currency Act 1965</w:t>
      </w:r>
    </w:p>
    <w:p w14:paraId="2A40896A" w14:textId="031EC215" w:rsidR="0096753E" w:rsidRPr="0052253B" w:rsidRDefault="0096753E" w:rsidP="0096753E">
      <w:pPr>
        <w:tabs>
          <w:tab w:val="left" w:pos="1418"/>
        </w:tabs>
        <w:spacing w:after="240"/>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6C0B89">
        <w:rPr>
          <w:rFonts w:ascii="Times New Roman" w:eastAsia="Calibri" w:hAnsi="Times New Roman" w:cs="Times New Roman"/>
          <w:i/>
          <w:kern w:val="0"/>
          <w:sz w:val="24"/>
          <w:szCs w:val="24"/>
          <w14:ligatures w14:val="none"/>
        </w:rPr>
        <w:t>9</w:t>
      </w:r>
      <w:r w:rsidRPr="0052253B">
        <w:rPr>
          <w:rFonts w:ascii="Times New Roman" w:eastAsia="Calibri" w:hAnsi="Times New Roman" w:cs="Times New Roman"/>
          <w:i/>
          <w:kern w:val="0"/>
          <w:sz w:val="24"/>
          <w:szCs w:val="24"/>
          <w14:ligatures w14:val="none"/>
        </w:rPr>
        <w:t>) Determination 2025</w:t>
      </w:r>
    </w:p>
    <w:p w14:paraId="08E46F5E" w14:textId="77777777" w:rsidR="0096753E" w:rsidRPr="00AE66C6"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Subsection 13(2) and section 13A of the </w:t>
      </w:r>
      <w:r w:rsidRPr="0052253B">
        <w:rPr>
          <w:rFonts w:ascii="Times New Roman" w:eastAsia="Calibri" w:hAnsi="Times New Roman" w:cs="Times New Roman"/>
          <w:i/>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(the Act) provide that the Treasurer may, by legislative instrument, determine details of Australian coin characteristics including denomination, standard composition, standard weight, allowable variation from standard weight, design and </w:t>
      </w:r>
      <w:r w:rsidRPr="00AE66C6">
        <w:rPr>
          <w:rFonts w:ascii="Times New Roman" w:eastAsia="Calibri" w:hAnsi="Times New Roman" w:cs="Times New Roman"/>
          <w:kern w:val="0"/>
          <w:sz w:val="24"/>
          <w:szCs w:val="24"/>
          <w14:ligatures w14:val="none"/>
        </w:rPr>
        <w:t>dimensions.</w:t>
      </w:r>
    </w:p>
    <w:p w14:paraId="3E91240B" w14:textId="5987DEF1" w:rsidR="0096753E" w:rsidRPr="0052253B" w:rsidRDefault="0096753E" w:rsidP="0096753E">
      <w:pPr>
        <w:spacing w:before="240"/>
        <w:rPr>
          <w:rFonts w:ascii="Times New Roman" w:eastAsia="Calibri" w:hAnsi="Times New Roman" w:cs="Times New Roman"/>
          <w:kern w:val="0"/>
          <w:sz w:val="24"/>
          <w:szCs w:val="24"/>
          <w14:ligatures w14:val="none"/>
        </w:rPr>
      </w:pPr>
      <w:r w:rsidRPr="00AE66C6">
        <w:rPr>
          <w:rFonts w:ascii="Times New Roman" w:eastAsia="Calibri" w:hAnsi="Times New Roman" w:cs="Times New Roman"/>
          <w:kern w:val="0"/>
          <w:sz w:val="24"/>
          <w:szCs w:val="24"/>
          <w14:ligatures w14:val="none"/>
        </w:rPr>
        <w:t xml:space="preserve">The purpose of this legislative instrument is to determine the characteristics of </w:t>
      </w:r>
      <w:r w:rsidR="006C0B89">
        <w:rPr>
          <w:rFonts w:ascii="Times New Roman" w:eastAsia="Calibri" w:hAnsi="Times New Roman" w:cs="Times New Roman"/>
          <w:kern w:val="0"/>
          <w:sz w:val="24"/>
          <w:szCs w:val="24"/>
          <w14:ligatures w14:val="none"/>
        </w:rPr>
        <w:t>4</w:t>
      </w:r>
      <w:r>
        <w:rPr>
          <w:rFonts w:ascii="Times New Roman" w:eastAsia="Calibri" w:hAnsi="Times New Roman" w:cs="Times New Roman"/>
          <w:kern w:val="0"/>
          <w:sz w:val="24"/>
          <w:szCs w:val="24"/>
          <w14:ligatures w14:val="none"/>
        </w:rPr>
        <w:t xml:space="preserve"> </w:t>
      </w:r>
      <w:r w:rsidRPr="00AE66C6">
        <w:rPr>
          <w:rFonts w:ascii="Times New Roman" w:eastAsia="Calibri" w:hAnsi="Times New Roman" w:cs="Times New Roman"/>
          <w:kern w:val="0"/>
          <w:sz w:val="24"/>
          <w:szCs w:val="24"/>
          <w14:ligatures w14:val="none"/>
        </w:rPr>
        <w:t>new non-circulating coins proposed to be issued by the Royal Australian Mint.</w:t>
      </w:r>
    </w:p>
    <w:p w14:paraId="61208AFE"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Treasurer may authorise the making and issuing of coins specified, or taken to be specified, in the Schedule to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A payment of money is a legal tender if it is made in coins that are made and issued under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 xml:space="preserve">.  Through the issue of a currency determination, the Treasurer can add, remove and alter the coin characteristics specified, or taken to be specified, in the Schedule to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388119AD"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In accordance with section 19 of the </w:t>
      </w:r>
      <w:r w:rsidRPr="0052253B">
        <w:rPr>
          <w:rFonts w:ascii="Times New Roman" w:eastAsia="Calibri" w:hAnsi="Times New Roman" w:cs="Times New Roman"/>
          <w:i/>
          <w:kern w:val="0"/>
          <w:sz w:val="24"/>
          <w:szCs w:val="24"/>
          <w14:ligatures w14:val="none"/>
        </w:rPr>
        <w:t>Acts Interpretation Act 1901</w:t>
      </w:r>
      <w:r w:rsidRPr="0052253B">
        <w:rPr>
          <w:rFonts w:ascii="Times New Roman" w:eastAsia="Calibri" w:hAnsi="Times New Roman" w:cs="Times New Roman"/>
          <w:kern w:val="0"/>
          <w:sz w:val="24"/>
          <w:szCs w:val="24"/>
          <w14:ligatures w14:val="none"/>
        </w:rPr>
        <w:t>, any Minister in the Treasury portfolio may, by legislative instrument, determine details of Australian coin characteristics.</w:t>
      </w:r>
    </w:p>
    <w:p w14:paraId="4BC2CECC" w14:textId="77777777" w:rsidR="0096753E" w:rsidRPr="0052253B" w:rsidRDefault="0096753E" w:rsidP="0096753E">
      <w:pPr>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14:ligatures w14:val="none"/>
        </w:rPr>
        <w:t xml:space="preserve">Details of the legislative instrument are set out in the </w:t>
      </w:r>
      <w:r w:rsidRPr="0052253B">
        <w:rPr>
          <w:rFonts w:ascii="Times New Roman" w:eastAsia="Calibri" w:hAnsi="Times New Roman" w:cs="Times New Roman"/>
          <w:kern w:val="0"/>
          <w:sz w:val="24"/>
          <w:szCs w:val="24"/>
          <w:u w:val="single"/>
          <w14:ligatures w14:val="none"/>
        </w:rPr>
        <w:t>Attachment.</w:t>
      </w:r>
    </w:p>
    <w:p w14:paraId="0B8456DB"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The legislative instrument commenced on the day after it was registered on the Federal Register of Legislation.</w:t>
      </w:r>
    </w:p>
    <w:p w14:paraId="6F04D4DD"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legislative instrument is subject to disallowance under section 42 of the </w:t>
      </w:r>
      <w:bookmarkStart w:id="0" w:name="OLE_LINK8"/>
      <w:r w:rsidRPr="0052253B">
        <w:rPr>
          <w:rFonts w:ascii="Times New Roman" w:eastAsia="Calibri" w:hAnsi="Times New Roman" w:cs="Times New Roman"/>
          <w:i/>
          <w:kern w:val="0"/>
          <w:sz w:val="24"/>
          <w:szCs w:val="24"/>
          <w14:ligatures w14:val="none"/>
        </w:rPr>
        <w:t>Legislation Act 2003</w:t>
      </w:r>
      <w:bookmarkEnd w:id="0"/>
      <w:r w:rsidRPr="0052253B">
        <w:rPr>
          <w:rFonts w:ascii="Times New Roman" w:eastAsia="Calibri" w:hAnsi="Times New Roman" w:cs="Times New Roman"/>
          <w:kern w:val="0"/>
          <w:sz w:val="24"/>
          <w:szCs w:val="24"/>
          <w14:ligatures w14:val="none"/>
        </w:rPr>
        <w:t>.</w:t>
      </w:r>
    </w:p>
    <w:p w14:paraId="2767232A"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Determination is a legislative instrument for the purposes of the </w:t>
      </w:r>
      <w:r w:rsidRPr="0052253B">
        <w:rPr>
          <w:rFonts w:ascii="Times New Roman" w:eastAsia="Calibri" w:hAnsi="Times New Roman" w:cs="Times New Roman"/>
          <w:i/>
          <w:iCs/>
          <w:kern w:val="0"/>
          <w:sz w:val="24"/>
          <w:szCs w:val="24"/>
          <w14:ligatures w14:val="none"/>
        </w:rPr>
        <w:t>Legislation Act 2003</w:t>
      </w:r>
      <w:r w:rsidRPr="0052253B">
        <w:rPr>
          <w:rFonts w:ascii="Times New Roman" w:eastAsia="Calibri" w:hAnsi="Times New Roman" w:cs="Times New Roman"/>
          <w:kern w:val="0"/>
          <w:sz w:val="24"/>
          <w:szCs w:val="24"/>
          <w14:ligatures w14:val="none"/>
        </w:rPr>
        <w:t xml:space="preserve">. The Determination is not subject to sunsetting under the </w:t>
      </w:r>
      <w:r w:rsidRPr="0052253B">
        <w:rPr>
          <w:rFonts w:ascii="Times New Roman" w:eastAsia="Calibri" w:hAnsi="Times New Roman" w:cs="Times New Roman"/>
          <w:i/>
          <w:iCs/>
          <w:kern w:val="0"/>
          <w:sz w:val="24"/>
          <w:szCs w:val="24"/>
          <w14:ligatures w14:val="none"/>
        </w:rPr>
        <w:t>Legislation Act 2003</w:t>
      </w:r>
      <w:r w:rsidRPr="0052253B">
        <w:rPr>
          <w:rFonts w:ascii="Times New Roman" w:eastAsia="Calibri" w:hAnsi="Times New Roman" w:cs="Times New Roman"/>
          <w:kern w:val="0"/>
          <w:sz w:val="24"/>
          <w:szCs w:val="24"/>
          <w14:ligatures w14:val="none"/>
        </w:rPr>
        <w:t xml:space="preserve"> on the grounds that the instrument ensures economic certainty (see item 20 of the table in section 12 of the </w:t>
      </w:r>
      <w:r w:rsidRPr="0052253B">
        <w:rPr>
          <w:rFonts w:ascii="Times New Roman" w:eastAsia="Calibri" w:hAnsi="Times New Roman" w:cs="Times New Roman"/>
          <w:i/>
          <w:iCs/>
          <w:kern w:val="0"/>
          <w:sz w:val="24"/>
          <w:szCs w:val="24"/>
          <w14:ligatures w14:val="none"/>
        </w:rPr>
        <w:t>Legislation (Exemptions and Other Matters) Regulation 2015</w:t>
      </w:r>
      <w:r w:rsidRPr="0052253B">
        <w:rPr>
          <w:rFonts w:ascii="Times New Roman" w:eastAsia="Calibri" w:hAnsi="Times New Roman" w:cs="Times New Roman"/>
          <w:kern w:val="0"/>
          <w:sz w:val="24"/>
          <w:szCs w:val="24"/>
          <w14:ligatures w14:val="none"/>
        </w:rPr>
        <w:t xml:space="preserve">). The instrument’s operation is integral in ensuring that the currency produced by the Mints becomes, and remains, legal tender unless or until returned to a mint to be taken out of circulation in accordance with the </w:t>
      </w:r>
      <w:r w:rsidRPr="0052253B">
        <w:rPr>
          <w:rFonts w:ascii="Times New Roman" w:eastAsia="Calibri" w:hAnsi="Times New Roman" w:cs="Times New Roman"/>
          <w:i/>
          <w:iCs/>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3ABCC5EB" w14:textId="77777777" w:rsidR="0096753E" w:rsidRPr="0052253B" w:rsidRDefault="0096753E" w:rsidP="0096753E">
      <w:pPr>
        <w:rPr>
          <w:rFonts w:ascii="Times New Roman" w:eastAsia="Calibri" w:hAnsi="Times New Roman" w:cs="Times New Roman"/>
          <w:b/>
          <w:i/>
          <w:kern w:val="0"/>
          <w:sz w:val="24"/>
          <w:szCs w:val="24"/>
          <w14:ligatures w14:val="none"/>
        </w:rPr>
      </w:pPr>
      <w:r w:rsidRPr="0052253B">
        <w:rPr>
          <w:rFonts w:ascii="Times New Roman" w:eastAsia="Calibri" w:hAnsi="Times New Roman" w:cs="Times New Roman"/>
          <w:b/>
          <w:kern w:val="0"/>
          <w:sz w:val="24"/>
          <w:szCs w:val="24"/>
          <w14:ligatures w14:val="none"/>
        </w:rPr>
        <w:t>Consultation</w:t>
      </w:r>
    </w:p>
    <w:p w14:paraId="7701A308"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No public consultation was undertaken in relation to this legislative instrument. The effect of this instrument is to determine details of new Australian coin characteristics which will enable the Royal Australian Mint to continue its production of circulating and numismatic coins.</w:t>
      </w:r>
    </w:p>
    <w:p w14:paraId="14D861DF"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lastRenderedPageBreak/>
        <w:t xml:space="preserve">Members of the public </w:t>
      </w:r>
      <w:proofErr w:type="gramStart"/>
      <w:r w:rsidRPr="0052253B">
        <w:rPr>
          <w:rFonts w:ascii="Times New Roman" w:eastAsia="Calibri" w:hAnsi="Times New Roman" w:cs="Times New Roman"/>
          <w:kern w:val="0"/>
          <w:sz w:val="24"/>
          <w:szCs w:val="24"/>
          <w14:ligatures w14:val="none"/>
        </w:rPr>
        <w:t>have the opportunity to</w:t>
      </w:r>
      <w:proofErr w:type="gramEnd"/>
      <w:r w:rsidRPr="0052253B">
        <w:rPr>
          <w:rFonts w:ascii="Times New Roman" w:eastAsia="Calibri" w:hAnsi="Times New Roman" w:cs="Times New Roman"/>
          <w:kern w:val="0"/>
          <w:sz w:val="24"/>
          <w:szCs w:val="24"/>
          <w14:ligatures w14:val="none"/>
        </w:rPr>
        <w:t xml:space="preserve"> contact the Royal Australian Mint to present any themes they would like to see commemorated on Australian legal tender. These concepts are then researched and assessed in accordance with the Royal Australian Mint’s </w:t>
      </w:r>
      <w:r w:rsidRPr="0052253B">
        <w:rPr>
          <w:rFonts w:ascii="Times New Roman" w:eastAsia="Calibri" w:hAnsi="Times New Roman" w:cs="Times New Roman"/>
          <w:iCs/>
          <w:kern w:val="0"/>
          <w:sz w:val="24"/>
          <w:szCs w:val="24"/>
          <w14:ligatures w14:val="none"/>
        </w:rPr>
        <w:t>coin design policies.</w:t>
      </w:r>
      <w:r w:rsidRPr="0052253B">
        <w:rPr>
          <w:rFonts w:ascii="Times New Roman" w:eastAsia="Calibri" w:hAnsi="Times New Roman" w:cs="Times New Roman"/>
          <w:kern w:val="0"/>
          <w:sz w:val="24"/>
          <w:szCs w:val="24"/>
          <w14:ligatures w14:val="none"/>
        </w:rPr>
        <w:t xml:space="preserve"> The Royal Australian Mint also uses market-based tools to identify interested parties and gauge interest in coin themes.</w:t>
      </w:r>
    </w:p>
    <w:p w14:paraId="4C2F5425" w14:textId="77777777" w:rsidR="0096753E" w:rsidRPr="0052253B" w:rsidRDefault="0096753E" w:rsidP="0096753E">
      <w:pPr>
        <w:rPr>
          <w:rFonts w:ascii="Times New Roman" w:eastAsia="Calibri" w:hAnsi="Times New Roman" w:cs="Times New Roman"/>
          <w:kern w:val="0"/>
          <w:sz w:val="24"/>
          <w:szCs w:val="24"/>
          <w14:ligatures w14:val="none"/>
        </w:rPr>
      </w:pPr>
    </w:p>
    <w:p w14:paraId="4EBBE8C1" w14:textId="77777777" w:rsidR="0096753E" w:rsidRPr="0052253B" w:rsidRDefault="0096753E" w:rsidP="0096753E">
      <w:pPr>
        <w:keepNext/>
        <w:keepLines/>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Statement of Compatibility with Human Rights</w:t>
      </w:r>
    </w:p>
    <w:p w14:paraId="19DD21BC" w14:textId="77777777" w:rsidR="0096753E" w:rsidRPr="0052253B" w:rsidRDefault="0096753E" w:rsidP="0096753E">
      <w:pPr>
        <w:keepNext/>
        <w:keepLines/>
        <w:jc w:val="center"/>
        <w:rPr>
          <w:rFonts w:ascii="Times New Roman" w:eastAsia="Calibri" w:hAnsi="Times New Roman" w:cs="Times New Roman"/>
          <w:i/>
          <w:kern w:val="0"/>
          <w:sz w:val="24"/>
          <w:szCs w:val="24"/>
          <w14:ligatures w14:val="none"/>
        </w:rPr>
      </w:pPr>
      <w:r w:rsidRPr="0052253B">
        <w:rPr>
          <w:rFonts w:ascii="Times New Roman" w:eastAsia="Calibri" w:hAnsi="Times New Roman" w:cs="Times New Roman"/>
          <w:i/>
          <w:kern w:val="0"/>
          <w:sz w:val="24"/>
          <w:szCs w:val="24"/>
          <w14:ligatures w14:val="none"/>
        </w:rPr>
        <w:t>Prepared in accordance with Part 3 of the Human Rights (Parliamentary Scrutiny) Act 2011</w:t>
      </w:r>
    </w:p>
    <w:p w14:paraId="5363F92B" w14:textId="01336830" w:rsidR="0096753E" w:rsidRPr="0052253B" w:rsidRDefault="0096753E" w:rsidP="0096753E">
      <w:pPr>
        <w:keepNext/>
        <w:keepLines/>
        <w:jc w:val="cente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i/>
          <w:kern w:val="0"/>
          <w:sz w:val="24"/>
          <w:szCs w:val="24"/>
          <w14:ligatures w14:val="none"/>
        </w:rPr>
        <w:t xml:space="preserve">Currency (Australian Coins) Amendment (2025 Royal Australian Mint No. </w:t>
      </w:r>
      <w:r w:rsidR="006C0B89">
        <w:rPr>
          <w:rFonts w:ascii="Times New Roman" w:eastAsia="Calibri" w:hAnsi="Times New Roman" w:cs="Times New Roman"/>
          <w:b/>
          <w:i/>
          <w:kern w:val="0"/>
          <w:sz w:val="24"/>
          <w:szCs w:val="24"/>
          <w14:ligatures w14:val="none"/>
        </w:rPr>
        <w:t>9</w:t>
      </w:r>
      <w:r w:rsidRPr="0052253B">
        <w:rPr>
          <w:rFonts w:ascii="Times New Roman" w:eastAsia="Calibri" w:hAnsi="Times New Roman" w:cs="Times New Roman"/>
          <w:b/>
          <w:i/>
          <w:kern w:val="0"/>
          <w:sz w:val="24"/>
          <w:szCs w:val="24"/>
          <w14:ligatures w14:val="none"/>
        </w:rPr>
        <w:t>) Determination 2025</w:t>
      </w:r>
    </w:p>
    <w:p w14:paraId="3D5AD896"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Legislative Instrument is compatible with the human rights and freedoms recognised or declared in the international instruments listed in section 3 of the </w:t>
      </w:r>
      <w:r w:rsidRPr="0052253B">
        <w:rPr>
          <w:rFonts w:ascii="Times New Roman" w:eastAsia="Calibri" w:hAnsi="Times New Roman" w:cs="Times New Roman"/>
          <w:i/>
          <w:kern w:val="0"/>
          <w:sz w:val="24"/>
          <w:szCs w:val="24"/>
          <w14:ligatures w14:val="none"/>
        </w:rPr>
        <w:t>Human Rights (Parliamentary Scrutiny) Act 2011</w:t>
      </w:r>
      <w:r w:rsidRPr="0052253B">
        <w:rPr>
          <w:rFonts w:ascii="Times New Roman" w:eastAsia="Calibri" w:hAnsi="Times New Roman" w:cs="Times New Roman"/>
          <w:kern w:val="0"/>
          <w:sz w:val="24"/>
          <w:szCs w:val="24"/>
          <w14:ligatures w14:val="none"/>
        </w:rPr>
        <w:t>.</w:t>
      </w:r>
    </w:p>
    <w:p w14:paraId="6133D6E5" w14:textId="77777777" w:rsidR="0096753E" w:rsidRPr="0052253B" w:rsidRDefault="0096753E" w:rsidP="0096753E">
      <w:pP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Overview of the Legislative Instrument</w:t>
      </w:r>
    </w:p>
    <w:p w14:paraId="1CC7F851" w14:textId="62FBD7F4"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The purpose of this legislative instrument is to determine the </w:t>
      </w:r>
      <w:r w:rsidRPr="00AE66C6">
        <w:rPr>
          <w:rFonts w:ascii="Times New Roman" w:eastAsia="Calibri" w:hAnsi="Times New Roman" w:cs="Times New Roman"/>
          <w:kern w:val="0"/>
          <w:sz w:val="24"/>
          <w:szCs w:val="24"/>
          <w14:ligatures w14:val="none"/>
        </w:rPr>
        <w:t xml:space="preserve">characteristics of </w:t>
      </w:r>
      <w:r w:rsidR="006C0B89">
        <w:rPr>
          <w:rFonts w:ascii="Times New Roman" w:eastAsia="Calibri" w:hAnsi="Times New Roman" w:cs="Times New Roman"/>
          <w:kern w:val="0"/>
          <w:sz w:val="24"/>
          <w:szCs w:val="24"/>
          <w14:ligatures w14:val="none"/>
        </w:rPr>
        <w:t>4</w:t>
      </w:r>
      <w:r w:rsidRPr="00AE66C6">
        <w:rPr>
          <w:rFonts w:ascii="Times New Roman" w:eastAsia="Calibri" w:hAnsi="Times New Roman" w:cs="Times New Roman"/>
          <w:kern w:val="0"/>
          <w:sz w:val="24"/>
          <w:szCs w:val="24"/>
          <w14:ligatures w14:val="none"/>
        </w:rPr>
        <w:t xml:space="preserve"> new non-circulating coins proposed to be issued by the Royal Australian Mint.</w:t>
      </w:r>
    </w:p>
    <w:p w14:paraId="3E8E0F32"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b/>
          <w:kern w:val="0"/>
          <w:sz w:val="24"/>
          <w:szCs w:val="24"/>
          <w14:ligatures w14:val="none"/>
        </w:rPr>
        <w:t>Human rights implications</w:t>
      </w:r>
    </w:p>
    <w:p w14:paraId="6AE9CDD9"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Legislative Instrument does not engage any of the applicable rights or freedoms.</w:t>
      </w:r>
    </w:p>
    <w:p w14:paraId="268AF21F" w14:textId="77777777" w:rsidR="0096753E" w:rsidRPr="0052253B" w:rsidRDefault="0096753E" w:rsidP="0096753E">
      <w:pPr>
        <w:rPr>
          <w:rFonts w:ascii="Times New Roman" w:eastAsia="Calibri" w:hAnsi="Times New Roman" w:cs="Times New Roman"/>
          <w:b/>
          <w:kern w:val="0"/>
          <w:sz w:val="24"/>
          <w:szCs w:val="24"/>
          <w14:ligatures w14:val="none"/>
        </w:rPr>
      </w:pPr>
      <w:r w:rsidRPr="0052253B">
        <w:rPr>
          <w:rFonts w:ascii="Times New Roman" w:eastAsia="Calibri" w:hAnsi="Times New Roman" w:cs="Times New Roman"/>
          <w:b/>
          <w:kern w:val="0"/>
          <w:sz w:val="24"/>
          <w:szCs w:val="24"/>
          <w14:ligatures w14:val="none"/>
        </w:rPr>
        <w:t>Conclusion</w:t>
      </w:r>
    </w:p>
    <w:p w14:paraId="3B776581"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Legislative Instrument is compatible with human rights as it does not raise any human rights issues.</w:t>
      </w:r>
    </w:p>
    <w:p w14:paraId="6E7DE253" w14:textId="77777777" w:rsidR="0096753E" w:rsidRPr="0052253B" w:rsidRDefault="0096753E" w:rsidP="0096753E">
      <w:pPr>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br w:type="page"/>
      </w:r>
    </w:p>
    <w:p w14:paraId="6E606989" w14:textId="77777777" w:rsidR="0096753E" w:rsidRPr="0052253B" w:rsidRDefault="0096753E" w:rsidP="0096753E">
      <w:pPr>
        <w:pageBreakBefore/>
        <w:spacing w:before="240"/>
        <w:jc w:val="right"/>
        <w:rPr>
          <w:rFonts w:ascii="Times New Roman" w:eastAsia="Calibri" w:hAnsi="Times New Roman" w:cs="Times New Roman"/>
          <w:b/>
          <w:kern w:val="0"/>
          <w:sz w:val="24"/>
          <w:szCs w:val="24"/>
          <w:u w:val="single"/>
          <w14:ligatures w14:val="none"/>
        </w:rPr>
      </w:pPr>
      <w:r w:rsidRPr="0052253B">
        <w:rPr>
          <w:rFonts w:ascii="Times New Roman" w:eastAsia="Calibri" w:hAnsi="Times New Roman" w:cs="Times New Roman"/>
          <w:b/>
          <w:kern w:val="0"/>
          <w:sz w:val="24"/>
          <w:szCs w:val="24"/>
          <w:u w:val="single"/>
          <w14:ligatures w14:val="none"/>
        </w:rPr>
        <w:lastRenderedPageBreak/>
        <w:t>ATTACHMENT</w:t>
      </w:r>
    </w:p>
    <w:p w14:paraId="03BD8F74" w14:textId="644EF2E6" w:rsidR="0096753E" w:rsidRPr="0052253B" w:rsidRDefault="0096753E" w:rsidP="0096753E">
      <w:pPr>
        <w:spacing w:before="240"/>
        <w:ind w:right="91"/>
        <w:rPr>
          <w:rFonts w:ascii="Times New Roman" w:eastAsia="Calibri" w:hAnsi="Times New Roman" w:cs="Times New Roman"/>
          <w:b/>
          <w:bCs/>
          <w:kern w:val="0"/>
          <w:sz w:val="24"/>
          <w:szCs w:val="24"/>
          <w:u w:val="single"/>
          <w14:ligatures w14:val="none"/>
        </w:rPr>
      </w:pPr>
      <w:r w:rsidRPr="0052253B">
        <w:rPr>
          <w:rFonts w:ascii="Times New Roman" w:eastAsia="Calibri" w:hAnsi="Times New Roman" w:cs="Times New Roman"/>
          <w:b/>
          <w:bCs/>
          <w:kern w:val="0"/>
          <w:sz w:val="24"/>
          <w:szCs w:val="24"/>
          <w:u w:val="single"/>
          <w14:ligatures w14:val="none"/>
        </w:rPr>
        <w:t xml:space="preserve">Details of the </w:t>
      </w:r>
      <w:r w:rsidRPr="0052253B">
        <w:rPr>
          <w:rFonts w:ascii="Times New Roman" w:eastAsia="Calibri" w:hAnsi="Times New Roman" w:cs="Times New Roman"/>
          <w:b/>
          <w:i/>
          <w:kern w:val="0"/>
          <w:sz w:val="24"/>
          <w:szCs w:val="24"/>
          <w:u w:val="single"/>
          <w14:ligatures w14:val="none"/>
        </w:rPr>
        <w:t xml:space="preserve">Currency (Australian Coins) Amendment (2025 Royal Australian Mint No. </w:t>
      </w:r>
      <w:r w:rsidR="006C0B89">
        <w:rPr>
          <w:rFonts w:ascii="Times New Roman" w:eastAsia="Calibri" w:hAnsi="Times New Roman" w:cs="Times New Roman"/>
          <w:b/>
          <w:i/>
          <w:kern w:val="0"/>
          <w:sz w:val="24"/>
          <w:szCs w:val="24"/>
          <w:u w:val="single"/>
          <w14:ligatures w14:val="none"/>
        </w:rPr>
        <w:t>9</w:t>
      </w:r>
      <w:r w:rsidRPr="0052253B">
        <w:rPr>
          <w:rFonts w:ascii="Times New Roman" w:eastAsia="Calibri" w:hAnsi="Times New Roman" w:cs="Times New Roman"/>
          <w:b/>
          <w:i/>
          <w:kern w:val="0"/>
          <w:sz w:val="24"/>
          <w:szCs w:val="24"/>
          <w:u w:val="single"/>
          <w14:ligatures w14:val="none"/>
        </w:rPr>
        <w:t>) Determination 2025</w:t>
      </w:r>
    </w:p>
    <w:p w14:paraId="1A351129" w14:textId="0A4691ED"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Attachment sets out further details of the </w:t>
      </w: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5658AE">
        <w:rPr>
          <w:rFonts w:ascii="Times New Roman" w:eastAsia="Calibri" w:hAnsi="Times New Roman" w:cs="Times New Roman"/>
          <w:i/>
          <w:kern w:val="0"/>
          <w:sz w:val="24"/>
          <w:szCs w:val="24"/>
          <w14:ligatures w14:val="none"/>
        </w:rPr>
        <w:t>9</w:t>
      </w:r>
      <w:r w:rsidRPr="0052253B">
        <w:rPr>
          <w:rFonts w:ascii="Times New Roman" w:eastAsia="Calibri" w:hAnsi="Times New Roman" w:cs="Times New Roman"/>
          <w:i/>
          <w:kern w:val="0"/>
          <w:sz w:val="24"/>
          <w:szCs w:val="24"/>
          <w14:ligatures w14:val="none"/>
        </w:rPr>
        <w:t>) Determination 2025</w:t>
      </w:r>
      <w:r w:rsidRPr="0052253B">
        <w:rPr>
          <w:rFonts w:ascii="Times New Roman" w:eastAsia="Calibri" w:hAnsi="Times New Roman" w:cs="Times New Roman"/>
          <w:kern w:val="0"/>
          <w:sz w:val="24"/>
          <w:szCs w:val="24"/>
          <w14:ligatures w14:val="none"/>
        </w:rPr>
        <w:t xml:space="preserve"> (the Determination).</w:t>
      </w:r>
    </w:p>
    <w:p w14:paraId="00E01855" w14:textId="77777777" w:rsidR="0096753E" w:rsidRPr="0052253B" w:rsidRDefault="0096753E" w:rsidP="0096753E">
      <w:pPr>
        <w:spacing w:before="240"/>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 xml:space="preserve">Section 1 – Name </w:t>
      </w:r>
    </w:p>
    <w:p w14:paraId="30121E77" w14:textId="008D0751"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the name of the Determination is the </w:t>
      </w:r>
      <w:r w:rsidRPr="0052253B">
        <w:rPr>
          <w:rFonts w:ascii="Times New Roman" w:eastAsia="Calibri" w:hAnsi="Times New Roman" w:cs="Times New Roman"/>
          <w:i/>
          <w:kern w:val="0"/>
          <w:sz w:val="24"/>
          <w:szCs w:val="24"/>
          <w14:ligatures w14:val="none"/>
        </w:rPr>
        <w:t xml:space="preserve">Currency (Australian Coins) Amendment (2025 Royal Australian Mint No. </w:t>
      </w:r>
      <w:r w:rsidR="005658AE">
        <w:rPr>
          <w:rFonts w:ascii="Times New Roman" w:eastAsia="Calibri" w:hAnsi="Times New Roman" w:cs="Times New Roman"/>
          <w:i/>
          <w:kern w:val="0"/>
          <w:sz w:val="24"/>
          <w:szCs w:val="24"/>
          <w14:ligatures w14:val="none"/>
        </w:rPr>
        <w:t>9</w:t>
      </w:r>
      <w:r w:rsidRPr="0052253B">
        <w:rPr>
          <w:rFonts w:ascii="Times New Roman" w:eastAsia="Calibri" w:hAnsi="Times New Roman" w:cs="Times New Roman"/>
          <w:i/>
          <w:kern w:val="0"/>
          <w:sz w:val="24"/>
          <w:szCs w:val="24"/>
          <w14:ligatures w14:val="none"/>
        </w:rPr>
        <w:t>) Determination 2025</w:t>
      </w:r>
      <w:r w:rsidRPr="0052253B">
        <w:rPr>
          <w:rFonts w:ascii="Times New Roman" w:eastAsia="Calibri" w:hAnsi="Times New Roman" w:cs="Times New Roman"/>
          <w:kern w:val="0"/>
          <w:sz w:val="24"/>
          <w:szCs w:val="24"/>
          <w14:ligatures w14:val="none"/>
        </w:rPr>
        <w:t>.</w:t>
      </w:r>
    </w:p>
    <w:p w14:paraId="42278DCE"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2 – Commencement</w:t>
      </w:r>
    </w:p>
    <w:p w14:paraId="0277DD43"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This section prescribes that the Determination commences the day after the Determination is registered.</w:t>
      </w:r>
    </w:p>
    <w:p w14:paraId="4B6FFECC"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3 – Authority</w:t>
      </w:r>
    </w:p>
    <w:p w14:paraId="228EBF71"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the Determination is made under the </w:t>
      </w:r>
      <w:r w:rsidRPr="0052253B">
        <w:rPr>
          <w:rFonts w:ascii="Times New Roman" w:eastAsia="Calibri" w:hAnsi="Times New Roman" w:cs="Times New Roman"/>
          <w:i/>
          <w:kern w:val="0"/>
          <w:sz w:val="24"/>
          <w:szCs w:val="24"/>
          <w14:ligatures w14:val="none"/>
        </w:rPr>
        <w:t>Currency Act 1965</w:t>
      </w:r>
      <w:r w:rsidRPr="0052253B">
        <w:rPr>
          <w:rFonts w:ascii="Times New Roman" w:eastAsia="Calibri" w:hAnsi="Times New Roman" w:cs="Times New Roman"/>
          <w:kern w:val="0"/>
          <w:sz w:val="24"/>
          <w:szCs w:val="24"/>
          <w14:ligatures w14:val="none"/>
        </w:rPr>
        <w:t>.</w:t>
      </w:r>
    </w:p>
    <w:p w14:paraId="595308AC" w14:textId="77777777" w:rsidR="0096753E" w:rsidRPr="0052253B" w:rsidRDefault="0096753E" w:rsidP="0096753E">
      <w:pPr>
        <w:spacing w:before="24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Section 4 – Schedule</w:t>
      </w:r>
    </w:p>
    <w:p w14:paraId="61809848"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This section provides that each instrument specified in a Schedule to the Determination is amended or repealed as set out in the Schedule. </w:t>
      </w:r>
    </w:p>
    <w:p w14:paraId="1D5EEE48" w14:textId="77777777" w:rsidR="0096753E" w:rsidRPr="0052253B" w:rsidRDefault="0096753E" w:rsidP="0096753E">
      <w:pPr>
        <w:spacing w:after="0"/>
        <w:ind w:right="91"/>
        <w:rPr>
          <w:rFonts w:ascii="Times New Roman" w:eastAsia="Calibri" w:hAnsi="Times New Roman" w:cs="Times New Roman"/>
          <w:kern w:val="0"/>
          <w:sz w:val="24"/>
          <w:szCs w:val="24"/>
          <w:u w:val="single"/>
          <w14:ligatures w14:val="none"/>
        </w:rPr>
      </w:pPr>
      <w:r w:rsidRPr="0052253B">
        <w:rPr>
          <w:rFonts w:ascii="Times New Roman" w:eastAsia="Calibri" w:hAnsi="Times New Roman" w:cs="Times New Roman"/>
          <w:kern w:val="0"/>
          <w:sz w:val="24"/>
          <w:szCs w:val="24"/>
          <w:u w:val="single"/>
          <w14:ligatures w14:val="none"/>
        </w:rPr>
        <w:t>Schedule 1 – Amendments</w:t>
      </w:r>
    </w:p>
    <w:p w14:paraId="5DE7F7C0" w14:textId="77777777" w:rsidR="0096753E" w:rsidRPr="0052253B" w:rsidRDefault="0096753E" w:rsidP="0096753E">
      <w:pPr>
        <w:spacing w:before="240"/>
        <w:rPr>
          <w:rFonts w:ascii="Times New Roman" w:eastAsia="Calibri" w:hAnsi="Times New Roman" w:cs="Times New Roman"/>
          <w:kern w:val="0"/>
          <w:sz w:val="24"/>
          <w:szCs w:val="24"/>
          <w14:ligatures w14:val="none"/>
        </w:rPr>
      </w:pPr>
      <w:r w:rsidRPr="0052253B">
        <w:rPr>
          <w:rFonts w:ascii="Times New Roman" w:eastAsia="Calibri" w:hAnsi="Times New Roman" w:cs="Times New Roman"/>
          <w:kern w:val="0"/>
          <w:sz w:val="24"/>
          <w:szCs w:val="24"/>
          <w14:ligatures w14:val="none"/>
        </w:rPr>
        <w:t xml:space="preserve">Schedule 1 amends the </w:t>
      </w:r>
      <w:r w:rsidRPr="0052253B">
        <w:rPr>
          <w:rFonts w:ascii="Times New Roman" w:eastAsia="Calibri" w:hAnsi="Times New Roman" w:cs="Times New Roman"/>
          <w:i/>
          <w:kern w:val="0"/>
          <w:sz w:val="24"/>
          <w:szCs w:val="24"/>
          <w14:ligatures w14:val="none"/>
        </w:rPr>
        <w:t>Currency (Australian Coins) Determination 2019</w:t>
      </w:r>
      <w:r w:rsidRPr="0052253B">
        <w:rPr>
          <w:rFonts w:ascii="Times New Roman" w:eastAsia="Calibri" w:hAnsi="Times New Roman" w:cs="Times New Roman"/>
          <w:kern w:val="0"/>
          <w:sz w:val="24"/>
          <w:szCs w:val="24"/>
          <w14:ligatures w14:val="none"/>
        </w:rPr>
        <w:t xml:space="preserve"> by adding the details of new coin characteristics. The newly determined coin characteristics are set out below.</w:t>
      </w:r>
    </w:p>
    <w:p w14:paraId="2718786A" w14:textId="77777777" w:rsidR="0096753E" w:rsidRDefault="0096753E" w:rsidP="0096753E"/>
    <w:p w14:paraId="70D0310E" w14:textId="77777777" w:rsidR="0096753E" w:rsidRDefault="0096753E" w:rsidP="0096753E">
      <w:r>
        <w:br w:type="page"/>
      </w:r>
    </w:p>
    <w:p w14:paraId="79513D71" w14:textId="77777777" w:rsidR="0096753E" w:rsidRDefault="0096753E" w:rsidP="0096753E">
      <w:pPr>
        <w:keepNext/>
        <w:keepLines/>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lastRenderedPageBreak/>
        <w:t xml:space="preserve">New non-circulating coins </w:t>
      </w:r>
      <w:bookmarkStart w:id="1" w:name="bkSelection"/>
      <w:bookmarkEnd w:id="1"/>
    </w:p>
    <w:p w14:paraId="3CAF07FF" w14:textId="77777777" w:rsidR="0096753E" w:rsidRDefault="0096753E" w:rsidP="002C16B1">
      <w:pPr>
        <w:pStyle w:val="NoSpacing"/>
        <w:rPr>
          <w:i/>
          <w:szCs w:val="24"/>
        </w:rPr>
      </w:pPr>
    </w:p>
    <w:p w14:paraId="69FC33AB" w14:textId="5397741F" w:rsidR="002C16B1" w:rsidRDefault="002C16B1" w:rsidP="005658AE">
      <w:pPr>
        <w:pStyle w:val="NoSpacing"/>
        <w:rPr>
          <w:b/>
          <w:bCs/>
          <w:i/>
          <w:iCs/>
        </w:rPr>
      </w:pPr>
      <w:r>
        <w:rPr>
          <w:b/>
          <w:bCs/>
          <w:i/>
          <w:iCs/>
        </w:rPr>
        <w:t xml:space="preserve">2026 </w:t>
      </w:r>
      <w:r w:rsidR="006C0B89" w:rsidRPr="006C0B89">
        <w:rPr>
          <w:b/>
          <w:bCs/>
          <w:i/>
          <w:iCs/>
        </w:rPr>
        <w:t>5</w:t>
      </w:r>
      <w:r w:rsidR="00FB5562">
        <w:rPr>
          <w:b/>
          <w:bCs/>
          <w:i/>
          <w:iCs/>
        </w:rPr>
        <w:t>0c</w:t>
      </w:r>
      <w:r w:rsidR="005658AE">
        <w:rPr>
          <w:b/>
          <w:bCs/>
          <w:i/>
          <w:iCs/>
        </w:rPr>
        <w:t xml:space="preserve"> </w:t>
      </w:r>
      <w:r w:rsidR="00FB5562">
        <w:rPr>
          <w:b/>
          <w:bCs/>
          <w:i/>
          <w:iCs/>
        </w:rPr>
        <w:t>Uncirculated</w:t>
      </w:r>
      <w:r w:rsidR="006C0B89" w:rsidRPr="006C0B89">
        <w:rPr>
          <w:b/>
          <w:bCs/>
          <w:i/>
          <w:iCs/>
        </w:rPr>
        <w:t xml:space="preserve"> Coin – Koala Series</w:t>
      </w:r>
    </w:p>
    <w:p w14:paraId="1ECFCDB2" w14:textId="77777777" w:rsidR="0073664D" w:rsidRPr="006C0B89" w:rsidRDefault="0073664D" w:rsidP="0073664D">
      <w:pPr>
        <w:pStyle w:val="NoSpacing"/>
        <w:rPr>
          <w:b/>
          <w:bCs/>
          <w:i/>
          <w:iCs/>
        </w:rPr>
      </w:pPr>
      <w:r w:rsidRPr="006C0B89">
        <w:rPr>
          <w:b/>
          <w:bCs/>
          <w:i/>
          <w:iCs/>
        </w:rPr>
        <w:t>2026 $5 1oz Fine Silver High Relief Proof Coin – Koala Series</w:t>
      </w:r>
    </w:p>
    <w:p w14:paraId="2512EA86" w14:textId="77777777" w:rsidR="0073664D" w:rsidRPr="006C0B89" w:rsidRDefault="0073664D" w:rsidP="0073664D">
      <w:pPr>
        <w:pStyle w:val="NoSpacing"/>
        <w:rPr>
          <w:b/>
          <w:bCs/>
          <w:i/>
          <w:iCs/>
        </w:rPr>
      </w:pPr>
      <w:r w:rsidRPr="006C0B89">
        <w:rPr>
          <w:b/>
          <w:bCs/>
          <w:i/>
          <w:iCs/>
        </w:rPr>
        <w:t>2026 $100 1oz Gold Investment Coin – Koala Series</w:t>
      </w:r>
    </w:p>
    <w:p w14:paraId="61BBEDBF" w14:textId="77777777" w:rsidR="0073664D" w:rsidRDefault="0073664D" w:rsidP="0073664D">
      <w:pPr>
        <w:pStyle w:val="NoSpacing"/>
        <w:rPr>
          <w:b/>
          <w:bCs/>
          <w:i/>
          <w:iCs/>
        </w:rPr>
      </w:pPr>
      <w:r w:rsidRPr="006C0B89">
        <w:rPr>
          <w:b/>
          <w:bCs/>
          <w:i/>
          <w:iCs/>
        </w:rPr>
        <w:t>2026 $1 1oz Fine Silver Investment Coin – Koala Series</w:t>
      </w:r>
    </w:p>
    <w:p w14:paraId="524BAE15" w14:textId="0264FF1C" w:rsidR="00F4421F" w:rsidRPr="002C16B1" w:rsidRDefault="00F4421F" w:rsidP="002C16B1">
      <w:pPr>
        <w:pStyle w:val="paragraph"/>
        <w:spacing w:after="0"/>
        <w:textAlignment w:val="baseline"/>
        <w:rPr>
          <w:bCs/>
          <w:iCs/>
        </w:rPr>
      </w:pPr>
      <w:r w:rsidRPr="002C16B1">
        <w:rPr>
          <w:bCs/>
          <w:iCs/>
        </w:rPr>
        <w:t>The design on the 202</w:t>
      </w:r>
      <w:r w:rsidR="00FB5562">
        <w:rPr>
          <w:bCs/>
          <w:iCs/>
        </w:rPr>
        <w:t>6</w:t>
      </w:r>
      <w:r w:rsidRPr="002C16B1">
        <w:rPr>
          <w:bCs/>
          <w:iCs/>
        </w:rPr>
        <w:t xml:space="preserve"> </w:t>
      </w:r>
      <w:r w:rsidR="00BF33B1">
        <w:rPr>
          <w:bCs/>
          <w:iCs/>
        </w:rPr>
        <w:t>coins</w:t>
      </w:r>
      <w:r w:rsidRPr="002C16B1">
        <w:rPr>
          <w:bCs/>
          <w:iCs/>
        </w:rPr>
        <w:t xml:space="preserve"> – </w:t>
      </w:r>
      <w:r w:rsidR="00BF33B1">
        <w:rPr>
          <w:bCs/>
          <w:iCs/>
        </w:rPr>
        <w:t>k</w:t>
      </w:r>
      <w:r w:rsidRPr="002C16B1">
        <w:rPr>
          <w:bCs/>
          <w:iCs/>
        </w:rPr>
        <w:t xml:space="preserve">oala </w:t>
      </w:r>
      <w:r w:rsidR="00BF33B1">
        <w:rPr>
          <w:bCs/>
          <w:iCs/>
        </w:rPr>
        <w:t>s</w:t>
      </w:r>
      <w:r w:rsidRPr="002C16B1">
        <w:rPr>
          <w:bCs/>
          <w:iCs/>
        </w:rPr>
        <w:t xml:space="preserve">eries consists of a representation of a koala </w:t>
      </w:r>
      <w:r w:rsidR="006E33B2">
        <w:t>with leaves in its mouth</w:t>
      </w:r>
      <w:r w:rsidR="00583410">
        <w:t>,</w:t>
      </w:r>
      <w:r w:rsidR="006E33B2">
        <w:t xml:space="preserve"> </w:t>
      </w:r>
      <w:r w:rsidR="00496433" w:rsidRPr="003B3437">
        <w:t xml:space="preserve">sitting in the </w:t>
      </w:r>
      <w:proofErr w:type="spellStart"/>
      <w:r w:rsidR="00496433" w:rsidRPr="003B3437">
        <w:t>fork</w:t>
      </w:r>
      <w:proofErr w:type="spellEnd"/>
      <w:r w:rsidR="00496433" w:rsidRPr="003B3437">
        <w:t xml:space="preserve"> of a eucalyptus tree</w:t>
      </w:r>
      <w:r w:rsidR="00496433">
        <w:t xml:space="preserve"> with</w:t>
      </w:r>
      <w:r w:rsidR="00496433" w:rsidRPr="003B3437">
        <w:t xml:space="preserve"> a joey on its back</w:t>
      </w:r>
      <w:r w:rsidR="00496433">
        <w:t>.</w:t>
      </w:r>
      <w:r w:rsidRPr="002C16B1">
        <w:rPr>
          <w:bCs/>
          <w:iCs/>
        </w:rPr>
        <w:t xml:space="preserve"> </w:t>
      </w:r>
      <w:r w:rsidR="008F1553">
        <w:rPr>
          <w:bCs/>
          <w:iCs/>
        </w:rPr>
        <w:t>There is another</w:t>
      </w:r>
      <w:r w:rsidRPr="002C16B1">
        <w:rPr>
          <w:bCs/>
          <w:iCs/>
        </w:rPr>
        <w:t xml:space="preserve"> koala sleeping in the fork of </w:t>
      </w:r>
      <w:r w:rsidR="0002275F">
        <w:rPr>
          <w:bCs/>
          <w:iCs/>
        </w:rPr>
        <w:t>another</w:t>
      </w:r>
      <w:r w:rsidRPr="002C16B1">
        <w:rPr>
          <w:bCs/>
          <w:iCs/>
        </w:rPr>
        <w:t xml:space="preserve"> eucalyptus tree</w:t>
      </w:r>
      <w:r w:rsidR="00EF3940">
        <w:rPr>
          <w:bCs/>
          <w:iCs/>
        </w:rPr>
        <w:t>. In the</w:t>
      </w:r>
      <w:r w:rsidRPr="002C16B1">
        <w:rPr>
          <w:bCs/>
          <w:iCs/>
        </w:rPr>
        <w:t xml:space="preserve"> background, </w:t>
      </w:r>
      <w:r w:rsidR="00EF3940">
        <w:rPr>
          <w:bCs/>
          <w:iCs/>
        </w:rPr>
        <w:t>there are</w:t>
      </w:r>
      <w:r w:rsidRPr="002C16B1">
        <w:rPr>
          <w:bCs/>
          <w:iCs/>
        </w:rPr>
        <w:t xml:space="preserve"> representation</w:t>
      </w:r>
      <w:r w:rsidR="00EF3940">
        <w:rPr>
          <w:bCs/>
          <w:iCs/>
        </w:rPr>
        <w:t>s</w:t>
      </w:r>
      <w:r w:rsidRPr="002C16B1">
        <w:rPr>
          <w:bCs/>
          <w:iCs/>
        </w:rPr>
        <w:t xml:space="preserve"> of eucalyptus leaves clustered into tree canopies. The design includes the following inscriptions: </w:t>
      </w:r>
      <w:r w:rsidR="002C16B1" w:rsidRPr="002C16B1">
        <w:rPr>
          <w:bCs/>
          <w:iCs/>
        </w:rPr>
        <w:t>“KOALA”</w:t>
      </w:r>
      <w:r w:rsidR="00552FED">
        <w:rPr>
          <w:bCs/>
          <w:iCs/>
        </w:rPr>
        <w:t>;</w:t>
      </w:r>
      <w:r w:rsidR="002C16B1" w:rsidRPr="002C16B1">
        <w:rPr>
          <w:bCs/>
          <w:iCs/>
        </w:rPr>
        <w:t xml:space="preserve"> and </w:t>
      </w:r>
      <w:r w:rsidR="00552FED" w:rsidRPr="00552FED">
        <w:rPr>
          <w:bCs/>
          <w:iCs/>
        </w:rPr>
        <w:t>a stylised representation of “LA” (being the initials of the designer Lydia Ashe)</w:t>
      </w:r>
      <w:r w:rsidR="002C16B1" w:rsidRPr="002C16B1">
        <w:rPr>
          <w:bCs/>
          <w:iCs/>
        </w:rPr>
        <w:t>.</w:t>
      </w:r>
      <w:r w:rsidR="006A375C">
        <w:rPr>
          <w:bCs/>
          <w:iCs/>
        </w:rPr>
        <w:t xml:space="preserve"> The </w:t>
      </w:r>
      <w:r w:rsidR="00A358B4">
        <w:rPr>
          <w:bCs/>
          <w:iCs/>
        </w:rPr>
        <w:t xml:space="preserve">fine silver high relief proof coin, gold investment coin and fine silver investment coin </w:t>
      </w:r>
      <w:r w:rsidR="00DB5600">
        <w:rPr>
          <w:bCs/>
          <w:iCs/>
        </w:rPr>
        <w:t xml:space="preserve">also </w:t>
      </w:r>
      <w:r w:rsidR="00DB5600" w:rsidRPr="00107EF3">
        <w:rPr>
          <w:bCs/>
          <w:iCs/>
        </w:rPr>
        <w:t>include</w:t>
      </w:r>
      <w:r w:rsidR="00DB5600">
        <w:rPr>
          <w:bCs/>
          <w:iCs/>
        </w:rPr>
        <w:t xml:space="preserve"> the following inscription: either </w:t>
      </w:r>
      <w:r w:rsidR="00DB5600" w:rsidRPr="00107EF3">
        <w:t>“</w:t>
      </w:r>
      <w:proofErr w:type="spellStart"/>
      <w:r w:rsidR="00DB5600" w:rsidRPr="00107EF3">
        <w:t>Xoz</w:t>
      </w:r>
      <w:proofErr w:type="spellEnd"/>
      <w:r w:rsidR="00DB5600" w:rsidRPr="00107EF3">
        <w:t xml:space="preserve"> .999 Ag” or “</w:t>
      </w:r>
      <w:proofErr w:type="spellStart"/>
      <w:r w:rsidR="00DB5600" w:rsidRPr="00107EF3">
        <w:t>Xoz</w:t>
      </w:r>
      <w:proofErr w:type="spellEnd"/>
      <w:r w:rsidR="00DB5600" w:rsidRPr="00107EF3">
        <w:t xml:space="preserve"> .9999 Au” </w:t>
      </w:r>
      <w:r w:rsidR="00DB5600" w:rsidRPr="00107EF3">
        <w:rPr>
          <w:bCs/>
          <w:iCs/>
        </w:rPr>
        <w:t>as the case requires</w:t>
      </w:r>
      <w:r w:rsidR="00DB5600">
        <w:rPr>
          <w:bCs/>
          <w:iCs/>
        </w:rPr>
        <w:t xml:space="preserve"> </w:t>
      </w:r>
      <w:r w:rsidR="00DB5600" w:rsidRPr="00E90E81">
        <w:t xml:space="preserve">(where “X” is the nominal weight in ounces of the </w:t>
      </w:r>
      <w:r w:rsidR="00DB5600">
        <w:t>coin, expressed as a whole number or a common fraction in Arabic numerals</w:t>
      </w:r>
      <w:r w:rsidR="00DB5600" w:rsidRPr="00107EF3">
        <w:t>)</w:t>
      </w:r>
      <w:r w:rsidR="00DB5600">
        <w:rPr>
          <w:bCs/>
          <w:iCs/>
        </w:rPr>
        <w:t>.</w:t>
      </w:r>
      <w:r w:rsidR="00A358B4">
        <w:rPr>
          <w:bCs/>
          <w:iCs/>
        </w:rPr>
        <w:t xml:space="preserve"> </w:t>
      </w:r>
      <w:r w:rsidR="005658AE">
        <w:rPr>
          <w:bCs/>
          <w:iCs/>
        </w:rPr>
        <w:br/>
      </w:r>
      <w:r w:rsidR="005658AE">
        <w:rPr>
          <w:bCs/>
          <w:iCs/>
        </w:rPr>
        <w:br/>
      </w:r>
      <w:r w:rsidRPr="00194AB1">
        <w:rPr>
          <w:bCs/>
          <w:iCs/>
        </w:rPr>
        <w:t>Consistent with the tradition of an effigy of the reigning monarch appearing on the obverse side of all Australian legal tender coinage, an effigy of His Majesty King Charles III will appear on the obverse side of the coin</w:t>
      </w:r>
      <w:r>
        <w:rPr>
          <w:bCs/>
          <w:iCs/>
        </w:rPr>
        <w:t xml:space="preserve">s </w:t>
      </w:r>
      <w:r w:rsidRPr="00194AB1">
        <w:rPr>
          <w:bCs/>
          <w:iCs/>
        </w:rPr>
        <w:t xml:space="preserve">together with the inscriptions “CHARLES III”, “AUSTRALIA”, the inscription, in numerals, of a year, and Arabic numerals for the amount, in dollars or cents, of the denomination of the coin followed by “DOLLAR”, “DOLLARS” or “CENTS” as the case requires. </w:t>
      </w:r>
      <w:r w:rsidR="00AE3C61" w:rsidRPr="00194AB1">
        <w:rPr>
          <w:bCs/>
          <w:iCs/>
        </w:rPr>
        <w:t>The obverse design includes the initials of the designer Dan Thorne “DT”.</w:t>
      </w:r>
    </w:p>
    <w:p w14:paraId="7BDDA454" w14:textId="36317D79" w:rsidR="002C16B1" w:rsidRPr="006C0B89" w:rsidRDefault="002C16B1" w:rsidP="006C0B89">
      <w:pPr>
        <w:pStyle w:val="NoSpacing"/>
        <w:rPr>
          <w:b/>
          <w:bCs/>
          <w:i/>
          <w:iCs/>
        </w:rPr>
      </w:pPr>
    </w:p>
    <w:sectPr w:rsidR="002C16B1" w:rsidRPr="006C0B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45E12" w14:textId="77777777" w:rsidR="00B7496C" w:rsidRDefault="00B7496C" w:rsidP="0096753E">
      <w:pPr>
        <w:spacing w:after="0" w:line="240" w:lineRule="auto"/>
      </w:pPr>
      <w:r>
        <w:separator/>
      </w:r>
    </w:p>
  </w:endnote>
  <w:endnote w:type="continuationSeparator" w:id="0">
    <w:p w14:paraId="40758991" w14:textId="77777777" w:rsidR="00B7496C" w:rsidRDefault="00B7496C" w:rsidP="0096753E">
      <w:pPr>
        <w:spacing w:after="0" w:line="240" w:lineRule="auto"/>
      </w:pPr>
      <w:r>
        <w:continuationSeparator/>
      </w:r>
    </w:p>
  </w:endnote>
  <w:endnote w:type="continuationNotice" w:id="1">
    <w:p w14:paraId="31413832" w14:textId="77777777" w:rsidR="00B7496C" w:rsidRDefault="00B74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1ED8" w14:textId="77777777" w:rsidR="00B7496C" w:rsidRDefault="00B7496C" w:rsidP="0096753E">
      <w:pPr>
        <w:spacing w:after="0" w:line="240" w:lineRule="auto"/>
      </w:pPr>
      <w:r>
        <w:separator/>
      </w:r>
    </w:p>
  </w:footnote>
  <w:footnote w:type="continuationSeparator" w:id="0">
    <w:p w14:paraId="5094E9D9" w14:textId="77777777" w:rsidR="00B7496C" w:rsidRDefault="00B7496C" w:rsidP="0096753E">
      <w:pPr>
        <w:spacing w:after="0" w:line="240" w:lineRule="auto"/>
      </w:pPr>
      <w:r>
        <w:continuationSeparator/>
      </w:r>
    </w:p>
  </w:footnote>
  <w:footnote w:type="continuationNotice" w:id="1">
    <w:p w14:paraId="444EBA98" w14:textId="77777777" w:rsidR="00B7496C" w:rsidRDefault="00B749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1F07"/>
    <w:multiLevelType w:val="hybridMultilevel"/>
    <w:tmpl w:val="C9EE43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AE7B35"/>
    <w:multiLevelType w:val="hybridMultilevel"/>
    <w:tmpl w:val="8136681E"/>
    <w:lvl w:ilvl="0" w:tplc="F7FC24A0">
      <w:start w:val="2026"/>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EB30897"/>
    <w:multiLevelType w:val="hybridMultilevel"/>
    <w:tmpl w:val="6C2E7ADC"/>
    <w:lvl w:ilvl="0" w:tplc="EC9CE41A">
      <w:start w:val="2026"/>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3951912"/>
    <w:multiLevelType w:val="hybridMultilevel"/>
    <w:tmpl w:val="FDDC7C8C"/>
    <w:lvl w:ilvl="0" w:tplc="747ADD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863DBB"/>
    <w:multiLevelType w:val="hybridMultilevel"/>
    <w:tmpl w:val="C9EE43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177CA7"/>
    <w:multiLevelType w:val="hybridMultilevel"/>
    <w:tmpl w:val="523C5306"/>
    <w:lvl w:ilvl="0" w:tplc="AF76D7A4">
      <w:start w:val="1"/>
      <w:numFmt w:val="lowerRoman"/>
      <w:lvlText w:val="(%1)"/>
      <w:lvlJc w:val="left"/>
      <w:pPr>
        <w:ind w:left="1264" w:hanging="720"/>
      </w:pPr>
      <w:rPr>
        <w:rFonts w:hint="default"/>
      </w:rPr>
    </w:lvl>
    <w:lvl w:ilvl="1" w:tplc="0C090019" w:tentative="1">
      <w:start w:val="1"/>
      <w:numFmt w:val="lowerLetter"/>
      <w:lvlText w:val="%2."/>
      <w:lvlJc w:val="left"/>
      <w:pPr>
        <w:ind w:left="1624" w:hanging="360"/>
      </w:pPr>
    </w:lvl>
    <w:lvl w:ilvl="2" w:tplc="0C09001B" w:tentative="1">
      <w:start w:val="1"/>
      <w:numFmt w:val="lowerRoman"/>
      <w:lvlText w:val="%3."/>
      <w:lvlJc w:val="right"/>
      <w:pPr>
        <w:ind w:left="2344" w:hanging="180"/>
      </w:pPr>
    </w:lvl>
    <w:lvl w:ilvl="3" w:tplc="0C09000F" w:tentative="1">
      <w:start w:val="1"/>
      <w:numFmt w:val="decimal"/>
      <w:lvlText w:val="%4."/>
      <w:lvlJc w:val="left"/>
      <w:pPr>
        <w:ind w:left="3064" w:hanging="360"/>
      </w:pPr>
    </w:lvl>
    <w:lvl w:ilvl="4" w:tplc="0C090019" w:tentative="1">
      <w:start w:val="1"/>
      <w:numFmt w:val="lowerLetter"/>
      <w:lvlText w:val="%5."/>
      <w:lvlJc w:val="left"/>
      <w:pPr>
        <w:ind w:left="3784" w:hanging="360"/>
      </w:pPr>
    </w:lvl>
    <w:lvl w:ilvl="5" w:tplc="0C09001B" w:tentative="1">
      <w:start w:val="1"/>
      <w:numFmt w:val="lowerRoman"/>
      <w:lvlText w:val="%6."/>
      <w:lvlJc w:val="right"/>
      <w:pPr>
        <w:ind w:left="4504" w:hanging="180"/>
      </w:pPr>
    </w:lvl>
    <w:lvl w:ilvl="6" w:tplc="0C09000F" w:tentative="1">
      <w:start w:val="1"/>
      <w:numFmt w:val="decimal"/>
      <w:lvlText w:val="%7."/>
      <w:lvlJc w:val="left"/>
      <w:pPr>
        <w:ind w:left="5224" w:hanging="360"/>
      </w:pPr>
    </w:lvl>
    <w:lvl w:ilvl="7" w:tplc="0C090019" w:tentative="1">
      <w:start w:val="1"/>
      <w:numFmt w:val="lowerLetter"/>
      <w:lvlText w:val="%8."/>
      <w:lvlJc w:val="left"/>
      <w:pPr>
        <w:ind w:left="5944" w:hanging="360"/>
      </w:pPr>
    </w:lvl>
    <w:lvl w:ilvl="8" w:tplc="0C09001B" w:tentative="1">
      <w:start w:val="1"/>
      <w:numFmt w:val="lowerRoman"/>
      <w:lvlText w:val="%9."/>
      <w:lvlJc w:val="right"/>
      <w:pPr>
        <w:ind w:left="6664" w:hanging="180"/>
      </w:pPr>
    </w:lvl>
  </w:abstractNum>
  <w:num w:numId="1" w16cid:durableId="389621280">
    <w:abstractNumId w:val="4"/>
  </w:num>
  <w:num w:numId="2" w16cid:durableId="393823531">
    <w:abstractNumId w:val="0"/>
  </w:num>
  <w:num w:numId="3" w16cid:durableId="1529681862">
    <w:abstractNumId w:val="3"/>
  </w:num>
  <w:num w:numId="4" w16cid:durableId="1601139252">
    <w:abstractNumId w:val="1"/>
  </w:num>
  <w:num w:numId="5" w16cid:durableId="579605060">
    <w:abstractNumId w:val="2"/>
  </w:num>
  <w:num w:numId="6" w16cid:durableId="1697732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E"/>
    <w:rsid w:val="0002275F"/>
    <w:rsid w:val="00060CCA"/>
    <w:rsid w:val="000D21E3"/>
    <w:rsid w:val="001164CC"/>
    <w:rsid w:val="00134595"/>
    <w:rsid w:val="001A26C8"/>
    <w:rsid w:val="002C16B1"/>
    <w:rsid w:val="00313B89"/>
    <w:rsid w:val="003366B1"/>
    <w:rsid w:val="003840B0"/>
    <w:rsid w:val="00496433"/>
    <w:rsid w:val="00521EAB"/>
    <w:rsid w:val="00546003"/>
    <w:rsid w:val="00552FED"/>
    <w:rsid w:val="005658AE"/>
    <w:rsid w:val="00583410"/>
    <w:rsid w:val="00592DA4"/>
    <w:rsid w:val="005C773D"/>
    <w:rsid w:val="005F262B"/>
    <w:rsid w:val="00604F27"/>
    <w:rsid w:val="00616215"/>
    <w:rsid w:val="00670841"/>
    <w:rsid w:val="006A375C"/>
    <w:rsid w:val="006C0B89"/>
    <w:rsid w:val="006E33B2"/>
    <w:rsid w:val="0073664D"/>
    <w:rsid w:val="00765372"/>
    <w:rsid w:val="00793BBE"/>
    <w:rsid w:val="007F6BDD"/>
    <w:rsid w:val="00873412"/>
    <w:rsid w:val="0089418A"/>
    <w:rsid w:val="008C61DB"/>
    <w:rsid w:val="008D2C8D"/>
    <w:rsid w:val="008F1553"/>
    <w:rsid w:val="0093070E"/>
    <w:rsid w:val="0096753E"/>
    <w:rsid w:val="009B1880"/>
    <w:rsid w:val="00A358B4"/>
    <w:rsid w:val="00A35966"/>
    <w:rsid w:val="00A711B9"/>
    <w:rsid w:val="00AE3C61"/>
    <w:rsid w:val="00B018CD"/>
    <w:rsid w:val="00B155F1"/>
    <w:rsid w:val="00B228D0"/>
    <w:rsid w:val="00B45595"/>
    <w:rsid w:val="00B51915"/>
    <w:rsid w:val="00B7496C"/>
    <w:rsid w:val="00BC1D88"/>
    <w:rsid w:val="00BF33B1"/>
    <w:rsid w:val="00C35B94"/>
    <w:rsid w:val="00C829C6"/>
    <w:rsid w:val="00CC60F6"/>
    <w:rsid w:val="00D741EF"/>
    <w:rsid w:val="00D836E7"/>
    <w:rsid w:val="00D9054A"/>
    <w:rsid w:val="00DB5600"/>
    <w:rsid w:val="00DC662A"/>
    <w:rsid w:val="00DE353E"/>
    <w:rsid w:val="00DE67FC"/>
    <w:rsid w:val="00E403ED"/>
    <w:rsid w:val="00E5106C"/>
    <w:rsid w:val="00EF3940"/>
    <w:rsid w:val="00F4421F"/>
    <w:rsid w:val="00F45493"/>
    <w:rsid w:val="00FB5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D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3E"/>
    <w:pPr>
      <w:spacing w:line="259" w:lineRule="auto"/>
    </w:pPr>
    <w:rPr>
      <w:sz w:val="22"/>
      <w:szCs w:val="22"/>
    </w:rPr>
  </w:style>
  <w:style w:type="paragraph" w:styleId="Heading1">
    <w:name w:val="heading 1"/>
    <w:basedOn w:val="Normal"/>
    <w:next w:val="Normal"/>
    <w:link w:val="Heading1Char"/>
    <w:uiPriority w:val="9"/>
    <w:qFormat/>
    <w:rsid w:val="00967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53E"/>
    <w:rPr>
      <w:rFonts w:eastAsiaTheme="majorEastAsia" w:cstheme="majorBidi"/>
      <w:color w:val="272727" w:themeColor="text1" w:themeTint="D8"/>
    </w:rPr>
  </w:style>
  <w:style w:type="paragraph" w:styleId="Title">
    <w:name w:val="Title"/>
    <w:basedOn w:val="Normal"/>
    <w:next w:val="Normal"/>
    <w:link w:val="TitleChar"/>
    <w:uiPriority w:val="10"/>
    <w:qFormat/>
    <w:rsid w:val="00967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53E"/>
    <w:pPr>
      <w:spacing w:before="160"/>
      <w:jc w:val="center"/>
    </w:pPr>
    <w:rPr>
      <w:i/>
      <w:iCs/>
      <w:color w:val="404040" w:themeColor="text1" w:themeTint="BF"/>
    </w:rPr>
  </w:style>
  <w:style w:type="character" w:customStyle="1" w:styleId="QuoteChar">
    <w:name w:val="Quote Char"/>
    <w:basedOn w:val="DefaultParagraphFont"/>
    <w:link w:val="Quote"/>
    <w:uiPriority w:val="29"/>
    <w:rsid w:val="0096753E"/>
    <w:rPr>
      <w:i/>
      <w:iCs/>
      <w:color w:val="404040" w:themeColor="text1" w:themeTint="BF"/>
    </w:rPr>
  </w:style>
  <w:style w:type="paragraph" w:styleId="ListParagraph">
    <w:name w:val="List Paragraph"/>
    <w:basedOn w:val="Normal"/>
    <w:uiPriority w:val="34"/>
    <w:qFormat/>
    <w:rsid w:val="0096753E"/>
    <w:pPr>
      <w:ind w:left="720"/>
      <w:contextualSpacing/>
    </w:pPr>
  </w:style>
  <w:style w:type="character" w:styleId="IntenseEmphasis">
    <w:name w:val="Intense Emphasis"/>
    <w:basedOn w:val="DefaultParagraphFont"/>
    <w:uiPriority w:val="21"/>
    <w:qFormat/>
    <w:rsid w:val="0096753E"/>
    <w:rPr>
      <w:i/>
      <w:iCs/>
      <w:color w:val="0F4761" w:themeColor="accent1" w:themeShade="BF"/>
    </w:rPr>
  </w:style>
  <w:style w:type="paragraph" w:styleId="IntenseQuote">
    <w:name w:val="Intense Quote"/>
    <w:basedOn w:val="Normal"/>
    <w:next w:val="Normal"/>
    <w:link w:val="IntenseQuoteChar"/>
    <w:uiPriority w:val="30"/>
    <w:qFormat/>
    <w:rsid w:val="00967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53E"/>
    <w:rPr>
      <w:i/>
      <w:iCs/>
      <w:color w:val="0F4761" w:themeColor="accent1" w:themeShade="BF"/>
    </w:rPr>
  </w:style>
  <w:style w:type="character" w:styleId="IntenseReference">
    <w:name w:val="Intense Reference"/>
    <w:basedOn w:val="DefaultParagraphFont"/>
    <w:uiPriority w:val="32"/>
    <w:qFormat/>
    <w:rsid w:val="0096753E"/>
    <w:rPr>
      <w:b/>
      <w:bCs/>
      <w:smallCaps/>
      <w:color w:val="0F4761" w:themeColor="accent1" w:themeShade="BF"/>
      <w:spacing w:val="5"/>
    </w:rPr>
  </w:style>
  <w:style w:type="paragraph" w:customStyle="1" w:styleId="paragraph">
    <w:name w:val="paragraph"/>
    <w:basedOn w:val="Normal"/>
    <w:link w:val="paragraphChar"/>
    <w:rsid w:val="0096753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paragraphChar">
    <w:name w:val="paragraph Char"/>
    <w:basedOn w:val="DefaultParagraphFont"/>
    <w:link w:val="paragraph"/>
    <w:rsid w:val="0096753E"/>
    <w:rPr>
      <w:rFonts w:ascii="Times New Roman" w:eastAsia="Times New Roman" w:hAnsi="Times New Roman" w:cs="Times New Roman"/>
      <w:kern w:val="0"/>
      <w:lang w:eastAsia="en-AU"/>
      <w14:ligatures w14:val="none"/>
    </w:rPr>
  </w:style>
  <w:style w:type="paragraph" w:customStyle="1" w:styleId="Tablei">
    <w:name w:val="Table(i)"/>
    <w:aliases w:val="taa"/>
    <w:basedOn w:val="Normal"/>
    <w:rsid w:val="0096753E"/>
    <w:pPr>
      <w:tabs>
        <w:tab w:val="left" w:pos="-6543"/>
        <w:tab w:val="left" w:pos="-6260"/>
        <w:tab w:val="right" w:pos="970"/>
      </w:tabs>
      <w:spacing w:after="0" w:line="240" w:lineRule="exact"/>
      <w:ind w:left="828" w:hanging="284"/>
    </w:pPr>
    <w:rPr>
      <w:rFonts w:ascii="Times New Roman" w:eastAsia="Times New Roman" w:hAnsi="Times New Roman" w:cs="Times New Roman"/>
      <w:kern w:val="0"/>
      <w:sz w:val="20"/>
      <w:szCs w:val="20"/>
      <w:lang w:eastAsia="en-AU"/>
      <w14:ligatures w14:val="none"/>
    </w:rPr>
  </w:style>
  <w:style w:type="paragraph" w:styleId="NoSpacing">
    <w:name w:val="No Spacing"/>
    <w:link w:val="NoSpacingChar"/>
    <w:uiPriority w:val="1"/>
    <w:qFormat/>
    <w:rsid w:val="0096753E"/>
    <w:pPr>
      <w:spacing w:after="0" w:line="240" w:lineRule="auto"/>
    </w:pPr>
    <w:rPr>
      <w:rFonts w:ascii="Times New Roman" w:eastAsia="Times New Roman" w:hAnsi="Times New Roman" w:cs="Times New Roman"/>
      <w:kern w:val="0"/>
      <w:szCs w:val="20"/>
      <w:lang w:eastAsia="en-AU"/>
      <w14:ligatures w14:val="none"/>
    </w:rPr>
  </w:style>
  <w:style w:type="character" w:customStyle="1" w:styleId="NoSpacingChar">
    <w:name w:val="No Spacing Char"/>
    <w:basedOn w:val="DefaultParagraphFont"/>
    <w:link w:val="NoSpacing"/>
    <w:uiPriority w:val="1"/>
    <w:rsid w:val="0096753E"/>
    <w:rPr>
      <w:rFonts w:ascii="Times New Roman" w:eastAsia="Times New Roman" w:hAnsi="Times New Roman" w:cs="Times New Roman"/>
      <w:kern w:val="0"/>
      <w:szCs w:val="20"/>
      <w:lang w:eastAsia="en-AU"/>
      <w14:ligatures w14:val="none"/>
    </w:rPr>
  </w:style>
  <w:style w:type="paragraph" w:styleId="Header">
    <w:name w:val="header"/>
    <w:basedOn w:val="Normal"/>
    <w:link w:val="HeaderChar"/>
    <w:uiPriority w:val="99"/>
    <w:unhideWhenUsed/>
    <w:rsid w:val="00967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53E"/>
    <w:rPr>
      <w:sz w:val="22"/>
      <w:szCs w:val="22"/>
    </w:rPr>
  </w:style>
  <w:style w:type="paragraph" w:styleId="Footer">
    <w:name w:val="footer"/>
    <w:basedOn w:val="Normal"/>
    <w:link w:val="FooterChar"/>
    <w:uiPriority w:val="99"/>
    <w:unhideWhenUsed/>
    <w:rsid w:val="00967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53E"/>
    <w:rPr>
      <w:sz w:val="22"/>
      <w:szCs w:val="22"/>
    </w:rPr>
  </w:style>
  <w:style w:type="paragraph" w:customStyle="1" w:styleId="Tablea">
    <w:name w:val="Table(a)"/>
    <w:aliases w:val="ta"/>
    <w:basedOn w:val="Normal"/>
    <w:rsid w:val="00F4421F"/>
    <w:pPr>
      <w:spacing w:before="60" w:after="0" w:line="240" w:lineRule="auto"/>
      <w:ind w:left="284" w:hanging="284"/>
    </w:pPr>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uiPriority w:val="99"/>
    <w:semiHidden/>
    <w:unhideWhenUsed/>
    <w:rsid w:val="00E5106C"/>
    <w:rPr>
      <w:sz w:val="16"/>
      <w:szCs w:val="16"/>
    </w:rPr>
  </w:style>
  <w:style w:type="paragraph" w:styleId="CommentText">
    <w:name w:val="annotation text"/>
    <w:basedOn w:val="Normal"/>
    <w:link w:val="CommentTextChar"/>
    <w:uiPriority w:val="99"/>
    <w:unhideWhenUsed/>
    <w:rsid w:val="00E5106C"/>
    <w:pPr>
      <w:spacing w:line="240" w:lineRule="auto"/>
    </w:pPr>
    <w:rPr>
      <w:sz w:val="20"/>
      <w:szCs w:val="20"/>
    </w:rPr>
  </w:style>
  <w:style w:type="character" w:customStyle="1" w:styleId="CommentTextChar">
    <w:name w:val="Comment Text Char"/>
    <w:basedOn w:val="DefaultParagraphFont"/>
    <w:link w:val="CommentText"/>
    <w:uiPriority w:val="99"/>
    <w:rsid w:val="00E5106C"/>
    <w:rPr>
      <w:sz w:val="20"/>
      <w:szCs w:val="20"/>
    </w:rPr>
  </w:style>
  <w:style w:type="paragraph" w:styleId="CommentSubject">
    <w:name w:val="annotation subject"/>
    <w:basedOn w:val="CommentText"/>
    <w:next w:val="CommentText"/>
    <w:link w:val="CommentSubjectChar"/>
    <w:uiPriority w:val="99"/>
    <w:semiHidden/>
    <w:unhideWhenUsed/>
    <w:rsid w:val="00E5106C"/>
    <w:rPr>
      <w:b/>
      <w:bCs/>
    </w:rPr>
  </w:style>
  <w:style w:type="character" w:customStyle="1" w:styleId="CommentSubjectChar">
    <w:name w:val="Comment Subject Char"/>
    <w:basedOn w:val="CommentTextChar"/>
    <w:link w:val="CommentSubject"/>
    <w:uiPriority w:val="99"/>
    <w:semiHidden/>
    <w:rsid w:val="00E5106C"/>
    <w:rPr>
      <w:b/>
      <w:bCs/>
      <w:sz w:val="20"/>
      <w:szCs w:val="20"/>
    </w:rPr>
  </w:style>
  <w:style w:type="paragraph" w:styleId="Revision">
    <w:name w:val="Revision"/>
    <w:hidden/>
    <w:uiPriority w:val="99"/>
    <w:semiHidden/>
    <w:rsid w:val="00E5106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2025-09-08T06:28:00Z</dcterms:created>
  <dcterms:modified xsi:type="dcterms:W3CDTF">2025-09-08T06:28:00Z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2025-09-08T06:28:10Z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efe2ea3a-825d-4ad4-8bf2-9c1ffe3c733b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