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C6172" w14:textId="77777777"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7BC31672" w14:textId="353B14A6"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8F7F814C2CAC45D49FAEDAED56933579"/>
          </w:placeholder>
          <w:dropDownList>
            <w:listItem w:displayText="the Treasurer" w:value="the Treasurer"/>
            <w:listItem w:displayText="the Minister for Agriculture, Fisheries and Forestry and Minister for Small Business" w:value="the Minister for Agriculture, Fisheries and Forestry and Minister for Small Business"/>
            <w:listItem w:displayText="the Minister for Housing and Minister for Homelessness" w:value="the Minister for Housing and Minister for Homeless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8"/>
          </w:rPr>
        </w:sdtEndPr>
        <w:sdtContent>
          <w:r w:rsidR="008C46EE">
            <w:rPr>
              <w:rStyle w:val="DefaultChar"/>
            </w:rPr>
            <w:t>the Assistant Treasurer and Minister for Financial Services</w:t>
          </w:r>
        </w:sdtContent>
      </w:sdt>
      <w:r w:rsidR="00076178" w:rsidRPr="003C5719">
        <w:rPr>
          <w:sz w:val="24"/>
          <w:szCs w:val="24"/>
        </w:rPr>
        <w:t xml:space="preserve"> </w:t>
      </w:r>
    </w:p>
    <w:p w14:paraId="064110EC" w14:textId="78910442" w:rsidR="00F109D4" w:rsidRPr="003C5719" w:rsidRDefault="00B30AF6" w:rsidP="004A27A8">
      <w:pPr>
        <w:spacing w:before="240" w:after="240"/>
        <w:jc w:val="center"/>
        <w:rPr>
          <w:i/>
        </w:rPr>
      </w:pPr>
      <w:r w:rsidRPr="00B30AF6">
        <w:rPr>
          <w:i/>
          <w:iCs/>
        </w:rPr>
        <w:t>Income Tax Assessment Act 1936</w:t>
      </w:r>
    </w:p>
    <w:p w14:paraId="0932EACE" w14:textId="19F1CE76" w:rsidR="00F109D4" w:rsidRPr="003C5719" w:rsidRDefault="002B15CB" w:rsidP="004A27A8">
      <w:pPr>
        <w:tabs>
          <w:tab w:val="left" w:pos="1418"/>
        </w:tabs>
        <w:spacing w:before="0" w:after="240"/>
        <w:jc w:val="center"/>
        <w:rPr>
          <w:i/>
        </w:rPr>
      </w:pPr>
      <w:r>
        <w:rPr>
          <w:i/>
        </w:rPr>
        <w:t>Income Tax Assessment (1936 Act) Regulations 2025</w:t>
      </w:r>
    </w:p>
    <w:p w14:paraId="016695BD" w14:textId="066DAD8B" w:rsidR="00892D3B" w:rsidRDefault="00C55D29" w:rsidP="004A27A8">
      <w:pPr>
        <w:spacing w:before="240"/>
      </w:pPr>
      <w:r w:rsidRPr="003C5719">
        <w:t xml:space="preserve">Section </w:t>
      </w:r>
      <w:r w:rsidR="00B30AF6">
        <w:t>266</w:t>
      </w:r>
      <w:r w:rsidR="005E4BAC" w:rsidRPr="003C5719">
        <w:t xml:space="preserve"> </w:t>
      </w:r>
      <w:r w:rsidR="00F109D4" w:rsidRPr="003C5719">
        <w:t xml:space="preserve">of the </w:t>
      </w:r>
      <w:r w:rsidR="00B30AF6" w:rsidRPr="00B30AF6">
        <w:rPr>
          <w:i/>
          <w:iCs/>
        </w:rPr>
        <w:t>Income Tax Assessment Act 1936</w:t>
      </w:r>
      <w:r w:rsidR="00F109D4" w:rsidRPr="003C5719">
        <w:t xml:space="preserve"> (the Act) provides that the Governor</w:t>
      </w:r>
      <w:r w:rsidR="2D0A5A2B" w:rsidRPr="003C5719">
        <w:t>-</w:t>
      </w:r>
      <w:r w:rsidR="00F109D4" w:rsidRPr="003C5719">
        <w:t>General may make regulations prescribing matters required or permitted by the Act to be prescribed, or necessary or convenient to be prescribed for carrying out or giving effect to the Act.</w:t>
      </w:r>
    </w:p>
    <w:p w14:paraId="67777281" w14:textId="6A0D581E" w:rsidR="39AFECFC" w:rsidRDefault="004F03F4" w:rsidP="39AFECFC">
      <w:pPr>
        <w:spacing w:before="240"/>
      </w:pPr>
      <w:r w:rsidRPr="003C5719">
        <w:t xml:space="preserve">The purpose of the </w:t>
      </w:r>
      <w:r w:rsidR="006F2FEB">
        <w:rPr>
          <w:i/>
        </w:rPr>
        <w:t xml:space="preserve">Income Tax Assessment (1936 Act) Regulations 2025 </w:t>
      </w:r>
      <w:r w:rsidR="00B30AF6">
        <w:rPr>
          <w:iCs/>
        </w:rPr>
        <w:t xml:space="preserve">(the Regulations) </w:t>
      </w:r>
      <w:r w:rsidRPr="003C5719">
        <w:t xml:space="preserve">is to </w:t>
      </w:r>
      <w:r w:rsidR="001C3B0F">
        <w:t xml:space="preserve">remake and improve the operation of the </w:t>
      </w:r>
      <w:r w:rsidR="001C3B0F" w:rsidRPr="00DB4F91">
        <w:rPr>
          <w:i/>
          <w:iCs/>
        </w:rPr>
        <w:t>Income Tax Assessment (1936 Act) Regulation 2015</w:t>
      </w:r>
      <w:r w:rsidR="001C3B0F">
        <w:t xml:space="preserve"> (the </w:t>
      </w:r>
      <w:r w:rsidR="00FA216D">
        <w:t>2015</w:t>
      </w:r>
      <w:r w:rsidR="001C3B0F">
        <w:t xml:space="preserve"> Regulation</w:t>
      </w:r>
      <w:r w:rsidR="00AD5C83">
        <w:t>s</w:t>
      </w:r>
      <w:r w:rsidR="001C3B0F">
        <w:t>)</w:t>
      </w:r>
      <w:r w:rsidR="00FA216D">
        <w:t xml:space="preserve"> before th</w:t>
      </w:r>
      <w:r w:rsidR="00183E86">
        <w:t>e 2015 Regulations</w:t>
      </w:r>
      <w:r w:rsidR="00FA216D">
        <w:t xml:space="preserve"> </w:t>
      </w:r>
      <w:r w:rsidR="00183E86">
        <w:t>‘</w:t>
      </w:r>
      <w:r w:rsidR="00FA216D">
        <w:t>sunset</w:t>
      </w:r>
      <w:r w:rsidR="00183E86">
        <w:t>’</w:t>
      </w:r>
      <w:r w:rsidR="004E3590">
        <w:t>.</w:t>
      </w:r>
      <w:r w:rsidR="00FA216D">
        <w:t xml:space="preserve"> </w:t>
      </w:r>
      <w:r w:rsidR="00026CBD">
        <w:t>A</w:t>
      </w:r>
      <w:r w:rsidR="00FA216D" w:rsidRPr="00FA216D">
        <w:t>ll legislative instruments, other than exempt instruments, progressively sunset according to the timetable in section 50 of</w:t>
      </w:r>
      <w:r w:rsidR="00026CBD">
        <w:t xml:space="preserve"> the</w:t>
      </w:r>
      <w:r w:rsidR="00FA216D" w:rsidRPr="00FA216D">
        <w:t xml:space="preserve"> </w:t>
      </w:r>
      <w:r w:rsidR="00026CBD" w:rsidRPr="00FA216D">
        <w:rPr>
          <w:i/>
          <w:iCs/>
        </w:rPr>
        <w:t>Legislation Act 2003</w:t>
      </w:r>
      <w:r w:rsidR="00FA216D" w:rsidRPr="00FA216D">
        <w:t>. Legislative instruments generally cease to have effect after 10 years unless their operation is extended such as by remaking the instrument.</w:t>
      </w:r>
      <w:r w:rsidR="00FA216D">
        <w:t xml:space="preserve"> The 2015 Regulations were scheduled to sunset on 1 October 2025.</w:t>
      </w:r>
    </w:p>
    <w:p w14:paraId="73ED959C" w14:textId="1A9CBC52" w:rsidR="61B7A18E" w:rsidRDefault="00183E86" w:rsidP="61B7A18E">
      <w:pPr>
        <w:spacing w:before="240"/>
      </w:pPr>
      <w:r>
        <w:t>The Regulations remake and improve the 2015 Regulations</w:t>
      </w:r>
      <w:r w:rsidR="00910D27">
        <w:t>,</w:t>
      </w:r>
      <w:r>
        <w:t xml:space="preserve"> repealing redundant provisions, simplifying language and</w:t>
      </w:r>
      <w:r w:rsidR="00E90A73">
        <w:t xml:space="preserve"> updating existing rules and requirements to ensure they continue to </w:t>
      </w:r>
      <w:r w:rsidR="00B17C99">
        <w:t>operate in accordance with existing policy.</w:t>
      </w:r>
      <w:r w:rsidR="128B9178">
        <w:t xml:space="preserve"> </w:t>
      </w:r>
    </w:p>
    <w:p w14:paraId="23B558A8" w14:textId="6859ED3E" w:rsidR="00CB6D08" w:rsidRDefault="00CB6D08" w:rsidP="61B7A18E">
      <w:pPr>
        <w:spacing w:before="240"/>
      </w:pPr>
      <w:r>
        <w:t>The Regulations prescribe matters for the purposes of</w:t>
      </w:r>
      <w:r w:rsidR="006B5C10">
        <w:t xml:space="preserve"> </w:t>
      </w:r>
      <w:r w:rsidR="003331B4">
        <w:t>certain</w:t>
      </w:r>
      <w:r w:rsidR="006B5C10">
        <w:t xml:space="preserve"> provisions </w:t>
      </w:r>
      <w:r w:rsidR="00461558">
        <w:t>of</w:t>
      </w:r>
      <w:r>
        <w:t xml:space="preserve"> the Act,</w:t>
      </w:r>
      <w:r w:rsidR="003331B4">
        <w:t xml:space="preserve"> which </w:t>
      </w:r>
      <w:r w:rsidR="00DA5507">
        <w:t>include</w:t>
      </w:r>
      <w:r w:rsidR="003377F8">
        <w:t xml:space="preserve"> provisions </w:t>
      </w:r>
      <w:r w:rsidR="003331B4">
        <w:t>relat</w:t>
      </w:r>
      <w:r w:rsidR="003377F8">
        <w:t>ing</w:t>
      </w:r>
      <w:r w:rsidR="003331B4">
        <w:t xml:space="preserve"> to </w:t>
      </w:r>
      <w:r>
        <w:t xml:space="preserve">the </w:t>
      </w:r>
      <w:r w:rsidR="00793C29">
        <w:t xml:space="preserve">tax </w:t>
      </w:r>
      <w:r>
        <w:t>treatment of</w:t>
      </w:r>
      <w:r w:rsidDel="003331B4">
        <w:t xml:space="preserve"> </w:t>
      </w:r>
      <w:r w:rsidR="003331B4">
        <w:t xml:space="preserve">income of </w:t>
      </w:r>
      <w:r w:rsidR="00B240F0">
        <w:t>certain Defence Force members and other prescribed</w:t>
      </w:r>
      <w:r>
        <w:t xml:space="preserve"> </w:t>
      </w:r>
      <w:r w:rsidR="00165FCD">
        <w:t>persons</w:t>
      </w:r>
      <w:r>
        <w:t xml:space="preserve">, </w:t>
      </w:r>
      <w:r w:rsidR="00736B55">
        <w:t xml:space="preserve">eligibility for </w:t>
      </w:r>
      <w:r>
        <w:t>deductions, rebates</w:t>
      </w:r>
      <w:r w:rsidR="003331B4">
        <w:t xml:space="preserve"> for low income</w:t>
      </w:r>
      <w:r w:rsidR="00380EFF">
        <w:t xml:space="preserve"> aged persons and pensioners</w:t>
      </w:r>
      <w:r>
        <w:t xml:space="preserve">, </w:t>
      </w:r>
      <w:r w:rsidR="00F60479">
        <w:t>timeframes for</w:t>
      </w:r>
      <w:r w:rsidR="00736B55">
        <w:t xml:space="preserve"> </w:t>
      </w:r>
      <w:r w:rsidR="000F2626">
        <w:t>amen</w:t>
      </w:r>
      <w:r w:rsidR="00183441">
        <w:t>ding</w:t>
      </w:r>
      <w:r w:rsidR="000F2626">
        <w:t xml:space="preserve"> assessments in prescribed circumstances</w:t>
      </w:r>
      <w:r>
        <w:t>, as well as the appointment of public officers</w:t>
      </w:r>
      <w:r w:rsidR="003C5BF6">
        <w:t xml:space="preserve"> </w:t>
      </w:r>
      <w:r w:rsidR="00DA5507">
        <w:t>and the treatment of income in respect of controlled foreign companies</w:t>
      </w:r>
      <w:r>
        <w:t>.</w:t>
      </w:r>
    </w:p>
    <w:p w14:paraId="5AA25302" w14:textId="1D7102D9" w:rsidR="00F343AA" w:rsidRPr="00C56F2E" w:rsidRDefault="00F343AA" w:rsidP="00B217B9">
      <w:pPr>
        <w:pStyle w:val="Bullet"/>
        <w:numPr>
          <w:ilvl w:val="0"/>
          <w:numId w:val="0"/>
        </w:numPr>
        <w:rPr>
          <w:color w:val="FF0000"/>
        </w:rPr>
      </w:pPr>
      <w:r>
        <w:t xml:space="preserve">The Act </w:t>
      </w:r>
      <w:r w:rsidR="008B33DF">
        <w:t xml:space="preserve">does not </w:t>
      </w:r>
      <w:r>
        <w:t>specif</w:t>
      </w:r>
      <w:r w:rsidR="008B33DF">
        <w:t>y</w:t>
      </w:r>
      <w:r>
        <w:t xml:space="preserve"> </w:t>
      </w:r>
      <w:r w:rsidR="008B33DF">
        <w:t xml:space="preserve">any </w:t>
      </w:r>
      <w:r>
        <w:t>conditions that need to be satisfied before the power to make the Regulations may be exercised.</w:t>
      </w:r>
    </w:p>
    <w:p w14:paraId="7CF5EECC" w14:textId="09125655" w:rsidR="00927C3F" w:rsidRPr="00927C3F" w:rsidRDefault="00334064" w:rsidP="00D05E34">
      <w:pPr>
        <w:spacing w:before="240"/>
      </w:pPr>
      <w:r w:rsidRPr="00EE482F">
        <w:t xml:space="preserve">An exposure draft of the </w:t>
      </w:r>
      <w:r w:rsidR="00EE6B0F" w:rsidRPr="00EE482F">
        <w:t xml:space="preserve">Regulations and accompanying explanatory material were released for public consultation from </w:t>
      </w:r>
      <w:r w:rsidR="00373DFE">
        <w:t xml:space="preserve">2 July </w:t>
      </w:r>
      <w:r w:rsidR="00EE6B0F" w:rsidRPr="00EE482F">
        <w:t xml:space="preserve">to </w:t>
      </w:r>
      <w:r w:rsidR="00373DFE">
        <w:t>15 July 2025</w:t>
      </w:r>
      <w:r w:rsidR="00EE6B0F" w:rsidRPr="00EE482F">
        <w:t>.</w:t>
      </w:r>
      <w:r w:rsidR="004C304D">
        <w:t xml:space="preserve"> </w:t>
      </w:r>
      <w:r w:rsidR="00CB68DA">
        <w:t xml:space="preserve">No public submissions were received in relation to the Regulations in this process. </w:t>
      </w:r>
      <w:r w:rsidR="00A168C3">
        <w:t>Targeted consultation was also undertaken with the regulator, the Australian Taxation Office (ATO).</w:t>
      </w:r>
    </w:p>
    <w:p w14:paraId="7EAAF90E" w14:textId="7BA9F556" w:rsidR="002C226C" w:rsidRPr="003C5719" w:rsidRDefault="002C226C" w:rsidP="004A27A8">
      <w:pPr>
        <w:spacing w:before="240"/>
        <w:rPr>
          <w:color w:val="FF0000"/>
        </w:rPr>
      </w:pPr>
      <w:r w:rsidRPr="003C5719">
        <w:t xml:space="preserve">The Regulations are a legislative instrument for the purposes of the </w:t>
      </w:r>
      <w:r w:rsidRPr="003C5719">
        <w:rPr>
          <w:i/>
          <w:iCs/>
        </w:rPr>
        <w:t>Legislation Act</w:t>
      </w:r>
      <w:r w:rsidR="00A31681" w:rsidRPr="003C5719">
        <w:rPr>
          <w:i/>
          <w:iCs/>
        </w:rPr>
        <w:t> </w:t>
      </w:r>
      <w:r w:rsidRPr="003C5719">
        <w:rPr>
          <w:i/>
          <w:iCs/>
        </w:rPr>
        <w:t>2003</w:t>
      </w:r>
      <w:r w:rsidRPr="003C5719">
        <w:t>.</w:t>
      </w:r>
    </w:p>
    <w:p w14:paraId="00218FB7" w14:textId="6A5ECA4E" w:rsidR="0000628C" w:rsidRDefault="00F109D4" w:rsidP="004A27A8">
      <w:pPr>
        <w:spacing w:before="240"/>
      </w:pPr>
      <w:r w:rsidRPr="003C5719">
        <w:t xml:space="preserve">The Regulations commenced on </w:t>
      </w:r>
      <w:r w:rsidR="00254C5B" w:rsidRPr="003C5719" w:rsidDel="00AF093E">
        <w:fldChar w:fldCharType="begin"/>
      </w:r>
      <w:r w:rsidR="00254C5B" w:rsidRPr="003C5719" w:rsidDel="00AF093E">
        <w:fldChar w:fldCharType="end"/>
      </w:r>
      <w:r w:rsidR="00AF093E">
        <w:t>1</w:t>
      </w:r>
      <w:r w:rsidR="008E169E">
        <w:t xml:space="preserve"> October 2025</w:t>
      </w:r>
      <w:r w:rsidR="00AF093E" w:rsidRPr="003C5719">
        <w:t xml:space="preserve">. </w:t>
      </w:r>
    </w:p>
    <w:p w14:paraId="2BC2D70E" w14:textId="13D96C44" w:rsidR="00D73121" w:rsidRDefault="00D73121" w:rsidP="004A27A8">
      <w:pPr>
        <w:spacing w:before="240"/>
      </w:pPr>
      <w:r w:rsidRPr="00D73121">
        <w:t xml:space="preserve">The Regulations are subject to disallowance, and </w:t>
      </w:r>
      <w:proofErr w:type="gramStart"/>
      <w:r w:rsidRPr="00D73121">
        <w:t>will</w:t>
      </w:r>
      <w:proofErr w:type="gramEnd"/>
      <w:r w:rsidRPr="00D73121">
        <w:t xml:space="preserve"> sunset on 1 October 2035.</w:t>
      </w:r>
    </w:p>
    <w:p w14:paraId="00AF82A5" w14:textId="2E5349C4" w:rsidR="0011527C" w:rsidRPr="003C5719" w:rsidRDefault="0011527C" w:rsidP="004A27A8">
      <w:pPr>
        <w:spacing w:before="240"/>
      </w:pPr>
      <w:r w:rsidRPr="003C5719">
        <w:t xml:space="preserve">Details of the Regulations are set out in </w:t>
      </w:r>
      <w:r w:rsidRPr="003C5719">
        <w:rPr>
          <w:u w:val="single"/>
        </w:rPr>
        <w:t xml:space="preserve">Attachment </w:t>
      </w:r>
      <w:r w:rsidR="008E169E">
        <w:rPr>
          <w:u w:val="single"/>
        </w:rPr>
        <w:t>A</w:t>
      </w:r>
      <w:r>
        <w:t>.</w:t>
      </w:r>
      <w:r w:rsidRPr="003C5719">
        <w:t xml:space="preserve"> </w:t>
      </w:r>
    </w:p>
    <w:p w14:paraId="20E9C2B3" w14:textId="26C7A5AB" w:rsidR="0011527C" w:rsidRPr="003C5719" w:rsidRDefault="00EB2AEF" w:rsidP="00466DD5">
      <w:pPr>
        <w:spacing w:before="240"/>
      </w:pPr>
      <w:r w:rsidRPr="003C5719">
        <w:t xml:space="preserve">A statement of Compatibility with Human Rights is at </w:t>
      </w:r>
      <w:r w:rsidRPr="003C5719">
        <w:rPr>
          <w:u w:val="single"/>
        </w:rPr>
        <w:t xml:space="preserve">Attachment </w:t>
      </w:r>
      <w:r w:rsidR="00013390" w:rsidRPr="003C5719" w:rsidDel="008E169E">
        <w:rPr>
          <w:u w:val="single"/>
        </w:rPr>
        <w:fldChar w:fldCharType="begin"/>
      </w:r>
      <w:r w:rsidR="00013390" w:rsidRPr="003C5719" w:rsidDel="008E169E">
        <w:rPr>
          <w:u w:val="single"/>
        </w:rPr>
        <w:fldChar w:fldCharType="end"/>
      </w:r>
      <w:r w:rsidR="008E169E">
        <w:rPr>
          <w:u w:val="single"/>
        </w:rPr>
        <w:t>B</w:t>
      </w:r>
      <w:r w:rsidR="00845A80" w:rsidRPr="00EE482F" w:rsidDel="008E169E">
        <w:t>.</w:t>
      </w:r>
      <w:r w:rsidR="0011527C" w:rsidRPr="003C5719" w:rsidDel="008E169E">
        <w:t xml:space="preserve"> </w:t>
      </w:r>
    </w:p>
    <w:p w14:paraId="3016AB17" w14:textId="533D75F8" w:rsidR="00A6193D" w:rsidRDefault="00567B96" w:rsidP="00A6193D">
      <w:pPr>
        <w:spacing w:before="240"/>
      </w:pPr>
      <w:r>
        <w:lastRenderedPageBreak/>
        <w:t>The Office of Impact Analysis (OIA) has an alternative process for assessing the policy impact of sunsetting legislative instruments that are being remade. Under that process, an agency may self-assess the performance of the instrument. If the assessment demonstrates the instrument is operating effectively and efficiently, no impact analysis is required.</w:t>
      </w:r>
      <w:r w:rsidR="00A6193D">
        <w:t xml:space="preserve"> </w:t>
      </w:r>
    </w:p>
    <w:p w14:paraId="0572C95E" w14:textId="2C63772C" w:rsidR="0011527C" w:rsidRPr="003C5719" w:rsidRDefault="0D5CDA08" w:rsidP="00466DD5">
      <w:pPr>
        <w:spacing w:before="240"/>
      </w:pPr>
      <w:r w:rsidRPr="000A3FF1">
        <w:rPr>
          <w:color w:val="000000" w:themeColor="text1"/>
          <w:szCs w:val="24"/>
        </w:rPr>
        <w:t xml:space="preserve">Prior to the making of the Regulations and in accordance with the Office of </w:t>
      </w:r>
      <w:r w:rsidR="00D51522">
        <w:rPr>
          <w:color w:val="000000" w:themeColor="text1"/>
          <w:szCs w:val="24"/>
        </w:rPr>
        <w:t>Impact Analysis</w:t>
      </w:r>
      <w:r w:rsidRPr="000A3FF1">
        <w:rPr>
          <w:color w:val="000000" w:themeColor="text1"/>
          <w:szCs w:val="24"/>
        </w:rPr>
        <w:t xml:space="preserve">’ Guidance Note on </w:t>
      </w:r>
      <w:r w:rsidR="6D370808" w:rsidRPr="7B277AA4">
        <w:rPr>
          <w:color w:val="000000" w:themeColor="text1"/>
          <w:szCs w:val="24"/>
        </w:rPr>
        <w:t>S</w:t>
      </w:r>
      <w:r w:rsidRPr="000A3FF1">
        <w:rPr>
          <w:color w:val="000000" w:themeColor="text1"/>
          <w:szCs w:val="24"/>
        </w:rPr>
        <w:t xml:space="preserve">unsetting </w:t>
      </w:r>
      <w:r w:rsidR="2E64C8FD" w:rsidRPr="7B277AA4">
        <w:rPr>
          <w:color w:val="000000" w:themeColor="text1"/>
          <w:szCs w:val="24"/>
        </w:rPr>
        <w:t>Legislative I</w:t>
      </w:r>
      <w:r w:rsidRPr="000A3FF1">
        <w:rPr>
          <w:color w:val="000000" w:themeColor="text1"/>
          <w:szCs w:val="24"/>
        </w:rPr>
        <w:t xml:space="preserve">nstruments, the Department of the Treasury self-assessed that the </w:t>
      </w:r>
      <w:r w:rsidR="0069665B">
        <w:rPr>
          <w:color w:val="000000" w:themeColor="text1"/>
          <w:szCs w:val="24"/>
        </w:rPr>
        <w:t>2015</w:t>
      </w:r>
      <w:r w:rsidRPr="000A3FF1">
        <w:rPr>
          <w:color w:val="000000" w:themeColor="text1"/>
          <w:szCs w:val="24"/>
        </w:rPr>
        <w:t xml:space="preserve"> Regulations were operating effectively and efficiently, and therefore a Regulation Impact Statement was not required. This assessment was informed by the public consultation on the exposure draft Regulations</w:t>
      </w:r>
      <w:r w:rsidR="00A168C3">
        <w:rPr>
          <w:color w:val="000000" w:themeColor="text1"/>
          <w:szCs w:val="24"/>
        </w:rPr>
        <w:t xml:space="preserve"> and targeted consultation with the ATO</w:t>
      </w:r>
      <w:r w:rsidRPr="000A3FF1">
        <w:rPr>
          <w:color w:val="000000" w:themeColor="text1"/>
          <w:szCs w:val="24"/>
        </w:rPr>
        <w:t>.</w:t>
      </w:r>
    </w:p>
    <w:p w14:paraId="1FA3D572" w14:textId="77777777" w:rsidR="00EB2AEF" w:rsidRPr="003C5719" w:rsidRDefault="00EB2AEF" w:rsidP="004A27A8">
      <w:pPr>
        <w:spacing w:before="240"/>
      </w:pPr>
    </w:p>
    <w:p w14:paraId="6B403607" w14:textId="4FC68C97" w:rsidR="00EA4DD8" w:rsidRPr="003C5719" w:rsidRDefault="00EA4DD8" w:rsidP="004A27A8">
      <w:pPr>
        <w:pageBreakBefore/>
        <w:spacing w:before="240"/>
        <w:jc w:val="right"/>
        <w:rPr>
          <w:b/>
          <w:u w:val="single"/>
        </w:rPr>
      </w:pPr>
      <w:r w:rsidRPr="003C5719">
        <w:rPr>
          <w:b/>
          <w:u w:val="single"/>
        </w:rPr>
        <w:lastRenderedPageBreak/>
        <w:t xml:space="preserve">ATTACHMENT </w:t>
      </w:r>
      <w:r w:rsidR="007B2319">
        <w:rPr>
          <w:b/>
          <w:u w:val="single"/>
        </w:rPr>
        <w:t>A</w:t>
      </w:r>
    </w:p>
    <w:p w14:paraId="19658C8D" w14:textId="0F0C4EC1" w:rsidR="00EA4DD8" w:rsidRPr="007B2319" w:rsidRDefault="00EA4DD8" w:rsidP="007B2319">
      <w:pPr>
        <w:tabs>
          <w:tab w:val="left" w:pos="1418"/>
        </w:tabs>
        <w:spacing w:before="0" w:after="240"/>
        <w:rPr>
          <w:i/>
          <w:u w:val="single"/>
        </w:rPr>
      </w:pPr>
      <w:r w:rsidRPr="003C5719">
        <w:rPr>
          <w:b/>
          <w:bCs/>
          <w:u w:val="single"/>
        </w:rPr>
        <w:t xml:space="preserve">Details of the </w:t>
      </w:r>
      <w:r w:rsidR="007B2319" w:rsidRPr="007B2319">
        <w:rPr>
          <w:b/>
          <w:bCs/>
          <w:i/>
          <w:u w:val="single"/>
        </w:rPr>
        <w:t>Income Tax Assessment (1936 Act) Regulations 2025</w:t>
      </w:r>
    </w:p>
    <w:p w14:paraId="081064C1" w14:textId="77777777" w:rsidR="001F1EE7" w:rsidRDefault="00AC3868" w:rsidP="007B2319">
      <w:pPr>
        <w:tabs>
          <w:tab w:val="left" w:pos="1418"/>
        </w:tabs>
        <w:spacing w:before="0" w:after="240"/>
      </w:pPr>
      <w:r>
        <w:t xml:space="preserve">This </w:t>
      </w:r>
      <w:r w:rsidR="00843C92">
        <w:t>a</w:t>
      </w:r>
      <w:r>
        <w:t xml:space="preserve">ttachment sets out further details of </w:t>
      </w:r>
      <w:r w:rsidRPr="007B2319">
        <w:t>the</w:t>
      </w:r>
      <w:r w:rsidR="00843C92" w:rsidRPr="007B2319">
        <w:t xml:space="preserve"> </w:t>
      </w:r>
      <w:r w:rsidR="007B2319" w:rsidRPr="007B2319">
        <w:rPr>
          <w:i/>
        </w:rPr>
        <w:t>Income Tax Assessment (1936 Act) Regulations 2025</w:t>
      </w:r>
      <w:r w:rsidR="008F6A43" w:rsidRPr="007B2319">
        <w:rPr>
          <w:iCs/>
        </w:rPr>
        <w:t xml:space="preserve"> </w:t>
      </w:r>
      <w:r w:rsidR="00BF50C2" w:rsidRPr="007B2319">
        <w:rPr>
          <w:iCs/>
        </w:rPr>
        <w:t>(the Regulations).</w:t>
      </w:r>
      <w:r w:rsidRPr="007B2319">
        <w:t xml:space="preserve"> </w:t>
      </w:r>
    </w:p>
    <w:p w14:paraId="7D1E6C66" w14:textId="12C77AA9" w:rsidR="00501460" w:rsidRDefault="001F1EE7" w:rsidP="007B2319">
      <w:pPr>
        <w:tabs>
          <w:tab w:val="left" w:pos="1418"/>
        </w:tabs>
        <w:spacing w:before="0" w:after="240"/>
      </w:pPr>
      <w:r w:rsidRPr="001F1EE7">
        <w:t>This attachment refers to provisions being</w:t>
      </w:r>
      <w:r>
        <w:t xml:space="preserve"> </w:t>
      </w:r>
      <w:r w:rsidR="004608F7">
        <w:t>‘updated’</w:t>
      </w:r>
      <w:r w:rsidR="00501460">
        <w:t xml:space="preserve"> </w:t>
      </w:r>
      <w:r w:rsidR="00E42EC4">
        <w:t xml:space="preserve">or ‘changed’ </w:t>
      </w:r>
      <w:r w:rsidRPr="001F1EE7">
        <w:t>to help explain how the Regulations differ from the </w:t>
      </w:r>
      <w:r w:rsidR="004608F7" w:rsidRPr="00DB4F91">
        <w:rPr>
          <w:i/>
          <w:iCs/>
        </w:rPr>
        <w:t>Income Tax Assessment (1936 Act) Regulation 2015</w:t>
      </w:r>
      <w:r w:rsidR="004608F7" w:rsidRPr="001F1EE7">
        <w:t xml:space="preserve"> </w:t>
      </w:r>
      <w:r w:rsidRPr="001F1EE7">
        <w:t>(</w:t>
      </w:r>
      <w:r w:rsidR="004608F7">
        <w:t xml:space="preserve">the </w:t>
      </w:r>
      <w:r w:rsidRPr="00CE5B62">
        <w:t>2015</w:t>
      </w:r>
      <w:r w:rsidR="00CE5B62">
        <w:t> </w:t>
      </w:r>
      <w:r w:rsidRPr="00CE5B62">
        <w:t>Regulations</w:t>
      </w:r>
      <w:r w:rsidRPr="001F1EE7">
        <w:t>). However, the Regulations are not technically amending the 2015</w:t>
      </w:r>
      <w:r w:rsidR="00CE5B62">
        <w:t> </w:t>
      </w:r>
      <w:r w:rsidRPr="001F1EE7">
        <w:t>Regulations but are rather remaking them.</w:t>
      </w:r>
      <w:r w:rsidR="00F1381C">
        <w:t xml:space="preserve"> </w:t>
      </w:r>
    </w:p>
    <w:p w14:paraId="46FD8097" w14:textId="4C355368" w:rsidR="00AC3868" w:rsidRPr="007B2319" w:rsidRDefault="00F1381C" w:rsidP="007B2319">
      <w:pPr>
        <w:tabs>
          <w:tab w:val="left" w:pos="1418"/>
        </w:tabs>
        <w:spacing w:before="0" w:after="240"/>
        <w:rPr>
          <w:i/>
        </w:rPr>
      </w:pPr>
      <w:r>
        <w:t xml:space="preserve">Note, the numbering of all </w:t>
      </w:r>
      <w:r w:rsidR="003850AE">
        <w:t>sections</w:t>
      </w:r>
      <w:r>
        <w:t xml:space="preserve"> </w:t>
      </w:r>
      <w:r w:rsidR="00EB733A">
        <w:t xml:space="preserve">in Parts 1 to 8 of the Regulations </w:t>
      </w:r>
      <w:r w:rsidR="00736B55">
        <w:t>is</w:t>
      </w:r>
      <w:r w:rsidR="00EB733A">
        <w:t xml:space="preserve"> consist</w:t>
      </w:r>
      <w:r w:rsidR="003850AE">
        <w:t xml:space="preserve">ent with the numbering of the equivalent sections of the 2015 Regulations. </w:t>
      </w:r>
      <w:r w:rsidR="006210FD">
        <w:t>The application and transitional provis</w:t>
      </w:r>
      <w:r w:rsidR="007250CA">
        <w:t>ions</w:t>
      </w:r>
      <w:r w:rsidR="00501460">
        <w:t xml:space="preserve"> in Part 9 of the 2015 Regulations have been replaced with new application provisions as detailed below.</w:t>
      </w:r>
      <w:r>
        <w:t xml:space="preserve"> </w:t>
      </w:r>
    </w:p>
    <w:p w14:paraId="36027522" w14:textId="463A55E1" w:rsidR="006A5D74" w:rsidRPr="00012613" w:rsidRDefault="006A5D74" w:rsidP="004A27A8">
      <w:pPr>
        <w:spacing w:before="240"/>
        <w:rPr>
          <w:b/>
          <w:bCs/>
          <w:u w:val="single"/>
        </w:rPr>
      </w:pPr>
      <w:r w:rsidRPr="00012613">
        <w:rPr>
          <w:b/>
          <w:bCs/>
          <w:u w:val="single"/>
        </w:rPr>
        <w:t xml:space="preserve">Part 1 – </w:t>
      </w:r>
      <w:r w:rsidR="00C2411C" w:rsidRPr="00012613">
        <w:rPr>
          <w:b/>
          <w:bCs/>
          <w:u w:val="single"/>
        </w:rPr>
        <w:t>Preliminary</w:t>
      </w:r>
    </w:p>
    <w:p w14:paraId="67CDC72D" w14:textId="7943B84E"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5C5EEDE6" w14:textId="07A2C788" w:rsidR="00EA4DD8" w:rsidRPr="003C5719" w:rsidRDefault="00EA4DD8" w:rsidP="004A27A8">
      <w:pPr>
        <w:spacing w:before="240"/>
      </w:pPr>
      <w:r w:rsidRPr="003C5719">
        <w:t xml:space="preserve">This section provides that the name of the </w:t>
      </w:r>
      <w:r w:rsidR="00BF50C2">
        <w:t>R</w:t>
      </w:r>
      <w:r w:rsidRPr="003C5719">
        <w:t xml:space="preserve">egulations is the </w:t>
      </w:r>
      <w:r w:rsidR="007B2319" w:rsidRPr="007B2319">
        <w:rPr>
          <w:i/>
        </w:rPr>
        <w:t>Income Tax Assessment (1936 Act) Regulations 2025</w:t>
      </w:r>
      <w:r w:rsidRPr="007B2319">
        <w:rPr>
          <w:iCs/>
        </w:rPr>
        <w:t>.</w:t>
      </w:r>
    </w:p>
    <w:p w14:paraId="40D9879E" w14:textId="77777777" w:rsidR="00EA4DD8" w:rsidRPr="003C5719" w:rsidRDefault="00EA4DD8" w:rsidP="004A27A8">
      <w:pPr>
        <w:spacing w:before="240"/>
        <w:rPr>
          <w:u w:val="single"/>
        </w:rPr>
      </w:pPr>
      <w:r w:rsidRPr="003C5719">
        <w:rPr>
          <w:u w:val="single"/>
        </w:rPr>
        <w:t>Section 2 – Commencement</w:t>
      </w:r>
    </w:p>
    <w:p w14:paraId="743483EC" w14:textId="6145EE80" w:rsidR="00EA4DD8" w:rsidRPr="003C5719" w:rsidRDefault="0025779E" w:rsidP="004A27A8">
      <w:pPr>
        <w:spacing w:before="240"/>
      </w:pPr>
      <w:r>
        <w:t>T</w:t>
      </w:r>
      <w:r w:rsidR="00EA4DD8" w:rsidRPr="003C5719">
        <w:t>he Regulations commence</w:t>
      </w:r>
      <w:r w:rsidR="003037F8">
        <w:t>d</w:t>
      </w:r>
      <w:r w:rsidR="00EA4DD8" w:rsidRPr="003C5719">
        <w:t xml:space="preserve"> on </w:t>
      </w:r>
      <w:r w:rsidR="00B626B8">
        <w:t>1 October 2025.</w:t>
      </w:r>
      <w:r w:rsidR="00EA4DD8" w:rsidRPr="003C5719">
        <w:t xml:space="preserve"> </w:t>
      </w:r>
    </w:p>
    <w:p w14:paraId="1DB5F889" w14:textId="77777777" w:rsidR="00EA4DD8" w:rsidRPr="003C5719" w:rsidRDefault="00EA4DD8" w:rsidP="004A27A8">
      <w:pPr>
        <w:spacing w:before="240"/>
        <w:rPr>
          <w:u w:val="single"/>
        </w:rPr>
      </w:pPr>
      <w:r w:rsidRPr="003C5719">
        <w:rPr>
          <w:u w:val="single"/>
        </w:rPr>
        <w:t>Section 3 – Authority</w:t>
      </w:r>
    </w:p>
    <w:p w14:paraId="690C66B9" w14:textId="792A87C1" w:rsidR="00EA4DD8" w:rsidRPr="003C5719" w:rsidRDefault="00EA4DD8" w:rsidP="004A27A8">
      <w:pPr>
        <w:spacing w:before="240"/>
      </w:pPr>
      <w:r w:rsidRPr="003C5719">
        <w:t xml:space="preserve">The Regulations are made under the </w:t>
      </w:r>
      <w:r w:rsidR="00BF4A88" w:rsidRPr="00BF4A88">
        <w:rPr>
          <w:i/>
          <w:iCs/>
        </w:rPr>
        <w:t>Income Tax Assessment Act 1936</w:t>
      </w:r>
      <w:r w:rsidRPr="003C5719">
        <w:t xml:space="preserve"> (the Act).</w:t>
      </w:r>
    </w:p>
    <w:p w14:paraId="1BCDC7F0" w14:textId="45D8013A" w:rsidR="00EA4DD8" w:rsidRPr="003C5719" w:rsidRDefault="00EA4DD8" w:rsidP="004A27A8">
      <w:pPr>
        <w:spacing w:before="240"/>
        <w:rPr>
          <w:u w:val="single"/>
        </w:rPr>
      </w:pPr>
      <w:r w:rsidRPr="003C5719">
        <w:rPr>
          <w:u w:val="single"/>
        </w:rPr>
        <w:t xml:space="preserve">Section 4 – </w:t>
      </w:r>
      <w:r w:rsidR="00A426AE">
        <w:rPr>
          <w:u w:val="single"/>
        </w:rPr>
        <w:t>Definitions</w:t>
      </w:r>
    </w:p>
    <w:p w14:paraId="3AE195BC" w14:textId="16F39250" w:rsidR="00C96F64" w:rsidRDefault="005341E0" w:rsidP="00466DD5">
      <w:pPr>
        <w:spacing w:before="240" w:after="200"/>
      </w:pPr>
      <w:r>
        <w:t xml:space="preserve">Section </w:t>
      </w:r>
      <w:r w:rsidR="00215D0C">
        <w:t>4</w:t>
      </w:r>
      <w:r>
        <w:t xml:space="preserve"> of the Regulations</w:t>
      </w:r>
      <w:r w:rsidR="00FE7C06">
        <w:t xml:space="preserve"> </w:t>
      </w:r>
      <w:r w:rsidR="007B42E0">
        <w:t xml:space="preserve">sets out </w:t>
      </w:r>
      <w:r w:rsidR="00843893">
        <w:t>the definitions of key terms used in the Regulations</w:t>
      </w:r>
      <w:r w:rsidDel="005341E0">
        <w:t>.</w:t>
      </w:r>
      <w:r w:rsidR="69F9823F">
        <w:t xml:space="preserve"> </w:t>
      </w:r>
    </w:p>
    <w:p w14:paraId="4A0D8A5D" w14:textId="7D06449B" w:rsidR="00474973" w:rsidRDefault="007854DE" w:rsidP="00466DD5">
      <w:pPr>
        <w:spacing w:before="240" w:after="200"/>
      </w:pPr>
      <w:r>
        <w:t xml:space="preserve">This section </w:t>
      </w:r>
      <w:r w:rsidR="0089069E">
        <w:t>updates</w:t>
      </w:r>
      <w:r w:rsidR="00F22226">
        <w:t xml:space="preserve"> the key terms listed in section 4 of the</w:t>
      </w:r>
      <w:r w:rsidR="0089069E">
        <w:t xml:space="preserve"> 2015 Regulations</w:t>
      </w:r>
      <w:r w:rsidR="00F22226">
        <w:t xml:space="preserve"> to:</w:t>
      </w:r>
    </w:p>
    <w:p w14:paraId="6B852318" w14:textId="4927ADF9" w:rsidR="00F22226" w:rsidRDefault="00F22226" w:rsidP="006625F4">
      <w:pPr>
        <w:pStyle w:val="Bullet"/>
      </w:pPr>
      <w:r>
        <w:t xml:space="preserve">remove references </w:t>
      </w:r>
      <w:r w:rsidR="00C03E54">
        <w:t>to section 159N of the Act</w:t>
      </w:r>
      <w:r w:rsidR="00D2233A">
        <w:t>,</w:t>
      </w:r>
      <w:r w:rsidR="00C03E54">
        <w:t xml:space="preserve"> which was repealed</w:t>
      </w:r>
      <w:r w:rsidR="00663EA9">
        <w:t xml:space="preserve"> on</w:t>
      </w:r>
      <w:r w:rsidR="00663EA9" w:rsidRPr="00F22226">
        <w:rPr>
          <w:color w:val="000000"/>
          <w:sz w:val="18"/>
          <w:szCs w:val="18"/>
        </w:rPr>
        <w:t xml:space="preserve"> </w:t>
      </w:r>
      <w:r w:rsidR="00DA6E4E">
        <w:t>1</w:t>
      </w:r>
      <w:r w:rsidR="00663EA9" w:rsidRPr="00663EA9">
        <w:t> July 202</w:t>
      </w:r>
      <w:r w:rsidR="00DA6E4E">
        <w:t>0</w:t>
      </w:r>
      <w:r w:rsidR="00663EA9" w:rsidRPr="00663EA9">
        <w:t xml:space="preserve"> by </w:t>
      </w:r>
      <w:r w:rsidR="0089167C">
        <w:t>the</w:t>
      </w:r>
      <w:r w:rsidR="00663EA9" w:rsidRPr="00663EA9">
        <w:t> </w:t>
      </w:r>
      <w:r w:rsidR="00663EA9" w:rsidRPr="002351EC">
        <w:rPr>
          <w:i/>
        </w:rPr>
        <w:t>Treasury Laws Amendment (</w:t>
      </w:r>
      <w:r w:rsidR="0089167C" w:rsidRPr="0066319D">
        <w:rPr>
          <w:i/>
          <w:iCs/>
        </w:rPr>
        <w:t xml:space="preserve">A Tax Plan for the COVID-19 Economic Recovery) Act </w:t>
      </w:r>
      <w:r w:rsidR="001E1A8A" w:rsidRPr="001E1A8A">
        <w:rPr>
          <w:i/>
          <w:iCs/>
        </w:rPr>
        <w:t>2020</w:t>
      </w:r>
      <w:r w:rsidR="00D2233A">
        <w:t xml:space="preserve">. </w:t>
      </w:r>
      <w:r>
        <w:t>The terms</w:t>
      </w:r>
      <w:r w:rsidR="000F2A58">
        <w:t xml:space="preserve"> </w:t>
      </w:r>
      <w:r w:rsidR="000F2A58" w:rsidRPr="006625F4">
        <w:rPr>
          <w:b/>
          <w:i/>
        </w:rPr>
        <w:t>rebate</w:t>
      </w:r>
      <w:r w:rsidR="000F2A58">
        <w:t xml:space="preserve"> </w:t>
      </w:r>
      <w:r w:rsidR="000F2A58" w:rsidRPr="006625F4">
        <w:rPr>
          <w:b/>
          <w:i/>
        </w:rPr>
        <w:t>maximum amount</w:t>
      </w:r>
      <w:r w:rsidR="000F2A58">
        <w:t xml:space="preserve">, </w:t>
      </w:r>
      <w:r w:rsidR="000F2A58" w:rsidRPr="006625F4">
        <w:rPr>
          <w:b/>
          <w:i/>
        </w:rPr>
        <w:t>rebate reduction rate</w:t>
      </w:r>
      <w:r w:rsidR="000F2A58">
        <w:t xml:space="preserve"> and </w:t>
      </w:r>
      <w:r w:rsidR="000F2A58" w:rsidRPr="006625F4">
        <w:rPr>
          <w:b/>
          <w:i/>
        </w:rPr>
        <w:t>rebate reduction threshold</w:t>
      </w:r>
      <w:r>
        <w:t xml:space="preserve"> replace the terms </w:t>
      </w:r>
      <w:r w:rsidR="00385E04" w:rsidRPr="00385E04">
        <w:rPr>
          <w:b/>
          <w:bCs/>
          <w:i/>
          <w:iCs/>
        </w:rPr>
        <w:t>159N rebate maximum amount</w:t>
      </w:r>
      <w:r w:rsidR="00385E04">
        <w:t xml:space="preserve">, </w:t>
      </w:r>
      <w:r w:rsidR="00F62CE6" w:rsidRPr="00F62CE6">
        <w:rPr>
          <w:b/>
          <w:bCs/>
          <w:i/>
          <w:iCs/>
        </w:rPr>
        <w:t>159N rebate reduction rate</w:t>
      </w:r>
      <w:r w:rsidR="00385E04" w:rsidRPr="00385E04">
        <w:t> </w:t>
      </w:r>
      <w:r w:rsidR="00F62CE6">
        <w:t xml:space="preserve">and </w:t>
      </w:r>
      <w:r w:rsidR="00F62CE6" w:rsidRPr="00F62CE6">
        <w:rPr>
          <w:b/>
          <w:bCs/>
          <w:i/>
          <w:iCs/>
        </w:rPr>
        <w:t>159N rebate reduction threshold</w:t>
      </w:r>
      <w:r w:rsidR="00F62CE6">
        <w:t xml:space="preserve"> respectively</w:t>
      </w:r>
      <w:r w:rsidR="000F2A58">
        <w:t>.</w:t>
      </w:r>
      <w:r w:rsidR="00F62CE6">
        <w:t xml:space="preserve"> The definitions of these terms are otherwise unchanged.</w:t>
      </w:r>
    </w:p>
    <w:p w14:paraId="221FA095" w14:textId="0CC0D74D" w:rsidR="00824021" w:rsidRPr="006901D0" w:rsidRDefault="00F62CE6" w:rsidP="00F22226">
      <w:pPr>
        <w:pStyle w:val="Bullet"/>
      </w:pPr>
      <w:r>
        <w:rPr>
          <w:bCs/>
          <w:iCs/>
        </w:rPr>
        <w:t xml:space="preserve">remove </w:t>
      </w:r>
      <w:r w:rsidR="00824021">
        <w:t>the definition</w:t>
      </w:r>
      <w:r w:rsidR="00F22226">
        <w:t>s</w:t>
      </w:r>
      <w:r w:rsidR="00824021">
        <w:t xml:space="preserve"> of </w:t>
      </w:r>
      <w:r w:rsidR="00824021" w:rsidRPr="002E5602">
        <w:rPr>
          <w:b/>
          <w:i/>
        </w:rPr>
        <w:t>permanent establishment</w:t>
      </w:r>
      <w:r w:rsidR="00824021">
        <w:t xml:space="preserve"> and</w:t>
      </w:r>
      <w:r w:rsidR="00824021" w:rsidRPr="002E5602">
        <w:rPr>
          <w:i/>
        </w:rPr>
        <w:t xml:space="preserve"> </w:t>
      </w:r>
      <w:r w:rsidR="00824021" w:rsidRPr="002E5602">
        <w:rPr>
          <w:b/>
          <w:i/>
        </w:rPr>
        <w:t xml:space="preserve">ordinary capital </w:t>
      </w:r>
      <w:r w:rsidR="00824021" w:rsidRPr="002E5602">
        <w:rPr>
          <w:b/>
          <w:i/>
          <w:iCs/>
        </w:rPr>
        <w:t>gains</w:t>
      </w:r>
      <w:r w:rsidR="00110B08">
        <w:rPr>
          <w:bCs/>
        </w:rPr>
        <w:t>, which are defined in subsection 17(2),</w:t>
      </w:r>
      <w:r w:rsidR="00824021">
        <w:t xml:space="preserve"> </w:t>
      </w:r>
      <w:r w:rsidR="0078610A">
        <w:t>to ensure</w:t>
      </w:r>
      <w:r w:rsidR="00824021">
        <w:t xml:space="preserve"> their application is limited </w:t>
      </w:r>
      <w:r w:rsidR="0078610A">
        <w:t xml:space="preserve">to </w:t>
      </w:r>
      <w:r w:rsidR="00110B08">
        <w:t>th</w:t>
      </w:r>
      <w:r w:rsidR="00183441">
        <w:t>at</w:t>
      </w:r>
      <w:r w:rsidR="00824021">
        <w:t xml:space="preserve"> subsection of the Regulations.</w:t>
      </w:r>
    </w:p>
    <w:p w14:paraId="4C889569" w14:textId="77777777" w:rsidR="00736B55" w:rsidRDefault="00736B55">
      <w:pPr>
        <w:spacing w:before="0" w:after="0"/>
        <w:rPr>
          <w:b/>
          <w:bCs/>
          <w:u w:val="single"/>
        </w:rPr>
      </w:pPr>
      <w:r>
        <w:rPr>
          <w:b/>
          <w:bCs/>
          <w:u w:val="single"/>
        </w:rPr>
        <w:br w:type="page"/>
      </w:r>
    </w:p>
    <w:p w14:paraId="6D8C59FF" w14:textId="34CD8C35" w:rsidR="001D28C8" w:rsidRPr="00E5166A" w:rsidRDefault="001D28C8" w:rsidP="00E5166A">
      <w:pPr>
        <w:spacing w:before="240" w:after="200"/>
        <w:rPr>
          <w:b/>
          <w:bCs/>
          <w:u w:val="single"/>
        </w:rPr>
      </w:pPr>
      <w:r w:rsidRPr="00E5166A">
        <w:rPr>
          <w:b/>
          <w:bCs/>
          <w:u w:val="single"/>
        </w:rPr>
        <w:lastRenderedPageBreak/>
        <w:t>Part 2 –</w:t>
      </w:r>
      <w:r w:rsidR="00215D0C">
        <w:rPr>
          <w:b/>
          <w:bCs/>
          <w:u w:val="single"/>
        </w:rPr>
        <w:t xml:space="preserve"> </w:t>
      </w:r>
      <w:r>
        <w:rPr>
          <w:b/>
          <w:bCs/>
          <w:u w:val="single"/>
        </w:rPr>
        <w:t xml:space="preserve">Liability to taxation </w:t>
      </w:r>
      <w:r w:rsidR="00215D0C">
        <w:rPr>
          <w:b/>
          <w:bCs/>
          <w:u w:val="single"/>
        </w:rPr>
        <w:t xml:space="preserve">– </w:t>
      </w:r>
      <w:r>
        <w:rPr>
          <w:b/>
          <w:bCs/>
          <w:u w:val="single"/>
        </w:rPr>
        <w:t>general</w:t>
      </w:r>
    </w:p>
    <w:p w14:paraId="5807B442" w14:textId="3D159289" w:rsidR="00D32560" w:rsidRPr="00B01CD4" w:rsidRDefault="00D32560" w:rsidP="009801D9">
      <w:pPr>
        <w:spacing w:before="240" w:after="200"/>
        <w:rPr>
          <w:u w:val="single"/>
        </w:rPr>
      </w:pPr>
      <w:r w:rsidRPr="00B01CD4">
        <w:rPr>
          <w:u w:val="single"/>
        </w:rPr>
        <w:t xml:space="preserve">Section 5 – </w:t>
      </w:r>
      <w:r w:rsidR="001C3EF9" w:rsidRPr="00B01CD4">
        <w:rPr>
          <w:u w:val="single"/>
        </w:rPr>
        <w:t>Class of persons serving with an armed force under the control of the United Nations</w:t>
      </w:r>
    </w:p>
    <w:p w14:paraId="188BC7E2" w14:textId="3A707B43" w:rsidR="001C3EF9" w:rsidRPr="00B01CD4" w:rsidRDefault="001C3EF9" w:rsidP="009801D9">
      <w:pPr>
        <w:spacing w:before="240" w:after="200"/>
      </w:pPr>
      <w:r w:rsidRPr="009801D9">
        <w:t xml:space="preserve">Section 23AB of the Act exempts the income of certain prescribed persons </w:t>
      </w:r>
      <w:r w:rsidR="00A02261">
        <w:t xml:space="preserve">or classes of person </w:t>
      </w:r>
      <w:r w:rsidRPr="009801D9">
        <w:t>serving with an armed force under the control of the United Nations</w:t>
      </w:r>
      <w:r w:rsidR="006A160F" w:rsidRPr="006A160F">
        <w:t xml:space="preserve"> </w:t>
      </w:r>
      <w:r w:rsidR="006A160F" w:rsidRPr="009801D9">
        <w:t>from tax</w:t>
      </w:r>
      <w:r w:rsidRPr="009801D9">
        <w:t>.</w:t>
      </w:r>
      <w:r w:rsidR="003B4267">
        <w:t xml:space="preserve"> </w:t>
      </w:r>
      <w:r w:rsidR="00AC7CC2">
        <w:t>Subsection 23</w:t>
      </w:r>
      <w:proofErr w:type="gramStart"/>
      <w:r w:rsidR="00AC7CC2">
        <w:t>AB(</w:t>
      </w:r>
      <w:proofErr w:type="gramEnd"/>
      <w:r w:rsidR="00AC7CC2">
        <w:t xml:space="preserve">2) provides that the </w:t>
      </w:r>
      <w:r w:rsidR="00BD3EBE">
        <w:t>r</w:t>
      </w:r>
      <w:r w:rsidR="00AC7CC2">
        <w:t>egulations may prescribe a person or class of person for the purposes of section 23AB</w:t>
      </w:r>
      <w:r w:rsidR="00A16907">
        <w:t xml:space="preserve"> of the Act</w:t>
      </w:r>
      <w:r w:rsidR="00AC7CC2">
        <w:t>.</w:t>
      </w:r>
    </w:p>
    <w:p w14:paraId="50906539" w14:textId="680442A7" w:rsidR="009801D9" w:rsidRPr="009801D9" w:rsidRDefault="009801D9" w:rsidP="009801D9">
      <w:pPr>
        <w:spacing w:before="240" w:after="200"/>
      </w:pPr>
      <w:r w:rsidRPr="009801D9">
        <w:t xml:space="preserve">Section 5 </w:t>
      </w:r>
      <w:r w:rsidR="00D02E8E">
        <w:t>of the Regulations</w:t>
      </w:r>
      <w:r w:rsidRPr="009801D9">
        <w:t xml:space="preserve"> prescribes that for </w:t>
      </w:r>
      <w:r w:rsidR="006964C3" w:rsidRPr="00B01CD4">
        <w:t xml:space="preserve">the purposes of </w:t>
      </w:r>
      <w:r w:rsidRPr="009801D9">
        <w:t>subsection 23</w:t>
      </w:r>
      <w:proofErr w:type="gramStart"/>
      <w:r w:rsidRPr="009801D9">
        <w:t>AB(</w:t>
      </w:r>
      <w:proofErr w:type="gramEnd"/>
      <w:r w:rsidRPr="009801D9">
        <w:t>2) of the Act, members of the Australian Federal Police who are members of the forc</w:t>
      </w:r>
      <w:r w:rsidR="00D34C16">
        <w:t>e</w:t>
      </w:r>
      <w:r w:rsidRPr="009801D9">
        <w:t xml:space="preserve"> created by the United Nations for keeping peace in Cyprus are a prescribed class of persons.</w:t>
      </w:r>
      <w:r w:rsidRPr="00B01CD4">
        <w:t xml:space="preserve"> </w:t>
      </w:r>
    </w:p>
    <w:p w14:paraId="4E880A28" w14:textId="77777777" w:rsidR="009801D9" w:rsidRDefault="009801D9" w:rsidP="009801D9">
      <w:pPr>
        <w:spacing w:before="240" w:after="200"/>
      </w:pPr>
      <w:r w:rsidRPr="009801D9">
        <w:t>Australian Federal Police officers have been serving on the United Nations Peacekeeping Force in Cyprus since May 1964.</w:t>
      </w:r>
    </w:p>
    <w:p w14:paraId="0A2FDA67" w14:textId="20758D31" w:rsidR="00976BD5" w:rsidRDefault="00976BD5" w:rsidP="009801D9">
      <w:pPr>
        <w:spacing w:before="240" w:after="200"/>
      </w:pPr>
      <w:r>
        <w:rPr>
          <w:u w:val="single"/>
        </w:rPr>
        <w:t xml:space="preserve">Section 6 – </w:t>
      </w:r>
      <w:r w:rsidR="009C02BE" w:rsidRPr="009C02BE">
        <w:rPr>
          <w:u w:val="single"/>
        </w:rPr>
        <w:t>Defence Force members performing certain overseas duty – eligible duty</w:t>
      </w:r>
    </w:p>
    <w:p w14:paraId="437E5AFE" w14:textId="54ED6DD8" w:rsidR="009C02BE" w:rsidRPr="009C02BE" w:rsidRDefault="00AE318C" w:rsidP="009C02BE">
      <w:pPr>
        <w:spacing w:before="240" w:after="200"/>
      </w:pPr>
      <w:r>
        <w:t xml:space="preserve">Paragraph 23AD(1)(a) of the Act </w:t>
      </w:r>
      <w:r w:rsidR="00E44FE8">
        <w:t>provides</w:t>
      </w:r>
      <w:r>
        <w:t xml:space="preserve"> that the pay and allowances earned by a person serving as a member of the Defence Force are exempt from tax if they are earned while there is in force a certificate in writing issued by the Chief of the Defence Force to the effect that the person is on eligible duty with a specified organisation in a specified area outside Australia. </w:t>
      </w:r>
      <w:r w:rsidR="00CB0245">
        <w:t>Subsection 23</w:t>
      </w:r>
      <w:proofErr w:type="gramStart"/>
      <w:r w:rsidR="00CB0245">
        <w:t>AD(</w:t>
      </w:r>
      <w:proofErr w:type="gramEnd"/>
      <w:r w:rsidR="00CB0245">
        <w:t>2) provides that</w:t>
      </w:r>
      <w:r w:rsidR="0027650F">
        <w:t xml:space="preserve"> </w:t>
      </w:r>
      <w:r w:rsidR="00AC7CC2">
        <w:t xml:space="preserve">the </w:t>
      </w:r>
      <w:r w:rsidR="0027650F">
        <w:t>regulations may specify that duty with a specified organisation, in a specified area outside Australia and after a specified day, is eligible duty.</w:t>
      </w:r>
    </w:p>
    <w:p w14:paraId="61759AC3" w14:textId="5DFC8E82" w:rsidR="009C02BE" w:rsidRPr="009C02BE" w:rsidRDefault="009C02BE" w:rsidP="009C02BE">
      <w:pPr>
        <w:spacing w:before="240" w:after="200"/>
      </w:pPr>
      <w:r w:rsidRPr="009C02BE">
        <w:t xml:space="preserve">Section 6 </w:t>
      </w:r>
      <w:r w:rsidR="00D02E8E">
        <w:t xml:space="preserve">of the Regulations </w:t>
      </w:r>
      <w:r w:rsidRPr="009C02BE">
        <w:t>declares the following duty to be eligible duty</w:t>
      </w:r>
      <w:r w:rsidR="00D34C16">
        <w:t xml:space="preserve"> for the purposes of subsection 23</w:t>
      </w:r>
      <w:proofErr w:type="gramStart"/>
      <w:r w:rsidR="00D34C16">
        <w:t>AD(</w:t>
      </w:r>
      <w:proofErr w:type="gramEnd"/>
      <w:r w:rsidR="00D34C16">
        <w:t>2) of the Act</w:t>
      </w:r>
      <w:r w:rsidRPr="009C02BE">
        <w:t>:</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82"/>
        <w:gridCol w:w="1549"/>
        <w:gridCol w:w="2524"/>
        <w:gridCol w:w="1490"/>
        <w:gridCol w:w="1490"/>
      </w:tblGrid>
      <w:tr w:rsidR="009C02BE" w:rsidRPr="009C02BE" w14:paraId="4057EE43" w14:textId="77777777" w:rsidTr="7BF74F29">
        <w:trPr>
          <w:tblHeader/>
        </w:trPr>
        <w:tc>
          <w:tcPr>
            <w:tcW w:w="682" w:type="dxa"/>
            <w:tcBorders>
              <w:bottom w:val="single" w:sz="4" w:space="0" w:color="auto"/>
              <w:right w:val="single" w:sz="6" w:space="0" w:color="000000" w:themeColor="text1"/>
            </w:tcBorders>
            <w:shd w:val="clear" w:color="auto" w:fill="E5E5E5"/>
            <w:tcMar>
              <w:top w:w="0" w:type="dxa"/>
              <w:left w:w="101" w:type="dxa"/>
              <w:bottom w:w="0" w:type="dxa"/>
              <w:right w:w="101" w:type="dxa"/>
            </w:tcMar>
            <w:hideMark/>
          </w:tcPr>
          <w:p w14:paraId="77BF1888" w14:textId="77777777" w:rsidR="009C02BE" w:rsidRPr="009C02BE" w:rsidRDefault="009C02BE" w:rsidP="009C02BE">
            <w:pPr>
              <w:spacing w:before="240" w:after="200"/>
              <w:rPr>
                <w:sz w:val="22"/>
                <w:szCs w:val="22"/>
              </w:rPr>
            </w:pPr>
            <w:r w:rsidRPr="009C02BE">
              <w:rPr>
                <w:b/>
                <w:bCs/>
                <w:sz w:val="22"/>
                <w:szCs w:val="22"/>
              </w:rPr>
              <w:lastRenderedPageBreak/>
              <w:t>Item</w:t>
            </w:r>
          </w:p>
        </w:tc>
        <w:tc>
          <w:tcPr>
            <w:tcW w:w="1549" w:type="dxa"/>
            <w:tcBorders>
              <w:left w:val="single" w:sz="6" w:space="0" w:color="000000" w:themeColor="text1"/>
              <w:bottom w:val="single" w:sz="4" w:space="0" w:color="auto"/>
              <w:right w:val="single" w:sz="6" w:space="0" w:color="000000" w:themeColor="text1"/>
            </w:tcBorders>
            <w:shd w:val="clear" w:color="auto" w:fill="E5E5E5"/>
            <w:tcMar>
              <w:top w:w="0" w:type="dxa"/>
              <w:left w:w="101" w:type="dxa"/>
              <w:bottom w:w="0" w:type="dxa"/>
              <w:right w:w="101" w:type="dxa"/>
            </w:tcMar>
            <w:hideMark/>
          </w:tcPr>
          <w:p w14:paraId="791D169C" w14:textId="77777777" w:rsidR="009C02BE" w:rsidRPr="009C02BE" w:rsidRDefault="009C02BE" w:rsidP="009C02BE">
            <w:pPr>
              <w:spacing w:before="240" w:after="200"/>
              <w:rPr>
                <w:sz w:val="22"/>
                <w:szCs w:val="22"/>
              </w:rPr>
            </w:pPr>
            <w:r w:rsidRPr="009C02BE">
              <w:rPr>
                <w:b/>
                <w:bCs/>
                <w:sz w:val="22"/>
                <w:szCs w:val="22"/>
              </w:rPr>
              <w:t>Organisation</w:t>
            </w:r>
          </w:p>
        </w:tc>
        <w:tc>
          <w:tcPr>
            <w:tcW w:w="2524" w:type="dxa"/>
            <w:tcBorders>
              <w:left w:val="single" w:sz="6" w:space="0" w:color="000000" w:themeColor="text1"/>
              <w:bottom w:val="single" w:sz="4" w:space="0" w:color="auto"/>
              <w:right w:val="single" w:sz="6" w:space="0" w:color="000000" w:themeColor="text1"/>
            </w:tcBorders>
            <w:shd w:val="clear" w:color="auto" w:fill="E5E5E5"/>
            <w:tcMar>
              <w:top w:w="0" w:type="dxa"/>
              <w:left w:w="101" w:type="dxa"/>
              <w:bottom w:w="0" w:type="dxa"/>
              <w:right w:w="101" w:type="dxa"/>
            </w:tcMar>
            <w:hideMark/>
          </w:tcPr>
          <w:p w14:paraId="6BF94C97" w14:textId="77777777" w:rsidR="009C02BE" w:rsidRPr="009C02BE" w:rsidRDefault="009C02BE" w:rsidP="009C02BE">
            <w:pPr>
              <w:spacing w:before="240" w:after="200"/>
              <w:rPr>
                <w:sz w:val="22"/>
                <w:szCs w:val="22"/>
              </w:rPr>
            </w:pPr>
            <w:r w:rsidRPr="009C02BE">
              <w:rPr>
                <w:b/>
                <w:bCs/>
                <w:sz w:val="22"/>
                <w:szCs w:val="22"/>
              </w:rPr>
              <w:t>Area</w:t>
            </w:r>
          </w:p>
        </w:tc>
        <w:tc>
          <w:tcPr>
            <w:tcW w:w="1490" w:type="dxa"/>
            <w:tcBorders>
              <w:left w:val="single" w:sz="6" w:space="0" w:color="000000" w:themeColor="text1"/>
              <w:bottom w:val="single" w:sz="4" w:space="0" w:color="auto"/>
              <w:right w:val="single" w:sz="6" w:space="0" w:color="000000" w:themeColor="text1"/>
            </w:tcBorders>
            <w:shd w:val="clear" w:color="auto" w:fill="E5E5E5"/>
            <w:tcMar>
              <w:top w:w="0" w:type="dxa"/>
              <w:left w:w="101" w:type="dxa"/>
              <w:bottom w:w="0" w:type="dxa"/>
              <w:right w:w="101" w:type="dxa"/>
            </w:tcMar>
            <w:hideMark/>
          </w:tcPr>
          <w:p w14:paraId="55FC28AD" w14:textId="77777777" w:rsidR="009C02BE" w:rsidRPr="009C02BE" w:rsidRDefault="009C02BE" w:rsidP="009C02BE">
            <w:pPr>
              <w:spacing w:before="240" w:after="200"/>
              <w:rPr>
                <w:sz w:val="22"/>
                <w:szCs w:val="22"/>
              </w:rPr>
            </w:pPr>
            <w:r w:rsidRPr="009C02BE">
              <w:rPr>
                <w:b/>
                <w:bCs/>
                <w:sz w:val="22"/>
                <w:szCs w:val="22"/>
              </w:rPr>
              <w:t>After the day</w:t>
            </w:r>
          </w:p>
        </w:tc>
        <w:tc>
          <w:tcPr>
            <w:tcW w:w="1490" w:type="dxa"/>
            <w:tcBorders>
              <w:left w:val="single" w:sz="6" w:space="0" w:color="000000" w:themeColor="text1"/>
              <w:bottom w:val="single" w:sz="4" w:space="0" w:color="auto"/>
            </w:tcBorders>
            <w:shd w:val="clear" w:color="auto" w:fill="E5E5E5"/>
            <w:tcMar>
              <w:top w:w="0" w:type="dxa"/>
              <w:left w:w="101" w:type="dxa"/>
              <w:bottom w:w="0" w:type="dxa"/>
              <w:right w:w="101" w:type="dxa"/>
            </w:tcMar>
            <w:hideMark/>
          </w:tcPr>
          <w:p w14:paraId="45B15D5F" w14:textId="77777777" w:rsidR="009C02BE" w:rsidRPr="009C02BE" w:rsidRDefault="009C02BE" w:rsidP="009C02BE">
            <w:pPr>
              <w:spacing w:before="240" w:after="200"/>
              <w:rPr>
                <w:sz w:val="22"/>
                <w:szCs w:val="22"/>
              </w:rPr>
            </w:pPr>
            <w:r w:rsidRPr="009C02BE">
              <w:rPr>
                <w:b/>
                <w:bCs/>
                <w:sz w:val="22"/>
                <w:szCs w:val="22"/>
              </w:rPr>
              <w:t>Before the day</w:t>
            </w:r>
          </w:p>
        </w:tc>
      </w:tr>
      <w:tr w:rsidR="00B60355" w:rsidRPr="0082124F" w14:paraId="22F533E2" w14:textId="77777777" w:rsidTr="7BF74F29">
        <w:trPr>
          <w:tblHeader/>
        </w:trPr>
        <w:tc>
          <w:tcPr>
            <w:tcW w:w="682" w:type="dxa"/>
            <w:tcBorders>
              <w:top w:val="single" w:sz="4" w:space="0" w:color="auto"/>
              <w:bottom w:val="single" w:sz="4" w:space="0" w:color="auto"/>
              <w:right w:val="single" w:sz="6" w:space="0" w:color="000000" w:themeColor="text1"/>
            </w:tcBorders>
            <w:shd w:val="clear" w:color="auto" w:fill="auto"/>
            <w:tcMar>
              <w:top w:w="0" w:type="dxa"/>
              <w:left w:w="101" w:type="dxa"/>
              <w:bottom w:w="0" w:type="dxa"/>
              <w:right w:w="101" w:type="dxa"/>
            </w:tcMar>
          </w:tcPr>
          <w:p w14:paraId="52EFB201" w14:textId="366D9815" w:rsidR="00B60355" w:rsidRPr="0082124F" w:rsidRDefault="00B60355" w:rsidP="00B60355">
            <w:pPr>
              <w:spacing w:before="240" w:after="200"/>
              <w:rPr>
                <w:b/>
                <w:bCs/>
                <w:sz w:val="22"/>
                <w:szCs w:val="22"/>
              </w:rPr>
            </w:pPr>
            <w:r w:rsidRPr="0082124F">
              <w:rPr>
                <w:color w:val="000000"/>
                <w:sz w:val="22"/>
                <w:szCs w:val="22"/>
              </w:rPr>
              <w:t>1</w:t>
            </w:r>
          </w:p>
        </w:tc>
        <w:tc>
          <w:tcPr>
            <w:tcW w:w="1549" w:type="dxa"/>
            <w:tcBorders>
              <w:top w:val="single" w:sz="4" w:space="0" w:color="auto"/>
              <w:left w:val="single" w:sz="6" w:space="0" w:color="000000" w:themeColor="text1"/>
              <w:bottom w:val="single" w:sz="4" w:space="0" w:color="auto"/>
              <w:right w:val="single" w:sz="6" w:space="0" w:color="000000" w:themeColor="text1"/>
            </w:tcBorders>
            <w:shd w:val="clear" w:color="auto" w:fill="auto"/>
            <w:tcMar>
              <w:top w:w="0" w:type="dxa"/>
              <w:left w:w="101" w:type="dxa"/>
              <w:bottom w:w="0" w:type="dxa"/>
              <w:right w:w="101" w:type="dxa"/>
            </w:tcMar>
          </w:tcPr>
          <w:p w14:paraId="508CB6F0" w14:textId="25702AA9" w:rsidR="00B60355" w:rsidRPr="0082124F" w:rsidRDefault="00B60355" w:rsidP="00B60355">
            <w:pPr>
              <w:spacing w:before="240" w:after="200"/>
              <w:rPr>
                <w:b/>
                <w:bCs/>
                <w:sz w:val="22"/>
                <w:szCs w:val="22"/>
              </w:rPr>
            </w:pPr>
            <w:r w:rsidRPr="0082124F">
              <w:rPr>
                <w:color w:val="000000"/>
                <w:sz w:val="22"/>
                <w:szCs w:val="22"/>
              </w:rPr>
              <w:t>Australian Defence Force on Operation Accordion</w:t>
            </w:r>
          </w:p>
        </w:tc>
        <w:tc>
          <w:tcPr>
            <w:tcW w:w="2524" w:type="dxa"/>
            <w:tcBorders>
              <w:top w:val="single" w:sz="4" w:space="0" w:color="auto"/>
              <w:left w:val="single" w:sz="6" w:space="0" w:color="000000" w:themeColor="text1"/>
              <w:bottom w:val="single" w:sz="4" w:space="0" w:color="auto"/>
              <w:right w:val="single" w:sz="6" w:space="0" w:color="000000" w:themeColor="text1"/>
            </w:tcBorders>
            <w:shd w:val="clear" w:color="auto" w:fill="auto"/>
            <w:tcMar>
              <w:top w:w="0" w:type="dxa"/>
              <w:left w:w="101" w:type="dxa"/>
              <w:bottom w:w="0" w:type="dxa"/>
              <w:right w:w="101" w:type="dxa"/>
            </w:tcMar>
          </w:tcPr>
          <w:p w14:paraId="5B215562" w14:textId="77777777" w:rsidR="00B60355" w:rsidRPr="0082124F" w:rsidRDefault="00B60355" w:rsidP="00B60355">
            <w:pPr>
              <w:pStyle w:val="tabletext"/>
              <w:spacing w:before="60" w:beforeAutospacing="0" w:after="0" w:afterAutospacing="0" w:line="240" w:lineRule="atLeast"/>
              <w:rPr>
                <w:color w:val="000000"/>
                <w:sz w:val="22"/>
                <w:szCs w:val="22"/>
              </w:rPr>
            </w:pPr>
            <w:r w:rsidRPr="0082124F">
              <w:rPr>
                <w:color w:val="000000"/>
                <w:sz w:val="22"/>
                <w:szCs w:val="22"/>
              </w:rPr>
              <w:t xml:space="preserve">The land area, territorial waters, airspace and </w:t>
            </w:r>
            <w:proofErr w:type="spellStart"/>
            <w:r w:rsidRPr="0082124F">
              <w:rPr>
                <w:color w:val="000000"/>
                <w:sz w:val="22"/>
                <w:szCs w:val="22"/>
              </w:rPr>
              <w:t>superjacent</w:t>
            </w:r>
            <w:proofErr w:type="spellEnd"/>
            <w:r w:rsidRPr="0082124F">
              <w:rPr>
                <w:color w:val="000000"/>
                <w:sz w:val="22"/>
                <w:szCs w:val="22"/>
              </w:rPr>
              <w:t xml:space="preserve"> airspace of the following countries:</w:t>
            </w:r>
          </w:p>
          <w:p w14:paraId="4C1F93D0" w14:textId="5865C9BE" w:rsidR="0095142C" w:rsidRPr="0082124F" w:rsidRDefault="0095142C" w:rsidP="0095142C">
            <w:pPr>
              <w:pStyle w:val="tablea"/>
              <w:spacing w:before="60" w:beforeAutospacing="0" w:after="0" w:afterAutospacing="0"/>
              <w:ind w:left="284" w:hanging="284"/>
              <w:rPr>
                <w:color w:val="000000"/>
                <w:sz w:val="22"/>
                <w:szCs w:val="22"/>
              </w:rPr>
            </w:pPr>
            <w:r w:rsidRPr="0082124F">
              <w:rPr>
                <w:color w:val="000000"/>
                <w:sz w:val="22"/>
                <w:szCs w:val="22"/>
              </w:rPr>
              <w:t xml:space="preserve">(a) </w:t>
            </w:r>
            <w:proofErr w:type="gramStart"/>
            <w:r w:rsidRPr="0082124F">
              <w:rPr>
                <w:color w:val="000000"/>
                <w:sz w:val="22"/>
                <w:szCs w:val="22"/>
              </w:rPr>
              <w:t>Bahrain;</w:t>
            </w:r>
            <w:proofErr w:type="gramEnd"/>
          </w:p>
          <w:p w14:paraId="45826D92" w14:textId="5BD918AF" w:rsidR="0095142C" w:rsidRPr="0082124F" w:rsidRDefault="0095142C" w:rsidP="0095142C">
            <w:pPr>
              <w:pStyle w:val="tablea"/>
              <w:spacing w:before="60" w:beforeAutospacing="0" w:after="0" w:afterAutospacing="0"/>
              <w:ind w:left="284" w:hanging="284"/>
              <w:rPr>
                <w:color w:val="000000"/>
                <w:sz w:val="22"/>
                <w:szCs w:val="22"/>
              </w:rPr>
            </w:pPr>
            <w:r w:rsidRPr="0082124F">
              <w:rPr>
                <w:color w:val="000000"/>
                <w:sz w:val="22"/>
                <w:szCs w:val="22"/>
              </w:rPr>
              <w:t xml:space="preserve">(b) </w:t>
            </w:r>
            <w:proofErr w:type="gramStart"/>
            <w:r w:rsidRPr="0082124F">
              <w:rPr>
                <w:color w:val="000000"/>
                <w:sz w:val="22"/>
                <w:szCs w:val="22"/>
              </w:rPr>
              <w:t>Qatar;</w:t>
            </w:r>
            <w:proofErr w:type="gramEnd"/>
          </w:p>
          <w:p w14:paraId="41530894" w14:textId="37B257C6" w:rsidR="00B60355" w:rsidRPr="0082124F" w:rsidRDefault="0095142C" w:rsidP="0095142C">
            <w:pPr>
              <w:pStyle w:val="tablea"/>
              <w:spacing w:before="60" w:beforeAutospacing="0" w:after="0" w:afterAutospacing="0"/>
              <w:ind w:left="284" w:hanging="284"/>
              <w:rPr>
                <w:color w:val="000000"/>
                <w:sz w:val="22"/>
                <w:szCs w:val="22"/>
              </w:rPr>
            </w:pPr>
            <w:r w:rsidRPr="0082124F">
              <w:rPr>
                <w:color w:val="000000"/>
                <w:sz w:val="22"/>
                <w:szCs w:val="22"/>
              </w:rPr>
              <w:t>(c) the United Arab Emirates</w:t>
            </w:r>
          </w:p>
        </w:tc>
        <w:tc>
          <w:tcPr>
            <w:tcW w:w="1490" w:type="dxa"/>
            <w:tcBorders>
              <w:top w:val="single" w:sz="4" w:space="0" w:color="auto"/>
              <w:left w:val="single" w:sz="6" w:space="0" w:color="000000" w:themeColor="text1"/>
              <w:bottom w:val="single" w:sz="4" w:space="0" w:color="auto"/>
              <w:right w:val="single" w:sz="6" w:space="0" w:color="000000" w:themeColor="text1"/>
            </w:tcBorders>
            <w:shd w:val="clear" w:color="auto" w:fill="auto"/>
            <w:tcMar>
              <w:top w:w="0" w:type="dxa"/>
              <w:left w:w="101" w:type="dxa"/>
              <w:bottom w:w="0" w:type="dxa"/>
              <w:right w:w="101" w:type="dxa"/>
            </w:tcMar>
          </w:tcPr>
          <w:p w14:paraId="297CE51E" w14:textId="311F0461" w:rsidR="00B60355" w:rsidRPr="0082124F" w:rsidRDefault="00B60355" w:rsidP="00B60355">
            <w:pPr>
              <w:spacing w:before="240" w:after="200"/>
              <w:rPr>
                <w:b/>
                <w:bCs/>
                <w:sz w:val="22"/>
                <w:szCs w:val="22"/>
              </w:rPr>
            </w:pPr>
            <w:r w:rsidRPr="0082124F">
              <w:rPr>
                <w:color w:val="000000"/>
                <w:sz w:val="22"/>
                <w:szCs w:val="22"/>
              </w:rPr>
              <w:t>30 June 2014</w:t>
            </w:r>
          </w:p>
        </w:tc>
        <w:tc>
          <w:tcPr>
            <w:tcW w:w="1490" w:type="dxa"/>
            <w:tcBorders>
              <w:top w:val="single" w:sz="4" w:space="0" w:color="auto"/>
              <w:left w:val="single" w:sz="6" w:space="0" w:color="000000" w:themeColor="text1"/>
              <w:bottom w:val="single" w:sz="4" w:space="0" w:color="auto"/>
            </w:tcBorders>
            <w:shd w:val="clear" w:color="auto" w:fill="auto"/>
            <w:tcMar>
              <w:top w:w="0" w:type="dxa"/>
              <w:left w:w="101" w:type="dxa"/>
              <w:bottom w:w="0" w:type="dxa"/>
              <w:right w:w="101" w:type="dxa"/>
            </w:tcMar>
          </w:tcPr>
          <w:p w14:paraId="376E7116" w14:textId="77777777" w:rsidR="00B60355" w:rsidRPr="0082124F" w:rsidRDefault="00B60355" w:rsidP="00B60355">
            <w:pPr>
              <w:spacing w:before="240" w:after="200"/>
              <w:rPr>
                <w:b/>
                <w:bCs/>
                <w:sz w:val="22"/>
                <w:szCs w:val="22"/>
              </w:rPr>
            </w:pPr>
          </w:p>
        </w:tc>
      </w:tr>
      <w:tr w:rsidR="00B60355" w:rsidRPr="0082124F" w14:paraId="6F9C7E2E" w14:textId="77777777" w:rsidTr="7BF74F29">
        <w:trPr>
          <w:tblHeader/>
        </w:trPr>
        <w:tc>
          <w:tcPr>
            <w:tcW w:w="682" w:type="dxa"/>
            <w:tcBorders>
              <w:top w:val="single" w:sz="4" w:space="0" w:color="auto"/>
              <w:bottom w:val="single" w:sz="6" w:space="0" w:color="000000" w:themeColor="text1"/>
              <w:right w:val="single" w:sz="6" w:space="0" w:color="000000" w:themeColor="text1"/>
            </w:tcBorders>
            <w:shd w:val="clear" w:color="auto" w:fill="auto"/>
            <w:tcMar>
              <w:top w:w="0" w:type="dxa"/>
              <w:left w:w="101" w:type="dxa"/>
              <w:bottom w:w="0" w:type="dxa"/>
              <w:right w:w="101" w:type="dxa"/>
            </w:tcMar>
          </w:tcPr>
          <w:p w14:paraId="107B05FA" w14:textId="0DF7D4D5" w:rsidR="00B60355" w:rsidRPr="0082124F" w:rsidRDefault="00B60355" w:rsidP="00B60355">
            <w:pPr>
              <w:spacing w:before="240" w:after="200"/>
              <w:rPr>
                <w:b/>
                <w:bCs/>
                <w:sz w:val="22"/>
                <w:szCs w:val="22"/>
              </w:rPr>
            </w:pPr>
            <w:r w:rsidRPr="0082124F">
              <w:rPr>
                <w:color w:val="000000"/>
                <w:sz w:val="22"/>
                <w:szCs w:val="22"/>
              </w:rPr>
              <w:t>2</w:t>
            </w:r>
          </w:p>
        </w:tc>
        <w:tc>
          <w:tcPr>
            <w:tcW w:w="1549"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Mar>
              <w:top w:w="0" w:type="dxa"/>
              <w:left w:w="101" w:type="dxa"/>
              <w:bottom w:w="0" w:type="dxa"/>
              <w:right w:w="101" w:type="dxa"/>
            </w:tcMar>
          </w:tcPr>
          <w:p w14:paraId="5AA100B1" w14:textId="77ACAFD0" w:rsidR="00B60355" w:rsidRPr="0082124F" w:rsidRDefault="00B60355" w:rsidP="00B60355">
            <w:pPr>
              <w:spacing w:before="240" w:after="200"/>
              <w:rPr>
                <w:b/>
                <w:bCs/>
                <w:sz w:val="22"/>
                <w:szCs w:val="22"/>
              </w:rPr>
            </w:pPr>
            <w:r w:rsidRPr="0082124F">
              <w:rPr>
                <w:color w:val="000000"/>
                <w:sz w:val="22"/>
                <w:szCs w:val="22"/>
              </w:rPr>
              <w:t>Australian Defence Force on Operation Augury</w:t>
            </w:r>
          </w:p>
        </w:tc>
        <w:tc>
          <w:tcPr>
            <w:tcW w:w="2524"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Mar>
              <w:top w:w="0" w:type="dxa"/>
              <w:left w:w="101" w:type="dxa"/>
              <w:bottom w:w="0" w:type="dxa"/>
              <w:right w:w="101" w:type="dxa"/>
            </w:tcMar>
          </w:tcPr>
          <w:p w14:paraId="36E1C6DC" w14:textId="77777777" w:rsidR="00B60355" w:rsidRPr="0082124F" w:rsidRDefault="00B60355" w:rsidP="00B60355">
            <w:pPr>
              <w:pStyle w:val="tabletext"/>
              <w:spacing w:before="60" w:beforeAutospacing="0" w:after="0" w:afterAutospacing="0" w:line="240" w:lineRule="atLeast"/>
              <w:rPr>
                <w:color w:val="000000"/>
                <w:sz w:val="22"/>
                <w:szCs w:val="22"/>
              </w:rPr>
            </w:pPr>
            <w:r w:rsidRPr="7BF74F29">
              <w:rPr>
                <w:color w:val="000000" w:themeColor="text1"/>
                <w:sz w:val="22"/>
                <w:szCs w:val="22"/>
              </w:rPr>
              <w:t>The following areas:</w:t>
            </w:r>
          </w:p>
          <w:p w14:paraId="0E96A8FC" w14:textId="77777777" w:rsidR="00B60355" w:rsidRPr="0082124F" w:rsidRDefault="00B60355" w:rsidP="00B60355">
            <w:pPr>
              <w:pStyle w:val="tablea"/>
              <w:spacing w:before="60" w:beforeAutospacing="0" w:after="0" w:afterAutospacing="0"/>
              <w:ind w:left="284" w:hanging="284"/>
              <w:rPr>
                <w:color w:val="000000"/>
                <w:sz w:val="22"/>
                <w:szCs w:val="22"/>
              </w:rPr>
            </w:pPr>
            <w:r w:rsidRPr="0082124F">
              <w:rPr>
                <w:color w:val="000000"/>
                <w:sz w:val="22"/>
                <w:szCs w:val="22"/>
              </w:rPr>
              <w:t xml:space="preserve">(a) the land area and </w:t>
            </w:r>
            <w:proofErr w:type="spellStart"/>
            <w:r w:rsidRPr="0082124F">
              <w:rPr>
                <w:color w:val="000000"/>
                <w:sz w:val="22"/>
                <w:szCs w:val="22"/>
              </w:rPr>
              <w:t>superjacent</w:t>
            </w:r>
            <w:proofErr w:type="spellEnd"/>
            <w:r w:rsidRPr="0082124F">
              <w:rPr>
                <w:color w:val="000000"/>
                <w:sz w:val="22"/>
                <w:szCs w:val="22"/>
              </w:rPr>
              <w:t xml:space="preserve"> airspace of </w:t>
            </w:r>
            <w:proofErr w:type="gramStart"/>
            <w:r w:rsidRPr="0082124F">
              <w:rPr>
                <w:color w:val="000000"/>
                <w:sz w:val="22"/>
                <w:szCs w:val="22"/>
              </w:rPr>
              <w:t>Afghanistan;</w:t>
            </w:r>
            <w:proofErr w:type="gramEnd"/>
          </w:p>
          <w:p w14:paraId="44DD94D4" w14:textId="77777777" w:rsidR="00B60355" w:rsidRPr="0082124F" w:rsidRDefault="00B60355" w:rsidP="00B60355">
            <w:pPr>
              <w:pStyle w:val="tablea"/>
              <w:spacing w:before="60" w:beforeAutospacing="0" w:after="0" w:afterAutospacing="0"/>
              <w:ind w:left="284" w:hanging="284"/>
              <w:rPr>
                <w:color w:val="000000"/>
                <w:sz w:val="22"/>
                <w:szCs w:val="22"/>
              </w:rPr>
            </w:pPr>
            <w:r w:rsidRPr="0082124F">
              <w:rPr>
                <w:color w:val="000000"/>
                <w:sz w:val="22"/>
                <w:szCs w:val="22"/>
              </w:rPr>
              <w:t xml:space="preserve">(b) the land area, territorial waters, airspace and </w:t>
            </w:r>
            <w:proofErr w:type="spellStart"/>
            <w:r w:rsidRPr="0082124F">
              <w:rPr>
                <w:color w:val="000000"/>
                <w:sz w:val="22"/>
                <w:szCs w:val="22"/>
              </w:rPr>
              <w:t>superjacent</w:t>
            </w:r>
            <w:proofErr w:type="spellEnd"/>
            <w:r w:rsidRPr="0082124F">
              <w:rPr>
                <w:color w:val="000000"/>
                <w:sz w:val="22"/>
                <w:szCs w:val="22"/>
              </w:rPr>
              <w:t xml:space="preserve"> airspace of the following countries:</w:t>
            </w:r>
          </w:p>
          <w:p w14:paraId="03A35539" w14:textId="77777777" w:rsidR="00B60355" w:rsidRPr="0082124F" w:rsidRDefault="00B60355" w:rsidP="00B60355">
            <w:pPr>
              <w:pStyle w:val="tablei"/>
              <w:spacing w:before="0" w:beforeAutospacing="0" w:after="0" w:afterAutospacing="0" w:line="240" w:lineRule="atLeast"/>
              <w:ind w:left="828" w:hanging="284"/>
              <w:rPr>
                <w:color w:val="000000"/>
                <w:sz w:val="22"/>
                <w:szCs w:val="22"/>
              </w:rPr>
            </w:pPr>
            <w:r w:rsidRPr="0082124F">
              <w:rPr>
                <w:color w:val="000000"/>
                <w:sz w:val="22"/>
                <w:szCs w:val="22"/>
              </w:rPr>
              <w:t>(</w:t>
            </w:r>
            <w:proofErr w:type="spellStart"/>
            <w:r w:rsidRPr="0082124F">
              <w:rPr>
                <w:color w:val="000000"/>
                <w:sz w:val="22"/>
                <w:szCs w:val="22"/>
              </w:rPr>
              <w:t>i</w:t>
            </w:r>
            <w:proofErr w:type="spellEnd"/>
            <w:r w:rsidRPr="0082124F">
              <w:rPr>
                <w:color w:val="000000"/>
                <w:sz w:val="22"/>
                <w:szCs w:val="22"/>
              </w:rPr>
              <w:t xml:space="preserve">) </w:t>
            </w:r>
            <w:proofErr w:type="gramStart"/>
            <w:r w:rsidRPr="0082124F">
              <w:rPr>
                <w:color w:val="000000"/>
                <w:sz w:val="22"/>
                <w:szCs w:val="22"/>
              </w:rPr>
              <w:t>Iraq;</w:t>
            </w:r>
            <w:proofErr w:type="gramEnd"/>
          </w:p>
          <w:p w14:paraId="2C0914C5" w14:textId="77777777" w:rsidR="00B60355" w:rsidRPr="0082124F" w:rsidRDefault="00B60355" w:rsidP="00B60355">
            <w:pPr>
              <w:pStyle w:val="tablei"/>
              <w:spacing w:before="0" w:beforeAutospacing="0" w:after="0" w:afterAutospacing="0" w:line="240" w:lineRule="atLeast"/>
              <w:ind w:left="828" w:hanging="284"/>
              <w:rPr>
                <w:color w:val="000000"/>
                <w:sz w:val="22"/>
                <w:szCs w:val="22"/>
              </w:rPr>
            </w:pPr>
            <w:r w:rsidRPr="0082124F">
              <w:rPr>
                <w:color w:val="000000"/>
                <w:sz w:val="22"/>
                <w:szCs w:val="22"/>
              </w:rPr>
              <w:t xml:space="preserve">(ii) </w:t>
            </w:r>
            <w:proofErr w:type="gramStart"/>
            <w:r w:rsidRPr="0082124F">
              <w:rPr>
                <w:color w:val="000000"/>
                <w:sz w:val="22"/>
                <w:szCs w:val="22"/>
              </w:rPr>
              <w:t>Jordan;</w:t>
            </w:r>
            <w:proofErr w:type="gramEnd"/>
          </w:p>
          <w:p w14:paraId="736E91B8" w14:textId="77777777" w:rsidR="00B60355" w:rsidRPr="0082124F" w:rsidRDefault="00B60355" w:rsidP="00B60355">
            <w:pPr>
              <w:pStyle w:val="tablei"/>
              <w:spacing w:before="0" w:beforeAutospacing="0" w:after="0" w:afterAutospacing="0" w:line="240" w:lineRule="atLeast"/>
              <w:ind w:left="828" w:hanging="284"/>
              <w:rPr>
                <w:color w:val="000000"/>
                <w:sz w:val="22"/>
                <w:szCs w:val="22"/>
              </w:rPr>
            </w:pPr>
            <w:r w:rsidRPr="0082124F">
              <w:rPr>
                <w:color w:val="000000"/>
                <w:sz w:val="22"/>
                <w:szCs w:val="22"/>
              </w:rPr>
              <w:t xml:space="preserve">(iii) </w:t>
            </w:r>
            <w:proofErr w:type="gramStart"/>
            <w:r w:rsidRPr="0082124F">
              <w:rPr>
                <w:color w:val="000000"/>
                <w:sz w:val="22"/>
                <w:szCs w:val="22"/>
              </w:rPr>
              <w:t>Syria;</w:t>
            </w:r>
            <w:proofErr w:type="gramEnd"/>
          </w:p>
          <w:p w14:paraId="6DA45AF8" w14:textId="4E8F3720" w:rsidR="00B60355" w:rsidRPr="0082124F" w:rsidRDefault="00B60355" w:rsidP="00E35EA0">
            <w:pPr>
              <w:pStyle w:val="tablei"/>
              <w:spacing w:before="0" w:beforeAutospacing="0" w:after="0" w:afterAutospacing="0" w:line="240" w:lineRule="atLeast"/>
              <w:ind w:left="828" w:hanging="284"/>
              <w:rPr>
                <w:color w:val="000000"/>
                <w:sz w:val="22"/>
                <w:szCs w:val="22"/>
              </w:rPr>
            </w:pPr>
            <w:r w:rsidRPr="7BF74F29">
              <w:rPr>
                <w:color w:val="000000" w:themeColor="text1"/>
                <w:sz w:val="22"/>
                <w:szCs w:val="22"/>
              </w:rPr>
              <w:t>(iv) the United Arab Emirates</w:t>
            </w:r>
          </w:p>
        </w:tc>
        <w:tc>
          <w:tcPr>
            <w:tcW w:w="1490"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Mar>
              <w:top w:w="0" w:type="dxa"/>
              <w:left w:w="101" w:type="dxa"/>
              <w:bottom w:w="0" w:type="dxa"/>
              <w:right w:w="101" w:type="dxa"/>
            </w:tcMar>
          </w:tcPr>
          <w:p w14:paraId="5542BFAC" w14:textId="0B637C99" w:rsidR="00B60355" w:rsidRPr="0082124F" w:rsidRDefault="00B60355" w:rsidP="00B60355">
            <w:pPr>
              <w:spacing w:before="240" w:after="200"/>
              <w:rPr>
                <w:b/>
                <w:bCs/>
                <w:sz w:val="22"/>
                <w:szCs w:val="22"/>
              </w:rPr>
            </w:pPr>
            <w:r w:rsidRPr="0082124F">
              <w:rPr>
                <w:color w:val="000000"/>
                <w:sz w:val="22"/>
                <w:szCs w:val="22"/>
              </w:rPr>
              <w:t>3 July 2014</w:t>
            </w:r>
          </w:p>
        </w:tc>
        <w:tc>
          <w:tcPr>
            <w:tcW w:w="1490" w:type="dxa"/>
            <w:tcBorders>
              <w:top w:val="single" w:sz="4" w:space="0" w:color="auto"/>
              <w:left w:val="single" w:sz="6" w:space="0" w:color="000000" w:themeColor="text1"/>
              <w:bottom w:val="single" w:sz="6" w:space="0" w:color="000000" w:themeColor="text1"/>
            </w:tcBorders>
            <w:shd w:val="clear" w:color="auto" w:fill="auto"/>
            <w:tcMar>
              <w:top w:w="0" w:type="dxa"/>
              <w:left w:w="101" w:type="dxa"/>
              <w:bottom w:w="0" w:type="dxa"/>
              <w:right w:w="101" w:type="dxa"/>
            </w:tcMar>
          </w:tcPr>
          <w:p w14:paraId="7CC012C1" w14:textId="77777777" w:rsidR="00B60355" w:rsidRPr="0082124F" w:rsidRDefault="00B60355" w:rsidP="00B60355">
            <w:pPr>
              <w:spacing w:before="240" w:after="200"/>
              <w:rPr>
                <w:b/>
                <w:bCs/>
                <w:sz w:val="22"/>
                <w:szCs w:val="22"/>
              </w:rPr>
            </w:pPr>
          </w:p>
        </w:tc>
      </w:tr>
      <w:tr w:rsidR="00BF3EFE" w:rsidRPr="0082124F" w14:paraId="2535EFF0" w14:textId="77777777" w:rsidTr="7BF74F29">
        <w:trPr>
          <w:tblHeader/>
        </w:trPr>
        <w:tc>
          <w:tcPr>
            <w:tcW w:w="682" w:type="dxa"/>
            <w:tcBorders>
              <w:top w:val="single" w:sz="4" w:space="0" w:color="auto"/>
              <w:bottom w:val="single" w:sz="6" w:space="0" w:color="000000" w:themeColor="text1"/>
              <w:right w:val="single" w:sz="6" w:space="0" w:color="000000" w:themeColor="text1"/>
            </w:tcBorders>
            <w:shd w:val="clear" w:color="auto" w:fill="auto"/>
            <w:tcMar>
              <w:top w:w="0" w:type="dxa"/>
              <w:left w:w="101" w:type="dxa"/>
              <w:bottom w:w="0" w:type="dxa"/>
              <w:right w:w="101" w:type="dxa"/>
            </w:tcMar>
          </w:tcPr>
          <w:p w14:paraId="5E201CF2" w14:textId="1BA9D92B" w:rsidR="00BF3EFE" w:rsidRPr="0082124F" w:rsidRDefault="00BF3EFE" w:rsidP="00BF3EFE">
            <w:pPr>
              <w:spacing w:before="240" w:after="200"/>
              <w:rPr>
                <w:sz w:val="22"/>
                <w:szCs w:val="22"/>
              </w:rPr>
            </w:pPr>
            <w:r w:rsidRPr="0082124F">
              <w:rPr>
                <w:sz w:val="22"/>
                <w:szCs w:val="22"/>
              </w:rPr>
              <w:t>3</w:t>
            </w:r>
          </w:p>
        </w:tc>
        <w:tc>
          <w:tcPr>
            <w:tcW w:w="1549"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Mar>
              <w:top w:w="0" w:type="dxa"/>
              <w:left w:w="101" w:type="dxa"/>
              <w:bottom w:w="0" w:type="dxa"/>
              <w:right w:w="101" w:type="dxa"/>
            </w:tcMar>
          </w:tcPr>
          <w:p w14:paraId="110355AB" w14:textId="15C73AF7" w:rsidR="00BF3EFE" w:rsidRPr="0082124F" w:rsidRDefault="00BF3EFE" w:rsidP="00BF3EFE">
            <w:pPr>
              <w:spacing w:before="240" w:after="200"/>
              <w:rPr>
                <w:b/>
                <w:bCs/>
                <w:sz w:val="22"/>
                <w:szCs w:val="22"/>
              </w:rPr>
            </w:pPr>
            <w:r w:rsidRPr="0082124F">
              <w:rPr>
                <w:color w:val="000000"/>
                <w:sz w:val="22"/>
                <w:szCs w:val="22"/>
              </w:rPr>
              <w:t>Australian Defence Force on Operation Manitou</w:t>
            </w:r>
          </w:p>
        </w:tc>
        <w:tc>
          <w:tcPr>
            <w:tcW w:w="2524"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Mar>
              <w:top w:w="0" w:type="dxa"/>
              <w:left w:w="101" w:type="dxa"/>
              <w:bottom w:w="0" w:type="dxa"/>
              <w:right w:w="101" w:type="dxa"/>
            </w:tcMar>
          </w:tcPr>
          <w:p w14:paraId="172DC5FD" w14:textId="778286ED" w:rsidR="00BF3EFE" w:rsidRPr="0082124F" w:rsidRDefault="00BF3EFE" w:rsidP="00BF3EFE">
            <w:pPr>
              <w:pStyle w:val="tabletext"/>
              <w:spacing w:before="60" w:beforeAutospacing="0" w:after="0" w:afterAutospacing="0" w:line="240" w:lineRule="atLeast"/>
              <w:rPr>
                <w:color w:val="000000"/>
                <w:sz w:val="22"/>
                <w:szCs w:val="22"/>
              </w:rPr>
            </w:pPr>
            <w:r w:rsidRPr="0082124F">
              <w:rPr>
                <w:color w:val="000000"/>
                <w:sz w:val="22"/>
                <w:szCs w:val="22"/>
              </w:rPr>
              <w:t xml:space="preserve">The sea (including adjacent ports and the area within </w:t>
            </w:r>
            <w:proofErr w:type="gramStart"/>
            <w:r w:rsidRPr="0082124F">
              <w:rPr>
                <w:color w:val="000000"/>
                <w:sz w:val="22"/>
                <w:szCs w:val="22"/>
              </w:rPr>
              <w:t>a 10</w:t>
            </w:r>
            <w:r w:rsidR="00E9210A">
              <w:rPr>
                <w:color w:val="000000"/>
                <w:sz w:val="22"/>
                <w:szCs w:val="22"/>
              </w:rPr>
              <w:t xml:space="preserve"> </w:t>
            </w:r>
            <w:r w:rsidRPr="0082124F">
              <w:rPr>
                <w:color w:val="000000"/>
                <w:sz w:val="22"/>
                <w:szCs w:val="22"/>
              </w:rPr>
              <w:t>kilometre</w:t>
            </w:r>
            <w:r w:rsidR="00E9210A">
              <w:rPr>
                <w:color w:val="000000"/>
                <w:sz w:val="22"/>
                <w:szCs w:val="22"/>
              </w:rPr>
              <w:t>s</w:t>
            </w:r>
            <w:proofErr w:type="gramEnd"/>
            <w:r w:rsidRPr="0082124F">
              <w:rPr>
                <w:color w:val="000000"/>
                <w:sz w:val="22"/>
                <w:szCs w:val="22"/>
              </w:rPr>
              <w:t xml:space="preserve"> radius of such ports) and </w:t>
            </w:r>
            <w:proofErr w:type="spellStart"/>
            <w:r w:rsidRPr="0082124F">
              <w:rPr>
                <w:color w:val="000000"/>
                <w:sz w:val="22"/>
                <w:szCs w:val="22"/>
              </w:rPr>
              <w:t>superjacent</w:t>
            </w:r>
            <w:proofErr w:type="spellEnd"/>
            <w:r w:rsidRPr="0082124F">
              <w:rPr>
                <w:color w:val="000000"/>
                <w:sz w:val="22"/>
                <w:szCs w:val="22"/>
              </w:rPr>
              <w:t xml:space="preserve"> airspace of the following:</w:t>
            </w:r>
          </w:p>
          <w:p w14:paraId="52112D7C" w14:textId="77777777" w:rsidR="00BF3EFE" w:rsidRPr="0082124F" w:rsidRDefault="00BF3EFE" w:rsidP="00BF3EFE">
            <w:pPr>
              <w:pStyle w:val="tablea"/>
              <w:spacing w:before="60" w:beforeAutospacing="0" w:after="0" w:afterAutospacing="0"/>
              <w:ind w:left="284" w:hanging="284"/>
              <w:rPr>
                <w:color w:val="000000"/>
                <w:sz w:val="22"/>
                <w:szCs w:val="22"/>
              </w:rPr>
            </w:pPr>
            <w:r w:rsidRPr="0082124F">
              <w:rPr>
                <w:color w:val="000000"/>
                <w:sz w:val="22"/>
                <w:szCs w:val="22"/>
              </w:rPr>
              <w:t xml:space="preserve">(a) the Gulf of </w:t>
            </w:r>
            <w:proofErr w:type="gramStart"/>
            <w:r w:rsidRPr="0082124F">
              <w:rPr>
                <w:color w:val="000000"/>
                <w:sz w:val="22"/>
                <w:szCs w:val="22"/>
              </w:rPr>
              <w:t>Aden;</w:t>
            </w:r>
            <w:proofErr w:type="gramEnd"/>
          </w:p>
          <w:p w14:paraId="780ADF2F" w14:textId="77777777" w:rsidR="00BF3EFE" w:rsidRPr="0082124F" w:rsidRDefault="00BF3EFE" w:rsidP="00BF3EFE">
            <w:pPr>
              <w:pStyle w:val="tablea"/>
              <w:spacing w:before="60" w:beforeAutospacing="0" w:after="0" w:afterAutospacing="0"/>
              <w:ind w:left="284" w:hanging="284"/>
              <w:rPr>
                <w:color w:val="000000"/>
                <w:sz w:val="22"/>
                <w:szCs w:val="22"/>
              </w:rPr>
            </w:pPr>
            <w:r w:rsidRPr="0082124F">
              <w:rPr>
                <w:color w:val="000000"/>
                <w:sz w:val="22"/>
                <w:szCs w:val="22"/>
              </w:rPr>
              <w:t xml:space="preserve">(b) the Gulf of </w:t>
            </w:r>
            <w:proofErr w:type="gramStart"/>
            <w:r w:rsidRPr="0082124F">
              <w:rPr>
                <w:color w:val="000000"/>
                <w:sz w:val="22"/>
                <w:szCs w:val="22"/>
              </w:rPr>
              <w:t>Aqaba;</w:t>
            </w:r>
            <w:proofErr w:type="gramEnd"/>
          </w:p>
          <w:p w14:paraId="542118EA" w14:textId="77777777" w:rsidR="00BF3EFE" w:rsidRPr="0082124F" w:rsidRDefault="00BF3EFE" w:rsidP="00BF3EFE">
            <w:pPr>
              <w:pStyle w:val="tablea"/>
              <w:spacing w:before="60" w:beforeAutospacing="0" w:after="0" w:afterAutospacing="0"/>
              <w:ind w:left="284" w:hanging="284"/>
              <w:rPr>
                <w:color w:val="000000"/>
                <w:sz w:val="22"/>
                <w:szCs w:val="22"/>
              </w:rPr>
            </w:pPr>
            <w:r w:rsidRPr="0082124F">
              <w:rPr>
                <w:color w:val="000000"/>
                <w:sz w:val="22"/>
                <w:szCs w:val="22"/>
              </w:rPr>
              <w:t xml:space="preserve">(c) the Gulf of </w:t>
            </w:r>
            <w:proofErr w:type="gramStart"/>
            <w:r w:rsidRPr="0082124F">
              <w:rPr>
                <w:color w:val="000000"/>
                <w:sz w:val="22"/>
                <w:szCs w:val="22"/>
              </w:rPr>
              <w:t>Oman;</w:t>
            </w:r>
            <w:proofErr w:type="gramEnd"/>
          </w:p>
          <w:p w14:paraId="14C5B92E" w14:textId="77777777" w:rsidR="00BF3EFE" w:rsidRPr="0082124F" w:rsidRDefault="00BF3EFE" w:rsidP="00BF3EFE">
            <w:pPr>
              <w:pStyle w:val="tablea"/>
              <w:spacing w:before="60" w:beforeAutospacing="0" w:after="0" w:afterAutospacing="0"/>
              <w:ind w:left="284" w:hanging="284"/>
              <w:rPr>
                <w:color w:val="000000"/>
                <w:sz w:val="22"/>
                <w:szCs w:val="22"/>
              </w:rPr>
            </w:pPr>
            <w:r w:rsidRPr="0082124F">
              <w:rPr>
                <w:color w:val="000000"/>
                <w:sz w:val="22"/>
                <w:szCs w:val="22"/>
              </w:rPr>
              <w:t xml:space="preserve">(d) the Gulf of </w:t>
            </w:r>
            <w:proofErr w:type="gramStart"/>
            <w:r w:rsidRPr="0082124F">
              <w:rPr>
                <w:color w:val="000000"/>
                <w:sz w:val="22"/>
                <w:szCs w:val="22"/>
              </w:rPr>
              <w:t>Suez;</w:t>
            </w:r>
            <w:proofErr w:type="gramEnd"/>
          </w:p>
          <w:p w14:paraId="005DC9F8" w14:textId="77777777" w:rsidR="00BF3EFE" w:rsidRPr="0082124F" w:rsidRDefault="00BF3EFE" w:rsidP="00BF3EFE">
            <w:pPr>
              <w:pStyle w:val="tablea"/>
              <w:spacing w:before="60" w:beforeAutospacing="0" w:after="0" w:afterAutospacing="0"/>
              <w:ind w:left="284" w:hanging="284"/>
              <w:rPr>
                <w:color w:val="000000"/>
                <w:sz w:val="22"/>
                <w:szCs w:val="22"/>
              </w:rPr>
            </w:pPr>
            <w:r w:rsidRPr="0082124F">
              <w:rPr>
                <w:color w:val="000000"/>
                <w:sz w:val="22"/>
                <w:szCs w:val="22"/>
              </w:rPr>
              <w:t>(e) the Indian Ocean north of latitude 15°S and west of longitude 70°</w:t>
            </w:r>
            <w:proofErr w:type="gramStart"/>
            <w:r w:rsidRPr="0082124F">
              <w:rPr>
                <w:color w:val="000000"/>
                <w:sz w:val="22"/>
                <w:szCs w:val="22"/>
              </w:rPr>
              <w:t>E;</w:t>
            </w:r>
            <w:proofErr w:type="gramEnd"/>
          </w:p>
          <w:p w14:paraId="2919E1AC" w14:textId="77777777" w:rsidR="00BF3EFE" w:rsidRPr="0082124F" w:rsidRDefault="00BF3EFE" w:rsidP="00BF3EFE">
            <w:pPr>
              <w:pStyle w:val="tablea"/>
              <w:spacing w:before="60" w:beforeAutospacing="0" w:after="0" w:afterAutospacing="0"/>
              <w:ind w:left="284" w:hanging="284"/>
              <w:rPr>
                <w:color w:val="000000"/>
                <w:sz w:val="22"/>
                <w:szCs w:val="22"/>
              </w:rPr>
            </w:pPr>
            <w:r w:rsidRPr="0082124F">
              <w:rPr>
                <w:color w:val="000000"/>
                <w:sz w:val="22"/>
                <w:szCs w:val="22"/>
              </w:rPr>
              <w:t xml:space="preserve">(f) the Persian </w:t>
            </w:r>
            <w:proofErr w:type="gramStart"/>
            <w:r w:rsidRPr="0082124F">
              <w:rPr>
                <w:color w:val="000000"/>
                <w:sz w:val="22"/>
                <w:szCs w:val="22"/>
              </w:rPr>
              <w:t>Gulf;</w:t>
            </w:r>
            <w:proofErr w:type="gramEnd"/>
          </w:p>
          <w:p w14:paraId="60F34E43" w14:textId="74373DF6" w:rsidR="00BF3EFE" w:rsidRPr="0082124F" w:rsidRDefault="00BF3EFE" w:rsidP="00BF3EFE">
            <w:pPr>
              <w:pStyle w:val="tablea"/>
              <w:spacing w:before="60" w:beforeAutospacing="0" w:after="0" w:afterAutospacing="0"/>
              <w:ind w:left="284" w:hanging="284"/>
              <w:rPr>
                <w:color w:val="000000"/>
                <w:sz w:val="22"/>
                <w:szCs w:val="22"/>
              </w:rPr>
            </w:pPr>
            <w:r w:rsidRPr="7BF74F29">
              <w:rPr>
                <w:color w:val="000000" w:themeColor="text1"/>
                <w:sz w:val="22"/>
                <w:szCs w:val="22"/>
              </w:rPr>
              <w:t xml:space="preserve">(g) the Red </w:t>
            </w:r>
            <w:proofErr w:type="gramStart"/>
            <w:r w:rsidRPr="7BF74F29">
              <w:rPr>
                <w:color w:val="000000" w:themeColor="text1"/>
                <w:sz w:val="22"/>
                <w:szCs w:val="22"/>
              </w:rPr>
              <w:t>Sea;</w:t>
            </w:r>
            <w:proofErr w:type="gramEnd"/>
            <w:r w:rsidR="009D4222" w:rsidRPr="7BF74F29">
              <w:rPr>
                <w:color w:val="000000" w:themeColor="text1"/>
                <w:sz w:val="22"/>
                <w:szCs w:val="22"/>
              </w:rPr>
              <w:t xml:space="preserve"> </w:t>
            </w:r>
          </w:p>
          <w:p w14:paraId="47FA4E39" w14:textId="710E5334" w:rsidR="00BF3EFE" w:rsidRPr="0082124F" w:rsidRDefault="00BF3EFE" w:rsidP="00E35EA0">
            <w:pPr>
              <w:pStyle w:val="tablea"/>
              <w:spacing w:before="60" w:beforeAutospacing="0" w:after="0" w:afterAutospacing="0"/>
              <w:ind w:left="284" w:hanging="284"/>
              <w:rPr>
                <w:b/>
                <w:bCs/>
                <w:sz w:val="22"/>
                <w:szCs w:val="22"/>
              </w:rPr>
            </w:pPr>
            <w:r w:rsidRPr="0082124F">
              <w:rPr>
                <w:color w:val="000000"/>
                <w:sz w:val="22"/>
                <w:szCs w:val="22"/>
              </w:rPr>
              <w:t>(h) the Strait of Hormuz</w:t>
            </w:r>
          </w:p>
        </w:tc>
        <w:tc>
          <w:tcPr>
            <w:tcW w:w="1490"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Mar>
              <w:top w:w="0" w:type="dxa"/>
              <w:left w:w="101" w:type="dxa"/>
              <w:bottom w:w="0" w:type="dxa"/>
              <w:right w:w="101" w:type="dxa"/>
            </w:tcMar>
          </w:tcPr>
          <w:p w14:paraId="6897B706" w14:textId="4D9ADD30" w:rsidR="00BF3EFE" w:rsidRPr="0082124F" w:rsidRDefault="00BF3EFE" w:rsidP="00BF3EFE">
            <w:pPr>
              <w:spacing w:before="240" w:after="200"/>
              <w:rPr>
                <w:b/>
                <w:bCs/>
                <w:sz w:val="22"/>
                <w:szCs w:val="22"/>
              </w:rPr>
            </w:pPr>
            <w:r w:rsidRPr="0082124F">
              <w:rPr>
                <w:color w:val="000000"/>
                <w:sz w:val="22"/>
                <w:szCs w:val="22"/>
              </w:rPr>
              <w:t>14 May 2015</w:t>
            </w:r>
          </w:p>
        </w:tc>
        <w:tc>
          <w:tcPr>
            <w:tcW w:w="1490" w:type="dxa"/>
            <w:tcBorders>
              <w:top w:val="single" w:sz="4" w:space="0" w:color="auto"/>
              <w:left w:val="single" w:sz="6" w:space="0" w:color="000000" w:themeColor="text1"/>
              <w:bottom w:val="single" w:sz="6" w:space="0" w:color="000000" w:themeColor="text1"/>
            </w:tcBorders>
            <w:shd w:val="clear" w:color="auto" w:fill="auto"/>
            <w:tcMar>
              <w:top w:w="0" w:type="dxa"/>
              <w:left w:w="101" w:type="dxa"/>
              <w:bottom w:w="0" w:type="dxa"/>
              <w:right w:w="101" w:type="dxa"/>
            </w:tcMar>
          </w:tcPr>
          <w:p w14:paraId="1F55449D" w14:textId="77777777" w:rsidR="00BF3EFE" w:rsidRPr="0082124F" w:rsidRDefault="00BF3EFE" w:rsidP="00BF3EFE">
            <w:pPr>
              <w:spacing w:before="240" w:after="200"/>
              <w:rPr>
                <w:b/>
                <w:bCs/>
                <w:sz w:val="22"/>
                <w:szCs w:val="22"/>
              </w:rPr>
            </w:pPr>
          </w:p>
        </w:tc>
      </w:tr>
      <w:tr w:rsidR="00E35EA0" w:rsidRPr="0082124F" w14:paraId="3D663521" w14:textId="77777777" w:rsidTr="7BF74F29">
        <w:trPr>
          <w:tblHeader/>
        </w:trPr>
        <w:tc>
          <w:tcPr>
            <w:tcW w:w="682" w:type="dxa"/>
            <w:tcBorders>
              <w:top w:val="single" w:sz="4" w:space="0" w:color="auto"/>
              <w:bottom w:val="single" w:sz="6" w:space="0" w:color="000000" w:themeColor="text1"/>
              <w:right w:val="single" w:sz="6" w:space="0" w:color="000000" w:themeColor="text1"/>
            </w:tcBorders>
            <w:shd w:val="clear" w:color="auto" w:fill="auto"/>
            <w:tcMar>
              <w:top w:w="0" w:type="dxa"/>
              <w:left w:w="101" w:type="dxa"/>
              <w:bottom w:w="0" w:type="dxa"/>
              <w:right w:w="101" w:type="dxa"/>
            </w:tcMar>
          </w:tcPr>
          <w:p w14:paraId="50350A5C" w14:textId="79BED785" w:rsidR="00E35EA0" w:rsidRPr="0082124F" w:rsidRDefault="00E35EA0" w:rsidP="00E35EA0">
            <w:pPr>
              <w:spacing w:before="240" w:after="200"/>
              <w:rPr>
                <w:sz w:val="22"/>
                <w:szCs w:val="22"/>
              </w:rPr>
            </w:pPr>
            <w:r w:rsidRPr="0082124F">
              <w:rPr>
                <w:sz w:val="22"/>
                <w:szCs w:val="22"/>
              </w:rPr>
              <w:lastRenderedPageBreak/>
              <w:t>4</w:t>
            </w:r>
          </w:p>
        </w:tc>
        <w:tc>
          <w:tcPr>
            <w:tcW w:w="1549"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Mar>
              <w:top w:w="0" w:type="dxa"/>
              <w:left w:w="101" w:type="dxa"/>
              <w:bottom w:w="0" w:type="dxa"/>
              <w:right w:w="101" w:type="dxa"/>
            </w:tcMar>
          </w:tcPr>
          <w:p w14:paraId="1DDB40C5" w14:textId="746FD5F4" w:rsidR="00E35EA0" w:rsidRPr="0082124F" w:rsidRDefault="00E35EA0" w:rsidP="00E35EA0">
            <w:pPr>
              <w:spacing w:before="240" w:after="200"/>
              <w:rPr>
                <w:b/>
                <w:bCs/>
                <w:sz w:val="22"/>
                <w:szCs w:val="22"/>
              </w:rPr>
            </w:pPr>
            <w:r w:rsidRPr="0082124F">
              <w:rPr>
                <w:color w:val="000000"/>
                <w:sz w:val="22"/>
                <w:szCs w:val="22"/>
              </w:rPr>
              <w:t>Australian Defence Force on Operation Paladin</w:t>
            </w:r>
          </w:p>
        </w:tc>
        <w:tc>
          <w:tcPr>
            <w:tcW w:w="2524"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Mar>
              <w:top w:w="0" w:type="dxa"/>
              <w:left w:w="101" w:type="dxa"/>
              <w:bottom w:w="0" w:type="dxa"/>
              <w:right w:w="101" w:type="dxa"/>
            </w:tcMar>
          </w:tcPr>
          <w:p w14:paraId="016FF9A4" w14:textId="77777777" w:rsidR="00E35EA0" w:rsidRPr="0082124F" w:rsidRDefault="00E35EA0" w:rsidP="00E35EA0">
            <w:pPr>
              <w:pStyle w:val="tabletext"/>
              <w:spacing w:before="60" w:beforeAutospacing="0" w:after="0" w:afterAutospacing="0" w:line="240" w:lineRule="atLeast"/>
              <w:rPr>
                <w:color w:val="000000"/>
                <w:sz w:val="22"/>
                <w:szCs w:val="22"/>
              </w:rPr>
            </w:pPr>
            <w:r w:rsidRPr="0082124F">
              <w:rPr>
                <w:color w:val="000000"/>
                <w:sz w:val="22"/>
                <w:szCs w:val="22"/>
              </w:rPr>
              <w:t xml:space="preserve">The land area, territorial waters, airspace and </w:t>
            </w:r>
            <w:proofErr w:type="spellStart"/>
            <w:r w:rsidRPr="0082124F">
              <w:rPr>
                <w:color w:val="000000"/>
                <w:sz w:val="22"/>
                <w:szCs w:val="22"/>
              </w:rPr>
              <w:t>superjacent</w:t>
            </w:r>
            <w:proofErr w:type="spellEnd"/>
            <w:r w:rsidRPr="0082124F">
              <w:rPr>
                <w:color w:val="000000"/>
                <w:sz w:val="22"/>
                <w:szCs w:val="22"/>
              </w:rPr>
              <w:t xml:space="preserve"> airspace of the following countries:</w:t>
            </w:r>
          </w:p>
          <w:p w14:paraId="3FC8AFC4" w14:textId="77777777" w:rsidR="00E35EA0" w:rsidRPr="0082124F" w:rsidRDefault="00E35EA0" w:rsidP="00E35EA0">
            <w:pPr>
              <w:pStyle w:val="tablea"/>
              <w:spacing w:before="60" w:beforeAutospacing="0" w:after="0" w:afterAutospacing="0"/>
              <w:ind w:left="284" w:hanging="284"/>
              <w:rPr>
                <w:color w:val="000000"/>
                <w:sz w:val="22"/>
                <w:szCs w:val="22"/>
              </w:rPr>
            </w:pPr>
            <w:r w:rsidRPr="0082124F">
              <w:rPr>
                <w:color w:val="000000"/>
                <w:sz w:val="22"/>
                <w:szCs w:val="22"/>
              </w:rPr>
              <w:t xml:space="preserve">(a) </w:t>
            </w:r>
            <w:proofErr w:type="gramStart"/>
            <w:r w:rsidRPr="0082124F">
              <w:rPr>
                <w:color w:val="000000"/>
                <w:sz w:val="22"/>
                <w:szCs w:val="22"/>
              </w:rPr>
              <w:t>Egypt;</w:t>
            </w:r>
            <w:proofErr w:type="gramEnd"/>
          </w:p>
          <w:p w14:paraId="110BCBF9" w14:textId="77777777" w:rsidR="00E35EA0" w:rsidRPr="0082124F" w:rsidRDefault="00E35EA0" w:rsidP="00E35EA0">
            <w:pPr>
              <w:pStyle w:val="tablea"/>
              <w:spacing w:before="60" w:beforeAutospacing="0" w:after="0" w:afterAutospacing="0"/>
              <w:ind w:left="284" w:hanging="284"/>
              <w:rPr>
                <w:color w:val="000000"/>
                <w:sz w:val="22"/>
                <w:szCs w:val="22"/>
              </w:rPr>
            </w:pPr>
            <w:r w:rsidRPr="0082124F">
              <w:rPr>
                <w:color w:val="000000"/>
                <w:sz w:val="22"/>
                <w:szCs w:val="22"/>
              </w:rPr>
              <w:t xml:space="preserve">(b) </w:t>
            </w:r>
            <w:proofErr w:type="gramStart"/>
            <w:r w:rsidRPr="0082124F">
              <w:rPr>
                <w:color w:val="000000"/>
                <w:sz w:val="22"/>
                <w:szCs w:val="22"/>
              </w:rPr>
              <w:t>Israel;</w:t>
            </w:r>
            <w:proofErr w:type="gramEnd"/>
          </w:p>
          <w:p w14:paraId="0C9CBF44" w14:textId="77777777" w:rsidR="00E35EA0" w:rsidRPr="0082124F" w:rsidRDefault="00E35EA0" w:rsidP="00E35EA0">
            <w:pPr>
              <w:pStyle w:val="tablea"/>
              <w:spacing w:before="60" w:beforeAutospacing="0" w:after="0" w:afterAutospacing="0"/>
              <w:ind w:left="284" w:hanging="284"/>
              <w:rPr>
                <w:color w:val="000000"/>
                <w:sz w:val="22"/>
                <w:szCs w:val="22"/>
              </w:rPr>
            </w:pPr>
            <w:r w:rsidRPr="0082124F">
              <w:rPr>
                <w:color w:val="000000"/>
                <w:sz w:val="22"/>
                <w:szCs w:val="22"/>
              </w:rPr>
              <w:t xml:space="preserve">(c) </w:t>
            </w:r>
            <w:proofErr w:type="gramStart"/>
            <w:r w:rsidRPr="0082124F">
              <w:rPr>
                <w:color w:val="000000"/>
                <w:sz w:val="22"/>
                <w:szCs w:val="22"/>
              </w:rPr>
              <w:t>Jordan;</w:t>
            </w:r>
            <w:proofErr w:type="gramEnd"/>
          </w:p>
          <w:p w14:paraId="746242D5" w14:textId="77777777" w:rsidR="00E35EA0" w:rsidRPr="0082124F" w:rsidRDefault="00E35EA0" w:rsidP="00E35EA0">
            <w:pPr>
              <w:pStyle w:val="tablea"/>
              <w:spacing w:before="60" w:beforeAutospacing="0" w:after="0" w:afterAutospacing="0"/>
              <w:ind w:left="284" w:hanging="284"/>
              <w:rPr>
                <w:color w:val="000000"/>
                <w:sz w:val="22"/>
                <w:szCs w:val="22"/>
              </w:rPr>
            </w:pPr>
            <w:r w:rsidRPr="0082124F">
              <w:rPr>
                <w:color w:val="000000"/>
                <w:sz w:val="22"/>
                <w:szCs w:val="22"/>
              </w:rPr>
              <w:t xml:space="preserve">(d) </w:t>
            </w:r>
            <w:proofErr w:type="gramStart"/>
            <w:r w:rsidRPr="0082124F">
              <w:rPr>
                <w:color w:val="000000"/>
                <w:sz w:val="22"/>
                <w:szCs w:val="22"/>
              </w:rPr>
              <w:t>Lebanon;</w:t>
            </w:r>
            <w:proofErr w:type="gramEnd"/>
          </w:p>
          <w:p w14:paraId="7F5074C5" w14:textId="78AAC8E1" w:rsidR="00E35EA0" w:rsidRPr="0082124F" w:rsidRDefault="00E35EA0" w:rsidP="00D31DC2">
            <w:pPr>
              <w:pStyle w:val="tablea"/>
              <w:spacing w:before="60" w:beforeAutospacing="0" w:after="0" w:afterAutospacing="0"/>
              <w:ind w:left="284" w:hanging="284"/>
              <w:rPr>
                <w:b/>
                <w:bCs/>
                <w:sz w:val="22"/>
                <w:szCs w:val="22"/>
              </w:rPr>
            </w:pPr>
            <w:r w:rsidRPr="0082124F">
              <w:rPr>
                <w:color w:val="000000"/>
                <w:sz w:val="22"/>
                <w:szCs w:val="22"/>
              </w:rPr>
              <w:t>(e) Syria</w:t>
            </w:r>
          </w:p>
        </w:tc>
        <w:tc>
          <w:tcPr>
            <w:tcW w:w="1490"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Mar>
              <w:top w:w="0" w:type="dxa"/>
              <w:left w:w="101" w:type="dxa"/>
              <w:bottom w:w="0" w:type="dxa"/>
              <w:right w:w="101" w:type="dxa"/>
            </w:tcMar>
          </w:tcPr>
          <w:p w14:paraId="4C9C940A" w14:textId="4AE96855" w:rsidR="00E35EA0" w:rsidRPr="0082124F" w:rsidRDefault="00E35EA0" w:rsidP="00E35EA0">
            <w:pPr>
              <w:spacing w:before="240" w:after="200"/>
              <w:rPr>
                <w:b/>
                <w:bCs/>
                <w:sz w:val="22"/>
                <w:szCs w:val="22"/>
              </w:rPr>
            </w:pPr>
            <w:r w:rsidRPr="0082124F">
              <w:rPr>
                <w:color w:val="000000"/>
                <w:sz w:val="22"/>
                <w:szCs w:val="22"/>
              </w:rPr>
              <w:t>1 July 2020</w:t>
            </w:r>
          </w:p>
        </w:tc>
        <w:tc>
          <w:tcPr>
            <w:tcW w:w="1490" w:type="dxa"/>
            <w:tcBorders>
              <w:top w:val="single" w:sz="4" w:space="0" w:color="auto"/>
              <w:left w:val="single" w:sz="6" w:space="0" w:color="000000" w:themeColor="text1"/>
              <w:bottom w:val="single" w:sz="6" w:space="0" w:color="000000" w:themeColor="text1"/>
            </w:tcBorders>
            <w:shd w:val="clear" w:color="auto" w:fill="auto"/>
            <w:tcMar>
              <w:top w:w="0" w:type="dxa"/>
              <w:left w:w="101" w:type="dxa"/>
              <w:bottom w:w="0" w:type="dxa"/>
              <w:right w:w="101" w:type="dxa"/>
            </w:tcMar>
          </w:tcPr>
          <w:p w14:paraId="2DE821D2" w14:textId="775463CF" w:rsidR="00E35EA0" w:rsidRPr="0082124F" w:rsidRDefault="00E35EA0" w:rsidP="00E35EA0">
            <w:pPr>
              <w:spacing w:before="240" w:after="200"/>
              <w:rPr>
                <w:b/>
                <w:bCs/>
                <w:sz w:val="22"/>
                <w:szCs w:val="22"/>
              </w:rPr>
            </w:pPr>
            <w:r w:rsidRPr="0082124F">
              <w:rPr>
                <w:color w:val="000000"/>
                <w:sz w:val="22"/>
                <w:szCs w:val="22"/>
              </w:rPr>
              <w:t> </w:t>
            </w:r>
          </w:p>
        </w:tc>
      </w:tr>
      <w:tr w:rsidR="00E35EA0" w:rsidRPr="0082124F" w14:paraId="70374783" w14:textId="77777777" w:rsidTr="7BF74F29">
        <w:trPr>
          <w:tblHeader/>
        </w:trPr>
        <w:tc>
          <w:tcPr>
            <w:tcW w:w="682" w:type="dxa"/>
            <w:tcBorders>
              <w:top w:val="single" w:sz="4" w:space="0" w:color="auto"/>
              <w:bottom w:val="single" w:sz="6" w:space="0" w:color="000000" w:themeColor="text1"/>
              <w:right w:val="single" w:sz="6" w:space="0" w:color="000000" w:themeColor="text1"/>
            </w:tcBorders>
            <w:shd w:val="clear" w:color="auto" w:fill="auto"/>
            <w:tcMar>
              <w:top w:w="0" w:type="dxa"/>
              <w:left w:w="101" w:type="dxa"/>
              <w:bottom w:w="0" w:type="dxa"/>
              <w:right w:w="101" w:type="dxa"/>
            </w:tcMar>
          </w:tcPr>
          <w:p w14:paraId="5EF2D330" w14:textId="295EFC55" w:rsidR="00E35EA0" w:rsidRPr="0082124F" w:rsidRDefault="00E35EA0" w:rsidP="00E35EA0">
            <w:pPr>
              <w:spacing w:before="240" w:after="200"/>
              <w:rPr>
                <w:b/>
                <w:bCs/>
                <w:sz w:val="22"/>
                <w:szCs w:val="22"/>
              </w:rPr>
            </w:pPr>
            <w:r w:rsidRPr="0082124F">
              <w:rPr>
                <w:color w:val="000000"/>
                <w:sz w:val="22"/>
                <w:szCs w:val="22"/>
              </w:rPr>
              <w:t>5</w:t>
            </w:r>
          </w:p>
        </w:tc>
        <w:tc>
          <w:tcPr>
            <w:tcW w:w="1549"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Mar>
              <w:top w:w="0" w:type="dxa"/>
              <w:left w:w="101" w:type="dxa"/>
              <w:bottom w:w="0" w:type="dxa"/>
              <w:right w:w="101" w:type="dxa"/>
            </w:tcMar>
          </w:tcPr>
          <w:p w14:paraId="249CBA5F" w14:textId="5EFCE40E" w:rsidR="00E35EA0" w:rsidRPr="0082124F" w:rsidRDefault="00E35EA0" w:rsidP="00E35EA0">
            <w:pPr>
              <w:spacing w:before="240" w:after="200"/>
              <w:rPr>
                <w:b/>
                <w:bCs/>
                <w:sz w:val="22"/>
                <w:szCs w:val="22"/>
              </w:rPr>
            </w:pPr>
            <w:r w:rsidRPr="0082124F">
              <w:rPr>
                <w:color w:val="000000"/>
                <w:sz w:val="22"/>
                <w:szCs w:val="22"/>
              </w:rPr>
              <w:t>Australian Defence Force on Operation Steadfast</w:t>
            </w:r>
          </w:p>
        </w:tc>
        <w:tc>
          <w:tcPr>
            <w:tcW w:w="2524"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Mar>
              <w:top w:w="0" w:type="dxa"/>
              <w:left w:w="101" w:type="dxa"/>
              <w:bottom w:w="0" w:type="dxa"/>
              <w:right w:w="101" w:type="dxa"/>
            </w:tcMar>
          </w:tcPr>
          <w:p w14:paraId="2BA69180" w14:textId="26C5E2CD" w:rsidR="00E35EA0" w:rsidRPr="0082124F" w:rsidRDefault="00E35EA0" w:rsidP="00E35EA0">
            <w:pPr>
              <w:spacing w:before="240" w:after="200"/>
              <w:rPr>
                <w:b/>
                <w:bCs/>
                <w:sz w:val="22"/>
                <w:szCs w:val="22"/>
              </w:rPr>
            </w:pPr>
            <w:r w:rsidRPr="0082124F">
              <w:rPr>
                <w:color w:val="000000"/>
                <w:sz w:val="22"/>
                <w:szCs w:val="22"/>
              </w:rPr>
              <w:t xml:space="preserve">The land area, territorial waters, airspace and </w:t>
            </w:r>
            <w:proofErr w:type="spellStart"/>
            <w:r w:rsidRPr="0082124F">
              <w:rPr>
                <w:color w:val="000000"/>
                <w:sz w:val="22"/>
                <w:szCs w:val="22"/>
              </w:rPr>
              <w:t>superjacent</w:t>
            </w:r>
            <w:proofErr w:type="spellEnd"/>
            <w:r w:rsidRPr="0082124F">
              <w:rPr>
                <w:color w:val="000000"/>
                <w:sz w:val="22"/>
                <w:szCs w:val="22"/>
              </w:rPr>
              <w:t xml:space="preserve"> airspace of Iraq</w:t>
            </w:r>
          </w:p>
        </w:tc>
        <w:tc>
          <w:tcPr>
            <w:tcW w:w="1490"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Mar>
              <w:top w:w="0" w:type="dxa"/>
              <w:left w:w="101" w:type="dxa"/>
              <w:bottom w:w="0" w:type="dxa"/>
              <w:right w:w="101" w:type="dxa"/>
            </w:tcMar>
          </w:tcPr>
          <w:p w14:paraId="30289DD0" w14:textId="109A93AA" w:rsidR="00E35EA0" w:rsidRPr="0082124F" w:rsidRDefault="00E35EA0" w:rsidP="00E35EA0">
            <w:pPr>
              <w:spacing w:before="240" w:after="200"/>
              <w:rPr>
                <w:b/>
                <w:bCs/>
                <w:sz w:val="22"/>
                <w:szCs w:val="22"/>
              </w:rPr>
            </w:pPr>
            <w:r w:rsidRPr="0082124F">
              <w:rPr>
                <w:color w:val="000000"/>
                <w:sz w:val="22"/>
                <w:szCs w:val="22"/>
              </w:rPr>
              <w:t>9 September 2018</w:t>
            </w:r>
          </w:p>
        </w:tc>
        <w:tc>
          <w:tcPr>
            <w:tcW w:w="1490" w:type="dxa"/>
            <w:tcBorders>
              <w:top w:val="single" w:sz="4" w:space="0" w:color="auto"/>
              <w:left w:val="single" w:sz="6" w:space="0" w:color="000000" w:themeColor="text1"/>
              <w:bottom w:val="single" w:sz="6" w:space="0" w:color="000000" w:themeColor="text1"/>
            </w:tcBorders>
            <w:shd w:val="clear" w:color="auto" w:fill="auto"/>
            <w:tcMar>
              <w:top w:w="0" w:type="dxa"/>
              <w:left w:w="101" w:type="dxa"/>
              <w:bottom w:w="0" w:type="dxa"/>
              <w:right w:w="101" w:type="dxa"/>
            </w:tcMar>
            <w:vAlign w:val="center"/>
          </w:tcPr>
          <w:p w14:paraId="213B04E3" w14:textId="77777777" w:rsidR="00E35EA0" w:rsidRPr="0082124F" w:rsidRDefault="00E35EA0" w:rsidP="00E35EA0">
            <w:pPr>
              <w:spacing w:before="240" w:after="200"/>
              <w:rPr>
                <w:b/>
                <w:bCs/>
                <w:sz w:val="22"/>
                <w:szCs w:val="22"/>
              </w:rPr>
            </w:pPr>
          </w:p>
        </w:tc>
      </w:tr>
    </w:tbl>
    <w:p w14:paraId="630A2D9A" w14:textId="58B5E6C7" w:rsidR="009C02BE" w:rsidRDefault="00CE689F" w:rsidP="009801D9">
      <w:pPr>
        <w:spacing w:before="240" w:after="200"/>
      </w:pPr>
      <w:r>
        <w:t>E</w:t>
      </w:r>
      <w:r w:rsidR="00292A6A">
        <w:t xml:space="preserve">ligible duty with </w:t>
      </w:r>
      <w:r w:rsidR="0039510C">
        <w:t xml:space="preserve">the </w:t>
      </w:r>
      <w:r w:rsidR="00292A6A">
        <w:t>following organisations</w:t>
      </w:r>
      <w:r w:rsidR="0039510C">
        <w:t xml:space="preserve">, which </w:t>
      </w:r>
      <w:r w:rsidR="009055A0">
        <w:t>were</w:t>
      </w:r>
      <w:r w:rsidR="0039510C">
        <w:t xml:space="preserve"> specified in the 2015 Regulation</w:t>
      </w:r>
      <w:r w:rsidR="00AD0CE4">
        <w:t>s</w:t>
      </w:r>
      <w:r w:rsidR="000A5952">
        <w:t xml:space="preserve">, ceased prior to the commencement of the Regulations </w:t>
      </w:r>
      <w:r w:rsidR="00ED6BCB">
        <w:t>on</w:t>
      </w:r>
      <w:r w:rsidR="0038638F">
        <w:t xml:space="preserve"> the date</w:t>
      </w:r>
      <w:r w:rsidR="00ED6BCB">
        <w:t>s</w:t>
      </w:r>
      <w:r w:rsidR="0038638F">
        <w:t xml:space="preserve"> </w:t>
      </w:r>
      <w:r w:rsidR="008B5DB4">
        <w:t>listed</w:t>
      </w:r>
      <w:r w:rsidR="0038638F">
        <w:t xml:space="preserve"> below</w:t>
      </w:r>
      <w:r w:rsidR="000A5952">
        <w:t>:</w:t>
      </w:r>
    </w:p>
    <w:p w14:paraId="20183FF5" w14:textId="49BA2796" w:rsidR="000A5952" w:rsidRDefault="004C6127" w:rsidP="000A5952">
      <w:pPr>
        <w:pStyle w:val="Bullet"/>
      </w:pPr>
      <w:r w:rsidRPr="004C6127">
        <w:t>Australian Defence Force on Operation Highroad</w:t>
      </w:r>
      <w:r>
        <w:t xml:space="preserve"> – </w:t>
      </w:r>
      <w:r w:rsidR="00B04EFF">
        <w:t>9 October 2021</w:t>
      </w:r>
    </w:p>
    <w:p w14:paraId="02A25183" w14:textId="46C476D9" w:rsidR="0036165D" w:rsidRDefault="0036165D" w:rsidP="000A5952">
      <w:pPr>
        <w:pStyle w:val="Bullet"/>
      </w:pPr>
      <w:r w:rsidRPr="0036165D">
        <w:t>Australian Defence Force on Operation Okra</w:t>
      </w:r>
      <w:r>
        <w:t xml:space="preserve"> – </w:t>
      </w:r>
      <w:r w:rsidR="00A72A71">
        <w:t>1 January 2025</w:t>
      </w:r>
    </w:p>
    <w:p w14:paraId="75137DC7" w14:textId="5347AB18" w:rsidR="0038638F" w:rsidRDefault="0038638F" w:rsidP="000A5952">
      <w:pPr>
        <w:pStyle w:val="Bullet"/>
      </w:pPr>
      <w:r w:rsidRPr="0038638F">
        <w:t>Australian Defence Force on Operation Orenda</w:t>
      </w:r>
      <w:r>
        <w:t xml:space="preserve"> – </w:t>
      </w:r>
      <w:r w:rsidR="00ED6BCB">
        <w:t>1 January 2024</w:t>
      </w:r>
    </w:p>
    <w:p w14:paraId="06AC3B06" w14:textId="5E4E3C6D" w:rsidR="0038638F" w:rsidRDefault="0038638F" w:rsidP="000A5952">
      <w:pPr>
        <w:pStyle w:val="Bullet"/>
      </w:pPr>
      <w:r w:rsidRPr="0038638F">
        <w:t>United Nations—Assistance Mission in Afghanistan (Operation Palate II)</w:t>
      </w:r>
      <w:r>
        <w:t xml:space="preserve"> – </w:t>
      </w:r>
      <w:r w:rsidR="000E3638">
        <w:br/>
      </w:r>
      <w:r>
        <w:t>1 January 2017</w:t>
      </w:r>
    </w:p>
    <w:p w14:paraId="4CB489A2" w14:textId="0EDB58C4" w:rsidR="00ED6BCB" w:rsidRPr="009801D9" w:rsidRDefault="000E3638" w:rsidP="002E4F25">
      <w:pPr>
        <w:pStyle w:val="Bullet"/>
        <w:numPr>
          <w:ilvl w:val="0"/>
          <w:numId w:val="0"/>
        </w:numPr>
      </w:pPr>
      <w:r>
        <w:t>T</w:t>
      </w:r>
      <w:r w:rsidR="00ED6BCB">
        <w:t xml:space="preserve">he Regulations </w:t>
      </w:r>
      <w:r w:rsidR="00E30696">
        <w:t xml:space="preserve">only </w:t>
      </w:r>
      <w:r w:rsidR="00ED6BCB">
        <w:t xml:space="preserve">apply to </w:t>
      </w:r>
      <w:r w:rsidR="008B1FA6">
        <w:t>income years at or after 1 October 2025</w:t>
      </w:r>
      <w:r>
        <w:t xml:space="preserve"> with</w:t>
      </w:r>
      <w:r w:rsidR="008B1FA6">
        <w:t xml:space="preserve"> </w:t>
      </w:r>
      <w:r>
        <w:t>t</w:t>
      </w:r>
      <w:r w:rsidR="00E30696">
        <w:t>he 2015</w:t>
      </w:r>
      <w:r w:rsidR="00D843FF">
        <w:rPr>
          <w:sz w:val="28"/>
          <w:szCs w:val="24"/>
        </w:rPr>
        <w:t> </w:t>
      </w:r>
      <w:r w:rsidR="00E30696">
        <w:t>Regulations continu</w:t>
      </w:r>
      <w:r>
        <w:t>ing</w:t>
      </w:r>
      <w:r w:rsidR="00E30696">
        <w:t xml:space="preserve"> to apply to income years </w:t>
      </w:r>
      <w:r w:rsidR="008573B3">
        <w:t>before 1 October 2025</w:t>
      </w:r>
      <w:r w:rsidR="008B5DB4">
        <w:t xml:space="preserve"> (refer to section </w:t>
      </w:r>
      <w:r w:rsidR="008B1B17">
        <w:t>23</w:t>
      </w:r>
      <w:r w:rsidR="008B5DB4">
        <w:t xml:space="preserve"> of the Regulations)</w:t>
      </w:r>
      <w:r w:rsidR="008573B3">
        <w:t>.</w:t>
      </w:r>
      <w:r w:rsidR="008B5DB4">
        <w:t xml:space="preserve"> </w:t>
      </w:r>
      <w:r w:rsidR="008B1FA6">
        <w:t>Accordingly,</w:t>
      </w:r>
      <w:r w:rsidR="00AD0CE4">
        <w:t xml:space="preserve"> </w:t>
      </w:r>
      <w:r w:rsidR="00CE689F">
        <w:t>the</w:t>
      </w:r>
      <w:r w:rsidR="00C67945">
        <w:t xml:space="preserve"> ceased</w:t>
      </w:r>
      <w:r w:rsidR="00CE689F">
        <w:t xml:space="preserve"> </w:t>
      </w:r>
      <w:r w:rsidR="00C61F85">
        <w:t>eligible dut</w:t>
      </w:r>
      <w:r w:rsidR="00862DF6">
        <w:t>y</w:t>
      </w:r>
      <w:r w:rsidR="00C70E9C">
        <w:t xml:space="preserve"> with the above organisations</w:t>
      </w:r>
      <w:r w:rsidR="00C61F85">
        <w:t xml:space="preserve"> ha</w:t>
      </w:r>
      <w:r w:rsidR="00C70E9C">
        <w:t>s</w:t>
      </w:r>
      <w:r w:rsidR="00C61F85">
        <w:t xml:space="preserve"> not</w:t>
      </w:r>
      <w:r w:rsidR="008B5DB4">
        <w:t xml:space="preserve"> been listed in the Regulations</w:t>
      </w:r>
      <w:r w:rsidR="00296B9A">
        <w:t xml:space="preserve"> as </w:t>
      </w:r>
      <w:r w:rsidR="00C70E9C">
        <w:t>it</w:t>
      </w:r>
      <w:r w:rsidR="00DE0FD6">
        <w:t xml:space="preserve"> </w:t>
      </w:r>
      <w:r w:rsidR="00296B9A">
        <w:t>do</w:t>
      </w:r>
      <w:r w:rsidR="00C70E9C">
        <w:t>es</w:t>
      </w:r>
      <w:r w:rsidR="00296B9A">
        <w:t xml:space="preserve"> not </w:t>
      </w:r>
      <w:r w:rsidR="00733F75">
        <w:t>apply to</w:t>
      </w:r>
      <w:r w:rsidR="00DE0FD6">
        <w:t xml:space="preserve"> </w:t>
      </w:r>
      <w:r w:rsidR="00EF1D59">
        <w:t xml:space="preserve">the 2025-26 </w:t>
      </w:r>
      <w:r w:rsidR="00296B9A">
        <w:t>income</w:t>
      </w:r>
      <w:r w:rsidR="00EF1D59">
        <w:t xml:space="preserve"> </w:t>
      </w:r>
      <w:r w:rsidR="00733F75">
        <w:t xml:space="preserve">year </w:t>
      </w:r>
      <w:r w:rsidR="00EF1D59">
        <w:t>or later income years</w:t>
      </w:r>
      <w:r w:rsidR="008B5DB4">
        <w:t>.</w:t>
      </w:r>
      <w:r w:rsidR="00C61F85">
        <w:t xml:space="preserve"> </w:t>
      </w:r>
      <w:r w:rsidR="00AD0CE4">
        <w:t xml:space="preserve"> </w:t>
      </w:r>
    </w:p>
    <w:p w14:paraId="16ABFF4E" w14:textId="77777777" w:rsidR="00E5707A" w:rsidRPr="00E5707A" w:rsidRDefault="00E5707A" w:rsidP="00E5707A">
      <w:pPr>
        <w:spacing w:before="240" w:after="200"/>
      </w:pPr>
      <w:r w:rsidRPr="00E5707A">
        <w:rPr>
          <w:b/>
          <w:bCs/>
          <w:u w:val="single"/>
        </w:rPr>
        <w:t>Part 3 – Income</w:t>
      </w:r>
    </w:p>
    <w:p w14:paraId="5F6E1D97" w14:textId="633D8655" w:rsidR="00E5707A" w:rsidRPr="00E5707A" w:rsidRDefault="00E5707A" w:rsidP="00E5707A">
      <w:pPr>
        <w:spacing w:before="240" w:after="200"/>
        <w:rPr>
          <w:u w:val="single"/>
        </w:rPr>
      </w:pPr>
      <w:r w:rsidRPr="00E5707A">
        <w:rPr>
          <w:u w:val="single"/>
        </w:rPr>
        <w:t>Section 7 – Annuities and superannuation pensions – Life Tables</w:t>
      </w:r>
    </w:p>
    <w:p w14:paraId="1E7203EC" w14:textId="3F8BF024" w:rsidR="00E5707A" w:rsidRPr="00E5707A" w:rsidRDefault="00E5707A" w:rsidP="00E5707A">
      <w:pPr>
        <w:spacing w:before="240" w:after="200"/>
      </w:pPr>
      <w:r w:rsidRPr="00E5707A">
        <w:t xml:space="preserve">Section 27H of the Act </w:t>
      </w:r>
      <w:r w:rsidR="00D35E20">
        <w:t>provides that</w:t>
      </w:r>
      <w:r w:rsidR="00D35E20" w:rsidRPr="00E5707A">
        <w:t xml:space="preserve"> </w:t>
      </w:r>
      <w:r w:rsidRPr="00E5707A">
        <w:t xml:space="preserve">certain annuities and payments related to annuities </w:t>
      </w:r>
      <w:r w:rsidR="00D35E20">
        <w:t xml:space="preserve">are included </w:t>
      </w:r>
      <w:r w:rsidRPr="00E5707A">
        <w:t>in the assessable income of a taxpayer. In calculating the amount to be included in assessable income, the ‘life expectation factor’ is relevant.</w:t>
      </w:r>
    </w:p>
    <w:p w14:paraId="170D34F3" w14:textId="30337218" w:rsidR="00E5707A" w:rsidRPr="00E5707A" w:rsidRDefault="00A73E35" w:rsidP="00E5707A">
      <w:pPr>
        <w:spacing w:before="240" w:after="200"/>
      </w:pPr>
      <w:r>
        <w:t>S</w:t>
      </w:r>
      <w:r w:rsidR="000F0224">
        <w:t>ubs</w:t>
      </w:r>
      <w:r>
        <w:t>ection 27</w:t>
      </w:r>
      <w:proofErr w:type="gramStart"/>
      <w:r>
        <w:t>H(</w:t>
      </w:r>
      <w:proofErr w:type="gramEnd"/>
      <w:r>
        <w:t>4) of the Act</w:t>
      </w:r>
      <w:r w:rsidR="00FA1A00">
        <w:t xml:space="preserve"> </w:t>
      </w:r>
      <w:r w:rsidR="000710DC">
        <w:t>provides that the</w:t>
      </w:r>
      <w:r w:rsidR="00FA1A00">
        <w:t xml:space="preserve"> </w:t>
      </w:r>
      <w:r w:rsidR="00122CEB" w:rsidRPr="009D1F51">
        <w:rPr>
          <w:b/>
          <w:i/>
        </w:rPr>
        <w:t>life expectation factor</w:t>
      </w:r>
      <w:r>
        <w:t xml:space="preserve"> </w:t>
      </w:r>
      <w:r w:rsidR="00FA1A00" w:rsidRPr="00FA1A00">
        <w:t xml:space="preserve">in relation to a person in relation to an annuity </w:t>
      </w:r>
      <w:r w:rsidR="000710DC">
        <w:t xml:space="preserve">is defined </w:t>
      </w:r>
      <w:r w:rsidR="00FA1A00" w:rsidRPr="00FA1A00">
        <w:t>by reference to the prescribed Life Tables at the time at the beginning of the period to which the first payment of the annuity relates</w:t>
      </w:r>
      <w:r w:rsidR="00166D54">
        <w:t>.</w:t>
      </w:r>
      <w:r w:rsidR="00387385">
        <w:t xml:space="preserve"> </w:t>
      </w:r>
      <w:r w:rsidR="00E5707A" w:rsidRPr="00E5707A">
        <w:t>Section 7</w:t>
      </w:r>
      <w:r w:rsidR="00FB4876">
        <w:t xml:space="preserve"> of the</w:t>
      </w:r>
      <w:r w:rsidR="00D02E8E">
        <w:t xml:space="preserve"> </w:t>
      </w:r>
      <w:r w:rsidR="00E44057">
        <w:t xml:space="preserve">Regulations </w:t>
      </w:r>
      <w:r w:rsidR="00E5707A" w:rsidRPr="00E5707A" w:rsidDel="00DB35C6">
        <w:t xml:space="preserve">prescribes </w:t>
      </w:r>
      <w:r w:rsidR="00E44057">
        <w:t>which Australian Life Tables apply for certain annuities.</w:t>
      </w:r>
      <w:r w:rsidR="00E44057" w:rsidDel="0002374B">
        <w:t xml:space="preserve"> </w:t>
      </w:r>
      <w:r w:rsidR="00051D0D" w:rsidRPr="00E5707A">
        <w:t>The Australian Life Tables are published by the Australian Government Actuary every five years. The most recent publication was the Australian Life Tables 20</w:t>
      </w:r>
      <w:r w:rsidR="00051D0D" w:rsidRPr="00756578">
        <w:t>20-22</w:t>
      </w:r>
      <w:r w:rsidR="00051D0D" w:rsidRPr="00E5707A">
        <w:t>, which reported on the mortality of Australians based on the 20</w:t>
      </w:r>
      <w:r w:rsidR="00051D0D" w:rsidRPr="00756578">
        <w:t>21</w:t>
      </w:r>
      <w:r w:rsidR="00051D0D" w:rsidRPr="00E5707A">
        <w:t xml:space="preserve"> Census</w:t>
      </w:r>
      <w:r w:rsidR="00051D0D" w:rsidRPr="00E5707A" w:rsidDel="00FB42C4">
        <w:t>.</w:t>
      </w:r>
      <w:r w:rsidR="002B2773" w:rsidDel="00FB42C4">
        <w:t xml:space="preserve"> </w:t>
      </w:r>
    </w:p>
    <w:p w14:paraId="308D626A" w14:textId="77777777" w:rsidR="00C470E3" w:rsidRPr="00C470E3" w:rsidRDefault="00C470E3" w:rsidP="00C470E3">
      <w:pPr>
        <w:spacing w:before="240" w:after="200"/>
      </w:pPr>
      <w:r w:rsidRPr="00C470E3">
        <w:rPr>
          <w:b/>
          <w:bCs/>
          <w:u w:val="single"/>
        </w:rPr>
        <w:lastRenderedPageBreak/>
        <w:t>Part 4 – Deductions</w:t>
      </w:r>
    </w:p>
    <w:p w14:paraId="3B055838" w14:textId="77777777" w:rsidR="00C470E3" w:rsidRPr="00C470E3" w:rsidRDefault="00C470E3" w:rsidP="00C470E3">
      <w:pPr>
        <w:spacing w:before="240" w:after="200"/>
        <w:rPr>
          <w:u w:val="single"/>
        </w:rPr>
      </w:pPr>
      <w:r w:rsidRPr="00C470E3">
        <w:rPr>
          <w:u w:val="single"/>
        </w:rPr>
        <w:t>Section 8 – Excluded car parking facilities</w:t>
      </w:r>
    </w:p>
    <w:p w14:paraId="571642C5" w14:textId="02E9E339" w:rsidR="00C470E3" w:rsidRPr="00C470E3" w:rsidRDefault="00C470E3" w:rsidP="00C470E3">
      <w:pPr>
        <w:spacing w:before="240" w:after="200"/>
      </w:pPr>
      <w:r w:rsidRPr="00C470E3">
        <w:t xml:space="preserve">Section 51AGA of the Act provides that no deduction is allowed for car parking expenses </w:t>
      </w:r>
      <w:r w:rsidR="001D2E61" w:rsidRPr="004A0919">
        <w:t>if</w:t>
      </w:r>
      <w:r w:rsidRPr="00C470E3">
        <w:t xml:space="preserve"> the expenses are in respect of car parking facilities used by an employee at their primary place of employment, the car was used for travel between the employee’s residence and primary place of employment</w:t>
      </w:r>
      <w:r w:rsidR="00194634">
        <w:t>, the car</w:t>
      </w:r>
      <w:r w:rsidR="007B257C">
        <w:t xml:space="preserve"> </w:t>
      </w:r>
      <w:r w:rsidR="00194634">
        <w:t>w</w:t>
      </w:r>
      <w:r w:rsidR="007B257C">
        <w:t>as parked for one or more daylight periods of over four hours in tota</w:t>
      </w:r>
      <w:r w:rsidR="00194634">
        <w:t>l</w:t>
      </w:r>
      <w:r w:rsidR="00AD500B">
        <w:t xml:space="preserve"> on the relevant day</w:t>
      </w:r>
      <w:r w:rsidRPr="00C470E3">
        <w:t>, and the car parking facilities are not excluded by the regulations.</w:t>
      </w:r>
    </w:p>
    <w:p w14:paraId="3ABC230A" w14:textId="6734CCCE" w:rsidR="002F376E" w:rsidRDefault="00C470E3" w:rsidP="00C470E3">
      <w:pPr>
        <w:spacing w:before="240" w:after="200"/>
      </w:pPr>
      <w:r w:rsidRPr="00C470E3">
        <w:t>Section 8</w:t>
      </w:r>
      <w:r w:rsidR="00D02E8E">
        <w:t xml:space="preserve"> of the Regulations</w:t>
      </w:r>
      <w:r w:rsidRPr="00C470E3">
        <w:t xml:space="preserve"> excludes, for the purposes of paragraph 51AGA(1)(e) of the Act, </w:t>
      </w:r>
      <w:r w:rsidR="00455687">
        <w:t xml:space="preserve">the </w:t>
      </w:r>
      <w:r w:rsidR="006E43B3">
        <w:t xml:space="preserve">provision of </w:t>
      </w:r>
      <w:r w:rsidRPr="00C470E3">
        <w:t>car parking facilities</w:t>
      </w:r>
      <w:r w:rsidRPr="00C470E3" w:rsidDel="006E43B3">
        <w:t xml:space="preserve"> </w:t>
      </w:r>
      <w:r w:rsidRPr="00C470E3">
        <w:t>to an employee</w:t>
      </w:r>
      <w:r w:rsidR="002F376E">
        <w:t xml:space="preserve"> if:</w:t>
      </w:r>
      <w:r w:rsidRPr="00C470E3">
        <w:t xml:space="preserve"> </w:t>
      </w:r>
    </w:p>
    <w:p w14:paraId="7F659CFF" w14:textId="4A161F02" w:rsidR="00EB37DB" w:rsidRDefault="00C470E3" w:rsidP="002F376E">
      <w:pPr>
        <w:pStyle w:val="Bullet"/>
      </w:pPr>
      <w:r w:rsidRPr="00C470E3">
        <w:t xml:space="preserve">the employee is entitled to use a disabled persons’ car parking space under the law of a State or </w:t>
      </w:r>
      <w:proofErr w:type="gramStart"/>
      <w:r w:rsidRPr="00C470E3">
        <w:t>Territory</w:t>
      </w:r>
      <w:r w:rsidR="001C5123">
        <w:t>;</w:t>
      </w:r>
      <w:proofErr w:type="gramEnd"/>
    </w:p>
    <w:p w14:paraId="3EC88D8C" w14:textId="0DA62116" w:rsidR="00EB37DB" w:rsidRDefault="00C470E3" w:rsidP="002F376E">
      <w:pPr>
        <w:pStyle w:val="Bullet"/>
      </w:pPr>
      <w:r w:rsidRPr="00C470E3">
        <w:t>the employee is the driver of, or a passenger in the car</w:t>
      </w:r>
      <w:r w:rsidR="001C5123">
        <w:t>;</w:t>
      </w:r>
      <w:r w:rsidRPr="00C470E3">
        <w:t xml:space="preserve"> and </w:t>
      </w:r>
    </w:p>
    <w:p w14:paraId="0C0C6506" w14:textId="42D349F1" w:rsidR="00C470E3" w:rsidRDefault="00C470E3" w:rsidP="002F376E">
      <w:pPr>
        <w:pStyle w:val="Bullet"/>
      </w:pPr>
      <w:r w:rsidRPr="00C470E3">
        <w:t>a valid disabled persons’ car parking permit is displayed on the car.</w:t>
      </w:r>
    </w:p>
    <w:p w14:paraId="4496DE10" w14:textId="28F13609" w:rsidR="00EB37DB" w:rsidRPr="00C470E3" w:rsidRDefault="00EB37DB" w:rsidP="00F33994">
      <w:pPr>
        <w:pStyle w:val="Bullet"/>
        <w:numPr>
          <w:ilvl w:val="0"/>
          <w:numId w:val="0"/>
        </w:numPr>
      </w:pPr>
      <w:r>
        <w:t xml:space="preserve">This means that </w:t>
      </w:r>
      <w:r w:rsidR="008D1857">
        <w:t xml:space="preserve">a </w:t>
      </w:r>
      <w:r w:rsidR="00FF6536">
        <w:t>deduction may be allowed in c</w:t>
      </w:r>
      <w:r w:rsidR="00A00340">
        <w:t xml:space="preserve">ircumstances where </w:t>
      </w:r>
      <w:r w:rsidR="00FF6536">
        <w:t>an employee m</w:t>
      </w:r>
      <w:r w:rsidR="00A00340">
        <w:t xml:space="preserve">eets the above criteria and would be </w:t>
      </w:r>
      <w:r w:rsidR="008D1857">
        <w:t>allowed to receive a deduction but for the operation of section 51AGA of the Act</w:t>
      </w:r>
      <w:r w:rsidR="00A00340">
        <w:t>.</w:t>
      </w:r>
    </w:p>
    <w:p w14:paraId="5BB683AD" w14:textId="77777777" w:rsidR="00DC6F64" w:rsidRPr="00F33994" w:rsidRDefault="00DC6F64" w:rsidP="00DC6F64">
      <w:pPr>
        <w:spacing w:before="240" w:after="200"/>
      </w:pPr>
      <w:r w:rsidRPr="00F33994">
        <w:rPr>
          <w:b/>
          <w:u w:val="single"/>
        </w:rPr>
        <w:t>Part 5 – Rebates</w:t>
      </w:r>
    </w:p>
    <w:p w14:paraId="03E6669B" w14:textId="77777777" w:rsidR="00DC6F64" w:rsidRPr="00F33994" w:rsidRDefault="00DC6F64" w:rsidP="00DC6F64">
      <w:pPr>
        <w:spacing w:before="240" w:after="200"/>
        <w:rPr>
          <w:b/>
          <w:i/>
        </w:rPr>
      </w:pPr>
      <w:r w:rsidRPr="00F33994">
        <w:rPr>
          <w:b/>
          <w:i/>
        </w:rPr>
        <w:t xml:space="preserve">Division 1 – Tax rebate for </w:t>
      </w:r>
      <w:proofErr w:type="gramStart"/>
      <w:r w:rsidRPr="00F33994">
        <w:rPr>
          <w:b/>
          <w:i/>
        </w:rPr>
        <w:t>low income</w:t>
      </w:r>
      <w:proofErr w:type="gramEnd"/>
      <w:r w:rsidRPr="00F33994">
        <w:rPr>
          <w:b/>
          <w:i/>
        </w:rPr>
        <w:t xml:space="preserve"> aged persons and pensioners</w:t>
      </w:r>
    </w:p>
    <w:p w14:paraId="38FB0B38" w14:textId="77777777" w:rsidR="00DC6F64" w:rsidRPr="00F33994" w:rsidRDefault="00DC6F64" w:rsidP="00DC6F64">
      <w:pPr>
        <w:spacing w:before="240" w:after="200"/>
        <w:rPr>
          <w:u w:val="single"/>
        </w:rPr>
      </w:pPr>
      <w:r w:rsidRPr="00F33994">
        <w:rPr>
          <w:u w:val="single"/>
        </w:rPr>
        <w:t>Section 9 – Key concepts</w:t>
      </w:r>
    </w:p>
    <w:p w14:paraId="11EA450E" w14:textId="77777777" w:rsidR="00DC6F64" w:rsidRPr="00F33994" w:rsidRDefault="00DC6F64" w:rsidP="00DC6F64">
      <w:pPr>
        <w:spacing w:before="240" w:after="200"/>
      </w:pPr>
      <w:r w:rsidRPr="00F33994">
        <w:rPr>
          <w:i/>
        </w:rPr>
        <w:t>Purpose of section 9</w:t>
      </w:r>
    </w:p>
    <w:p w14:paraId="6367D82A" w14:textId="77777777" w:rsidR="00DC6F64" w:rsidRPr="00F33994" w:rsidRDefault="00DC6F64" w:rsidP="00DC6F64">
      <w:pPr>
        <w:spacing w:before="240" w:after="200"/>
      </w:pPr>
      <w:r w:rsidRPr="00F33994">
        <w:t xml:space="preserve">Sections 160AAAA and 160AAAB of the Act provide a tax rebate for </w:t>
      </w:r>
      <w:proofErr w:type="gramStart"/>
      <w:r w:rsidRPr="00F33994">
        <w:t>low income</w:t>
      </w:r>
      <w:proofErr w:type="gramEnd"/>
      <w:r w:rsidRPr="00F33994">
        <w:t xml:space="preserve"> aged persons and pensioner taxpayers (both for individuals and where a trustee is assessed in respect of a beneficiary).</w:t>
      </w:r>
    </w:p>
    <w:p w14:paraId="66F8DA75" w14:textId="1F71086A" w:rsidR="00DC6F64" w:rsidRPr="0006404D" w:rsidRDefault="00DC6F64" w:rsidP="00DC6F64">
      <w:pPr>
        <w:spacing w:before="240" w:after="200"/>
      </w:pPr>
      <w:r w:rsidRPr="00F33994">
        <w:t>Section 9</w:t>
      </w:r>
      <w:r w:rsidR="00BF2320" w:rsidRPr="00F33994">
        <w:t xml:space="preserve"> of the </w:t>
      </w:r>
      <w:r w:rsidR="007E34E8">
        <w:t>Regulations</w:t>
      </w:r>
      <w:r w:rsidR="00BF2320">
        <w:t xml:space="preserve"> </w:t>
      </w:r>
      <w:r w:rsidRPr="0006404D">
        <w:t xml:space="preserve">defines the concepts of ‘base rebate amount’ and ‘rebate threshold’ that are relevant to working out whether an individual or trustee taxpayer is entitled to a </w:t>
      </w:r>
      <w:proofErr w:type="gramStart"/>
      <w:r w:rsidRPr="0006404D">
        <w:t>low income</w:t>
      </w:r>
      <w:proofErr w:type="gramEnd"/>
      <w:r w:rsidRPr="0006404D">
        <w:t xml:space="preserve"> aged persons and pensioners tax rebate, and the amount of the rebate.</w:t>
      </w:r>
    </w:p>
    <w:p w14:paraId="2B970ACF" w14:textId="77777777" w:rsidR="00DC6F64" w:rsidRPr="0006404D" w:rsidRDefault="00DC6F64" w:rsidP="00DC6F64">
      <w:pPr>
        <w:spacing w:before="240" w:after="200"/>
      </w:pPr>
      <w:r w:rsidRPr="0006404D">
        <w:rPr>
          <w:i/>
        </w:rPr>
        <w:t>Base rebate amount</w:t>
      </w:r>
    </w:p>
    <w:p w14:paraId="5C8680D0" w14:textId="77777777" w:rsidR="00DC6F64" w:rsidRPr="0006404D" w:rsidRDefault="00DC6F64" w:rsidP="00DC6F64">
      <w:pPr>
        <w:spacing w:before="240" w:after="200"/>
      </w:pPr>
      <w:r w:rsidRPr="0006404D">
        <w:t>Eligibility for and the amount of the rebate is calculated by reference to the </w:t>
      </w:r>
      <w:r w:rsidRPr="0006404D">
        <w:rPr>
          <w:b/>
          <w:i/>
        </w:rPr>
        <w:t>base rebate amount</w:t>
      </w:r>
      <w:r w:rsidRPr="0006404D">
        <w:t>.</w:t>
      </w:r>
    </w:p>
    <w:p w14:paraId="2F088EB2" w14:textId="367FF27C" w:rsidR="00DC6F64" w:rsidRPr="0006404D" w:rsidRDefault="00DC6F64" w:rsidP="00DC6F64">
      <w:pPr>
        <w:spacing w:before="240" w:after="200"/>
      </w:pPr>
      <w:r w:rsidRPr="0006404D">
        <w:t>The </w:t>
      </w:r>
      <w:r w:rsidRPr="0006404D">
        <w:rPr>
          <w:b/>
          <w:i/>
        </w:rPr>
        <w:t>base rebate amount</w:t>
      </w:r>
      <w:r w:rsidRPr="0006404D">
        <w:t xml:space="preserve"> is as follows:</w:t>
      </w:r>
    </w:p>
    <w:tbl>
      <w:tblPr>
        <w:tblW w:w="0" w:type="auto"/>
        <w:tblInd w:w="851" w:type="dxa"/>
        <w:tblCellMar>
          <w:left w:w="0" w:type="dxa"/>
          <w:right w:w="0" w:type="dxa"/>
        </w:tblCellMar>
        <w:tblLook w:val="04A0" w:firstRow="1" w:lastRow="0" w:firstColumn="1" w:lastColumn="0" w:noHBand="0" w:noVBand="1"/>
      </w:tblPr>
      <w:tblGrid>
        <w:gridCol w:w="656"/>
        <w:gridCol w:w="3186"/>
        <w:gridCol w:w="2626"/>
      </w:tblGrid>
      <w:tr w:rsidR="00DC6F64" w:rsidRPr="00DC6F64" w14:paraId="02F6A031" w14:textId="77777777" w:rsidTr="00DC6F64">
        <w:trPr>
          <w:tblHeader/>
        </w:trPr>
        <w:tc>
          <w:tcPr>
            <w:tcW w:w="6446" w:type="dxa"/>
            <w:gridSpan w:val="3"/>
            <w:tcBorders>
              <w:top w:val="single" w:sz="12" w:space="0" w:color="000000"/>
              <w:bottom w:val="single" w:sz="6" w:space="0" w:color="000000"/>
            </w:tcBorders>
            <w:tcMar>
              <w:top w:w="0" w:type="dxa"/>
              <w:left w:w="108" w:type="dxa"/>
              <w:bottom w:w="0" w:type="dxa"/>
              <w:right w:w="108" w:type="dxa"/>
            </w:tcMar>
            <w:hideMark/>
          </w:tcPr>
          <w:p w14:paraId="7657020D" w14:textId="77777777" w:rsidR="00DC6F64" w:rsidRPr="0006404D" w:rsidRDefault="00DC6F64" w:rsidP="00DC6F64">
            <w:pPr>
              <w:spacing w:before="0" w:after="0"/>
              <w:rPr>
                <w:b/>
                <w:sz w:val="22"/>
                <w:szCs w:val="18"/>
              </w:rPr>
            </w:pPr>
            <w:r w:rsidRPr="0006404D">
              <w:rPr>
                <w:b/>
                <w:sz w:val="22"/>
                <w:szCs w:val="18"/>
              </w:rPr>
              <w:lastRenderedPageBreak/>
              <w:t>Base rebate amount</w:t>
            </w:r>
          </w:p>
        </w:tc>
      </w:tr>
      <w:tr w:rsidR="00DC6F64" w:rsidRPr="00DC6F64" w14:paraId="16B13229" w14:textId="77777777" w:rsidTr="00DC6F64">
        <w:trPr>
          <w:tblHeader/>
        </w:trPr>
        <w:tc>
          <w:tcPr>
            <w:tcW w:w="634" w:type="dxa"/>
            <w:tcBorders>
              <w:top w:val="single" w:sz="6" w:space="0" w:color="000000"/>
              <w:bottom w:val="single" w:sz="12" w:space="0" w:color="000000"/>
            </w:tcBorders>
            <w:tcMar>
              <w:top w:w="0" w:type="dxa"/>
              <w:left w:w="108" w:type="dxa"/>
              <w:bottom w:w="0" w:type="dxa"/>
              <w:right w:w="108" w:type="dxa"/>
            </w:tcMar>
            <w:hideMark/>
          </w:tcPr>
          <w:p w14:paraId="4A6C27D4" w14:textId="77777777" w:rsidR="00DC6F64" w:rsidRPr="00F33994" w:rsidRDefault="00DC6F64" w:rsidP="00DC6F64">
            <w:pPr>
              <w:spacing w:before="0" w:after="0"/>
              <w:rPr>
                <w:b/>
                <w:sz w:val="22"/>
                <w:szCs w:val="18"/>
              </w:rPr>
            </w:pPr>
            <w:r w:rsidRPr="00F33994">
              <w:rPr>
                <w:b/>
                <w:sz w:val="22"/>
                <w:szCs w:val="18"/>
              </w:rPr>
              <w:t>Item</w:t>
            </w:r>
          </w:p>
        </w:tc>
        <w:tc>
          <w:tcPr>
            <w:tcW w:w="3186" w:type="dxa"/>
            <w:tcBorders>
              <w:top w:val="single" w:sz="6" w:space="0" w:color="000000"/>
              <w:bottom w:val="single" w:sz="12" w:space="0" w:color="000000"/>
            </w:tcBorders>
            <w:tcMar>
              <w:top w:w="0" w:type="dxa"/>
              <w:left w:w="108" w:type="dxa"/>
              <w:bottom w:w="0" w:type="dxa"/>
              <w:right w:w="108" w:type="dxa"/>
            </w:tcMar>
            <w:hideMark/>
          </w:tcPr>
          <w:p w14:paraId="3240DA6B" w14:textId="77777777" w:rsidR="00DC6F64" w:rsidRPr="00F33994" w:rsidRDefault="00DC6F64" w:rsidP="00DC6F64">
            <w:pPr>
              <w:spacing w:before="0" w:after="0"/>
              <w:rPr>
                <w:b/>
                <w:sz w:val="22"/>
                <w:szCs w:val="18"/>
              </w:rPr>
            </w:pPr>
            <w:r w:rsidRPr="00F33994">
              <w:rPr>
                <w:b/>
                <w:sz w:val="22"/>
                <w:szCs w:val="18"/>
              </w:rPr>
              <w:t>Column 1</w:t>
            </w:r>
          </w:p>
          <w:p w14:paraId="7D0802A6" w14:textId="77777777" w:rsidR="00DC6F64" w:rsidRPr="00F33994" w:rsidRDefault="00DC6F64" w:rsidP="00DC6F64">
            <w:pPr>
              <w:spacing w:before="0" w:after="0"/>
              <w:rPr>
                <w:b/>
                <w:sz w:val="22"/>
                <w:szCs w:val="18"/>
              </w:rPr>
            </w:pPr>
            <w:r w:rsidRPr="00F33994">
              <w:rPr>
                <w:b/>
                <w:sz w:val="22"/>
                <w:szCs w:val="18"/>
              </w:rPr>
              <w:t>Class of individual</w:t>
            </w:r>
          </w:p>
        </w:tc>
        <w:tc>
          <w:tcPr>
            <w:tcW w:w="2194" w:type="dxa"/>
            <w:tcBorders>
              <w:top w:val="single" w:sz="6" w:space="0" w:color="000000"/>
              <w:bottom w:val="single" w:sz="12" w:space="0" w:color="000000"/>
            </w:tcBorders>
            <w:tcMar>
              <w:top w:w="0" w:type="dxa"/>
              <w:left w:w="108" w:type="dxa"/>
              <w:bottom w:w="0" w:type="dxa"/>
              <w:right w:w="108" w:type="dxa"/>
            </w:tcMar>
            <w:hideMark/>
          </w:tcPr>
          <w:p w14:paraId="375A9AF5" w14:textId="77777777" w:rsidR="00DC6F64" w:rsidRPr="00F33994" w:rsidRDefault="00DC6F64" w:rsidP="00DC6F64">
            <w:pPr>
              <w:spacing w:before="0" w:after="0"/>
              <w:rPr>
                <w:b/>
                <w:sz w:val="22"/>
                <w:szCs w:val="18"/>
              </w:rPr>
            </w:pPr>
            <w:r w:rsidRPr="00F33994">
              <w:rPr>
                <w:b/>
                <w:sz w:val="22"/>
                <w:szCs w:val="18"/>
              </w:rPr>
              <w:t>Column 2</w:t>
            </w:r>
          </w:p>
          <w:p w14:paraId="29F77E33" w14:textId="77777777" w:rsidR="00DC6F64" w:rsidRPr="00F33994" w:rsidRDefault="00DC6F64" w:rsidP="00DC6F64">
            <w:pPr>
              <w:spacing w:before="0" w:after="0"/>
              <w:rPr>
                <w:b/>
                <w:sz w:val="22"/>
                <w:szCs w:val="18"/>
              </w:rPr>
            </w:pPr>
            <w:r w:rsidRPr="00F33994">
              <w:rPr>
                <w:b/>
                <w:sz w:val="22"/>
                <w:szCs w:val="18"/>
              </w:rPr>
              <w:t>Base rebate amount</w:t>
            </w:r>
          </w:p>
        </w:tc>
      </w:tr>
      <w:tr w:rsidR="00DC6F64" w:rsidRPr="00DC6F64" w14:paraId="39A282C6" w14:textId="77777777" w:rsidTr="00DC6F64">
        <w:tc>
          <w:tcPr>
            <w:tcW w:w="634" w:type="dxa"/>
            <w:tcBorders>
              <w:top w:val="single" w:sz="12" w:space="0" w:color="000000"/>
              <w:bottom w:val="single" w:sz="6" w:space="0" w:color="000000"/>
            </w:tcBorders>
            <w:tcMar>
              <w:top w:w="0" w:type="dxa"/>
              <w:left w:w="108" w:type="dxa"/>
              <w:bottom w:w="0" w:type="dxa"/>
              <w:right w:w="108" w:type="dxa"/>
            </w:tcMar>
            <w:hideMark/>
          </w:tcPr>
          <w:p w14:paraId="26DE1B40" w14:textId="77777777" w:rsidR="00DC6F64" w:rsidRPr="00F33994" w:rsidRDefault="00DC6F64" w:rsidP="00DC6F64">
            <w:pPr>
              <w:spacing w:before="0" w:after="0"/>
              <w:rPr>
                <w:sz w:val="22"/>
                <w:szCs w:val="18"/>
              </w:rPr>
            </w:pPr>
            <w:r w:rsidRPr="00F33994">
              <w:rPr>
                <w:sz w:val="22"/>
                <w:szCs w:val="18"/>
              </w:rPr>
              <w:t>1</w:t>
            </w:r>
          </w:p>
        </w:tc>
        <w:tc>
          <w:tcPr>
            <w:tcW w:w="3186" w:type="dxa"/>
            <w:tcBorders>
              <w:top w:val="single" w:sz="12" w:space="0" w:color="000000"/>
              <w:bottom w:val="single" w:sz="6" w:space="0" w:color="000000"/>
            </w:tcBorders>
            <w:tcMar>
              <w:top w:w="0" w:type="dxa"/>
              <w:left w:w="108" w:type="dxa"/>
              <w:bottom w:w="0" w:type="dxa"/>
              <w:right w:w="108" w:type="dxa"/>
            </w:tcMar>
            <w:hideMark/>
          </w:tcPr>
          <w:p w14:paraId="31C81D40" w14:textId="77777777" w:rsidR="00DC6F64" w:rsidRPr="00F33994" w:rsidRDefault="00DC6F64" w:rsidP="00DC6F64">
            <w:pPr>
              <w:spacing w:before="0" w:after="0"/>
              <w:rPr>
                <w:sz w:val="22"/>
                <w:szCs w:val="18"/>
              </w:rPr>
            </w:pPr>
            <w:r w:rsidRPr="00F33994">
              <w:rPr>
                <w:sz w:val="22"/>
                <w:szCs w:val="18"/>
              </w:rPr>
              <w:t>An individual who, at any time during the year, is not a spouse of another individual</w:t>
            </w:r>
          </w:p>
        </w:tc>
        <w:tc>
          <w:tcPr>
            <w:tcW w:w="2194" w:type="dxa"/>
            <w:tcBorders>
              <w:top w:val="single" w:sz="12" w:space="0" w:color="000000"/>
              <w:bottom w:val="single" w:sz="6" w:space="0" w:color="000000"/>
            </w:tcBorders>
            <w:tcMar>
              <w:top w:w="0" w:type="dxa"/>
              <w:left w:w="108" w:type="dxa"/>
              <w:bottom w:w="0" w:type="dxa"/>
              <w:right w:w="108" w:type="dxa"/>
            </w:tcMar>
            <w:hideMark/>
          </w:tcPr>
          <w:p w14:paraId="6516E029" w14:textId="77777777" w:rsidR="00DC6F64" w:rsidRPr="00F33994" w:rsidRDefault="00DC6F64" w:rsidP="00DC6F64">
            <w:pPr>
              <w:spacing w:before="0" w:after="0"/>
              <w:rPr>
                <w:sz w:val="22"/>
                <w:szCs w:val="18"/>
              </w:rPr>
            </w:pPr>
            <w:r w:rsidRPr="00F33994">
              <w:rPr>
                <w:sz w:val="22"/>
                <w:szCs w:val="18"/>
              </w:rPr>
              <w:t>$2,230</w:t>
            </w:r>
          </w:p>
        </w:tc>
      </w:tr>
      <w:tr w:rsidR="00DC6F64" w:rsidRPr="00DC6F64" w14:paraId="4BB5F2AC" w14:textId="77777777" w:rsidTr="00DC6F64">
        <w:tc>
          <w:tcPr>
            <w:tcW w:w="634" w:type="dxa"/>
            <w:tcBorders>
              <w:top w:val="single" w:sz="6" w:space="0" w:color="000000"/>
              <w:bottom w:val="single" w:sz="6" w:space="0" w:color="000000"/>
            </w:tcBorders>
            <w:tcMar>
              <w:top w:w="0" w:type="dxa"/>
              <w:left w:w="108" w:type="dxa"/>
              <w:bottom w:w="0" w:type="dxa"/>
              <w:right w:w="108" w:type="dxa"/>
            </w:tcMar>
            <w:hideMark/>
          </w:tcPr>
          <w:p w14:paraId="2A7FC5C4" w14:textId="77777777" w:rsidR="00DC6F64" w:rsidRPr="00F33994" w:rsidRDefault="00DC6F64" w:rsidP="00DC6F64">
            <w:pPr>
              <w:spacing w:before="0" w:after="0"/>
              <w:rPr>
                <w:sz w:val="22"/>
                <w:szCs w:val="18"/>
              </w:rPr>
            </w:pPr>
            <w:r w:rsidRPr="00F33994">
              <w:rPr>
                <w:sz w:val="22"/>
                <w:szCs w:val="18"/>
              </w:rPr>
              <w:t>2</w:t>
            </w:r>
          </w:p>
        </w:tc>
        <w:tc>
          <w:tcPr>
            <w:tcW w:w="3186" w:type="dxa"/>
            <w:tcBorders>
              <w:top w:val="single" w:sz="6" w:space="0" w:color="000000"/>
              <w:bottom w:val="single" w:sz="6" w:space="0" w:color="000000"/>
            </w:tcBorders>
            <w:tcMar>
              <w:top w:w="0" w:type="dxa"/>
              <w:left w:w="108" w:type="dxa"/>
              <w:bottom w:w="0" w:type="dxa"/>
              <w:right w:w="108" w:type="dxa"/>
            </w:tcMar>
            <w:hideMark/>
          </w:tcPr>
          <w:p w14:paraId="02D2AFE5" w14:textId="77777777" w:rsidR="00DC6F64" w:rsidRPr="00F33994" w:rsidRDefault="00DC6F64" w:rsidP="00DC6F64">
            <w:pPr>
              <w:spacing w:before="0" w:after="0"/>
              <w:rPr>
                <w:sz w:val="22"/>
                <w:szCs w:val="18"/>
              </w:rPr>
            </w:pPr>
            <w:r w:rsidRPr="00F33994">
              <w:rPr>
                <w:sz w:val="22"/>
                <w:szCs w:val="18"/>
              </w:rPr>
              <w:t>An individual who, at any time during the year, is a spouse of another individual</w:t>
            </w:r>
          </w:p>
        </w:tc>
        <w:tc>
          <w:tcPr>
            <w:tcW w:w="2194" w:type="dxa"/>
            <w:tcBorders>
              <w:top w:val="single" w:sz="6" w:space="0" w:color="000000"/>
              <w:bottom w:val="single" w:sz="6" w:space="0" w:color="000000"/>
            </w:tcBorders>
            <w:tcMar>
              <w:top w:w="0" w:type="dxa"/>
              <w:left w:w="108" w:type="dxa"/>
              <w:bottom w:w="0" w:type="dxa"/>
              <w:right w:w="108" w:type="dxa"/>
            </w:tcMar>
            <w:hideMark/>
          </w:tcPr>
          <w:p w14:paraId="67B2A6CD" w14:textId="77777777" w:rsidR="00DC6F64" w:rsidRPr="00F33994" w:rsidRDefault="00DC6F64" w:rsidP="00DC6F64">
            <w:pPr>
              <w:spacing w:before="0" w:after="0"/>
              <w:rPr>
                <w:sz w:val="22"/>
                <w:szCs w:val="18"/>
              </w:rPr>
            </w:pPr>
            <w:r w:rsidRPr="00F33994">
              <w:rPr>
                <w:sz w:val="22"/>
                <w:szCs w:val="18"/>
              </w:rPr>
              <w:t>$1,602</w:t>
            </w:r>
          </w:p>
        </w:tc>
      </w:tr>
      <w:tr w:rsidR="00DC6F64" w:rsidRPr="00DC6F64" w14:paraId="1B82EBAB" w14:textId="77777777" w:rsidTr="00DC6F64">
        <w:tc>
          <w:tcPr>
            <w:tcW w:w="634" w:type="dxa"/>
            <w:tcBorders>
              <w:top w:val="single" w:sz="6" w:space="0" w:color="000000"/>
              <w:bottom w:val="single" w:sz="12" w:space="0" w:color="000000"/>
            </w:tcBorders>
            <w:tcMar>
              <w:top w:w="0" w:type="dxa"/>
              <w:left w:w="108" w:type="dxa"/>
              <w:bottom w:w="0" w:type="dxa"/>
              <w:right w:w="108" w:type="dxa"/>
            </w:tcMar>
            <w:hideMark/>
          </w:tcPr>
          <w:p w14:paraId="1E2B860E" w14:textId="77777777" w:rsidR="00DC6F64" w:rsidRPr="00F33994" w:rsidRDefault="00DC6F64" w:rsidP="00DC6F64">
            <w:pPr>
              <w:spacing w:before="0" w:after="0"/>
              <w:rPr>
                <w:sz w:val="22"/>
                <w:szCs w:val="18"/>
              </w:rPr>
            </w:pPr>
            <w:r w:rsidRPr="00F33994">
              <w:rPr>
                <w:sz w:val="22"/>
                <w:szCs w:val="18"/>
              </w:rPr>
              <w:t>3</w:t>
            </w:r>
          </w:p>
        </w:tc>
        <w:tc>
          <w:tcPr>
            <w:tcW w:w="3186" w:type="dxa"/>
            <w:tcBorders>
              <w:top w:val="single" w:sz="6" w:space="0" w:color="000000"/>
              <w:bottom w:val="single" w:sz="12" w:space="0" w:color="000000"/>
            </w:tcBorders>
            <w:tcMar>
              <w:top w:w="0" w:type="dxa"/>
              <w:left w:w="108" w:type="dxa"/>
              <w:bottom w:w="0" w:type="dxa"/>
              <w:right w:w="108" w:type="dxa"/>
            </w:tcMar>
            <w:hideMark/>
          </w:tcPr>
          <w:p w14:paraId="06C28B33" w14:textId="6C27992A" w:rsidR="00DC6F64" w:rsidRPr="00F33994" w:rsidRDefault="00DC6F64" w:rsidP="00DC6F64">
            <w:pPr>
              <w:spacing w:before="0" w:after="0"/>
              <w:rPr>
                <w:sz w:val="22"/>
                <w:szCs w:val="18"/>
              </w:rPr>
            </w:pPr>
            <w:r w:rsidRPr="00F33994">
              <w:rPr>
                <w:sz w:val="22"/>
                <w:szCs w:val="18"/>
              </w:rPr>
              <w:t>A member of an illness</w:t>
            </w:r>
            <w:r w:rsidR="0082124F" w:rsidRPr="00F33994">
              <w:rPr>
                <w:sz w:val="22"/>
                <w:szCs w:val="18"/>
              </w:rPr>
              <w:t xml:space="preserve"> </w:t>
            </w:r>
            <w:r w:rsidRPr="00F33994">
              <w:rPr>
                <w:sz w:val="22"/>
                <w:szCs w:val="18"/>
              </w:rPr>
              <w:t>separated couple (within the meaning of the </w:t>
            </w:r>
            <w:r w:rsidRPr="00F33994">
              <w:rPr>
                <w:i/>
                <w:sz w:val="22"/>
                <w:szCs w:val="18"/>
              </w:rPr>
              <w:t>Social Security Act 1991</w:t>
            </w:r>
            <w:r w:rsidRPr="00F33994">
              <w:rPr>
                <w:sz w:val="22"/>
                <w:szCs w:val="18"/>
              </w:rPr>
              <w:t>)</w:t>
            </w:r>
          </w:p>
        </w:tc>
        <w:tc>
          <w:tcPr>
            <w:tcW w:w="2194" w:type="dxa"/>
            <w:tcBorders>
              <w:top w:val="single" w:sz="6" w:space="0" w:color="000000"/>
              <w:bottom w:val="single" w:sz="12" w:space="0" w:color="000000"/>
            </w:tcBorders>
            <w:tcMar>
              <w:top w:w="0" w:type="dxa"/>
              <w:left w:w="108" w:type="dxa"/>
              <w:bottom w:w="0" w:type="dxa"/>
              <w:right w:w="108" w:type="dxa"/>
            </w:tcMar>
            <w:hideMark/>
          </w:tcPr>
          <w:p w14:paraId="7062DB45" w14:textId="03953307" w:rsidR="00DC6F64" w:rsidRPr="00F33994" w:rsidRDefault="00DC6F64" w:rsidP="00DC6F64">
            <w:pPr>
              <w:spacing w:before="0" w:after="0"/>
              <w:rPr>
                <w:sz w:val="22"/>
                <w:szCs w:val="18"/>
              </w:rPr>
            </w:pPr>
            <w:r w:rsidRPr="00F33994">
              <w:rPr>
                <w:sz w:val="22"/>
                <w:szCs w:val="18"/>
              </w:rPr>
              <w:t>$2,040</w:t>
            </w:r>
          </w:p>
        </w:tc>
      </w:tr>
    </w:tbl>
    <w:p w14:paraId="0897AD81" w14:textId="7C020A34" w:rsidR="00DC6F64" w:rsidRPr="00F33994" w:rsidRDefault="00DC6F64" w:rsidP="00DC6F64">
      <w:pPr>
        <w:spacing w:before="240" w:after="200"/>
      </w:pPr>
      <w:r w:rsidRPr="00F33994">
        <w:t>Spouses that are living separately and apart on a permanent basis are treated, for the purposes of items 1 and 2 of the table, as not being spouses of each other</w:t>
      </w:r>
      <w:r w:rsidR="00152107" w:rsidRPr="00F33994">
        <w:t xml:space="preserve"> (see subsection 9(3) of the Regulations)</w:t>
      </w:r>
      <w:r w:rsidRPr="00F33994">
        <w:t>. That is, where an individual is living separately and apart from their spouse on a permanent basis, the item 1 base rebate amount applies.</w:t>
      </w:r>
    </w:p>
    <w:p w14:paraId="3DE7F20C" w14:textId="3248317C" w:rsidR="00DC6F64" w:rsidRPr="00F33994" w:rsidRDefault="00DC6F64" w:rsidP="00DC6F64">
      <w:pPr>
        <w:spacing w:before="240" w:after="200"/>
      </w:pPr>
      <w:r w:rsidRPr="00F33994">
        <w:t>If more than one item in the table applies to the individual, the item that gives the greatest rebate entitlement applies</w:t>
      </w:r>
      <w:r w:rsidR="00152107" w:rsidRPr="00F33994">
        <w:t xml:space="preserve"> </w:t>
      </w:r>
      <w:r w:rsidR="008D036D" w:rsidRPr="00F33994">
        <w:t>(see paragraph 9(2)(b) of the Regulations)</w:t>
      </w:r>
      <w:r w:rsidRPr="00F33994">
        <w:t>. For example, a person who has a spouse for part of a year of income but not for the remainder of the year of income has a base rebate amount under item 1 of the table.</w:t>
      </w:r>
      <w:r w:rsidR="00182FEA">
        <w:t xml:space="preserve"> </w:t>
      </w:r>
    </w:p>
    <w:p w14:paraId="0480F2CE" w14:textId="1AF4195D" w:rsidR="00DC6F64" w:rsidRPr="00F33994" w:rsidRDefault="0036176E" w:rsidP="00DC6F64">
      <w:pPr>
        <w:spacing w:before="240" w:after="200"/>
      </w:pPr>
      <w:r w:rsidRPr="00F33994">
        <w:t xml:space="preserve">The </w:t>
      </w:r>
      <w:r w:rsidRPr="00F33994">
        <w:rPr>
          <w:b/>
          <w:i/>
        </w:rPr>
        <w:t>s</w:t>
      </w:r>
      <w:r w:rsidR="00DC6F64" w:rsidRPr="00F33994">
        <w:rPr>
          <w:b/>
          <w:i/>
        </w:rPr>
        <w:t>pouse</w:t>
      </w:r>
      <w:r w:rsidR="00DC6F64" w:rsidRPr="00F33994">
        <w:t> of an individual is defined in section 995-1 of the </w:t>
      </w:r>
      <w:r w:rsidR="00DC6F64" w:rsidRPr="00F33994">
        <w:rPr>
          <w:i/>
        </w:rPr>
        <w:t>Income Tax Assessment Act 1997</w:t>
      </w:r>
      <w:r w:rsidR="00DC6F64" w:rsidRPr="00F33994">
        <w:t> to include:</w:t>
      </w:r>
    </w:p>
    <w:p w14:paraId="61EF7784" w14:textId="75D1CC44" w:rsidR="00DC6F64" w:rsidRPr="00001DA3" w:rsidRDefault="00DC6F64" w:rsidP="0010569B">
      <w:pPr>
        <w:pStyle w:val="Bullet"/>
      </w:pPr>
      <w:r w:rsidRPr="00F33994">
        <w:t xml:space="preserve">another individual (whether of the same sex or a different sex) with whom the individual is in a </w:t>
      </w:r>
      <w:r w:rsidRPr="00001DA3">
        <w:t>relationship that is registered under a State law or Territory law prescribed for the purposes of section 2E of the </w:t>
      </w:r>
      <w:r w:rsidRPr="00001DA3">
        <w:rPr>
          <w:i/>
        </w:rPr>
        <w:t>Acts Interpretation Act 1901</w:t>
      </w:r>
      <w:r w:rsidRPr="00001DA3">
        <w:t> as a kind of relationship prescribed for the purposes of that section; and</w:t>
      </w:r>
    </w:p>
    <w:p w14:paraId="3AC8E303" w14:textId="1803275A" w:rsidR="00DC6F64" w:rsidRPr="00FB79FE" w:rsidRDefault="00DC6F64" w:rsidP="0010569B">
      <w:pPr>
        <w:pStyle w:val="Bullet"/>
      </w:pPr>
      <w:r w:rsidRPr="00F33994">
        <w:t>another individual who, although not legally married to the individual, lives with the individual on a genuine domestic basis in a relationship as a couple.</w:t>
      </w:r>
    </w:p>
    <w:p w14:paraId="47B9BEAF" w14:textId="6C4A7C81" w:rsidR="00DC6F64" w:rsidRPr="00FB79FE" w:rsidRDefault="00C976CB" w:rsidP="00DC6F64">
      <w:pPr>
        <w:spacing w:before="240" w:after="200"/>
      </w:pPr>
      <w:r w:rsidRPr="00FB79FE">
        <w:t>T</w:t>
      </w:r>
      <w:r w:rsidR="00DC6F64" w:rsidRPr="00FB79FE">
        <w:t>he base rebate amount may be affected by the provisions that allow for the transfer of an unused base rebate amount between spouses or a spouse’s trustee.</w:t>
      </w:r>
    </w:p>
    <w:p w14:paraId="3BD51C30" w14:textId="77777777" w:rsidR="00DC6F64" w:rsidRPr="00FB79FE" w:rsidRDefault="00DC6F64" w:rsidP="00DC6F64">
      <w:pPr>
        <w:spacing w:before="240" w:after="200"/>
      </w:pPr>
      <w:r w:rsidRPr="00FB79FE">
        <w:rPr>
          <w:i/>
        </w:rPr>
        <w:t>Rebate threshold</w:t>
      </w:r>
    </w:p>
    <w:p w14:paraId="79A72464" w14:textId="77777777" w:rsidR="00DC6F64" w:rsidRPr="00FB79FE" w:rsidRDefault="00DC6F64" w:rsidP="00DC6F64">
      <w:pPr>
        <w:spacing w:before="240" w:after="200"/>
      </w:pPr>
      <w:r w:rsidRPr="00FB79FE">
        <w:t>Eligibility for and the amount of the rebate is also calculated by reference to the rebate threshold.</w:t>
      </w:r>
    </w:p>
    <w:p w14:paraId="1C2C110F" w14:textId="1562FA65" w:rsidR="00DC6F64" w:rsidRPr="00FB79FE" w:rsidRDefault="00DC6F64" w:rsidP="00DC6F64">
      <w:pPr>
        <w:spacing w:before="240" w:after="200"/>
      </w:pPr>
      <w:r w:rsidRPr="00FB79FE">
        <w:t>The </w:t>
      </w:r>
      <w:r w:rsidRPr="00FB79FE">
        <w:rPr>
          <w:b/>
          <w:i/>
        </w:rPr>
        <w:t>rebate threshold</w:t>
      </w:r>
      <w:r w:rsidRPr="00FB79FE">
        <w:t> is worked out as follows (formula 1):</w:t>
      </w:r>
    </w:p>
    <w:p w14:paraId="61972252" w14:textId="73630BDA" w:rsidR="00DC6F64" w:rsidRPr="00FB79FE" w:rsidRDefault="00B23C8C" w:rsidP="00DC6F64">
      <w:pPr>
        <w:spacing w:before="240" w:after="200"/>
        <w:ind w:left="360"/>
      </w:pPr>
      <w:r>
        <w:rPr>
          <w:noProof/>
          <w:position w:val="-68"/>
        </w:rPr>
        <w:drawing>
          <wp:inline distT="0" distB="0" distL="0" distR="0" wp14:anchorId="61EC2ED9" wp14:editId="3CCE2D40">
            <wp:extent cx="3448050" cy="933450"/>
            <wp:effectExtent l="0" t="0" r="0" b="0"/>
            <wp:docPr id="2" name="Picture 1" descr="Start formula Tax-free threshold plus open bracket start fraction 159N rebate maximum amount plus Base rebate amount for the rebate over Lowest marginal tax rate end fraction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rt formula Tax-free threshold plus open bracket start fraction 159N rebate maximum amount plus Base rebate amount for the rebate over Lowest marginal tax rate end fraction close bracket end formul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8050" cy="933450"/>
                    </a:xfrm>
                    <a:prstGeom prst="rect">
                      <a:avLst/>
                    </a:prstGeom>
                    <a:noFill/>
                    <a:ln>
                      <a:noFill/>
                    </a:ln>
                  </pic:spPr>
                </pic:pic>
              </a:graphicData>
            </a:graphic>
          </wp:inline>
        </w:drawing>
      </w:r>
      <w:r w:rsidRPr="00B23C8C">
        <w:rPr>
          <w:noProof/>
        </w:rPr>
        <w:t xml:space="preserve"> </w:t>
      </w:r>
    </w:p>
    <w:p w14:paraId="7E0C94A1" w14:textId="7621A376" w:rsidR="00DC6F64" w:rsidRPr="009E4BF3" w:rsidRDefault="00E51258" w:rsidP="00DC6F64">
      <w:pPr>
        <w:spacing w:before="240" w:after="200"/>
      </w:pPr>
      <w:r>
        <w:t>The terms</w:t>
      </w:r>
      <w:r w:rsidR="00CD3059">
        <w:t xml:space="preserve"> </w:t>
      </w:r>
      <w:r w:rsidR="00CD3059" w:rsidRPr="00FB79FE">
        <w:rPr>
          <w:b/>
          <w:bCs/>
          <w:i/>
          <w:iCs/>
        </w:rPr>
        <w:t>tax-free threshold</w:t>
      </w:r>
      <w:r w:rsidR="00CD3059">
        <w:t xml:space="preserve">, </w:t>
      </w:r>
      <w:r w:rsidR="00CD3059" w:rsidRPr="00FB79FE">
        <w:rPr>
          <w:b/>
          <w:bCs/>
          <w:i/>
          <w:iCs/>
        </w:rPr>
        <w:t>rebate maximum amount</w:t>
      </w:r>
      <w:r w:rsidR="00CD3059">
        <w:t xml:space="preserve">, </w:t>
      </w:r>
      <w:r w:rsidR="00CD3059" w:rsidRPr="00FB79FE">
        <w:rPr>
          <w:b/>
          <w:bCs/>
          <w:i/>
          <w:iCs/>
        </w:rPr>
        <w:t xml:space="preserve">base rebate amount </w:t>
      </w:r>
      <w:r w:rsidR="00CD3059">
        <w:t xml:space="preserve">and </w:t>
      </w:r>
      <w:r w:rsidR="00CD3059" w:rsidRPr="00FB79FE">
        <w:rPr>
          <w:b/>
          <w:bCs/>
          <w:i/>
          <w:iCs/>
        </w:rPr>
        <w:t>lowest marginal tax rate</w:t>
      </w:r>
      <w:r w:rsidR="00CD3059">
        <w:t xml:space="preserve"> are defined in </w:t>
      </w:r>
      <w:r w:rsidR="00532DA5">
        <w:t xml:space="preserve">section 4 of </w:t>
      </w:r>
      <w:r w:rsidR="00CD3059">
        <w:t>the Regulations</w:t>
      </w:r>
      <w:r w:rsidR="003F3696">
        <w:t xml:space="preserve"> as follows:</w:t>
      </w:r>
      <w:r w:rsidR="00DC6F64" w:rsidRPr="009E4BF3">
        <w:t xml:space="preserve"> </w:t>
      </w:r>
    </w:p>
    <w:p w14:paraId="43AED375" w14:textId="2C9937C9" w:rsidR="00DC6F64" w:rsidRPr="00FB79FE" w:rsidRDefault="00B23C8C" w:rsidP="0036176E">
      <w:pPr>
        <w:pStyle w:val="Bullet"/>
      </w:pPr>
      <w:r>
        <w:rPr>
          <w:b/>
          <w:i/>
        </w:rPr>
        <w:lastRenderedPageBreak/>
        <w:t>t</w:t>
      </w:r>
      <w:r w:rsidR="00DC6F64" w:rsidRPr="00FB79FE">
        <w:rPr>
          <w:b/>
          <w:i/>
        </w:rPr>
        <w:t>ax</w:t>
      </w:r>
      <w:r w:rsidR="00DC6F64" w:rsidRPr="00FB79FE">
        <w:rPr>
          <w:b/>
          <w:i/>
        </w:rPr>
        <w:noBreakHyphen/>
        <w:t xml:space="preserve">free </w:t>
      </w:r>
      <w:proofErr w:type="gramStart"/>
      <w:r w:rsidR="00DC6F64" w:rsidRPr="00FB79FE">
        <w:rPr>
          <w:b/>
          <w:i/>
        </w:rPr>
        <w:t>threshold</w:t>
      </w:r>
      <w:r w:rsidR="00DC6F64" w:rsidRPr="00FB79FE">
        <w:rPr>
          <w:bCs/>
          <w:iCs/>
        </w:rPr>
        <w:t>:</w:t>
      </w:r>
      <w:proofErr w:type="gramEnd"/>
      <w:r w:rsidR="00DC6F64" w:rsidRPr="00FB79FE">
        <w:t> has the same meaning as in the </w:t>
      </w:r>
      <w:r w:rsidR="00DC6F64" w:rsidRPr="00FB79FE">
        <w:rPr>
          <w:i/>
        </w:rPr>
        <w:t>Income Tax Rates Act 1986</w:t>
      </w:r>
      <w:r w:rsidR="00DC6F64" w:rsidRPr="00DC6F64">
        <w:t>.</w:t>
      </w:r>
      <w:r w:rsidR="00DC6F64" w:rsidRPr="00FB79FE">
        <w:t> The tax</w:t>
      </w:r>
      <w:r w:rsidR="00DC6F64" w:rsidRPr="00FB79FE">
        <w:noBreakHyphen/>
        <w:t>free threshold for the 20</w:t>
      </w:r>
      <w:r w:rsidR="00A47BDF" w:rsidRPr="00FB79FE">
        <w:t>25</w:t>
      </w:r>
      <w:r w:rsidR="00DC6F64" w:rsidRPr="00FB79FE">
        <w:noBreakHyphen/>
      </w:r>
      <w:r w:rsidR="00A47BDF" w:rsidRPr="00FB79FE">
        <w:t>26</w:t>
      </w:r>
      <w:r w:rsidR="00DC6F64" w:rsidRPr="00FB79FE">
        <w:t xml:space="preserve"> year of income is $18,200.</w:t>
      </w:r>
    </w:p>
    <w:p w14:paraId="558B0B89" w14:textId="314D7C47" w:rsidR="00DC6F64" w:rsidRPr="00FB79FE" w:rsidRDefault="00DC6F64" w:rsidP="00706589">
      <w:pPr>
        <w:pStyle w:val="Bullet"/>
      </w:pPr>
      <w:r w:rsidRPr="00FB79FE">
        <w:rPr>
          <w:b/>
          <w:i/>
        </w:rPr>
        <w:t xml:space="preserve">rebate maximum </w:t>
      </w:r>
      <w:proofErr w:type="gramStart"/>
      <w:r w:rsidRPr="00FB79FE">
        <w:rPr>
          <w:b/>
          <w:i/>
        </w:rPr>
        <w:t>amount</w:t>
      </w:r>
      <w:r w:rsidRPr="00FB79FE">
        <w:rPr>
          <w:bCs/>
          <w:iCs/>
        </w:rPr>
        <w:t>:</w:t>
      </w:r>
      <w:proofErr w:type="gramEnd"/>
      <w:r w:rsidRPr="00FB79FE">
        <w:rPr>
          <w:bCs/>
          <w:iCs/>
        </w:rPr>
        <w:t> </w:t>
      </w:r>
      <w:r w:rsidRPr="00FB79FE">
        <w:t>means</w:t>
      </w:r>
      <w:r w:rsidR="008C026E" w:rsidRPr="00FB79FE">
        <w:t xml:space="preserve"> $445</w:t>
      </w:r>
      <w:r w:rsidRPr="00FB79FE">
        <w:t>.</w:t>
      </w:r>
    </w:p>
    <w:p w14:paraId="524663C1" w14:textId="4D365D7D" w:rsidR="00DC6F64" w:rsidRPr="00FB79FE" w:rsidRDefault="00B23C8C" w:rsidP="0036176E">
      <w:pPr>
        <w:pStyle w:val="Bullet"/>
      </w:pPr>
      <w:r>
        <w:rPr>
          <w:b/>
          <w:i/>
        </w:rPr>
        <w:t>b</w:t>
      </w:r>
      <w:r w:rsidR="00DC6F64" w:rsidRPr="009E4BF3">
        <w:rPr>
          <w:b/>
          <w:i/>
        </w:rPr>
        <w:t xml:space="preserve">ase rebate amount for the </w:t>
      </w:r>
      <w:proofErr w:type="gramStart"/>
      <w:r w:rsidR="00DC6F64" w:rsidRPr="009E4BF3">
        <w:rPr>
          <w:b/>
          <w:i/>
        </w:rPr>
        <w:t>rebate</w:t>
      </w:r>
      <w:r w:rsidR="00DC6F64" w:rsidRPr="00FB79FE">
        <w:rPr>
          <w:bCs/>
          <w:iCs/>
        </w:rPr>
        <w:t>:</w:t>
      </w:r>
      <w:proofErr w:type="gramEnd"/>
      <w:r w:rsidR="00DC6F64" w:rsidRPr="00FB79FE">
        <w:t> has the meaning given by subsection 9(2) (see above).</w:t>
      </w:r>
    </w:p>
    <w:p w14:paraId="716DCCE9" w14:textId="6259D695" w:rsidR="00DC6F64" w:rsidRPr="00FB79FE" w:rsidRDefault="00B23C8C" w:rsidP="0036176E">
      <w:pPr>
        <w:pStyle w:val="Bullet"/>
      </w:pPr>
      <w:r>
        <w:rPr>
          <w:b/>
          <w:i/>
        </w:rPr>
        <w:t>l</w:t>
      </w:r>
      <w:r w:rsidR="00DC6F64" w:rsidRPr="000C3D25">
        <w:rPr>
          <w:b/>
          <w:i/>
        </w:rPr>
        <w:t>owest marginal tax rate:</w:t>
      </w:r>
      <w:r w:rsidR="00DC6F64" w:rsidRPr="000C3D25">
        <w:t xml:space="preserve"> in </w:t>
      </w:r>
      <w:r w:rsidR="00DC6F64" w:rsidRPr="00FB79FE">
        <w:rPr>
          <w:bCs/>
          <w:iCs/>
        </w:rPr>
        <w:t>relation</w:t>
      </w:r>
      <w:r w:rsidR="00DC6F64" w:rsidRPr="00FB79FE">
        <w:t xml:space="preserve"> to a year of income, means the rate that is:</w:t>
      </w:r>
    </w:p>
    <w:p w14:paraId="1C5AF2C5" w14:textId="6F4531D3" w:rsidR="00DC6F64" w:rsidRPr="00FB79FE" w:rsidRDefault="00DC6F64" w:rsidP="00C21D79">
      <w:pPr>
        <w:pStyle w:val="OutlineNumbered1"/>
        <w:numPr>
          <w:ilvl w:val="4"/>
          <w:numId w:val="2"/>
        </w:numPr>
        <w:rPr>
          <w:color w:val="auto"/>
        </w:rPr>
      </w:pPr>
      <w:r w:rsidRPr="00FB79FE">
        <w:rPr>
          <w:color w:val="auto"/>
        </w:rPr>
        <w:t>the lowest rate specified in the table in Part I of Schedule 7 to the </w:t>
      </w:r>
      <w:r w:rsidRPr="00FB79FE">
        <w:rPr>
          <w:i/>
          <w:color w:val="auto"/>
        </w:rPr>
        <w:t>Income Tax Rates Act 1986</w:t>
      </w:r>
      <w:r w:rsidRPr="00FB79FE">
        <w:rPr>
          <w:color w:val="auto"/>
        </w:rPr>
        <w:t>, in the application of the table to that year; and</w:t>
      </w:r>
    </w:p>
    <w:p w14:paraId="6820273C" w14:textId="1C1DD94F" w:rsidR="00DC6F64" w:rsidRPr="00FB79FE" w:rsidRDefault="00DC6F64" w:rsidP="00C21D79">
      <w:pPr>
        <w:pStyle w:val="OutlineNumbered1"/>
        <w:numPr>
          <w:ilvl w:val="4"/>
          <w:numId w:val="2"/>
        </w:numPr>
        <w:rPr>
          <w:color w:val="auto"/>
        </w:rPr>
      </w:pPr>
      <w:r w:rsidRPr="00FB79FE">
        <w:rPr>
          <w:color w:val="auto"/>
        </w:rPr>
        <w:t>expressed as a decimal fraction.</w:t>
      </w:r>
    </w:p>
    <w:p w14:paraId="348E276D" w14:textId="7ADBE68F" w:rsidR="00DC6F64" w:rsidRPr="00FB79FE" w:rsidRDefault="00DC6F64" w:rsidP="00DC6F64">
      <w:pPr>
        <w:spacing w:before="240" w:after="200"/>
      </w:pPr>
      <w:r w:rsidRPr="00FB79FE">
        <w:t xml:space="preserve">The lowest marginal tax rate for the </w:t>
      </w:r>
      <w:r w:rsidR="00E6727B" w:rsidRPr="00FB79FE">
        <w:t>202</w:t>
      </w:r>
      <w:r w:rsidR="00706589" w:rsidRPr="00FB79FE">
        <w:t>5</w:t>
      </w:r>
      <w:r w:rsidR="00E6727B" w:rsidRPr="00FB79FE">
        <w:t>-2</w:t>
      </w:r>
      <w:r w:rsidR="00706589" w:rsidRPr="00FB79FE">
        <w:t>6</w:t>
      </w:r>
      <w:r w:rsidRPr="00FB79FE">
        <w:t xml:space="preserve"> year of income is </w:t>
      </w:r>
      <w:r w:rsidR="00185EE8" w:rsidRPr="00FB79FE">
        <w:t>16</w:t>
      </w:r>
      <w:r w:rsidRPr="00FB79FE">
        <w:t xml:space="preserve"> per cent.</w:t>
      </w:r>
    </w:p>
    <w:p w14:paraId="4C8B5963" w14:textId="54DE2305" w:rsidR="00DC6F64" w:rsidRPr="00FB79FE" w:rsidRDefault="00DC6F64" w:rsidP="00DC6F64">
      <w:pPr>
        <w:spacing w:before="240" w:after="200"/>
      </w:pPr>
      <w:r w:rsidRPr="00FB79FE">
        <w:t>However, if the amount worked out under the rebate threshold in formula 1 above is greater than</w:t>
      </w:r>
      <w:r w:rsidR="00BA4B00" w:rsidRPr="00FB79FE">
        <w:t xml:space="preserve"> the</w:t>
      </w:r>
      <w:r w:rsidRPr="00FB79FE">
        <w:t xml:space="preserve"> </w:t>
      </w:r>
      <w:r w:rsidRPr="00FB79FE">
        <w:rPr>
          <w:b/>
          <w:i/>
        </w:rPr>
        <w:t>rebate reduction threshold</w:t>
      </w:r>
      <w:r w:rsidRPr="00FB79FE">
        <w:t xml:space="preserve">, </w:t>
      </w:r>
      <w:r w:rsidR="00CA41BE" w:rsidRPr="00FB79FE">
        <w:t xml:space="preserve">which </w:t>
      </w:r>
      <w:r w:rsidR="00D24E5C">
        <w:t>is defined as</w:t>
      </w:r>
      <w:r w:rsidR="00D24E5C" w:rsidRPr="00FB79FE">
        <w:t xml:space="preserve"> </w:t>
      </w:r>
      <w:r w:rsidRPr="00FB79FE">
        <w:t>$37,000</w:t>
      </w:r>
      <w:r w:rsidR="00D24E5C">
        <w:t xml:space="preserve"> in section 4 of the Regulations</w:t>
      </w:r>
      <w:r w:rsidRPr="00FB79FE">
        <w:t>, the </w:t>
      </w:r>
      <w:r w:rsidRPr="00FB79FE">
        <w:rPr>
          <w:b/>
          <w:i/>
        </w:rPr>
        <w:t>rebate threshold</w:t>
      </w:r>
      <w:r w:rsidRPr="00FB79FE">
        <w:t> is worked out as follows (formula 2):</w:t>
      </w:r>
    </w:p>
    <w:p w14:paraId="18F10E2C" w14:textId="08F2419D" w:rsidR="00DC6F64" w:rsidRPr="00374F0D" w:rsidRDefault="00DC6F64" w:rsidP="0036176E">
      <w:pPr>
        <w:spacing w:before="240" w:after="200"/>
        <w:ind w:left="360"/>
      </w:pPr>
      <w:r w:rsidRPr="00FB79FE">
        <w:t>  </w:t>
      </w:r>
      <w:r w:rsidR="00A561B3" w:rsidRPr="00A561B3">
        <w:rPr>
          <w:position w:val="-36"/>
        </w:rPr>
        <w:t xml:space="preserve"> </w:t>
      </w:r>
      <w:r w:rsidR="00A561B3">
        <w:rPr>
          <w:noProof/>
          <w:position w:val="-36"/>
        </w:rPr>
        <w:drawing>
          <wp:inline distT="0" distB="0" distL="0" distR="0" wp14:anchorId="6F090EBF" wp14:editId="069F25E1">
            <wp:extent cx="4057650" cy="857250"/>
            <wp:effectExtent l="0" t="0" r="0" b="0"/>
            <wp:docPr id="120731113" name="Picture 1" descr="Start formula start fraction open bracket Lowest marginal tax rate times Tax-free threshold close bracket plus 159N rebate maximum amount plus Base rebate amount for the rebate plus Amount worked out using the formula in subsection open bracket 7 close bracket over 159N rebate reduction rate plus Second lowest marginal tax rat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t formula start fraction open bracket Lowest marginal tax rate times Tax-free threshold close bracket plus 159N rebate maximum amount plus Base rebate amount for the rebate plus Amount worked out using the formula in subsection open bracket 7 close bracket over 159N rebate reduction rate plus Second lowest marginal tax rate end fraction end formul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7650" cy="857250"/>
                    </a:xfrm>
                    <a:prstGeom prst="rect">
                      <a:avLst/>
                    </a:prstGeom>
                    <a:noFill/>
                    <a:ln>
                      <a:noFill/>
                    </a:ln>
                  </pic:spPr>
                </pic:pic>
              </a:graphicData>
            </a:graphic>
          </wp:inline>
        </w:drawing>
      </w:r>
    </w:p>
    <w:p w14:paraId="72B97457" w14:textId="7AB16B6C" w:rsidR="00DC6F64" w:rsidRPr="00374F0D" w:rsidRDefault="00DC6F64" w:rsidP="00DC6F64">
      <w:pPr>
        <w:spacing w:before="240" w:after="200"/>
      </w:pPr>
      <w:r w:rsidRPr="00374F0D">
        <w:t xml:space="preserve">The subsection (7) formula </w:t>
      </w:r>
      <w:r w:rsidR="00902F1E" w:rsidRPr="00374F0D">
        <w:t xml:space="preserve">referred to in formula 2 </w:t>
      </w:r>
      <w:r w:rsidRPr="00374F0D">
        <w:t>is</w:t>
      </w:r>
      <w:r w:rsidR="00902F1E" w:rsidRPr="00374F0D">
        <w:t xml:space="preserve"> as follows</w:t>
      </w:r>
      <w:r w:rsidRPr="00374F0D">
        <w:t>:</w:t>
      </w:r>
    </w:p>
    <w:p w14:paraId="4FB11CF3" w14:textId="646841A0" w:rsidR="00DC6F64" w:rsidRPr="00FB79FE" w:rsidRDefault="00E7698E" w:rsidP="00374F0D">
      <w:pPr>
        <w:spacing w:before="240" w:after="200"/>
        <w:ind w:left="567"/>
      </w:pPr>
      <w:r w:rsidRPr="00E7698E">
        <w:rPr>
          <w:position w:val="-34"/>
        </w:rPr>
        <w:t xml:space="preserve"> </w:t>
      </w:r>
      <w:r>
        <w:rPr>
          <w:noProof/>
          <w:position w:val="-34"/>
        </w:rPr>
        <w:drawing>
          <wp:inline distT="0" distB="0" distL="0" distR="0" wp14:anchorId="5887E538" wp14:editId="3FE7C191">
            <wp:extent cx="4152900" cy="495300"/>
            <wp:effectExtent l="0" t="0" r="0" b="0"/>
            <wp:docPr id="28431514" name="Picture 2" descr="Start formula 159N rebate reduction threshold times open bracket 159N rebate reduction amount plus Second lowest marginal tax rate minus Lowest marginal tax rate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rt formula 159N rebate reduction threshold times open bracket 159N rebate reduction amount plus Second lowest marginal tax rate minus Lowest marginal tax rate close bracket end formul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2900" cy="495300"/>
                    </a:xfrm>
                    <a:prstGeom prst="rect">
                      <a:avLst/>
                    </a:prstGeom>
                    <a:noFill/>
                    <a:ln>
                      <a:noFill/>
                    </a:ln>
                  </pic:spPr>
                </pic:pic>
              </a:graphicData>
            </a:graphic>
          </wp:inline>
        </w:drawing>
      </w:r>
    </w:p>
    <w:p w14:paraId="58B06D1E" w14:textId="104A9456" w:rsidR="00DC6F64" w:rsidRPr="00487947" w:rsidRDefault="00E022B8" w:rsidP="00FB79FE">
      <w:pPr>
        <w:pStyle w:val="Bullet"/>
        <w:numPr>
          <w:ilvl w:val="0"/>
          <w:numId w:val="0"/>
        </w:numPr>
      </w:pPr>
      <w:r w:rsidRPr="00FB79FE">
        <w:rPr>
          <w:bCs/>
          <w:iCs/>
        </w:rPr>
        <w:t xml:space="preserve">Section 4 of the Regulations </w:t>
      </w:r>
      <w:r w:rsidR="005F5B80" w:rsidRPr="00FB79FE">
        <w:rPr>
          <w:bCs/>
          <w:iCs/>
        </w:rPr>
        <w:t>provides that</w:t>
      </w:r>
      <w:r w:rsidR="005F5B80">
        <w:rPr>
          <w:b/>
          <w:i/>
        </w:rPr>
        <w:t xml:space="preserve"> </w:t>
      </w:r>
      <w:r w:rsidR="005F5B80" w:rsidRPr="00FB79FE">
        <w:rPr>
          <w:bCs/>
          <w:iCs/>
        </w:rPr>
        <w:t>the</w:t>
      </w:r>
      <w:r w:rsidR="005F5B80">
        <w:rPr>
          <w:b/>
          <w:i/>
        </w:rPr>
        <w:t xml:space="preserve"> s</w:t>
      </w:r>
      <w:r w:rsidR="00DC6F64" w:rsidRPr="00487947">
        <w:rPr>
          <w:b/>
          <w:i/>
        </w:rPr>
        <w:t>econd lowest marginal tax rate</w:t>
      </w:r>
      <w:r w:rsidR="005F5B80">
        <w:rPr>
          <w:b/>
          <w:i/>
        </w:rPr>
        <w:t xml:space="preserve"> </w:t>
      </w:r>
      <w:r w:rsidR="00DC6F64" w:rsidRPr="00487947">
        <w:t>in relation to a year of income, is:</w:t>
      </w:r>
    </w:p>
    <w:p w14:paraId="035705BF" w14:textId="00D3CC2A" w:rsidR="00DC6F64" w:rsidRPr="00487947" w:rsidRDefault="00DC6F64" w:rsidP="00FB79FE">
      <w:pPr>
        <w:pStyle w:val="OutlineNumbered1"/>
        <w:numPr>
          <w:ilvl w:val="4"/>
          <w:numId w:val="63"/>
        </w:numPr>
        <w:rPr>
          <w:color w:val="auto"/>
        </w:rPr>
      </w:pPr>
      <w:r w:rsidRPr="00487947">
        <w:rPr>
          <w:color w:val="auto"/>
        </w:rPr>
        <w:t>the second lowest rate specified in the table in Part I of Schedule 7 to the </w:t>
      </w:r>
      <w:r w:rsidRPr="00487947">
        <w:rPr>
          <w:i/>
          <w:color w:val="auto"/>
        </w:rPr>
        <w:t>Income Tax Rates Act 1986</w:t>
      </w:r>
      <w:r w:rsidRPr="00487947">
        <w:rPr>
          <w:color w:val="auto"/>
        </w:rPr>
        <w:t>, in the application of the table to that year; and</w:t>
      </w:r>
    </w:p>
    <w:p w14:paraId="3C842ECD" w14:textId="1A7A943B" w:rsidR="00DC6F64" w:rsidRPr="00487947" w:rsidRDefault="00DC6F64" w:rsidP="006D0093">
      <w:pPr>
        <w:pStyle w:val="OutlineNumbered1"/>
        <w:numPr>
          <w:ilvl w:val="4"/>
          <w:numId w:val="2"/>
        </w:numPr>
        <w:rPr>
          <w:color w:val="auto"/>
        </w:rPr>
      </w:pPr>
      <w:r w:rsidRPr="00487947">
        <w:rPr>
          <w:color w:val="auto"/>
        </w:rPr>
        <w:t>expressed as a decimal fraction.</w:t>
      </w:r>
    </w:p>
    <w:p w14:paraId="36045414" w14:textId="12BC4887" w:rsidR="00DC6F64" w:rsidRPr="00FB79FE" w:rsidRDefault="00DC6F64" w:rsidP="00DC6F64">
      <w:pPr>
        <w:spacing w:before="240" w:after="200"/>
      </w:pPr>
      <w:r w:rsidRPr="00487947">
        <w:t>The second lowest marginal tax rate for the 20</w:t>
      </w:r>
      <w:r w:rsidR="00CC055B" w:rsidRPr="00487947">
        <w:t>2</w:t>
      </w:r>
      <w:r w:rsidRPr="00487947">
        <w:t>5</w:t>
      </w:r>
      <w:r w:rsidRPr="00487947">
        <w:noBreakHyphen/>
      </w:r>
      <w:r w:rsidR="00CC055B" w:rsidRPr="00487947">
        <w:t>2</w:t>
      </w:r>
      <w:r w:rsidRPr="00487947">
        <w:t>6 year of income is 3</w:t>
      </w:r>
      <w:r w:rsidR="00CC055B" w:rsidRPr="00487947">
        <w:t>0</w:t>
      </w:r>
      <w:r w:rsidRPr="00487947">
        <w:t> per cent</w:t>
      </w:r>
      <w:r w:rsidRPr="00FB79FE">
        <w:t>.</w:t>
      </w:r>
    </w:p>
    <w:p w14:paraId="5F1A426E" w14:textId="77777777" w:rsidR="00DC6F64" w:rsidRPr="00FB79FE" w:rsidRDefault="00DC6F64" w:rsidP="00FB79FE">
      <w:pPr>
        <w:spacing w:before="240" w:after="200"/>
        <w:ind w:left="794"/>
      </w:pPr>
      <w:r w:rsidRPr="00FB79FE">
        <w:rPr>
          <w:b/>
        </w:rPr>
        <w:t>Example 1</w:t>
      </w:r>
    </w:p>
    <w:p w14:paraId="0D735486" w14:textId="3B92A62D" w:rsidR="00DC6F64" w:rsidRPr="00FB79FE" w:rsidRDefault="00DC6F64" w:rsidP="00FB79FE">
      <w:pPr>
        <w:spacing w:before="240" w:after="200"/>
        <w:ind w:left="794"/>
      </w:pPr>
      <w:r w:rsidRPr="00FB79FE">
        <w:t xml:space="preserve">Jill is a </w:t>
      </w:r>
      <w:proofErr w:type="gramStart"/>
      <w:r w:rsidRPr="00FB79FE">
        <w:t>67 year old</w:t>
      </w:r>
      <w:proofErr w:type="gramEnd"/>
      <w:r w:rsidRPr="00FB79FE">
        <w:t xml:space="preserve"> individual who did not have a spouse in the 20</w:t>
      </w:r>
      <w:r w:rsidR="00DD6646" w:rsidRPr="00FB79FE">
        <w:t>2</w:t>
      </w:r>
      <w:r w:rsidRPr="00FB79FE">
        <w:t>5</w:t>
      </w:r>
      <w:r w:rsidRPr="00FB79FE">
        <w:noBreakHyphen/>
      </w:r>
      <w:r w:rsidR="00DD6646" w:rsidRPr="00FB79FE">
        <w:t>2</w:t>
      </w:r>
      <w:r w:rsidRPr="00FB79FE">
        <w:t>6 year of income.</w:t>
      </w:r>
    </w:p>
    <w:p w14:paraId="1C7E5500" w14:textId="2AA0DA6C" w:rsidR="00DC6F64" w:rsidRPr="00FB79FE" w:rsidRDefault="00DC6F64" w:rsidP="00FB79FE">
      <w:pPr>
        <w:spacing w:before="240" w:after="200"/>
        <w:ind w:left="794"/>
      </w:pPr>
      <w:r w:rsidRPr="00FB79FE">
        <w:t>For the 20</w:t>
      </w:r>
      <w:r w:rsidR="00DD6646" w:rsidRPr="00FB79FE">
        <w:t>2</w:t>
      </w:r>
      <w:r w:rsidRPr="00FB79FE">
        <w:t>5</w:t>
      </w:r>
      <w:r w:rsidRPr="00FB79FE">
        <w:noBreakHyphen/>
      </w:r>
      <w:r w:rsidR="00DD6646" w:rsidRPr="00FB79FE">
        <w:t>2</w:t>
      </w:r>
      <w:r w:rsidRPr="00FB79FE">
        <w:t>6 year of income, the tax</w:t>
      </w:r>
      <w:r w:rsidRPr="00FB79FE">
        <w:noBreakHyphen/>
        <w:t>free threshold is $18,200, the lowest marginal tax rate is 1</w:t>
      </w:r>
      <w:r w:rsidR="00425640" w:rsidRPr="00FB79FE">
        <w:t>6</w:t>
      </w:r>
      <w:r w:rsidRPr="00FB79FE">
        <w:t xml:space="preserve"> per cent and Jill’s taxable income is $30,000.</w:t>
      </w:r>
    </w:p>
    <w:p w14:paraId="358F9CF2" w14:textId="77777777" w:rsidR="00DC6F64" w:rsidRPr="00FB79FE" w:rsidRDefault="00DC6F64" w:rsidP="00FB79FE">
      <w:pPr>
        <w:spacing w:before="240" w:after="200"/>
        <w:ind w:left="794"/>
      </w:pPr>
      <w:r w:rsidRPr="00FB79FE">
        <w:t>Jill’s rebate threshold is calculated as follows (formula 1, rounded up to the nearest whole dollar):</w:t>
      </w:r>
    </w:p>
    <w:p w14:paraId="6184AF60" w14:textId="22899FF1" w:rsidR="00DC6F64" w:rsidRPr="00487947" w:rsidRDefault="00DC6F64" w:rsidP="00FB79FE">
      <w:pPr>
        <w:spacing w:before="240" w:after="200"/>
        <w:ind w:left="794"/>
      </w:pPr>
      <w:r w:rsidRPr="00FB79FE">
        <w:t>$18,200 + (($445 + $2,230)/0.1</w:t>
      </w:r>
      <w:r w:rsidR="00E90C0F" w:rsidRPr="00FB79FE">
        <w:t>6</w:t>
      </w:r>
      <w:r w:rsidRPr="00FB79FE">
        <w:t>) = $3</w:t>
      </w:r>
      <w:r w:rsidR="00C26736">
        <w:t>4,</w:t>
      </w:r>
      <w:r w:rsidR="007C51A9">
        <w:t>91</w:t>
      </w:r>
      <w:r w:rsidR="00692785">
        <w:t>9</w:t>
      </w:r>
    </w:p>
    <w:p w14:paraId="3A48F04F" w14:textId="316F85B3" w:rsidR="00DC6F64" w:rsidRPr="00FB79FE" w:rsidRDefault="00DC6F64" w:rsidP="0066319D">
      <w:pPr>
        <w:spacing w:before="240" w:after="200"/>
        <w:ind w:left="794"/>
      </w:pPr>
      <w:r w:rsidRPr="00487947">
        <w:lastRenderedPageBreak/>
        <w:t xml:space="preserve">As the rebate threshold calculated in accordance with formula 1 is less than the </w:t>
      </w:r>
      <w:r w:rsidR="00B12D90">
        <w:t>rebate reduction threshold</w:t>
      </w:r>
      <w:r w:rsidRPr="00FB79FE">
        <w:t xml:space="preserve"> ($37,000 for the 20</w:t>
      </w:r>
      <w:r w:rsidR="00CE0A97" w:rsidRPr="00FB79FE">
        <w:t>2</w:t>
      </w:r>
      <w:r w:rsidRPr="00FB79FE">
        <w:t>5</w:t>
      </w:r>
      <w:r w:rsidRPr="00FB79FE">
        <w:noBreakHyphen/>
      </w:r>
      <w:r w:rsidR="000209FA" w:rsidRPr="00FB79FE">
        <w:t>2</w:t>
      </w:r>
      <w:r w:rsidRPr="00FB79FE">
        <w:t>6 year of income), formula 2 does not apply.</w:t>
      </w:r>
    </w:p>
    <w:p w14:paraId="1B37D8E6" w14:textId="7BFE429D" w:rsidR="00DC6F64" w:rsidRPr="00FB79FE" w:rsidRDefault="00DC6F64" w:rsidP="00DC6F64">
      <w:pPr>
        <w:spacing w:before="240" w:after="200"/>
      </w:pPr>
      <w:r w:rsidRPr="00FB79FE">
        <w:t>Note</w:t>
      </w:r>
      <w:r w:rsidR="00392958" w:rsidRPr="00FB79FE">
        <w:t xml:space="preserve">, </w:t>
      </w:r>
      <w:r w:rsidRPr="00FB79FE">
        <w:t xml:space="preserve">the rebate threshold may be affected by </w:t>
      </w:r>
      <w:r w:rsidR="009A2F5D">
        <w:t>section 12 of the Regulations</w:t>
      </w:r>
      <w:r w:rsidR="005D4EE7">
        <w:t>,</w:t>
      </w:r>
      <w:r w:rsidRPr="00FB79FE">
        <w:t xml:space="preserve"> </w:t>
      </w:r>
      <w:r w:rsidR="009C2A9A">
        <w:t>which</w:t>
      </w:r>
      <w:r w:rsidRPr="00FB79FE">
        <w:t xml:space="preserve"> allow</w:t>
      </w:r>
      <w:r w:rsidR="000D4327">
        <w:t>s</w:t>
      </w:r>
      <w:r w:rsidRPr="00FB79FE">
        <w:t xml:space="preserve"> for the transfer of an unused base rebate amount between spouses or a spouse’s trustee.</w:t>
      </w:r>
    </w:p>
    <w:p w14:paraId="663C6735" w14:textId="53F5FC0B" w:rsidR="00940643" w:rsidRPr="00447C3B" w:rsidRDefault="00940643" w:rsidP="00DC6F64">
      <w:pPr>
        <w:spacing w:before="240" w:after="200"/>
        <w:rPr>
          <w:u w:val="single"/>
        </w:rPr>
      </w:pPr>
      <w:r w:rsidRPr="00447C3B">
        <w:rPr>
          <w:u w:val="single"/>
        </w:rPr>
        <w:t>Section 10</w:t>
      </w:r>
      <w:r w:rsidR="00AF7965" w:rsidRPr="00447C3B">
        <w:rPr>
          <w:u w:val="single"/>
        </w:rPr>
        <w:t xml:space="preserve"> – Entitlement to rebate </w:t>
      </w:r>
    </w:p>
    <w:p w14:paraId="4E117BD9" w14:textId="77777777" w:rsidR="002C26A8" w:rsidRPr="00447C3B" w:rsidRDefault="002C26A8" w:rsidP="002C26A8">
      <w:pPr>
        <w:spacing w:before="240" w:after="200"/>
      </w:pPr>
      <w:r w:rsidRPr="00447C3B">
        <w:t>In determining an entitlement to the rebate:</w:t>
      </w:r>
    </w:p>
    <w:p w14:paraId="30CBFF7D" w14:textId="7487A3CA" w:rsidR="009C4AD2" w:rsidRPr="00447C3B" w:rsidRDefault="002C26A8" w:rsidP="009C4AD2">
      <w:pPr>
        <w:pStyle w:val="Bullet"/>
      </w:pPr>
      <w:r w:rsidRPr="00FB79FE">
        <w:t>In a subsection 160</w:t>
      </w:r>
      <w:proofErr w:type="gramStart"/>
      <w:r w:rsidRPr="00FB79FE">
        <w:t>AAAA(</w:t>
      </w:r>
      <w:proofErr w:type="gramEnd"/>
      <w:r w:rsidRPr="00FB79FE">
        <w:t>3) of the Act case: the taxpayer’s </w:t>
      </w:r>
      <w:r w:rsidRPr="00487947">
        <w:rPr>
          <w:b/>
          <w:i/>
        </w:rPr>
        <w:t>rebate income</w:t>
      </w:r>
      <w:r w:rsidRPr="00487947">
        <w:t xml:space="preserve"> (defined in subsection 6(1) of the Act) for the year of income must be less than </w:t>
      </w:r>
      <w:r w:rsidR="00DC2E4F" w:rsidRPr="00487947">
        <w:t>the</w:t>
      </w:r>
      <w:r w:rsidRPr="00487947">
        <w:t> </w:t>
      </w:r>
      <w:r w:rsidRPr="00487947">
        <w:rPr>
          <w:b/>
          <w:i/>
        </w:rPr>
        <w:t>amount</w:t>
      </w:r>
      <w:r w:rsidRPr="00487947">
        <w:t> ascertained in accordance with the regulations;</w:t>
      </w:r>
    </w:p>
    <w:p w14:paraId="68753DF3" w14:textId="60DAE865" w:rsidR="002C26A8" w:rsidRPr="002C26A8" w:rsidRDefault="002C26A8" w:rsidP="00C5235C">
      <w:pPr>
        <w:pStyle w:val="Bullet"/>
        <w:rPr>
          <w:u w:val="single"/>
        </w:rPr>
      </w:pPr>
      <w:r w:rsidRPr="00447C3B">
        <w:t>In a subsection 160</w:t>
      </w:r>
      <w:proofErr w:type="gramStart"/>
      <w:r w:rsidRPr="00447C3B">
        <w:t>AAAB(</w:t>
      </w:r>
      <w:proofErr w:type="gramEnd"/>
      <w:r w:rsidRPr="00447C3B">
        <w:t>3) of the Act case: the beneficiary’s </w:t>
      </w:r>
      <w:r w:rsidRPr="00487947">
        <w:rPr>
          <w:b/>
          <w:i/>
        </w:rPr>
        <w:t>amount applicable</w:t>
      </w:r>
      <w:r w:rsidRPr="00447C3B">
        <w:t xml:space="preserve"> (defined in section 160AAAB of the Act) for the year of income must be less than </w:t>
      </w:r>
      <w:r w:rsidR="00DC2E4F" w:rsidRPr="00447C3B">
        <w:t>the</w:t>
      </w:r>
      <w:r w:rsidRPr="00447C3B">
        <w:t> </w:t>
      </w:r>
      <w:r w:rsidRPr="00447C3B">
        <w:rPr>
          <w:b/>
          <w:i/>
        </w:rPr>
        <w:t>amount</w:t>
      </w:r>
      <w:r w:rsidRPr="00447C3B">
        <w:t> ascertained in accordance with the regulations.</w:t>
      </w:r>
    </w:p>
    <w:p w14:paraId="74D676A1" w14:textId="0C8657D9" w:rsidR="002C26A8" w:rsidRPr="00447C3B" w:rsidRDefault="002C26A8" w:rsidP="002C26A8">
      <w:pPr>
        <w:spacing w:before="240" w:after="200"/>
      </w:pPr>
      <w:r w:rsidRPr="00447C3B">
        <w:t>Section 10 provides that the </w:t>
      </w:r>
      <w:r w:rsidRPr="00447C3B">
        <w:rPr>
          <w:b/>
          <w:i/>
        </w:rPr>
        <w:t>amount</w:t>
      </w:r>
      <w:r w:rsidRPr="00447C3B">
        <w:t xml:space="preserve"> is ascertained </w:t>
      </w:r>
      <w:r w:rsidR="009048F2">
        <w:t>as follows (formula 3)</w:t>
      </w:r>
      <w:r w:rsidR="00001DA3">
        <w:t>:</w:t>
      </w:r>
    </w:p>
    <w:p w14:paraId="6291F925" w14:textId="47CAF41B" w:rsidR="002C26A8" w:rsidRPr="00447C3B" w:rsidRDefault="0030282C" w:rsidP="00447C3B">
      <w:pPr>
        <w:spacing w:before="240" w:after="200"/>
        <w:ind w:left="794"/>
        <w:rPr>
          <w:u w:val="single"/>
        </w:rPr>
      </w:pPr>
      <w:r w:rsidRPr="0030282C">
        <w:t xml:space="preserve"> </w:t>
      </w:r>
      <w:r>
        <w:rPr>
          <w:noProof/>
        </w:rPr>
        <w:drawing>
          <wp:inline distT="0" distB="0" distL="0" distR="0" wp14:anchorId="67384159" wp14:editId="6CA15428">
            <wp:extent cx="3524250" cy="476250"/>
            <wp:effectExtent l="0" t="0" r="0" b="0"/>
            <wp:docPr id="476330526" name="Picture 3" descr="Start formula start fraction Base rebate amount for the rebate over 0.125 end fraction plus Rebate threshold for the rebat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art formula start fraction Base rebate amount for the rebate over 0.125 end fraction plus Rebate threshold for the rebate end formul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4250" cy="476250"/>
                    </a:xfrm>
                    <a:prstGeom prst="rect">
                      <a:avLst/>
                    </a:prstGeom>
                    <a:noFill/>
                    <a:ln>
                      <a:noFill/>
                    </a:ln>
                  </pic:spPr>
                </pic:pic>
              </a:graphicData>
            </a:graphic>
          </wp:inline>
        </w:drawing>
      </w:r>
    </w:p>
    <w:p w14:paraId="150FE79F" w14:textId="77777777" w:rsidR="002C26A8" w:rsidRPr="00447C3B" w:rsidRDefault="002C26A8" w:rsidP="00447C3B">
      <w:pPr>
        <w:spacing w:before="240" w:after="200"/>
        <w:ind w:left="794"/>
      </w:pPr>
      <w:r w:rsidRPr="00447C3B">
        <w:rPr>
          <w:b/>
        </w:rPr>
        <w:t>Example 2</w:t>
      </w:r>
    </w:p>
    <w:p w14:paraId="1E3576CF" w14:textId="77777777" w:rsidR="002C26A8" w:rsidRPr="00447C3B" w:rsidRDefault="002C26A8" w:rsidP="00447C3B">
      <w:pPr>
        <w:spacing w:before="240" w:after="200"/>
        <w:ind w:left="794"/>
      </w:pPr>
      <w:r w:rsidRPr="00447C3B">
        <w:t>Following on from example 1 above, Jill’s threshold for her entitlement to the rebate is ascertained as follows:</w:t>
      </w:r>
    </w:p>
    <w:p w14:paraId="041BB7F2" w14:textId="4C789665" w:rsidR="002C26A8" w:rsidRPr="00487947" w:rsidRDefault="002C26A8" w:rsidP="00447C3B">
      <w:pPr>
        <w:spacing w:before="240" w:after="200"/>
        <w:ind w:left="794"/>
      </w:pPr>
      <w:r w:rsidRPr="00447C3B">
        <w:t>($2,230/0.125) + $3</w:t>
      </w:r>
      <w:r w:rsidR="00D55CE3">
        <w:t>4,</w:t>
      </w:r>
      <w:r w:rsidR="004C35BD">
        <w:t>919</w:t>
      </w:r>
      <w:r w:rsidRPr="00487947">
        <w:t xml:space="preserve"> = $5</w:t>
      </w:r>
      <w:r w:rsidR="00191609">
        <w:t>2,759</w:t>
      </w:r>
    </w:p>
    <w:p w14:paraId="484F8754" w14:textId="2F5C7CD0" w:rsidR="002C26A8" w:rsidRPr="00447C3B" w:rsidRDefault="002C26A8" w:rsidP="00447C3B">
      <w:pPr>
        <w:spacing w:before="240" w:after="200"/>
        <w:ind w:left="794"/>
      </w:pPr>
      <w:r w:rsidRPr="00487947">
        <w:t>Assuming Jill’s taxable income equals her rebate income ($30,000), Jill is entitled to a rebate as her rebate income is less than the </w:t>
      </w:r>
      <w:r w:rsidRPr="00447C3B">
        <w:rPr>
          <w:b/>
          <w:bCs/>
          <w:i/>
        </w:rPr>
        <w:t>amount</w:t>
      </w:r>
      <w:r w:rsidRPr="00447C3B">
        <w:t> ascertained of $5</w:t>
      </w:r>
      <w:r w:rsidR="00B818A9">
        <w:t>2,759</w:t>
      </w:r>
      <w:r w:rsidRPr="00487947">
        <w:t>.</w:t>
      </w:r>
    </w:p>
    <w:p w14:paraId="79DF1C61" w14:textId="7EDC7265" w:rsidR="00AF7965" w:rsidRPr="00447C3B" w:rsidRDefault="00AF7965" w:rsidP="00DC6F64">
      <w:pPr>
        <w:spacing w:before="240" w:after="200"/>
        <w:rPr>
          <w:u w:val="single"/>
        </w:rPr>
      </w:pPr>
      <w:r w:rsidRPr="00447C3B">
        <w:rPr>
          <w:u w:val="single"/>
        </w:rPr>
        <w:t>Section 11 – Amount of rebate</w:t>
      </w:r>
    </w:p>
    <w:p w14:paraId="76A8037E" w14:textId="17EDCE64" w:rsidR="00485BE0" w:rsidRPr="00FC57E4" w:rsidRDefault="00485BE0" w:rsidP="00485BE0">
      <w:pPr>
        <w:spacing w:before="240" w:after="200"/>
      </w:pPr>
      <w:r w:rsidRPr="00447C3B">
        <w:t xml:space="preserve">Once an entitlement to the rebate is determined, the amount of the rebate is (unless affected by </w:t>
      </w:r>
      <w:r w:rsidR="00D132B8">
        <w:t>section 12 of the Regulations</w:t>
      </w:r>
      <w:r w:rsidRPr="00447C3B">
        <w:t xml:space="preserve"> </w:t>
      </w:r>
      <w:r w:rsidR="00FA1869">
        <w:t>which</w:t>
      </w:r>
      <w:r w:rsidRPr="00FC57E4">
        <w:t xml:space="preserve"> allow</w:t>
      </w:r>
      <w:r w:rsidR="00FA1869">
        <w:t>s</w:t>
      </w:r>
      <w:r w:rsidRPr="00FC57E4">
        <w:t xml:space="preserve"> for the transfer of an unused rebate amount</w:t>
      </w:r>
      <w:r w:rsidR="00FA1869">
        <w:t xml:space="preserve"> to</w:t>
      </w:r>
      <w:r w:rsidRPr="00FC57E4" w:rsidDel="00FA1869">
        <w:t xml:space="preserve"> </w:t>
      </w:r>
      <w:r w:rsidR="00DA03CF">
        <w:t xml:space="preserve">a </w:t>
      </w:r>
      <w:r w:rsidRPr="00FC57E4">
        <w:t>spouse or spouse’s trustee):</w:t>
      </w:r>
    </w:p>
    <w:p w14:paraId="269AF289" w14:textId="73AE5622" w:rsidR="00485BE0" w:rsidRPr="00FC57E4" w:rsidRDefault="00485BE0" w:rsidP="00FC57E4">
      <w:pPr>
        <w:pStyle w:val="Bullet"/>
      </w:pPr>
      <w:r w:rsidRPr="00FC57E4">
        <w:t>the base rebate amount for the rebate; or</w:t>
      </w:r>
    </w:p>
    <w:p w14:paraId="21572BB1" w14:textId="55323FF6" w:rsidR="00485BE0" w:rsidRPr="00FC57E4" w:rsidRDefault="00485BE0" w:rsidP="00FC57E4">
      <w:pPr>
        <w:pStyle w:val="Bullet"/>
      </w:pPr>
      <w:r w:rsidRPr="00FC57E4">
        <w:t>where the rebate income of the taxpayer, or the rebate income of the beneficiary (as the case requires) exceeds the rebate threshold for the rebate – the base rebate amount is reduced by 12.5 cents for each $1 of the amount of the excess.</w:t>
      </w:r>
    </w:p>
    <w:p w14:paraId="2833E870" w14:textId="77777777" w:rsidR="00485BE0" w:rsidRPr="00FC57E4" w:rsidRDefault="00485BE0" w:rsidP="00FC57E4">
      <w:pPr>
        <w:spacing w:before="240" w:after="200"/>
        <w:ind w:left="794"/>
      </w:pPr>
      <w:r w:rsidRPr="00FC57E4">
        <w:rPr>
          <w:b/>
        </w:rPr>
        <w:t>Example 3</w:t>
      </w:r>
    </w:p>
    <w:p w14:paraId="48B95F62" w14:textId="1201D6FC" w:rsidR="006A3D60" w:rsidRPr="00FC57E4" w:rsidRDefault="00485BE0" w:rsidP="00FC57E4">
      <w:pPr>
        <w:spacing w:before="240" w:after="200"/>
        <w:ind w:left="794"/>
      </w:pPr>
      <w:r w:rsidRPr="00FC57E4">
        <w:t>Following on from examples 1 and 2 above, the amount of Jill’s rebate is $2,230 for the 20</w:t>
      </w:r>
      <w:r w:rsidR="007A1477">
        <w:t>2</w:t>
      </w:r>
      <w:r w:rsidRPr="00FC57E4">
        <w:t>5</w:t>
      </w:r>
      <w:r w:rsidRPr="00FC57E4">
        <w:noBreakHyphen/>
      </w:r>
      <w:r w:rsidR="007A1477">
        <w:t>2</w:t>
      </w:r>
      <w:r w:rsidRPr="00FC57E4">
        <w:t>6 year of income, because her rebate income ($30,000) does not exceed her rebate threshold ($3</w:t>
      </w:r>
      <w:r w:rsidR="00B818A9">
        <w:t>4</w:t>
      </w:r>
      <w:r w:rsidRPr="00487947">
        <w:t>,</w:t>
      </w:r>
      <w:r w:rsidR="00B818A9">
        <w:t>919</w:t>
      </w:r>
      <w:r w:rsidRPr="00487947">
        <w:t>).</w:t>
      </w:r>
    </w:p>
    <w:p w14:paraId="6BA786CD" w14:textId="6DF22E1A" w:rsidR="00AF7965" w:rsidRPr="00FC57E4" w:rsidRDefault="00AF7965" w:rsidP="00DC6F64">
      <w:pPr>
        <w:spacing w:before="240" w:after="200"/>
        <w:rPr>
          <w:u w:val="single"/>
        </w:rPr>
      </w:pPr>
      <w:r w:rsidRPr="00FC57E4">
        <w:rPr>
          <w:u w:val="single"/>
        </w:rPr>
        <w:lastRenderedPageBreak/>
        <w:t>Section 12 – Transfer of unused base rebate amount from</w:t>
      </w:r>
      <w:r w:rsidR="00BA7B52" w:rsidRPr="00FC57E4">
        <w:rPr>
          <w:u w:val="single"/>
        </w:rPr>
        <w:t xml:space="preserve"> individual taxpayer to spouse or spouse’s trustee</w:t>
      </w:r>
    </w:p>
    <w:p w14:paraId="7A24BDC7" w14:textId="7A163160" w:rsidR="00867023" w:rsidRDefault="00470EA3" w:rsidP="00470EA3">
      <w:pPr>
        <w:spacing w:before="240" w:after="200"/>
      </w:pPr>
      <w:r w:rsidRPr="00FC57E4">
        <w:t xml:space="preserve">Section 12 enables </w:t>
      </w:r>
      <w:r w:rsidR="00E936A4">
        <w:t>an</w:t>
      </w:r>
      <w:r w:rsidRPr="00FC57E4">
        <w:t xml:space="preserve"> amount of an individual’s unused rebate to be transferred to their spouse or spouse’s trustee</w:t>
      </w:r>
      <w:r w:rsidR="00514E04">
        <w:t>, provided their spouse or spouse’s trustee satisfie</w:t>
      </w:r>
      <w:r w:rsidR="00A72A34">
        <w:t>s</w:t>
      </w:r>
      <w:r w:rsidR="00514E04">
        <w:t xml:space="preserve"> certain conditions.</w:t>
      </w:r>
      <w:r w:rsidR="00D14159" w:rsidRPr="00D14159">
        <w:t xml:space="preserve"> </w:t>
      </w:r>
      <w:r w:rsidR="00D14159">
        <w:t>Unlike other provisions in the Regulations, spouses living separately are not considered to be spouses for the purposes of this section</w:t>
      </w:r>
      <w:r w:rsidR="00A72A34">
        <w:t xml:space="preserve"> (see </w:t>
      </w:r>
      <w:r w:rsidR="00764ABF">
        <w:t>subsection 12(2)</w:t>
      </w:r>
      <w:r w:rsidR="009F0590">
        <w:t xml:space="preserve"> of the Regulations)</w:t>
      </w:r>
      <w:r w:rsidR="00D14159">
        <w:t>.</w:t>
      </w:r>
      <w:r w:rsidR="00744167">
        <w:t xml:space="preserve"> </w:t>
      </w:r>
    </w:p>
    <w:p w14:paraId="18B734C7" w14:textId="26D951D2" w:rsidR="0068648F" w:rsidRDefault="007028E3" w:rsidP="00470EA3">
      <w:pPr>
        <w:spacing w:before="240" w:after="200"/>
      </w:pPr>
      <w:r>
        <w:t>Where the individual and their spouse or spouse’s trustee meet the conditions outlined in subsection 12(1) of the Regulations</w:t>
      </w:r>
      <w:r w:rsidR="001344B4">
        <w:t>:</w:t>
      </w:r>
      <w:r>
        <w:t xml:space="preserve"> </w:t>
      </w:r>
    </w:p>
    <w:p w14:paraId="7445CB0F" w14:textId="74B5E188" w:rsidR="00867023" w:rsidRDefault="0019507E" w:rsidP="00FB2260">
      <w:pPr>
        <w:pStyle w:val="Bullet"/>
      </w:pPr>
      <w:r>
        <w:t xml:space="preserve">the </w:t>
      </w:r>
      <w:r w:rsidR="001712B3">
        <w:t xml:space="preserve">base rebate amount </w:t>
      </w:r>
      <w:r w:rsidR="00882AD7">
        <w:t xml:space="preserve">for the individual </w:t>
      </w:r>
      <w:r w:rsidR="001712B3">
        <w:t xml:space="preserve">is reduced by the </w:t>
      </w:r>
      <w:r w:rsidR="002D2F21">
        <w:t>difference between their tax payable and the base rebate</w:t>
      </w:r>
      <w:r w:rsidR="00FB2260">
        <w:t xml:space="preserve"> amount; and</w:t>
      </w:r>
    </w:p>
    <w:p w14:paraId="17389DEB" w14:textId="344F1104" w:rsidR="003F36CC" w:rsidRDefault="00FB2260" w:rsidP="003F36CC">
      <w:pPr>
        <w:pStyle w:val="Bullet"/>
      </w:pPr>
      <w:r>
        <w:t xml:space="preserve">the base rebate amount of the individual’s spouse or the </w:t>
      </w:r>
      <w:r w:rsidR="001034E2">
        <w:t xml:space="preserve">spouse’s trustee </w:t>
      </w:r>
      <w:r>
        <w:t>is</w:t>
      </w:r>
      <w:r w:rsidR="00904E18">
        <w:t xml:space="preserve"> increased by the same amount</w:t>
      </w:r>
      <w:r w:rsidR="00FE7DF7">
        <w:t>.</w:t>
      </w:r>
      <w:r w:rsidR="00904E18">
        <w:t xml:space="preserve"> </w:t>
      </w:r>
    </w:p>
    <w:p w14:paraId="699121DF" w14:textId="33C5C425" w:rsidR="00D72D4D" w:rsidRDefault="002771F9" w:rsidP="0066319D">
      <w:pPr>
        <w:pStyle w:val="Bullet"/>
        <w:numPr>
          <w:ilvl w:val="0"/>
          <w:numId w:val="0"/>
        </w:numPr>
      </w:pPr>
      <w:r>
        <w:t>Alternatively, w</w:t>
      </w:r>
      <w:r w:rsidR="006B008B">
        <w:t xml:space="preserve">here the conditions of subsection 12(4) of the Regulations are met, </w:t>
      </w:r>
      <w:r w:rsidR="00474A40">
        <w:t>th</w:t>
      </w:r>
      <w:r w:rsidR="00D72D4D">
        <w:t xml:space="preserve">e </w:t>
      </w:r>
      <w:r w:rsidR="005E002D">
        <w:t>base rebate amount for the spouse’s</w:t>
      </w:r>
      <w:r w:rsidR="00EE65B1">
        <w:t xml:space="preserve"> or spouse’s trustee</w:t>
      </w:r>
      <w:r w:rsidR="004D3B5E">
        <w:t>’s</w:t>
      </w:r>
      <w:r w:rsidR="005E002D">
        <w:t xml:space="preserve"> rebate </w:t>
      </w:r>
      <w:r w:rsidR="00564BFA">
        <w:t xml:space="preserve">is </w:t>
      </w:r>
      <w:r w:rsidR="008D6FFE">
        <w:t>increased</w:t>
      </w:r>
      <w:r w:rsidR="0002041E">
        <w:t xml:space="preserve"> </w:t>
      </w:r>
      <w:r w:rsidR="008D6FFE">
        <w:t>by</w:t>
      </w:r>
      <w:r w:rsidR="0002041E">
        <w:t xml:space="preserve"> </w:t>
      </w:r>
      <w:r w:rsidR="0022003E">
        <w:t>the greater of nil and the amount worked out</w:t>
      </w:r>
      <w:r w:rsidR="00BA2836">
        <w:t xml:space="preserve"> as follows (formula 4)</w:t>
      </w:r>
      <w:r w:rsidR="00DE54A0">
        <w:t xml:space="preserve">: </w:t>
      </w:r>
    </w:p>
    <w:p w14:paraId="6B5C5872" w14:textId="5280E6B7" w:rsidR="0002041E" w:rsidRDefault="0002041E" w:rsidP="00470EA3">
      <w:pPr>
        <w:spacing w:before="240" w:after="200"/>
      </w:pPr>
      <w:r>
        <w:tab/>
      </w:r>
      <w:r>
        <w:rPr>
          <w:noProof/>
        </w:rPr>
        <w:drawing>
          <wp:inline distT="0" distB="0" distL="0" distR="0" wp14:anchorId="529E8390" wp14:editId="6FCACF55">
            <wp:extent cx="3721100" cy="643890"/>
            <wp:effectExtent l="0" t="0" r="0" b="0"/>
            <wp:docPr id="402718682" name="Picture 1" descr="Start formula Base rebate amount for the taxpayer's rebate minus open bracket open bracket Taxpayer's taxable income mentioned in paragraph open bracket 4 close bracket open bracket a close bracket minus $6,000 close bracket times 0.15 close bracket end formul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t formula Base rebate amount for the taxpayer's rebate minus open bracket open bracket Taxpayer's taxable income mentioned in paragraph open bracket 4 close bracket open bracket a close bracket minus $6,000 close bracket times 0.15 close bracket end formula&#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1100" cy="643890"/>
                    </a:xfrm>
                    <a:prstGeom prst="rect">
                      <a:avLst/>
                    </a:prstGeom>
                    <a:noFill/>
                    <a:ln>
                      <a:noFill/>
                    </a:ln>
                  </pic:spPr>
                </pic:pic>
              </a:graphicData>
            </a:graphic>
          </wp:inline>
        </w:drawing>
      </w:r>
    </w:p>
    <w:p w14:paraId="1950E6D1" w14:textId="45CEF32F" w:rsidR="00AA57C4" w:rsidRDefault="00F520C8" w:rsidP="00470EA3">
      <w:pPr>
        <w:spacing w:before="240" w:after="200"/>
      </w:pPr>
      <w:r>
        <w:t>Subs</w:t>
      </w:r>
      <w:r w:rsidR="00D66878">
        <w:t>ection 12</w:t>
      </w:r>
      <w:r>
        <w:t>(5)</w:t>
      </w:r>
      <w:r w:rsidR="00D66878">
        <w:t xml:space="preserve"> of the Regulations also provides that certain pension</w:t>
      </w:r>
      <w:r w:rsidR="00E30AC9">
        <w:t>s</w:t>
      </w:r>
      <w:r w:rsidR="00D66878">
        <w:t xml:space="preserve"> are to be treated as assessable income. </w:t>
      </w:r>
      <w:r w:rsidR="009A4D96">
        <w:t>Pensions are included in assessable income if</w:t>
      </w:r>
      <w:r w:rsidR="006C2DCC">
        <w:t xml:space="preserve"> the following conditions are </w:t>
      </w:r>
      <w:r>
        <w:t>met:</w:t>
      </w:r>
    </w:p>
    <w:p w14:paraId="2986F884" w14:textId="63C1CF25" w:rsidR="00D66878" w:rsidRDefault="009A4D96" w:rsidP="00AA57C4">
      <w:pPr>
        <w:pStyle w:val="Bullet"/>
      </w:pPr>
      <w:r>
        <w:t xml:space="preserve">the taxpayer receives the pension under Part 2.3 or 2.5 of the </w:t>
      </w:r>
      <w:r w:rsidRPr="00D20289">
        <w:rPr>
          <w:i/>
          <w:iCs/>
        </w:rPr>
        <w:t>Social Security Act 1991</w:t>
      </w:r>
      <w:r w:rsidR="00E30AC9">
        <w:t xml:space="preserve"> or Division 4 or 5 of Part III of the </w:t>
      </w:r>
      <w:r w:rsidR="00E30AC9" w:rsidRPr="00D20289">
        <w:rPr>
          <w:i/>
          <w:iCs/>
        </w:rPr>
        <w:t>Veteran’s Entitlement Act 1986</w:t>
      </w:r>
      <w:r w:rsidR="00AA57C4">
        <w:t>; and</w:t>
      </w:r>
    </w:p>
    <w:p w14:paraId="3C3A51DD" w14:textId="49FBC1C5" w:rsidR="00AA57C4" w:rsidRDefault="00AA57C4" w:rsidP="00D20289">
      <w:pPr>
        <w:pStyle w:val="Bullet"/>
      </w:pPr>
      <w:r>
        <w:t xml:space="preserve">the pensions are exempt under Subdivision 52-A or 52-B of the </w:t>
      </w:r>
      <w:r w:rsidRPr="00D20289">
        <w:rPr>
          <w:i/>
          <w:iCs/>
        </w:rPr>
        <w:t>Income Tax Assessment Act 1997</w:t>
      </w:r>
      <w:r w:rsidR="00D20289">
        <w:t>.</w:t>
      </w:r>
    </w:p>
    <w:p w14:paraId="73EC19BF" w14:textId="682FF12C" w:rsidR="0050492A" w:rsidRPr="00ED54DD" w:rsidRDefault="0050492A" w:rsidP="00A2632E">
      <w:pPr>
        <w:pStyle w:val="Bullet"/>
        <w:numPr>
          <w:ilvl w:val="0"/>
          <w:numId w:val="0"/>
        </w:numPr>
      </w:pPr>
      <w:r>
        <w:t xml:space="preserve">Minor amendments have been made to subsection 12(5) to remove references to ceased </w:t>
      </w:r>
      <w:r w:rsidR="00ED54DD">
        <w:t xml:space="preserve">parts of the </w:t>
      </w:r>
      <w:r w:rsidR="00ED54DD">
        <w:rPr>
          <w:i/>
          <w:iCs/>
        </w:rPr>
        <w:t>Social Security Act 1991</w:t>
      </w:r>
      <w:r w:rsidR="00ED54DD">
        <w:t>.</w:t>
      </w:r>
    </w:p>
    <w:p w14:paraId="59455E0C" w14:textId="77777777" w:rsidR="00470EA3" w:rsidRPr="00FC57E4" w:rsidRDefault="00470EA3" w:rsidP="00FC57E4">
      <w:pPr>
        <w:spacing w:before="240" w:after="200"/>
        <w:ind w:left="794"/>
      </w:pPr>
      <w:r w:rsidRPr="00FC57E4">
        <w:rPr>
          <w:b/>
        </w:rPr>
        <w:t>Example 4</w:t>
      </w:r>
    </w:p>
    <w:p w14:paraId="5535D198" w14:textId="65606C0F" w:rsidR="00470EA3" w:rsidRPr="00487947" w:rsidRDefault="00470EA3" w:rsidP="00FC57E4">
      <w:pPr>
        <w:spacing w:before="240" w:after="200"/>
        <w:ind w:left="794"/>
      </w:pPr>
      <w:r w:rsidRPr="00FC57E4">
        <w:t>Fred and Mary are spouses and are both entitled to a rebate under section 160AAAA of the Act for the 20</w:t>
      </w:r>
      <w:r w:rsidR="005F73F1">
        <w:t>25</w:t>
      </w:r>
      <w:r w:rsidRPr="00D20289">
        <w:noBreakHyphen/>
      </w:r>
      <w:r w:rsidR="005F73F1">
        <w:t>2</w:t>
      </w:r>
      <w:r w:rsidRPr="00487947">
        <w:t>6 year of income.</w:t>
      </w:r>
    </w:p>
    <w:p w14:paraId="0CB688E4" w14:textId="77777777" w:rsidR="00470EA3" w:rsidRPr="00487947" w:rsidRDefault="00470EA3" w:rsidP="00FC57E4">
      <w:pPr>
        <w:spacing w:before="240" w:after="200"/>
        <w:ind w:left="794"/>
      </w:pPr>
      <w:r w:rsidRPr="00487947">
        <w:t>Fred’s taxable income is $5,000 and Mary’s taxable income is $45,000.</w:t>
      </w:r>
    </w:p>
    <w:p w14:paraId="1C85534D" w14:textId="3B3FA699" w:rsidR="006A3D60" w:rsidRPr="00FC57E4" w:rsidRDefault="00470EA3" w:rsidP="00FC57E4">
      <w:pPr>
        <w:spacing w:before="240" w:after="200"/>
        <w:ind w:left="794"/>
        <w:rPr>
          <w:u w:val="single"/>
        </w:rPr>
      </w:pPr>
      <w:r w:rsidRPr="00487947">
        <w:t>Fred’s tax payable on $5,000 is $0 and therefore has an excess rebate of $1,602. This amount is available to be transferred to Mary and the amount of Mary’s rebate is recalculated to take account of Fred’s transferred amount.</w:t>
      </w:r>
    </w:p>
    <w:p w14:paraId="4BF497AF" w14:textId="372AFFA7" w:rsidR="003F66CA" w:rsidRPr="00FC57E4" w:rsidRDefault="003F66CA" w:rsidP="00DC6F64">
      <w:pPr>
        <w:spacing w:before="240" w:after="200"/>
        <w:rPr>
          <w:b/>
          <w:i/>
        </w:rPr>
      </w:pPr>
      <w:r w:rsidRPr="00FC57E4">
        <w:rPr>
          <w:b/>
          <w:i/>
        </w:rPr>
        <w:t xml:space="preserve">Division 2 </w:t>
      </w:r>
      <w:r w:rsidR="00C03F69" w:rsidRPr="00FC57E4">
        <w:rPr>
          <w:b/>
          <w:i/>
        </w:rPr>
        <w:t>–</w:t>
      </w:r>
      <w:r w:rsidRPr="00FC57E4">
        <w:rPr>
          <w:b/>
          <w:i/>
        </w:rPr>
        <w:t xml:space="preserve"> </w:t>
      </w:r>
      <w:r w:rsidR="00C03C72" w:rsidRPr="00C03C72">
        <w:rPr>
          <w:b/>
          <w:i/>
        </w:rPr>
        <w:t>Rebate in respect of certain benefits etc.</w:t>
      </w:r>
      <w:r w:rsidRPr="00FC57E4">
        <w:rPr>
          <w:b/>
          <w:i/>
        </w:rPr>
        <w:t xml:space="preserve"> </w:t>
      </w:r>
    </w:p>
    <w:p w14:paraId="5D073079" w14:textId="2A013777" w:rsidR="00CA0502" w:rsidRPr="00FC57E4" w:rsidRDefault="00F10AB0" w:rsidP="00DC6F64">
      <w:pPr>
        <w:spacing w:before="240" w:after="200"/>
        <w:rPr>
          <w:u w:val="single"/>
        </w:rPr>
      </w:pPr>
      <w:r w:rsidRPr="00FC57E4">
        <w:rPr>
          <w:u w:val="single"/>
        </w:rPr>
        <w:lastRenderedPageBreak/>
        <w:t>Section 13 – Amount of rebate</w:t>
      </w:r>
    </w:p>
    <w:p w14:paraId="22D26FDF" w14:textId="7575676C" w:rsidR="00660A33" w:rsidRPr="00FC57E4" w:rsidRDefault="00660A33" w:rsidP="00660A33">
      <w:pPr>
        <w:spacing w:before="240" w:after="200"/>
      </w:pPr>
      <w:r w:rsidRPr="00FC57E4">
        <w:t>Section 160AAA of the Act provides for a rebate of tax in respect of certain benefits known as ‘</w:t>
      </w:r>
      <w:proofErr w:type="spellStart"/>
      <w:r w:rsidRPr="00FC57E4">
        <w:t>rebatable</w:t>
      </w:r>
      <w:proofErr w:type="spellEnd"/>
      <w:r w:rsidRPr="00FC57E4">
        <w:t xml:space="preserve"> benefits’ (for example certain social security benefits). This ensures that taxpayers </w:t>
      </w:r>
      <w:r w:rsidR="0027464F">
        <w:t>who</w:t>
      </w:r>
      <w:r w:rsidRPr="00FC57E4">
        <w:t xml:space="preserve"> receive such </w:t>
      </w:r>
      <w:proofErr w:type="spellStart"/>
      <w:r w:rsidRPr="00FC57E4">
        <w:t>rebatable</w:t>
      </w:r>
      <w:proofErr w:type="spellEnd"/>
      <w:r w:rsidRPr="00FC57E4">
        <w:t xml:space="preserve"> benefits pay a reduced amount of tax on these types of benefits.</w:t>
      </w:r>
      <w:r w:rsidR="0043393B">
        <w:t xml:space="preserve"> Subsection 160</w:t>
      </w:r>
      <w:proofErr w:type="gramStart"/>
      <w:r w:rsidR="0043393B">
        <w:t>AAA(</w:t>
      </w:r>
      <w:proofErr w:type="gramEnd"/>
      <w:r w:rsidR="0043393B">
        <w:t xml:space="preserve">3) </w:t>
      </w:r>
      <w:r w:rsidR="00833F6C">
        <w:t>of the Act</w:t>
      </w:r>
      <w:r w:rsidR="0043393B">
        <w:t xml:space="preserve"> provides that the </w:t>
      </w:r>
      <w:r w:rsidR="00B47E8C">
        <w:t xml:space="preserve">relevant </w:t>
      </w:r>
      <w:r w:rsidR="00021A15">
        <w:t xml:space="preserve">amount of </w:t>
      </w:r>
      <w:r w:rsidR="00B47E8C">
        <w:t>the rebate of tax</w:t>
      </w:r>
      <w:r w:rsidR="00500E1D">
        <w:t>, if any,</w:t>
      </w:r>
      <w:r w:rsidR="00B47E8C">
        <w:t xml:space="preserve"> </w:t>
      </w:r>
      <w:r w:rsidR="00771DB5">
        <w:t>is to be ascertained in accordance with the regulations.</w:t>
      </w:r>
      <w:r w:rsidR="00B47E8C">
        <w:t xml:space="preserve"> </w:t>
      </w:r>
    </w:p>
    <w:p w14:paraId="7E1A8890" w14:textId="4139C402" w:rsidR="00660A33" w:rsidRPr="00FC57E4" w:rsidRDefault="00660A33" w:rsidP="00660A33">
      <w:pPr>
        <w:spacing w:before="240" w:after="200"/>
      </w:pPr>
      <w:r w:rsidRPr="00FC57E4">
        <w:t>Section 13</w:t>
      </w:r>
      <w:r w:rsidR="00B61DB7" w:rsidRPr="00FC57E4">
        <w:t xml:space="preserve"> of the Regulations</w:t>
      </w:r>
      <w:r w:rsidRPr="00FC57E4">
        <w:t xml:space="preserve"> calculates the amount of the rebate based on a taxpayer’s </w:t>
      </w:r>
      <w:proofErr w:type="spellStart"/>
      <w:r w:rsidRPr="00FC57E4">
        <w:rPr>
          <w:b/>
          <w:i/>
        </w:rPr>
        <w:t>rebatable</w:t>
      </w:r>
      <w:proofErr w:type="spellEnd"/>
      <w:r w:rsidRPr="00FC57E4">
        <w:rPr>
          <w:b/>
          <w:i/>
        </w:rPr>
        <w:t xml:space="preserve"> benefit amount</w:t>
      </w:r>
      <w:r w:rsidRPr="00FC57E4">
        <w:t>. The </w:t>
      </w:r>
      <w:proofErr w:type="spellStart"/>
      <w:r w:rsidRPr="00FC57E4">
        <w:rPr>
          <w:b/>
          <w:bCs/>
          <w:i/>
        </w:rPr>
        <w:t>rebatable</w:t>
      </w:r>
      <w:proofErr w:type="spellEnd"/>
      <w:r w:rsidRPr="00FC57E4">
        <w:rPr>
          <w:b/>
          <w:bCs/>
          <w:i/>
        </w:rPr>
        <w:t xml:space="preserve"> benefit amount</w:t>
      </w:r>
      <w:r w:rsidRPr="00FC57E4">
        <w:t xml:space="preserve"> is the amount of </w:t>
      </w:r>
      <w:proofErr w:type="spellStart"/>
      <w:r w:rsidRPr="00FC57E4">
        <w:t>rebatable</w:t>
      </w:r>
      <w:proofErr w:type="spellEnd"/>
      <w:r w:rsidRPr="00FC57E4">
        <w:t xml:space="preserve"> benefit included in the taxpayer’s assessable income of the year, rounded down to the nearest whole dollar.</w:t>
      </w:r>
    </w:p>
    <w:p w14:paraId="5AF5F240" w14:textId="483205C9" w:rsidR="00660A33" w:rsidRPr="00FC57E4" w:rsidRDefault="00660A33" w:rsidP="00660A33">
      <w:pPr>
        <w:spacing w:before="240" w:after="200"/>
      </w:pPr>
      <w:r w:rsidRPr="00FC57E4">
        <w:t>Where a taxpayer’s </w:t>
      </w:r>
      <w:proofErr w:type="spellStart"/>
      <w:r w:rsidRPr="00FC57E4">
        <w:rPr>
          <w:b/>
          <w:i/>
        </w:rPr>
        <w:t>rebatable</w:t>
      </w:r>
      <w:proofErr w:type="spellEnd"/>
      <w:r w:rsidRPr="00FC57E4">
        <w:rPr>
          <w:b/>
          <w:i/>
        </w:rPr>
        <w:t xml:space="preserve"> benefit amount</w:t>
      </w:r>
      <w:r w:rsidRPr="00FC57E4">
        <w:t> is </w:t>
      </w:r>
      <w:r w:rsidRPr="00F14B68">
        <w:rPr>
          <w:iCs/>
        </w:rPr>
        <w:t>less than or equal to</w:t>
      </w:r>
      <w:r w:rsidRPr="00FC57E4">
        <w:t xml:space="preserve"> the </w:t>
      </w:r>
      <w:r w:rsidR="000759A9">
        <w:t xml:space="preserve">upper </w:t>
      </w:r>
      <w:r w:rsidRPr="00FC57E4">
        <w:t>threshold of the lowest marginal tax rate, that is, the amount at which the second lowest marginal tax rate cuts in, the amount of the rebate is worked out as follows (</w:t>
      </w:r>
      <w:r w:rsidRPr="000B3525">
        <w:t xml:space="preserve">formula </w:t>
      </w:r>
      <w:r w:rsidR="00F71972">
        <w:rPr>
          <w:bCs/>
          <w:iCs/>
        </w:rPr>
        <w:t>5</w:t>
      </w:r>
      <w:r w:rsidRPr="00FC57E4">
        <w:t>):</w:t>
      </w:r>
    </w:p>
    <w:p w14:paraId="285B577F" w14:textId="30869CC8" w:rsidR="00660A33" w:rsidRPr="00FC57E4" w:rsidRDefault="005375B4" w:rsidP="00F14B68">
      <w:pPr>
        <w:spacing w:before="240" w:after="200"/>
        <w:ind w:left="794"/>
      </w:pPr>
      <w:r w:rsidRPr="005375B4">
        <w:rPr>
          <w:position w:val="-24"/>
        </w:rPr>
        <w:t xml:space="preserve"> </w:t>
      </w:r>
      <w:r>
        <w:rPr>
          <w:noProof/>
          <w:position w:val="-24"/>
        </w:rPr>
        <w:drawing>
          <wp:inline distT="0" distB="0" distL="0" distR="0" wp14:anchorId="076E9D27" wp14:editId="4D2BCEF1">
            <wp:extent cx="2428875" cy="371475"/>
            <wp:effectExtent l="0" t="0" r="0" b="0"/>
            <wp:docPr id="168346986" name="Picture 5" descr="Start formula 0.15 times oen bracket Rebatable benefit amount minus $6,000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tart formula 0.15 times oen bracket Rebatable benefit amount minus $6,000 close bracket end formul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8875" cy="371475"/>
                    </a:xfrm>
                    <a:prstGeom prst="rect">
                      <a:avLst/>
                    </a:prstGeom>
                    <a:noFill/>
                    <a:ln>
                      <a:noFill/>
                    </a:ln>
                  </pic:spPr>
                </pic:pic>
              </a:graphicData>
            </a:graphic>
          </wp:inline>
        </w:drawing>
      </w:r>
    </w:p>
    <w:p w14:paraId="5338593C" w14:textId="37F1F899" w:rsidR="00660A33" w:rsidRPr="00FC57E4" w:rsidRDefault="00660A33" w:rsidP="00660A33">
      <w:pPr>
        <w:spacing w:before="240" w:after="200"/>
      </w:pPr>
      <w:r w:rsidRPr="00FC57E4">
        <w:t xml:space="preserve">However, if the taxpayer’s </w:t>
      </w:r>
      <w:proofErr w:type="spellStart"/>
      <w:r w:rsidRPr="001E3A54">
        <w:rPr>
          <w:b/>
          <w:bCs/>
          <w:i/>
          <w:iCs/>
        </w:rPr>
        <w:t>rebatable</w:t>
      </w:r>
      <w:proofErr w:type="spellEnd"/>
      <w:r w:rsidRPr="001E3A54">
        <w:rPr>
          <w:b/>
          <w:bCs/>
          <w:i/>
          <w:iCs/>
        </w:rPr>
        <w:t xml:space="preserve"> benefit amount</w:t>
      </w:r>
      <w:r w:rsidRPr="00FC57E4">
        <w:t xml:space="preserve"> is </w:t>
      </w:r>
      <w:r w:rsidRPr="00F14B68">
        <w:rPr>
          <w:iCs/>
        </w:rPr>
        <w:t>greater than</w:t>
      </w:r>
      <w:r w:rsidRPr="00D4168D">
        <w:rPr>
          <w:iCs/>
        </w:rPr>
        <w:t> </w:t>
      </w:r>
      <w:r w:rsidRPr="00FC57E4">
        <w:t xml:space="preserve">the </w:t>
      </w:r>
      <w:r w:rsidR="00762CE0">
        <w:t xml:space="preserve">upper </w:t>
      </w:r>
      <w:r w:rsidRPr="00FC57E4">
        <w:t xml:space="preserve">threshold </w:t>
      </w:r>
      <w:r w:rsidR="00762CE0">
        <w:t>of</w:t>
      </w:r>
      <w:r w:rsidR="00A16C78">
        <w:t xml:space="preserve"> </w:t>
      </w:r>
      <w:r w:rsidRPr="00FC57E4">
        <w:t>the lowest marginal tax rate, the amount of the rebate is worked out as follows (</w:t>
      </w:r>
      <w:r w:rsidRPr="009742CF">
        <w:t xml:space="preserve">formula </w:t>
      </w:r>
      <w:r w:rsidR="00F71972">
        <w:rPr>
          <w:bCs/>
          <w:iCs/>
        </w:rPr>
        <w:t>6</w:t>
      </w:r>
      <w:r w:rsidRPr="00FC57E4">
        <w:t>):</w:t>
      </w:r>
    </w:p>
    <w:p w14:paraId="33C4322F" w14:textId="43C162B2" w:rsidR="00660A33" w:rsidRPr="00FC57E4" w:rsidRDefault="006B1E9C" w:rsidP="00F14B68">
      <w:pPr>
        <w:spacing w:before="240" w:after="200"/>
        <w:ind w:left="794"/>
      </w:pPr>
      <w:r w:rsidRPr="006B1E9C">
        <w:t xml:space="preserve"> </w:t>
      </w:r>
      <w:r>
        <w:rPr>
          <w:noProof/>
        </w:rPr>
        <w:drawing>
          <wp:inline distT="0" distB="0" distL="0" distR="0" wp14:anchorId="2662CE1A" wp14:editId="6694EC91">
            <wp:extent cx="4476750" cy="752475"/>
            <wp:effectExtent l="0" t="0" r="0" b="0"/>
            <wp:docPr id="2108960560" name="Picture 6" descr="Start formula 0.15 times open bracket Rebatable benefit amount minus $6,000 close bracket plus 0.15 times open bracket Rebatable benefit amount minus Threshold at the upper conclusion of the lowest marginal tax rate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tart formula 0.15 times open bracket Rebatable benefit amount minus $6,000 close bracket plus 0.15 times open bracket Rebatable benefit amount minus Threshold at the upper conclusion of the lowest marginal tax rate close bracket end formul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76750" cy="752475"/>
                    </a:xfrm>
                    <a:prstGeom prst="rect">
                      <a:avLst/>
                    </a:prstGeom>
                    <a:noFill/>
                    <a:ln>
                      <a:noFill/>
                    </a:ln>
                  </pic:spPr>
                </pic:pic>
              </a:graphicData>
            </a:graphic>
          </wp:inline>
        </w:drawing>
      </w:r>
    </w:p>
    <w:p w14:paraId="08C5F152" w14:textId="2B82C05A" w:rsidR="00660A33" w:rsidRPr="00FC57E4" w:rsidRDefault="00660A33" w:rsidP="00660A33">
      <w:pPr>
        <w:spacing w:before="240" w:after="200"/>
      </w:pPr>
      <w:r w:rsidRPr="00FC57E4">
        <w:t xml:space="preserve">If the amount worked out using either formula </w:t>
      </w:r>
      <w:r w:rsidR="001E2E8D">
        <w:t>5</w:t>
      </w:r>
      <w:r w:rsidRPr="00FC57E4">
        <w:t xml:space="preserve"> or </w:t>
      </w:r>
      <w:r w:rsidR="001E2E8D">
        <w:t>6</w:t>
      </w:r>
      <w:r w:rsidRPr="00FC57E4">
        <w:t xml:space="preserve"> is not an amount in whole dollars, the amount must be rounded up to the nearest whole dollar.</w:t>
      </w:r>
    </w:p>
    <w:p w14:paraId="2CC78BC4" w14:textId="77777777" w:rsidR="00660A33" w:rsidRPr="00FC57E4" w:rsidRDefault="00660A33" w:rsidP="00A52FC0">
      <w:pPr>
        <w:spacing w:before="240" w:after="200"/>
        <w:ind w:left="794"/>
      </w:pPr>
      <w:r w:rsidRPr="00FC57E4">
        <w:rPr>
          <w:b/>
        </w:rPr>
        <w:t>Example 5</w:t>
      </w:r>
    </w:p>
    <w:p w14:paraId="7E49A1C9" w14:textId="4CF0989F" w:rsidR="00660A33" w:rsidRPr="00FC57E4" w:rsidRDefault="00660A33" w:rsidP="00A52FC0">
      <w:pPr>
        <w:spacing w:before="240" w:after="200"/>
        <w:ind w:left="794"/>
      </w:pPr>
      <w:r w:rsidRPr="00FC57E4">
        <w:t>In the 20</w:t>
      </w:r>
      <w:r w:rsidR="00333EBA">
        <w:t>25</w:t>
      </w:r>
      <w:r w:rsidRPr="00FC57E4">
        <w:t>-</w:t>
      </w:r>
      <w:r w:rsidR="00333EBA">
        <w:t>2</w:t>
      </w:r>
      <w:r w:rsidRPr="00FC57E4">
        <w:t>6 year of income, Zoe receives a parenting payment that is PP (partnered) of $11,700 under the </w:t>
      </w:r>
      <w:r w:rsidRPr="00FC57E4">
        <w:rPr>
          <w:i/>
        </w:rPr>
        <w:t>Social Security Act 1991</w:t>
      </w:r>
      <w:r w:rsidRPr="00FC57E4">
        <w:t>, which is not exempt under Division 52 of the </w:t>
      </w:r>
      <w:r w:rsidRPr="00FC57E4">
        <w:rPr>
          <w:i/>
        </w:rPr>
        <w:t>Income Tax Assessment Act 1997</w:t>
      </w:r>
      <w:r w:rsidRPr="00FC57E4">
        <w:t xml:space="preserve">. The payment is a </w:t>
      </w:r>
      <w:proofErr w:type="spellStart"/>
      <w:r w:rsidRPr="00FC57E4">
        <w:t>rebatable</w:t>
      </w:r>
      <w:proofErr w:type="spellEnd"/>
      <w:r w:rsidRPr="00FC57E4">
        <w:t xml:space="preserve"> benefit under paragraph 160AAA(</w:t>
      </w:r>
      <w:proofErr w:type="gramStart"/>
      <w:r w:rsidRPr="00FC57E4">
        <w:t>1)(</w:t>
      </w:r>
      <w:proofErr w:type="gramEnd"/>
      <w:r w:rsidRPr="00FC57E4">
        <w:t>aa) of the Act.</w:t>
      </w:r>
    </w:p>
    <w:p w14:paraId="69D09613" w14:textId="016BBF39" w:rsidR="00660A33" w:rsidRPr="00FC57E4" w:rsidRDefault="00660A33" w:rsidP="00A52FC0">
      <w:pPr>
        <w:spacing w:before="240" w:after="200"/>
        <w:ind w:left="794"/>
      </w:pPr>
      <w:r w:rsidRPr="00FC57E4">
        <w:t xml:space="preserve">The </w:t>
      </w:r>
      <w:r w:rsidR="00D959DD">
        <w:t xml:space="preserve">upper </w:t>
      </w:r>
      <w:r w:rsidRPr="00FC57E4">
        <w:t>threshold of the lowest marginal tax rate for the 20</w:t>
      </w:r>
      <w:r w:rsidR="006F1CF0">
        <w:t>25</w:t>
      </w:r>
      <w:r w:rsidRPr="00FC57E4">
        <w:t>-</w:t>
      </w:r>
      <w:r w:rsidR="006F1CF0">
        <w:t>2</w:t>
      </w:r>
      <w:r w:rsidRPr="00FC57E4">
        <w:t>6 year of income is $</w:t>
      </w:r>
      <w:r w:rsidR="00B479C7">
        <w:t>45,</w:t>
      </w:r>
      <w:r w:rsidR="00186D3A">
        <w:t>000</w:t>
      </w:r>
      <w:r w:rsidRPr="00FC57E4">
        <w:t xml:space="preserve">, therefore formula </w:t>
      </w:r>
      <w:r w:rsidR="00F71972">
        <w:t>5</w:t>
      </w:r>
      <w:r w:rsidRPr="00FC57E4">
        <w:t xml:space="preserve"> applies to determine the amount of the rebate, as follows:</w:t>
      </w:r>
    </w:p>
    <w:p w14:paraId="021A5310" w14:textId="77777777" w:rsidR="00660A33" w:rsidRPr="00FC57E4" w:rsidRDefault="00660A33" w:rsidP="00A52FC0">
      <w:pPr>
        <w:spacing w:before="240" w:after="200"/>
        <w:ind w:left="794"/>
      </w:pPr>
      <w:r w:rsidRPr="00FC57E4">
        <w:t>0.15 x ($11,700 - $6,000) = $855</w:t>
      </w:r>
    </w:p>
    <w:p w14:paraId="46F13F77" w14:textId="77777777" w:rsidR="00660A33" w:rsidRPr="00FC57E4" w:rsidRDefault="00660A33" w:rsidP="00A52FC0">
      <w:pPr>
        <w:spacing w:before="240" w:after="200"/>
        <w:ind w:left="794"/>
      </w:pPr>
      <w:r w:rsidRPr="00FC57E4">
        <w:rPr>
          <w:b/>
        </w:rPr>
        <w:t>Example 6</w:t>
      </w:r>
    </w:p>
    <w:p w14:paraId="301C89FB" w14:textId="26BE1806" w:rsidR="00660A33" w:rsidRPr="00FC57E4" w:rsidRDefault="00660A33" w:rsidP="00A52FC0">
      <w:pPr>
        <w:spacing w:before="240" w:after="200"/>
        <w:ind w:left="794"/>
      </w:pPr>
      <w:r w:rsidRPr="00FC57E4">
        <w:t>In the 20</w:t>
      </w:r>
      <w:r w:rsidR="004518A9">
        <w:t>2</w:t>
      </w:r>
      <w:r w:rsidRPr="00FC57E4">
        <w:t>5-</w:t>
      </w:r>
      <w:r w:rsidR="004518A9">
        <w:t>2</w:t>
      </w:r>
      <w:r w:rsidRPr="00FC57E4">
        <w:t xml:space="preserve">6 year of income, Ashley receives three different types of </w:t>
      </w:r>
      <w:proofErr w:type="spellStart"/>
      <w:r w:rsidRPr="00FC57E4">
        <w:t>rebatable</w:t>
      </w:r>
      <w:proofErr w:type="spellEnd"/>
      <w:r w:rsidRPr="00FC57E4">
        <w:t xml:space="preserve"> benefits that total $</w:t>
      </w:r>
      <w:r w:rsidR="006E3343">
        <w:t>47</w:t>
      </w:r>
      <w:r w:rsidRPr="00FC57E4">
        <w:t>,000.</w:t>
      </w:r>
    </w:p>
    <w:p w14:paraId="51E6332E" w14:textId="2C109455" w:rsidR="00660A33" w:rsidRPr="00FC57E4" w:rsidRDefault="00660A33" w:rsidP="00A52FC0">
      <w:pPr>
        <w:spacing w:before="240" w:after="200"/>
        <w:ind w:left="794"/>
      </w:pPr>
      <w:r w:rsidRPr="00FC57E4">
        <w:lastRenderedPageBreak/>
        <w:t xml:space="preserve">The </w:t>
      </w:r>
      <w:r w:rsidR="00C85654">
        <w:t xml:space="preserve">upper </w:t>
      </w:r>
      <w:r w:rsidRPr="00FC57E4">
        <w:t>threshold</w:t>
      </w:r>
      <w:r w:rsidR="00C85654">
        <w:t xml:space="preserve"> </w:t>
      </w:r>
      <w:r w:rsidRPr="00FC57E4">
        <w:t>of the lowest marginal tax rate for the 20</w:t>
      </w:r>
      <w:r w:rsidR="007D65EC">
        <w:t>2</w:t>
      </w:r>
      <w:r w:rsidRPr="00FC57E4">
        <w:t>5-</w:t>
      </w:r>
      <w:r w:rsidR="007D65EC">
        <w:t>2</w:t>
      </w:r>
      <w:r w:rsidRPr="00FC57E4">
        <w:t>6 year of income is $</w:t>
      </w:r>
      <w:r w:rsidR="00186D3A">
        <w:t>45,000</w:t>
      </w:r>
      <w:r w:rsidRPr="00FC57E4">
        <w:t xml:space="preserve">, therefore formula </w:t>
      </w:r>
      <w:r w:rsidR="00F71972">
        <w:t>6</w:t>
      </w:r>
      <w:r w:rsidRPr="00FC57E4">
        <w:t xml:space="preserve"> applies to determine the amount of the rebate, as follows:</w:t>
      </w:r>
    </w:p>
    <w:p w14:paraId="0F937AFA" w14:textId="0EF41548" w:rsidR="006A3D60" w:rsidRPr="00F14B68" w:rsidRDefault="00660A33" w:rsidP="00A52FC0">
      <w:pPr>
        <w:spacing w:before="240" w:after="200"/>
        <w:ind w:left="794"/>
      </w:pPr>
      <w:r w:rsidRPr="00FC57E4">
        <w:t>0.15 × ($</w:t>
      </w:r>
      <w:r w:rsidR="00186D3A">
        <w:t>47</w:t>
      </w:r>
      <w:r w:rsidRPr="00FC57E4">
        <w:t>,000 – $6,000) + 0.15 × ($</w:t>
      </w:r>
      <w:r w:rsidR="00186D3A">
        <w:t>47</w:t>
      </w:r>
      <w:r w:rsidRPr="00FC57E4">
        <w:t>,000 – $</w:t>
      </w:r>
      <w:r w:rsidR="00186D3A">
        <w:t>45</w:t>
      </w:r>
      <w:r w:rsidRPr="00FC57E4">
        <w:t>,000) = $</w:t>
      </w:r>
      <w:r w:rsidR="00186D3A">
        <w:t>6,4</w:t>
      </w:r>
      <w:r w:rsidR="00F23A80">
        <w:t>5</w:t>
      </w:r>
      <w:r w:rsidR="00186D3A">
        <w:t>0</w:t>
      </w:r>
    </w:p>
    <w:p w14:paraId="5DA8B2EE" w14:textId="6CAAA10C" w:rsidR="00F10AB0" w:rsidRPr="00F14B68" w:rsidRDefault="00F10AB0" w:rsidP="00DC6F64">
      <w:pPr>
        <w:spacing w:before="240" w:after="200"/>
        <w:rPr>
          <w:b/>
          <w:u w:val="single"/>
        </w:rPr>
      </w:pPr>
      <w:r w:rsidRPr="00F14B68">
        <w:rPr>
          <w:b/>
          <w:u w:val="single"/>
        </w:rPr>
        <w:t xml:space="preserve">Part 6 – Returns and assessments </w:t>
      </w:r>
    </w:p>
    <w:p w14:paraId="3E0D87CB" w14:textId="53262C3E" w:rsidR="00F10AB0" w:rsidRPr="00F14B68" w:rsidRDefault="00CD4CCC" w:rsidP="00DC6F64">
      <w:pPr>
        <w:spacing w:before="240" w:after="200"/>
        <w:rPr>
          <w:u w:val="single"/>
        </w:rPr>
      </w:pPr>
      <w:r w:rsidRPr="00F14B68">
        <w:rPr>
          <w:u w:val="single"/>
        </w:rPr>
        <w:t>Section 14 – Amendment of assessments</w:t>
      </w:r>
    </w:p>
    <w:p w14:paraId="49BC89A8" w14:textId="550B3BD1" w:rsidR="000D7A5A" w:rsidRDefault="00D10DBF" w:rsidP="002C38EB">
      <w:pPr>
        <w:spacing w:before="240" w:after="200"/>
      </w:pPr>
      <w:r w:rsidRPr="00F14B68">
        <w:t xml:space="preserve">Section 170 of the Act provides </w:t>
      </w:r>
      <w:r w:rsidR="00E83C73">
        <w:t xml:space="preserve">circumstances in which the Commissioner </w:t>
      </w:r>
      <w:r w:rsidR="00D74B7D">
        <w:t>may amend</w:t>
      </w:r>
      <w:r w:rsidRPr="00F14B68">
        <w:t xml:space="preserve"> </w:t>
      </w:r>
      <w:r w:rsidR="0038059F">
        <w:t>the</w:t>
      </w:r>
      <w:r w:rsidRPr="00F14B68">
        <w:t xml:space="preserve"> assessment </w:t>
      </w:r>
      <w:r w:rsidR="00861FE9">
        <w:t>of</w:t>
      </w:r>
      <w:r w:rsidRPr="00F14B68">
        <w:t xml:space="preserve"> </w:t>
      </w:r>
      <w:proofErr w:type="gramStart"/>
      <w:r w:rsidR="00861FE9">
        <w:t>particular</w:t>
      </w:r>
      <w:r w:rsidRPr="00F14B68">
        <w:t xml:space="preserve"> entities</w:t>
      </w:r>
      <w:proofErr w:type="gramEnd"/>
      <w:r w:rsidR="00861FE9">
        <w:t xml:space="preserve">, </w:t>
      </w:r>
      <w:r w:rsidR="0041230A">
        <w:t xml:space="preserve">specifying </w:t>
      </w:r>
      <w:r w:rsidR="00861FE9">
        <w:t>the time</w:t>
      </w:r>
      <w:r w:rsidR="00E76DC7">
        <w:t>frame</w:t>
      </w:r>
      <w:r w:rsidR="00B74850">
        <w:t>s</w:t>
      </w:r>
      <w:r w:rsidR="00E76DC7">
        <w:t xml:space="preserve"> of amendment</w:t>
      </w:r>
      <w:r w:rsidR="0041230A">
        <w:t xml:space="preserve"> for </w:t>
      </w:r>
      <w:r w:rsidR="00B74850">
        <w:t>r</w:t>
      </w:r>
      <w:r w:rsidR="0041230A">
        <w:t>elevant entity type</w:t>
      </w:r>
      <w:r w:rsidR="00B74850">
        <w:t>s</w:t>
      </w:r>
      <w:r w:rsidR="0041230A">
        <w:t xml:space="preserve"> a</w:t>
      </w:r>
      <w:r w:rsidR="00CC78CD">
        <w:t>s well as</w:t>
      </w:r>
      <w:r w:rsidR="0041230A">
        <w:t xml:space="preserve"> other qualifications.</w:t>
      </w:r>
      <w:r w:rsidRPr="00F14B68">
        <w:t xml:space="preserve"> </w:t>
      </w:r>
    </w:p>
    <w:p w14:paraId="0620AA32" w14:textId="6F640A90" w:rsidR="00D10DBF" w:rsidRPr="00F14B68" w:rsidRDefault="00D10DBF" w:rsidP="002C38EB">
      <w:pPr>
        <w:spacing w:before="240" w:after="200"/>
      </w:pPr>
      <w:r w:rsidRPr="00F14B68">
        <w:t>For an individual, a company that is a small</w:t>
      </w:r>
      <w:r w:rsidR="00BC5CA7">
        <w:t xml:space="preserve"> </w:t>
      </w:r>
      <w:r w:rsidR="002C00BF">
        <w:t xml:space="preserve">business entity </w:t>
      </w:r>
      <w:r w:rsidR="00BC5CA7">
        <w:t>or medium</w:t>
      </w:r>
      <w:r w:rsidRPr="00F14B68">
        <w:t xml:space="preserve"> business entity</w:t>
      </w:r>
      <w:r w:rsidR="00EB5D85">
        <w:t>,</w:t>
      </w:r>
      <w:r w:rsidRPr="00F14B68">
        <w:t xml:space="preserve"> or a person acting in the capacity of a trustee of a trust that is a small</w:t>
      </w:r>
      <w:r w:rsidR="002C00BF">
        <w:t xml:space="preserve"> business entity</w:t>
      </w:r>
      <w:r w:rsidRPr="00F14B68">
        <w:t xml:space="preserve"> </w:t>
      </w:r>
      <w:r w:rsidR="00BC5CA7">
        <w:t xml:space="preserve">or medium </w:t>
      </w:r>
      <w:r w:rsidRPr="00F14B68">
        <w:t>business entity, th</w:t>
      </w:r>
      <w:r w:rsidR="00BC5CA7">
        <w:t xml:space="preserve">e Commissioner </w:t>
      </w:r>
      <w:r w:rsidR="00064021">
        <w:t xml:space="preserve">has </w:t>
      </w:r>
      <w:r w:rsidR="00C32BB6">
        <w:t xml:space="preserve">a </w:t>
      </w:r>
      <w:r w:rsidR="00064021">
        <w:t xml:space="preserve">limited </w:t>
      </w:r>
      <w:r w:rsidR="00C32BB6">
        <w:t>amendment period</w:t>
      </w:r>
      <w:r w:rsidR="00BC5CA7">
        <w:t xml:space="preserve"> </w:t>
      </w:r>
      <w:r w:rsidR="00C32BB6">
        <w:t>of</w:t>
      </w:r>
      <w:r w:rsidRPr="00F14B68">
        <w:t xml:space="preserve"> two years after the day on which the Commissioner gives notice of the assessment to the taxpayer</w:t>
      </w:r>
      <w:r w:rsidR="00BC5CA7">
        <w:t>.</w:t>
      </w:r>
      <w:r w:rsidR="004926DA">
        <w:t xml:space="preserve"> </w:t>
      </w:r>
      <w:r w:rsidR="00CC78CD">
        <w:t xml:space="preserve">That is unless the </w:t>
      </w:r>
      <w:r w:rsidR="00E37194">
        <w:t xml:space="preserve">circumstances </w:t>
      </w:r>
      <w:r w:rsidR="000D7A5A">
        <w:t xml:space="preserve">mentioned </w:t>
      </w:r>
      <w:r w:rsidR="00E37194">
        <w:t xml:space="preserve">in column 3 of </w:t>
      </w:r>
      <w:r w:rsidR="00EB62F0">
        <w:t xml:space="preserve">table </w:t>
      </w:r>
      <w:r w:rsidR="00E37194">
        <w:t>item 1, 2 or 3</w:t>
      </w:r>
      <w:r w:rsidR="00DA2890">
        <w:t xml:space="preserve"> </w:t>
      </w:r>
      <w:r w:rsidR="00EB62F0">
        <w:t>of</w:t>
      </w:r>
      <w:r w:rsidR="00DA2890">
        <w:t xml:space="preserve"> subsection 170(1) </w:t>
      </w:r>
      <w:r w:rsidR="00EB5D85">
        <w:t xml:space="preserve">of the Act </w:t>
      </w:r>
      <w:r w:rsidR="00E37194">
        <w:t>exist</w:t>
      </w:r>
      <w:r w:rsidR="00CC78CD">
        <w:t xml:space="preserve"> in relation to </w:t>
      </w:r>
      <w:r w:rsidR="003C12A9">
        <w:t>the</w:t>
      </w:r>
      <w:r w:rsidR="00DA2890">
        <w:t xml:space="preserve"> relevant entity</w:t>
      </w:r>
      <w:r w:rsidR="00043362">
        <w:t xml:space="preserve">, </w:t>
      </w:r>
      <w:r w:rsidR="00B71CEA">
        <w:t>which means</w:t>
      </w:r>
      <w:r w:rsidR="007870FE">
        <w:t xml:space="preserve"> the Commissioner may amend the </w:t>
      </w:r>
      <w:r w:rsidR="00B71CEA">
        <w:t>assessment within four years</w:t>
      </w:r>
      <w:r w:rsidR="00B07526">
        <w:t xml:space="preserve">. </w:t>
      </w:r>
      <w:r w:rsidR="00FC5751">
        <w:t>I</w:t>
      </w:r>
      <w:r w:rsidR="00F15C79">
        <w:t>tems</w:t>
      </w:r>
      <w:r w:rsidR="00FC5751">
        <w:t xml:space="preserve"> 1, 2 and 3 </w:t>
      </w:r>
      <w:r w:rsidRPr="00F14B68">
        <w:t>provide</w:t>
      </w:r>
      <w:r w:rsidR="00DE650E">
        <w:t xml:space="preserve"> </w:t>
      </w:r>
      <w:r w:rsidRPr="00F14B68">
        <w:t xml:space="preserve">that regulations may prescribe additional circumstances </w:t>
      </w:r>
      <w:r w:rsidR="00C7009A">
        <w:t>in which</w:t>
      </w:r>
      <w:r w:rsidRPr="00F14B68">
        <w:t xml:space="preserve"> the </w:t>
      </w:r>
      <w:r w:rsidR="00043362">
        <w:t>limited amendment period of two years does not apply to an assessment of a relevant entity</w:t>
      </w:r>
      <w:r w:rsidRPr="00F14B68">
        <w:t>.</w:t>
      </w:r>
      <w:r w:rsidR="009F4062">
        <w:t xml:space="preserve"> </w:t>
      </w:r>
    </w:p>
    <w:p w14:paraId="5509CA59" w14:textId="5877EBA1" w:rsidR="00DC4629" w:rsidRDefault="002B5E42" w:rsidP="00D10DBF">
      <w:pPr>
        <w:spacing w:before="240" w:after="200"/>
      </w:pPr>
      <w:r>
        <w:t>S</w:t>
      </w:r>
      <w:r w:rsidR="00D10DBF" w:rsidRPr="00F14B68">
        <w:t>ection 14</w:t>
      </w:r>
      <w:r w:rsidR="00EC20B6" w:rsidRPr="00F14B68">
        <w:t xml:space="preserve"> of the Regulations</w:t>
      </w:r>
      <w:r w:rsidR="00D10DBF" w:rsidRPr="00F14B68">
        <w:t xml:space="preserve"> prescribes these additional circumstances for an entity that is an individual, a company that is a small</w:t>
      </w:r>
      <w:r w:rsidR="00CC78CD">
        <w:t xml:space="preserve"> </w:t>
      </w:r>
      <w:r w:rsidR="00EB5D85">
        <w:t xml:space="preserve">business entity </w:t>
      </w:r>
      <w:r w:rsidR="00CC78CD">
        <w:t>or medium</w:t>
      </w:r>
      <w:r w:rsidR="00D10DBF" w:rsidRPr="00F14B68">
        <w:t xml:space="preserve"> business entity or a person acting in the capacity of a trustee of a trust that is a small</w:t>
      </w:r>
      <w:r w:rsidR="005A7CF8">
        <w:t xml:space="preserve"> business entity or medium</w:t>
      </w:r>
      <w:r w:rsidR="00D10DBF" w:rsidRPr="00F14B68">
        <w:t xml:space="preserve"> business entity (the assessed entity).</w:t>
      </w:r>
      <w:r w:rsidR="00434563">
        <w:t xml:space="preserve"> </w:t>
      </w:r>
    </w:p>
    <w:p w14:paraId="72B2100C" w14:textId="6839CC20" w:rsidR="00297495" w:rsidRDefault="00DA2890" w:rsidP="00D10DBF">
      <w:pPr>
        <w:spacing w:before="240" w:after="200"/>
      </w:pPr>
      <w:r>
        <w:t xml:space="preserve">Minor updates have been made to </w:t>
      </w:r>
      <w:r w:rsidR="00D10DBF">
        <w:t xml:space="preserve">item 4 of the table in section 14 of the Regulations </w:t>
      </w:r>
      <w:r w:rsidR="00FB7D76">
        <w:t xml:space="preserve">to reflect </w:t>
      </w:r>
      <w:r w:rsidR="00CB705E">
        <w:t>other legislative changes</w:t>
      </w:r>
      <w:r w:rsidR="00095226">
        <w:t xml:space="preserve"> and ensure t</w:t>
      </w:r>
      <w:r w:rsidR="00F60B3C">
        <w:t>hese provisions</w:t>
      </w:r>
      <w:r w:rsidR="00095226">
        <w:t xml:space="preserve"> operate as intended</w:t>
      </w:r>
      <w:r w:rsidR="00FB7D76">
        <w:t>,</w:t>
      </w:r>
      <w:r w:rsidR="00FC5751">
        <w:t xml:space="preserve"> including</w:t>
      </w:r>
      <w:r w:rsidR="00297495">
        <w:t>:</w:t>
      </w:r>
      <w:r w:rsidR="00FC5751">
        <w:t xml:space="preserve"> </w:t>
      </w:r>
    </w:p>
    <w:p w14:paraId="46FB8AEE" w14:textId="3E877455" w:rsidR="00DA2890" w:rsidRDefault="00B228B0" w:rsidP="00CB305F">
      <w:pPr>
        <w:pStyle w:val="Bullet"/>
      </w:pPr>
      <w:r>
        <w:t>updating a reference</w:t>
      </w:r>
      <w:r w:rsidR="00D10DBF">
        <w:t xml:space="preserve"> </w:t>
      </w:r>
      <w:r w:rsidR="00471DA3">
        <w:t xml:space="preserve">to </w:t>
      </w:r>
      <w:r w:rsidR="00CB705E">
        <w:t xml:space="preserve">the provision </w:t>
      </w:r>
      <w:r w:rsidR="00EB62F0">
        <w:t xml:space="preserve">of the </w:t>
      </w:r>
      <w:r w:rsidR="00EB62F0" w:rsidRPr="00471DA3">
        <w:rPr>
          <w:i/>
          <w:iCs/>
        </w:rPr>
        <w:t>Income Tax Assessment Act 1997</w:t>
      </w:r>
      <w:r w:rsidR="00EB62F0">
        <w:rPr>
          <w:i/>
          <w:iCs/>
        </w:rPr>
        <w:t xml:space="preserve"> </w:t>
      </w:r>
      <w:r w:rsidR="00CB705E">
        <w:t xml:space="preserve">containing </w:t>
      </w:r>
      <w:r w:rsidR="0087274B">
        <w:t xml:space="preserve">the </w:t>
      </w:r>
      <w:r w:rsidR="0087274B" w:rsidRPr="00C56875">
        <w:t>integrity rule about share trading and investment companies</w:t>
      </w:r>
      <w:r w:rsidR="0087274B">
        <w:t xml:space="preserve"> in relation to employee share schemes</w:t>
      </w:r>
      <w:r w:rsidR="00EB62F0">
        <w:t xml:space="preserve"> to </w:t>
      </w:r>
      <w:r w:rsidR="003318AA">
        <w:t>ensure the appropriate provision is referenced</w:t>
      </w:r>
      <w:r w:rsidR="007D4D99">
        <w:t xml:space="preserve"> following</w:t>
      </w:r>
      <w:r w:rsidR="00EB62F0">
        <w:t xml:space="preserve"> amendments made </w:t>
      </w:r>
      <w:r w:rsidR="00FE3894">
        <w:t xml:space="preserve">by the </w:t>
      </w:r>
      <w:r w:rsidR="00FE3894" w:rsidRPr="00696DEF">
        <w:rPr>
          <w:i/>
          <w:iCs/>
        </w:rPr>
        <w:t>Tax and Superannuation Laws Amendment (Employee Share Schemes) Act 2015</w:t>
      </w:r>
      <w:r w:rsidR="00CF031A">
        <w:t>; and</w:t>
      </w:r>
    </w:p>
    <w:p w14:paraId="2E2E04A6" w14:textId="48304110" w:rsidR="00D10DBF" w:rsidRPr="00F14B68" w:rsidRDefault="00CF031A" w:rsidP="00A2632E">
      <w:pPr>
        <w:pStyle w:val="Bullet"/>
      </w:pPr>
      <w:r>
        <w:t xml:space="preserve">updating references to </w:t>
      </w:r>
      <w:r w:rsidR="002F7AD6">
        <w:t>‘</w:t>
      </w:r>
      <w:r>
        <w:t>small business</w:t>
      </w:r>
      <w:r w:rsidR="0000371C">
        <w:t xml:space="preserve"> entit</w:t>
      </w:r>
      <w:r w:rsidR="002F7AD6">
        <w:t>y’</w:t>
      </w:r>
      <w:r w:rsidR="0000371C">
        <w:t xml:space="preserve"> to </w:t>
      </w:r>
      <w:r w:rsidR="001B0F9C">
        <w:t xml:space="preserve">also </w:t>
      </w:r>
      <w:r w:rsidR="007A08FE">
        <w:t>include</w:t>
      </w:r>
      <w:r w:rsidR="0000371C">
        <w:t xml:space="preserve"> </w:t>
      </w:r>
      <w:r w:rsidR="001B0F9C">
        <w:t>‘</w:t>
      </w:r>
      <w:r w:rsidR="0000371C">
        <w:t>medium business</w:t>
      </w:r>
      <w:r w:rsidR="001B0F9C">
        <w:t xml:space="preserve"> entity’</w:t>
      </w:r>
      <w:r w:rsidR="0000371C">
        <w:t xml:space="preserve"> </w:t>
      </w:r>
      <w:r w:rsidR="002F7AD6">
        <w:t xml:space="preserve">to align with </w:t>
      </w:r>
      <w:r w:rsidR="002F7AD6" w:rsidRPr="00062382">
        <w:t xml:space="preserve">table </w:t>
      </w:r>
      <w:r w:rsidR="002F7AD6">
        <w:t>i</w:t>
      </w:r>
      <w:r w:rsidR="002F7AD6" w:rsidRPr="00062382">
        <w:t xml:space="preserve">tems 2 and 3 of </w:t>
      </w:r>
      <w:r w:rsidR="002F7AD6" w:rsidRPr="00A2632E">
        <w:t>subsection 170(1)</w:t>
      </w:r>
      <w:r w:rsidR="002F7AD6" w:rsidRPr="00062382">
        <w:t xml:space="preserve"> of the </w:t>
      </w:r>
      <w:r w:rsidR="002F7AD6">
        <w:t xml:space="preserve">Act, which were amended on 1 January 2021 by </w:t>
      </w:r>
      <w:r w:rsidR="002F7AD6" w:rsidRPr="000A425F">
        <w:t xml:space="preserve">the </w:t>
      </w:r>
      <w:r w:rsidR="002F7AD6" w:rsidRPr="000A425F">
        <w:rPr>
          <w:i/>
          <w:iCs/>
        </w:rPr>
        <w:t>Treasury Laws Amendment (A Tax Plan for the COVID</w:t>
      </w:r>
      <w:r w:rsidR="002F7AD6" w:rsidRPr="000A425F">
        <w:rPr>
          <w:i/>
          <w:iCs/>
        </w:rPr>
        <w:noBreakHyphen/>
        <w:t>19 Economic Recovery) Act 2020</w:t>
      </w:r>
      <w:r w:rsidR="002F7AD6">
        <w:t>.</w:t>
      </w:r>
      <w:r w:rsidR="0000371C">
        <w:t xml:space="preserve">  </w:t>
      </w:r>
    </w:p>
    <w:p w14:paraId="36752EE5" w14:textId="4254E2FB" w:rsidR="00D10DBF" w:rsidRPr="00F14B68" w:rsidRDefault="003802E3" w:rsidP="00D10DBF">
      <w:pPr>
        <w:spacing w:before="240" w:after="200"/>
      </w:pPr>
      <w:r>
        <w:t>Section 14 also notes that i</w:t>
      </w:r>
      <w:r w:rsidR="00D10DBF" w:rsidRPr="00F14B68">
        <w:t>f a circumstance in an item of the table</w:t>
      </w:r>
      <w:r w:rsidR="006971BC">
        <w:t xml:space="preserve"> in section 14 of the</w:t>
      </w:r>
      <w:r w:rsidR="00787DCC">
        <w:t xml:space="preserve"> Regulations</w:t>
      </w:r>
      <w:r w:rsidR="00D10DBF" w:rsidRPr="00F14B68">
        <w:t xml:space="preserve"> exists, the Commissioner may amend </w:t>
      </w:r>
      <w:r w:rsidR="00B2579E">
        <w:t>the</w:t>
      </w:r>
      <w:r w:rsidR="00D10DBF" w:rsidRPr="00F14B68">
        <w:t xml:space="preserve"> assessment of the relevant entity within four years after the day on which the Commissioner gives notice of the assessment to the entity, unless a longer amendment period applies.</w:t>
      </w:r>
      <w:r w:rsidR="00F3523F">
        <w:t xml:space="preserve"> This </w:t>
      </w:r>
      <w:r w:rsidR="00B74850">
        <w:t xml:space="preserve">note reflects the operation of </w:t>
      </w:r>
      <w:r w:rsidR="00EA51C6">
        <w:t xml:space="preserve">item </w:t>
      </w:r>
      <w:r w:rsidR="00D05EEC">
        <w:t xml:space="preserve">4 of the table </w:t>
      </w:r>
      <w:r w:rsidR="001B59DE">
        <w:t>in s</w:t>
      </w:r>
      <w:r w:rsidR="008A7C72">
        <w:t>ubs</w:t>
      </w:r>
      <w:r w:rsidR="001B59DE">
        <w:t>ection 170</w:t>
      </w:r>
      <w:r w:rsidR="000F711D">
        <w:t>(1)</w:t>
      </w:r>
      <w:r w:rsidR="008A7C72">
        <w:t xml:space="preserve"> of the Act, which applies to an assessment if item</w:t>
      </w:r>
      <w:r w:rsidR="00D651BB">
        <w:t xml:space="preserve"> 1, 2 or 3 </w:t>
      </w:r>
      <w:r w:rsidR="00415FF3">
        <w:t>of th</w:t>
      </w:r>
      <w:r w:rsidR="00CD0D3A">
        <w:t>e same</w:t>
      </w:r>
      <w:r w:rsidR="00415FF3">
        <w:t xml:space="preserve"> table </w:t>
      </w:r>
      <w:r w:rsidR="00D651BB">
        <w:t>does not apply</w:t>
      </w:r>
      <w:r w:rsidR="00B2579E">
        <w:t>.</w:t>
      </w:r>
      <w:r w:rsidR="00D651BB">
        <w:t xml:space="preserve"> </w:t>
      </w:r>
    </w:p>
    <w:p w14:paraId="172BA0DC" w14:textId="5016159D" w:rsidR="006A3D60" w:rsidRPr="00F14B68" w:rsidRDefault="00D10DBF" w:rsidP="00DC6F64">
      <w:pPr>
        <w:spacing w:before="240" w:after="200"/>
      </w:pPr>
      <w:r w:rsidRPr="00F14B68">
        <w:t>The details of each amendment circumstance are listed in the table in section 14</w:t>
      </w:r>
      <w:r w:rsidR="007A08FE">
        <w:t xml:space="preserve"> of the Regulations</w:t>
      </w:r>
      <w:r w:rsidRPr="00F14B68">
        <w:t>.</w:t>
      </w:r>
    </w:p>
    <w:p w14:paraId="6319E34A" w14:textId="0CEE39C0" w:rsidR="00657C95" w:rsidRPr="00F14B68" w:rsidRDefault="00657C95" w:rsidP="00DC6F64">
      <w:pPr>
        <w:spacing w:before="240" w:after="200"/>
        <w:rPr>
          <w:b/>
          <w:u w:val="single"/>
        </w:rPr>
      </w:pPr>
      <w:r w:rsidRPr="00F14B68">
        <w:rPr>
          <w:b/>
          <w:u w:val="single"/>
        </w:rPr>
        <w:lastRenderedPageBreak/>
        <w:t xml:space="preserve">Part 7 </w:t>
      </w:r>
      <w:r w:rsidR="007D5EAC" w:rsidRPr="00F14B68">
        <w:rPr>
          <w:b/>
          <w:u w:val="single"/>
        </w:rPr>
        <w:t>–</w:t>
      </w:r>
      <w:r w:rsidRPr="00F14B68">
        <w:rPr>
          <w:b/>
          <w:u w:val="single"/>
        </w:rPr>
        <w:t xml:space="preserve"> </w:t>
      </w:r>
      <w:r w:rsidR="007D5EAC" w:rsidRPr="00F14B68">
        <w:rPr>
          <w:b/>
          <w:u w:val="single"/>
        </w:rPr>
        <w:t>Public officers</w:t>
      </w:r>
    </w:p>
    <w:p w14:paraId="0A456572" w14:textId="2BD47416" w:rsidR="007D5EAC" w:rsidRPr="00F14B68" w:rsidRDefault="007D5EAC" w:rsidP="00DC6F64">
      <w:pPr>
        <w:spacing w:before="240" w:after="200"/>
        <w:rPr>
          <w:u w:val="single"/>
        </w:rPr>
      </w:pPr>
      <w:r w:rsidRPr="00F14B68">
        <w:rPr>
          <w:u w:val="single"/>
        </w:rPr>
        <w:t>Section 15 – Appointment of public officer</w:t>
      </w:r>
    </w:p>
    <w:p w14:paraId="26BD8270" w14:textId="382F0815" w:rsidR="006A3D60" w:rsidRPr="00F14B68" w:rsidRDefault="00945EB7" w:rsidP="00DC6F64">
      <w:pPr>
        <w:spacing w:before="240" w:after="200"/>
      </w:pPr>
      <w:r w:rsidRPr="00F14B68">
        <w:t xml:space="preserve">Section 252 of the Act provides </w:t>
      </w:r>
      <w:r w:rsidR="0055790D">
        <w:t xml:space="preserve">that every company </w:t>
      </w:r>
      <w:r w:rsidR="00B173A4">
        <w:t xml:space="preserve">carrying on business in Australia must </w:t>
      </w:r>
      <w:r w:rsidR="001E124F">
        <w:t>be represented by a public officer, unless exempted by</w:t>
      </w:r>
      <w:r w:rsidR="00595163">
        <w:t xml:space="preserve"> the Commissioner</w:t>
      </w:r>
      <w:r w:rsidR="00540E4C">
        <w:t>,</w:t>
      </w:r>
      <w:r w:rsidR="00595163">
        <w:t xml:space="preserve"> and </w:t>
      </w:r>
      <w:r w:rsidR="00540E4C">
        <w:t xml:space="preserve">covers </w:t>
      </w:r>
      <w:r w:rsidR="0055790D">
        <w:t xml:space="preserve">other </w:t>
      </w:r>
      <w:r w:rsidRPr="00F14B68">
        <w:t>matters relating to the public officer of a company. Paragraph 252(1)(c) of the Act requires that no appointment of a public officer shall be deemed to be duly made until after notice has been provided in writing to the Commissioner, specifying the name of the officer and an address for service. Section 15 </w:t>
      </w:r>
      <w:r w:rsidR="00D7400D">
        <w:t xml:space="preserve">of the Regulations </w:t>
      </w:r>
      <w:r w:rsidRPr="00F14B68">
        <w:t>provides that the notice given to the Commissioner must include a declaration that any information in the notice is true and correct.</w:t>
      </w:r>
    </w:p>
    <w:p w14:paraId="7E42E098" w14:textId="0AB12772" w:rsidR="00736B55" w:rsidRDefault="00C77595" w:rsidP="0066319D">
      <w:pPr>
        <w:spacing w:before="240" w:after="200"/>
        <w:rPr>
          <w:b/>
          <w:u w:val="single"/>
        </w:rPr>
      </w:pPr>
      <w:r w:rsidRPr="00F14B68">
        <w:t xml:space="preserve">Section 266 of the Act provides that </w:t>
      </w:r>
      <w:r w:rsidR="006D62E6" w:rsidRPr="00F14B68">
        <w:t xml:space="preserve">the Governor-General may make regulations, not inconsistent with the Act or the </w:t>
      </w:r>
      <w:r w:rsidR="006D62E6" w:rsidRPr="00F14B68">
        <w:rPr>
          <w:i/>
        </w:rPr>
        <w:t>Income Tax Assessment Act 1997</w:t>
      </w:r>
      <w:r w:rsidR="003B6259" w:rsidRPr="00F14B68">
        <w:t xml:space="preserve">, prescribing all matters that are necessary or convenient to be prescribed for giving effect to the Act. </w:t>
      </w:r>
      <w:r w:rsidR="00C41FE3" w:rsidRPr="00F14B68">
        <w:t xml:space="preserve">The inclusion of section 15 in the Regulations relies on this power. </w:t>
      </w:r>
    </w:p>
    <w:p w14:paraId="2CC8855D" w14:textId="2545B524" w:rsidR="002700F9" w:rsidRPr="00F14B68" w:rsidRDefault="002700F9" w:rsidP="00DC6F64">
      <w:pPr>
        <w:spacing w:before="240" w:after="200"/>
        <w:rPr>
          <w:b/>
          <w:u w:val="single"/>
        </w:rPr>
      </w:pPr>
      <w:r w:rsidRPr="00F14B68">
        <w:rPr>
          <w:b/>
          <w:u w:val="single"/>
        </w:rPr>
        <w:t>Part 8 – Attribution of income in respect of controlled foreign companies</w:t>
      </w:r>
    </w:p>
    <w:p w14:paraId="0F4FECB6" w14:textId="5DED98B3" w:rsidR="00C871B6" w:rsidRPr="00F14B68" w:rsidRDefault="00C871B6" w:rsidP="00DC6F64">
      <w:pPr>
        <w:spacing w:before="240" w:after="200"/>
      </w:pPr>
      <w:r w:rsidRPr="00F14B68">
        <w:t xml:space="preserve">Part </w:t>
      </w:r>
      <w:r w:rsidR="007A0FCA" w:rsidRPr="00F14B68">
        <w:t>8</w:t>
      </w:r>
      <w:r w:rsidRPr="00F14B68">
        <w:t xml:space="preserve"> of the </w:t>
      </w:r>
      <w:r w:rsidR="0050101D">
        <w:t>Regulations</w:t>
      </w:r>
      <w:r w:rsidRPr="00F14B68">
        <w:t xml:space="preserve"> provides for certain amounts to be included in a taxpayer’s assessable income in respect of the attributable income of a controlled foreign </w:t>
      </w:r>
      <w:r w:rsidR="00297154">
        <w:t>company</w:t>
      </w:r>
      <w:r w:rsidR="006247DF" w:rsidRPr="00F14B68">
        <w:t xml:space="preserve"> </w:t>
      </w:r>
      <w:r w:rsidRPr="00F14B68">
        <w:t>(CF</w:t>
      </w:r>
      <w:r w:rsidR="00297154">
        <w:t>C</w:t>
      </w:r>
      <w:r w:rsidRPr="00F14B68">
        <w:t>)</w:t>
      </w:r>
      <w:r w:rsidR="006170FE">
        <w:t>. Note, CFC is</w:t>
      </w:r>
      <w:r w:rsidR="00163CEC">
        <w:t xml:space="preserve"> defined by section</w:t>
      </w:r>
      <w:r w:rsidR="00D570D3">
        <w:t xml:space="preserve"> 340 of the Act</w:t>
      </w:r>
      <w:r w:rsidR="00D669EB">
        <w:t xml:space="preserve">. </w:t>
      </w:r>
      <w:r w:rsidR="006170FE">
        <w:t>T</w:t>
      </w:r>
      <w:r w:rsidR="006E51CC">
        <w:t xml:space="preserve">his </w:t>
      </w:r>
      <w:r w:rsidR="00163CEC">
        <w:t>P</w:t>
      </w:r>
      <w:r w:rsidR="006E51CC">
        <w:t xml:space="preserve">art also </w:t>
      </w:r>
      <w:r w:rsidR="00163CEC">
        <w:t>applies to</w:t>
      </w:r>
      <w:r w:rsidR="00D570D3">
        <w:t xml:space="preserve"> </w:t>
      </w:r>
      <w:r w:rsidR="00163CEC">
        <w:t>foreign controlled entities (</w:t>
      </w:r>
      <w:r w:rsidR="00540E4C">
        <w:t>CF</w:t>
      </w:r>
      <w:r w:rsidR="006247DF">
        <w:t>E</w:t>
      </w:r>
      <w:r w:rsidR="006170FE">
        <w:t>s</w:t>
      </w:r>
      <w:r w:rsidR="00163CEC">
        <w:t>)</w:t>
      </w:r>
      <w:r w:rsidR="007041BE">
        <w:t xml:space="preserve"> </w:t>
      </w:r>
      <w:r w:rsidR="00163CEC">
        <w:t>a</w:t>
      </w:r>
      <w:r w:rsidR="00D669EB">
        <w:t xml:space="preserve">s defined </w:t>
      </w:r>
      <w:r w:rsidR="00294142">
        <w:t>by</w:t>
      </w:r>
      <w:r w:rsidR="007041BE">
        <w:t xml:space="preserve"> section 3</w:t>
      </w:r>
      <w:r w:rsidR="006247DF">
        <w:t>39</w:t>
      </w:r>
      <w:r w:rsidR="007041BE">
        <w:t xml:space="preserve"> of the Act</w:t>
      </w:r>
      <w:r w:rsidRPr="00F14B68">
        <w:t>.</w:t>
      </w:r>
    </w:p>
    <w:p w14:paraId="24FBB65C" w14:textId="1ED6CA97" w:rsidR="007D5EAC" w:rsidRPr="00F14B68" w:rsidRDefault="001928CC" w:rsidP="00DC6F64">
      <w:pPr>
        <w:spacing w:before="240" w:after="200"/>
        <w:rPr>
          <w:u w:val="single"/>
        </w:rPr>
      </w:pPr>
      <w:r w:rsidRPr="00F14B68">
        <w:rPr>
          <w:u w:val="single"/>
        </w:rPr>
        <w:t xml:space="preserve">Section </w:t>
      </w:r>
      <w:r w:rsidR="00B27EE7" w:rsidRPr="00F14B68">
        <w:rPr>
          <w:u w:val="single"/>
        </w:rPr>
        <w:t>16 – Interpretation</w:t>
      </w:r>
    </w:p>
    <w:p w14:paraId="526F3B28" w14:textId="6350665A" w:rsidR="006A3D60" w:rsidRPr="00F14B68" w:rsidRDefault="005D0EB3" w:rsidP="00DC6F64">
      <w:pPr>
        <w:spacing w:before="240" w:after="200"/>
      </w:pPr>
      <w:r w:rsidRPr="00F14B68">
        <w:t xml:space="preserve">Section 16 </w:t>
      </w:r>
      <w:r w:rsidR="004837FE">
        <w:t>of the Regulations</w:t>
      </w:r>
      <w:r w:rsidRPr="00F14B68">
        <w:t xml:space="preserve"> </w:t>
      </w:r>
      <w:r w:rsidR="00977981">
        <w:t>ensures</w:t>
      </w:r>
      <w:r w:rsidR="00977981" w:rsidRPr="00F14B68">
        <w:t xml:space="preserve"> </w:t>
      </w:r>
      <w:r w:rsidRPr="00F14B68">
        <w:t xml:space="preserve">that </w:t>
      </w:r>
      <w:r w:rsidR="004837FE">
        <w:t xml:space="preserve">terminology used </w:t>
      </w:r>
      <w:r w:rsidRPr="00F14B68">
        <w:t>in Part 8 of the Regulation</w:t>
      </w:r>
      <w:r w:rsidR="00D22313" w:rsidRPr="00F14B68">
        <w:t>s</w:t>
      </w:r>
      <w:r w:rsidRPr="00F14B68">
        <w:t xml:space="preserve"> </w:t>
      </w:r>
      <w:r w:rsidR="00475B44">
        <w:t>is consistent with</w:t>
      </w:r>
      <w:r w:rsidRPr="00F14B68">
        <w:t xml:space="preserve"> Part X of the Act</w:t>
      </w:r>
      <w:r w:rsidR="006A1776">
        <w:t xml:space="preserve"> </w:t>
      </w:r>
      <w:r w:rsidR="00A10F94">
        <w:t>as that</w:t>
      </w:r>
      <w:r w:rsidR="00AB68B9">
        <w:t xml:space="preserve"> Part of</w:t>
      </w:r>
      <w:r w:rsidR="00A10F94">
        <w:t xml:space="preserve"> </w:t>
      </w:r>
      <w:r w:rsidR="00A92B5B">
        <w:t>the Act</w:t>
      </w:r>
      <w:r w:rsidR="00FE7FAB">
        <w:t xml:space="preserve"> </w:t>
      </w:r>
      <w:r w:rsidR="00DA5214">
        <w:t>relies on the Regulations</w:t>
      </w:r>
      <w:r w:rsidR="000241DB">
        <w:t xml:space="preserve"> to prescribe matters </w:t>
      </w:r>
      <w:r w:rsidR="000241DB" w:rsidRPr="003C5719">
        <w:t>necessary or convenient to be prescribed for carrying out or giving effect to the Act</w:t>
      </w:r>
      <w:r w:rsidR="000241DB">
        <w:t>.</w:t>
      </w:r>
    </w:p>
    <w:p w14:paraId="46277F23" w14:textId="4D33675E" w:rsidR="00B27EE7" w:rsidRPr="00F14B68" w:rsidRDefault="00B27EE7" w:rsidP="00DC6F64">
      <w:pPr>
        <w:spacing w:before="240" w:after="200"/>
        <w:rPr>
          <w:u w:val="single"/>
        </w:rPr>
      </w:pPr>
      <w:r w:rsidRPr="00F14B68">
        <w:rPr>
          <w:u w:val="single"/>
        </w:rPr>
        <w:t>Section 17 – Items of designated concession income</w:t>
      </w:r>
    </w:p>
    <w:p w14:paraId="6C92064E" w14:textId="7B6B8C0B" w:rsidR="00884E20" w:rsidRPr="00F14B68" w:rsidRDefault="00884E20" w:rsidP="00884E20">
      <w:pPr>
        <w:spacing w:before="240" w:after="200"/>
      </w:pPr>
      <w:r w:rsidRPr="00F14B68">
        <w:t xml:space="preserve">Under subsection 317(1) of the Act, </w:t>
      </w:r>
      <w:r w:rsidR="00115312" w:rsidRPr="00F14B68">
        <w:t xml:space="preserve">certain income and/or profits </w:t>
      </w:r>
      <w:r w:rsidR="00A65DD1">
        <w:t>derived by a</w:t>
      </w:r>
      <w:r w:rsidR="00115312" w:rsidRPr="00F14B68">
        <w:t xml:space="preserve"> </w:t>
      </w:r>
      <w:r w:rsidR="00D4506F">
        <w:t>CFE</w:t>
      </w:r>
      <w:r w:rsidR="00115312" w:rsidRPr="00F14B68">
        <w:t xml:space="preserve"> </w:t>
      </w:r>
      <w:r w:rsidR="004C65B1">
        <w:t>in relation to a listed country</w:t>
      </w:r>
      <w:r w:rsidR="00D255D8">
        <w:t xml:space="preserve"> </w:t>
      </w:r>
      <w:r w:rsidR="00AB3EF3">
        <w:t>mentioned</w:t>
      </w:r>
      <w:r w:rsidR="004C65B1">
        <w:t xml:space="preserve"> </w:t>
      </w:r>
      <w:r w:rsidR="00115312" w:rsidRPr="00F14B68">
        <w:t>in</w:t>
      </w:r>
      <w:r w:rsidR="00A91429">
        <w:t xml:space="preserve"> column 1 of the </w:t>
      </w:r>
      <w:r w:rsidR="004C65B1">
        <w:t>table in section</w:t>
      </w:r>
      <w:r w:rsidR="00A91429">
        <w:t xml:space="preserve"> 17</w:t>
      </w:r>
      <w:r w:rsidR="004C65B1">
        <w:t xml:space="preserve"> of</w:t>
      </w:r>
      <w:r w:rsidR="00115312" w:rsidRPr="00F14B68">
        <w:t xml:space="preserve"> the </w:t>
      </w:r>
      <w:r w:rsidR="00675511" w:rsidRPr="00F14B68">
        <w:t>R</w:t>
      </w:r>
      <w:r w:rsidR="00115312" w:rsidRPr="00F14B68">
        <w:t>egulations</w:t>
      </w:r>
      <w:r w:rsidR="00182B1F" w:rsidRPr="00F14B68">
        <w:t xml:space="preserve"> becomes</w:t>
      </w:r>
      <w:r w:rsidRPr="00F14B68">
        <w:t> </w:t>
      </w:r>
      <w:r w:rsidRPr="00F14B68">
        <w:rPr>
          <w:b/>
          <w:i/>
        </w:rPr>
        <w:t>designated concession income</w:t>
      </w:r>
      <w:r w:rsidR="00115312" w:rsidRPr="00F14B68">
        <w:t xml:space="preserve"> </w:t>
      </w:r>
      <w:r w:rsidR="00A5601C" w:rsidRPr="00F14B68">
        <w:t>when it is sourced from the designated origin (see column 3</w:t>
      </w:r>
      <w:r w:rsidR="00FA614C" w:rsidRPr="00F14B68">
        <w:t xml:space="preserve"> of </w:t>
      </w:r>
      <w:r w:rsidR="00A91429">
        <w:t>the table in subs</w:t>
      </w:r>
      <w:r w:rsidR="00FA614C" w:rsidRPr="00F14B68">
        <w:t xml:space="preserve">ection </w:t>
      </w:r>
      <w:r w:rsidR="00675511" w:rsidRPr="00F14B68">
        <w:t>17</w:t>
      </w:r>
      <w:r w:rsidR="00A91429">
        <w:t>(1)</w:t>
      </w:r>
      <w:r w:rsidR="00675511" w:rsidRPr="00F14B68">
        <w:t xml:space="preserve"> of the Regulations</w:t>
      </w:r>
      <w:r w:rsidR="00A5601C" w:rsidRPr="00F14B68">
        <w:t xml:space="preserve">) and </w:t>
      </w:r>
      <w:r w:rsidR="00FA614C" w:rsidRPr="00F14B68">
        <w:t xml:space="preserve">exhibits certain features (see column 4 of </w:t>
      </w:r>
      <w:r w:rsidR="00A91429">
        <w:t>the table in sub</w:t>
      </w:r>
      <w:r w:rsidR="00FA614C" w:rsidRPr="00F14B68">
        <w:t>section 17</w:t>
      </w:r>
      <w:r w:rsidR="00A91429">
        <w:t>(1)</w:t>
      </w:r>
      <w:r w:rsidR="00FA614C" w:rsidRPr="00F14B68">
        <w:t xml:space="preserve"> of the Regulations). </w:t>
      </w:r>
    </w:p>
    <w:p w14:paraId="4ACA8B30" w14:textId="388E8BDA" w:rsidR="006A3D60" w:rsidRPr="00F14B68" w:rsidRDefault="00D90C45" w:rsidP="00DC6F64">
      <w:pPr>
        <w:spacing w:before="240" w:after="200"/>
      </w:pPr>
      <w:r>
        <w:t>The table in subs</w:t>
      </w:r>
      <w:r w:rsidR="00884E20" w:rsidRPr="00F14B68">
        <w:t>ection 17</w:t>
      </w:r>
      <w:r>
        <w:t>(1)</w:t>
      </w:r>
      <w:r w:rsidR="00884E20" w:rsidRPr="00F14B68">
        <w:t xml:space="preserve"> </w:t>
      </w:r>
      <w:r w:rsidR="00D7400D">
        <w:t xml:space="preserve">of the Regulations </w:t>
      </w:r>
      <w:r w:rsidR="00884E20" w:rsidRPr="00F14B68">
        <w:t xml:space="preserve">specifies the </w:t>
      </w:r>
      <w:r w:rsidR="00617DEB" w:rsidRPr="00F14B68">
        <w:t>details of the</w:t>
      </w:r>
      <w:r w:rsidR="00884E20" w:rsidRPr="00F14B68">
        <w:t xml:space="preserve"> </w:t>
      </w:r>
      <w:r w:rsidR="00D46BF0" w:rsidRPr="00F14B68">
        <w:t>origin</w:t>
      </w:r>
      <w:r w:rsidR="00884E20" w:rsidRPr="00F14B68">
        <w:t xml:space="preserve"> and </w:t>
      </w:r>
      <w:r w:rsidR="00D46BF0" w:rsidRPr="00F14B68">
        <w:t>features</w:t>
      </w:r>
      <w:r w:rsidR="00884E20" w:rsidRPr="00F14B68">
        <w:t xml:space="preserve"> of</w:t>
      </w:r>
      <w:r w:rsidR="00D46BF0" w:rsidRPr="00F14B68">
        <w:t xml:space="preserve"> </w:t>
      </w:r>
      <w:proofErr w:type="gramStart"/>
      <w:r w:rsidR="00D46BF0" w:rsidRPr="00F14B68">
        <w:t>particular</w:t>
      </w:r>
      <w:r w:rsidR="00884E20" w:rsidRPr="00F14B68">
        <w:t xml:space="preserve"> income</w:t>
      </w:r>
      <w:r w:rsidR="00D46BF0" w:rsidRPr="00F14B68">
        <w:t>/</w:t>
      </w:r>
      <w:r w:rsidR="00884E20" w:rsidRPr="00F14B68">
        <w:t>profits</w:t>
      </w:r>
      <w:proofErr w:type="gramEnd"/>
      <w:r w:rsidR="00520417">
        <w:t>, in relation to a listed company,</w:t>
      </w:r>
      <w:r w:rsidR="00884E20" w:rsidRPr="00F14B68">
        <w:t xml:space="preserve"> that </w:t>
      </w:r>
      <w:r w:rsidR="00617DEB" w:rsidRPr="00F14B68">
        <w:t>render it</w:t>
      </w:r>
      <w:r w:rsidR="00884E20" w:rsidRPr="00F14B68">
        <w:t xml:space="preserve"> designated concession income</w:t>
      </w:r>
      <w:r w:rsidR="00617DEB" w:rsidRPr="00F14B68">
        <w:t xml:space="preserve">. </w:t>
      </w:r>
    </w:p>
    <w:p w14:paraId="25FB2579" w14:textId="565D0F7C" w:rsidR="00C10D60" w:rsidRDefault="00C72EC4" w:rsidP="00DC6F64">
      <w:pPr>
        <w:spacing w:before="240" w:after="200"/>
        <w:rPr>
          <w:b/>
          <w:i/>
        </w:rPr>
      </w:pPr>
      <w:r w:rsidRPr="00F14B68">
        <w:t>S</w:t>
      </w:r>
      <w:r w:rsidR="00C57283">
        <w:t>ubs</w:t>
      </w:r>
      <w:r w:rsidRPr="00F14B68">
        <w:t>ection 17</w:t>
      </w:r>
      <w:r w:rsidR="00C57283">
        <w:t>(</w:t>
      </w:r>
      <w:r w:rsidR="00120C58">
        <w:t>2)</w:t>
      </w:r>
      <w:r w:rsidRPr="00F14B68">
        <w:t xml:space="preserve"> also provides the definitions of </w:t>
      </w:r>
      <w:r w:rsidRPr="00F14B68">
        <w:rPr>
          <w:b/>
          <w:i/>
        </w:rPr>
        <w:t>ordinary capital gains</w:t>
      </w:r>
      <w:r w:rsidRPr="00F14B68">
        <w:t xml:space="preserve"> and </w:t>
      </w:r>
      <w:r w:rsidRPr="00F14B68">
        <w:rPr>
          <w:b/>
          <w:i/>
        </w:rPr>
        <w:t>permanent establishmen</w:t>
      </w:r>
      <w:r w:rsidR="0031075C" w:rsidRPr="00F14B68">
        <w:rPr>
          <w:b/>
          <w:i/>
        </w:rPr>
        <w:t>t</w:t>
      </w:r>
      <w:r w:rsidR="00C10D60">
        <w:rPr>
          <w:bCs/>
          <w:iCs/>
        </w:rPr>
        <w:t>¸ which apply to section 17</w:t>
      </w:r>
      <w:r w:rsidR="00120C58">
        <w:rPr>
          <w:bCs/>
          <w:iCs/>
        </w:rPr>
        <w:t xml:space="preserve"> only.</w:t>
      </w:r>
      <w:r w:rsidR="00B67CA3" w:rsidRPr="00F14B68">
        <w:rPr>
          <w:b/>
          <w:i/>
        </w:rPr>
        <w:t xml:space="preserve"> </w:t>
      </w:r>
    </w:p>
    <w:p w14:paraId="1C4360E8" w14:textId="3C305A0B" w:rsidR="00B27EE7" w:rsidRPr="00F14B68" w:rsidRDefault="00B27EE7" w:rsidP="00DC6F64">
      <w:pPr>
        <w:spacing w:before="240" w:after="200"/>
        <w:rPr>
          <w:u w:val="single"/>
        </w:rPr>
      </w:pPr>
      <w:r w:rsidRPr="00F14B68">
        <w:rPr>
          <w:u w:val="single"/>
        </w:rPr>
        <w:t>Section 18 – Accruals tax laws</w:t>
      </w:r>
    </w:p>
    <w:p w14:paraId="6E5FB684" w14:textId="592829AF" w:rsidR="004C7D87" w:rsidRPr="00F14B68" w:rsidRDefault="008A4A13" w:rsidP="00DC6F64">
      <w:pPr>
        <w:spacing w:before="240" w:after="200"/>
      </w:pPr>
      <w:r>
        <w:t xml:space="preserve">In defining </w:t>
      </w:r>
      <w:r w:rsidRPr="00EF693C">
        <w:rPr>
          <w:b/>
          <w:bCs/>
          <w:i/>
          <w:iCs/>
        </w:rPr>
        <w:t>accruals tax law</w:t>
      </w:r>
      <w:r>
        <w:t>, s</w:t>
      </w:r>
      <w:r w:rsidR="004C7D87">
        <w:t xml:space="preserve">ubsection 317(1) of the Act </w:t>
      </w:r>
      <w:r w:rsidR="0022046F">
        <w:t xml:space="preserve">provides that the </w:t>
      </w:r>
      <w:r w:rsidR="007D4D99">
        <w:t>r</w:t>
      </w:r>
      <w:r w:rsidR="0022046F">
        <w:t xml:space="preserve">egulations may declare </w:t>
      </w:r>
      <w:r w:rsidR="0087596B">
        <w:t xml:space="preserve">which </w:t>
      </w:r>
      <w:r w:rsidR="00E85932">
        <w:t>listed countries’ law</w:t>
      </w:r>
      <w:r w:rsidR="00D866C3">
        <w:t xml:space="preserve"> falls within the definition of accruals tax law. </w:t>
      </w:r>
      <w:r w:rsidR="00160C24">
        <w:t xml:space="preserve">The </w:t>
      </w:r>
      <w:r w:rsidR="00160C24">
        <w:lastRenderedPageBreak/>
        <w:t xml:space="preserve">table in </w:t>
      </w:r>
      <w:r w:rsidR="0009205C">
        <w:t>s</w:t>
      </w:r>
      <w:r w:rsidR="00160C24">
        <w:t xml:space="preserve">ection 18 of the Regulations </w:t>
      </w:r>
      <w:r w:rsidR="00405AD3">
        <w:t>prescribes</w:t>
      </w:r>
      <w:r w:rsidR="0009205C">
        <w:t xml:space="preserve"> the </w:t>
      </w:r>
      <w:r w:rsidR="00117059">
        <w:t>pinpoints in the law</w:t>
      </w:r>
      <w:r w:rsidR="00405AD3">
        <w:t xml:space="preserve"> of the specified listed country</w:t>
      </w:r>
      <w:r w:rsidR="00117059">
        <w:t xml:space="preserve"> </w:t>
      </w:r>
      <w:r w:rsidR="00405AD3">
        <w:t xml:space="preserve">that fall within the definition of accruals tax law. </w:t>
      </w:r>
    </w:p>
    <w:p w14:paraId="0AE845FA" w14:textId="2D34E1EB" w:rsidR="02DB5C7E" w:rsidRPr="00F14B68" w:rsidRDefault="02DB5C7E" w:rsidP="598F6F10">
      <w:pPr>
        <w:spacing w:before="240" w:after="200"/>
        <w:rPr>
          <w:b/>
          <w:i/>
        </w:rPr>
      </w:pPr>
      <w:r w:rsidRPr="00F14B68">
        <w:t xml:space="preserve">The </w:t>
      </w:r>
      <w:r w:rsidRPr="00F14B68">
        <w:rPr>
          <w:b/>
          <w:i/>
        </w:rPr>
        <w:t>accruals tax law</w:t>
      </w:r>
      <w:r w:rsidRPr="00F14B68">
        <w:t xml:space="preserve"> is as follows: </w:t>
      </w:r>
    </w:p>
    <w:tbl>
      <w:tblPr>
        <w:tblW w:w="8072" w:type="dxa"/>
        <w:jc w:val="center"/>
        <w:tblLook w:val="04A0" w:firstRow="1" w:lastRow="0" w:firstColumn="1" w:lastColumn="0" w:noHBand="0" w:noVBand="1"/>
      </w:tblPr>
      <w:tblGrid>
        <w:gridCol w:w="765"/>
        <w:gridCol w:w="3077"/>
        <w:gridCol w:w="4230"/>
      </w:tblGrid>
      <w:tr w:rsidR="0004329B" w:rsidRPr="0004329B" w14:paraId="58FA0F83" w14:textId="77777777" w:rsidTr="5DC3DB4F">
        <w:trPr>
          <w:trHeight w:val="300"/>
          <w:jc w:val="center"/>
        </w:trPr>
        <w:tc>
          <w:tcPr>
            <w:tcW w:w="8072" w:type="dxa"/>
            <w:gridSpan w:val="3"/>
            <w:tcBorders>
              <w:top w:val="single" w:sz="12" w:space="0" w:color="000000" w:themeColor="text1"/>
              <w:bottom w:val="single" w:sz="6" w:space="0" w:color="000000" w:themeColor="text1"/>
            </w:tcBorders>
            <w:tcMar>
              <w:top w:w="0" w:type="dxa"/>
              <w:left w:w="108" w:type="dxa"/>
              <w:bottom w:w="0" w:type="dxa"/>
              <w:right w:w="108" w:type="dxa"/>
            </w:tcMar>
          </w:tcPr>
          <w:p w14:paraId="1F344D85" w14:textId="43E5C798" w:rsidR="4658E3ED" w:rsidRPr="0004329B" w:rsidRDefault="4658E3ED" w:rsidP="2D7C6561">
            <w:pPr>
              <w:spacing w:before="0" w:after="0" w:line="259" w:lineRule="auto"/>
            </w:pPr>
            <w:r w:rsidRPr="00F14B68">
              <w:rPr>
                <w:b/>
                <w:bCs/>
                <w:sz w:val="22"/>
                <w:szCs w:val="22"/>
              </w:rPr>
              <w:t>Accruals tax law</w:t>
            </w:r>
          </w:p>
        </w:tc>
      </w:tr>
      <w:tr w:rsidR="0004329B" w:rsidRPr="0004329B" w14:paraId="0D67AC83" w14:textId="77777777" w:rsidTr="5DC3DB4F">
        <w:trPr>
          <w:trHeight w:val="300"/>
          <w:jc w:val="center"/>
        </w:trPr>
        <w:tc>
          <w:tcPr>
            <w:tcW w:w="765" w:type="dxa"/>
            <w:tcBorders>
              <w:top w:val="single" w:sz="6" w:space="0" w:color="000000" w:themeColor="text1"/>
              <w:bottom w:val="single" w:sz="12" w:space="0" w:color="000000" w:themeColor="text1"/>
            </w:tcBorders>
            <w:tcMar>
              <w:top w:w="0" w:type="dxa"/>
              <w:left w:w="108" w:type="dxa"/>
              <w:bottom w:w="0" w:type="dxa"/>
              <w:right w:w="108" w:type="dxa"/>
            </w:tcMar>
          </w:tcPr>
          <w:p w14:paraId="05D7D610" w14:textId="77777777" w:rsidR="2D7C6561" w:rsidRPr="00F14B68" w:rsidRDefault="2D7C6561" w:rsidP="2D7C6561">
            <w:pPr>
              <w:spacing w:before="0" w:after="0"/>
              <w:rPr>
                <w:b/>
                <w:bCs/>
                <w:sz w:val="22"/>
                <w:szCs w:val="22"/>
              </w:rPr>
            </w:pPr>
            <w:r w:rsidRPr="00F14B68">
              <w:rPr>
                <w:b/>
                <w:bCs/>
                <w:sz w:val="22"/>
                <w:szCs w:val="22"/>
              </w:rPr>
              <w:t>Item</w:t>
            </w:r>
          </w:p>
        </w:tc>
        <w:tc>
          <w:tcPr>
            <w:tcW w:w="3077" w:type="dxa"/>
            <w:tcBorders>
              <w:top w:val="single" w:sz="6" w:space="0" w:color="000000" w:themeColor="text1"/>
              <w:bottom w:val="single" w:sz="12" w:space="0" w:color="000000" w:themeColor="text1"/>
            </w:tcBorders>
            <w:tcMar>
              <w:top w:w="0" w:type="dxa"/>
              <w:left w:w="108" w:type="dxa"/>
              <w:bottom w:w="0" w:type="dxa"/>
              <w:right w:w="108" w:type="dxa"/>
            </w:tcMar>
          </w:tcPr>
          <w:p w14:paraId="1201B504" w14:textId="77777777" w:rsidR="2D7C6561" w:rsidRPr="00F14B68" w:rsidRDefault="2D7C6561" w:rsidP="2D7C6561">
            <w:pPr>
              <w:spacing w:before="0" w:after="0"/>
              <w:rPr>
                <w:b/>
                <w:bCs/>
                <w:sz w:val="22"/>
                <w:szCs w:val="22"/>
              </w:rPr>
            </w:pPr>
            <w:r w:rsidRPr="00F14B68">
              <w:rPr>
                <w:b/>
                <w:bCs/>
                <w:sz w:val="22"/>
                <w:szCs w:val="22"/>
              </w:rPr>
              <w:t>Column 1</w:t>
            </w:r>
          </w:p>
          <w:p w14:paraId="304448F7" w14:textId="36720187" w:rsidR="32CEC777" w:rsidRPr="00F14B68" w:rsidRDefault="32CEC777" w:rsidP="2D7C6561">
            <w:pPr>
              <w:spacing w:before="0" w:after="0" w:line="259" w:lineRule="auto"/>
              <w:rPr>
                <w:b/>
                <w:bCs/>
                <w:sz w:val="22"/>
                <w:szCs w:val="22"/>
              </w:rPr>
            </w:pPr>
            <w:r w:rsidRPr="00F14B68">
              <w:rPr>
                <w:b/>
                <w:bCs/>
                <w:sz w:val="22"/>
                <w:szCs w:val="22"/>
              </w:rPr>
              <w:t>Listed Country</w:t>
            </w:r>
          </w:p>
        </w:tc>
        <w:tc>
          <w:tcPr>
            <w:tcW w:w="4230" w:type="dxa"/>
            <w:tcBorders>
              <w:top w:val="single" w:sz="6" w:space="0" w:color="000000" w:themeColor="text1"/>
              <w:bottom w:val="single" w:sz="12" w:space="0" w:color="000000" w:themeColor="text1"/>
            </w:tcBorders>
            <w:tcMar>
              <w:top w:w="0" w:type="dxa"/>
              <w:left w:w="108" w:type="dxa"/>
              <w:bottom w:w="0" w:type="dxa"/>
              <w:right w:w="108" w:type="dxa"/>
            </w:tcMar>
          </w:tcPr>
          <w:p w14:paraId="3F6774F0" w14:textId="77777777" w:rsidR="2D7C6561" w:rsidRPr="00F14B68" w:rsidRDefault="2D7C6561" w:rsidP="2D7C6561">
            <w:pPr>
              <w:spacing w:before="0" w:after="0"/>
              <w:rPr>
                <w:b/>
                <w:bCs/>
                <w:sz w:val="22"/>
                <w:szCs w:val="22"/>
              </w:rPr>
            </w:pPr>
            <w:r w:rsidRPr="00F14B68">
              <w:rPr>
                <w:b/>
                <w:bCs/>
                <w:sz w:val="22"/>
                <w:szCs w:val="22"/>
              </w:rPr>
              <w:t>Column 2</w:t>
            </w:r>
          </w:p>
          <w:p w14:paraId="44540C3E" w14:textId="0AAE66C0" w:rsidR="60DCC90D" w:rsidRPr="0004329B" w:rsidRDefault="60DCC90D" w:rsidP="2D7C6561">
            <w:pPr>
              <w:spacing w:before="0" w:after="0" w:line="259" w:lineRule="auto"/>
            </w:pPr>
            <w:r w:rsidRPr="00F14B68">
              <w:rPr>
                <w:b/>
                <w:bCs/>
                <w:sz w:val="22"/>
                <w:szCs w:val="22"/>
              </w:rPr>
              <w:t>Law</w:t>
            </w:r>
          </w:p>
        </w:tc>
      </w:tr>
      <w:tr w:rsidR="0004329B" w:rsidRPr="0004329B" w14:paraId="57D56960" w14:textId="77777777" w:rsidTr="5DC3DB4F">
        <w:trPr>
          <w:trHeight w:val="300"/>
          <w:jc w:val="center"/>
        </w:trPr>
        <w:tc>
          <w:tcPr>
            <w:tcW w:w="765" w:type="dxa"/>
            <w:tcBorders>
              <w:top w:val="single" w:sz="12" w:space="0" w:color="000000" w:themeColor="text1"/>
              <w:bottom w:val="single" w:sz="6" w:space="0" w:color="000000" w:themeColor="text1"/>
            </w:tcBorders>
            <w:tcMar>
              <w:top w:w="0" w:type="dxa"/>
              <w:left w:w="108" w:type="dxa"/>
              <w:bottom w:w="0" w:type="dxa"/>
              <w:right w:w="108" w:type="dxa"/>
            </w:tcMar>
          </w:tcPr>
          <w:p w14:paraId="2E3124BA" w14:textId="77777777" w:rsidR="2D7C6561" w:rsidRPr="00F14B68" w:rsidRDefault="2D7C6561" w:rsidP="2D7C6561">
            <w:pPr>
              <w:spacing w:before="0" w:after="0"/>
              <w:rPr>
                <w:sz w:val="22"/>
                <w:szCs w:val="22"/>
              </w:rPr>
            </w:pPr>
            <w:r w:rsidRPr="00F14B68">
              <w:rPr>
                <w:sz w:val="22"/>
                <w:szCs w:val="22"/>
              </w:rPr>
              <w:t>1</w:t>
            </w:r>
          </w:p>
        </w:tc>
        <w:tc>
          <w:tcPr>
            <w:tcW w:w="3077" w:type="dxa"/>
            <w:tcBorders>
              <w:top w:val="single" w:sz="12" w:space="0" w:color="000000" w:themeColor="text1"/>
              <w:bottom w:val="single" w:sz="6" w:space="0" w:color="000000" w:themeColor="text1"/>
            </w:tcBorders>
            <w:tcMar>
              <w:top w:w="0" w:type="dxa"/>
              <w:left w:w="108" w:type="dxa"/>
              <w:bottom w:w="0" w:type="dxa"/>
              <w:right w:w="108" w:type="dxa"/>
            </w:tcMar>
          </w:tcPr>
          <w:p w14:paraId="4F92E142" w14:textId="37ACF8EE" w:rsidR="2D7C6561" w:rsidRPr="0004329B" w:rsidRDefault="67B79D54" w:rsidP="4350C5F9">
            <w:pPr>
              <w:spacing w:before="0" w:after="0" w:line="259" w:lineRule="auto"/>
            </w:pPr>
            <w:r w:rsidRPr="00F14B68">
              <w:rPr>
                <w:sz w:val="22"/>
                <w:szCs w:val="22"/>
              </w:rPr>
              <w:t>Canada</w:t>
            </w:r>
          </w:p>
        </w:tc>
        <w:tc>
          <w:tcPr>
            <w:tcW w:w="4230" w:type="dxa"/>
            <w:tcBorders>
              <w:top w:val="single" w:sz="12" w:space="0" w:color="000000" w:themeColor="text1"/>
              <w:bottom w:val="single" w:sz="6" w:space="0" w:color="000000" w:themeColor="text1"/>
            </w:tcBorders>
            <w:tcMar>
              <w:top w:w="0" w:type="dxa"/>
              <w:left w:w="108" w:type="dxa"/>
              <w:bottom w:w="0" w:type="dxa"/>
              <w:right w:w="108" w:type="dxa"/>
            </w:tcMar>
          </w:tcPr>
          <w:p w14:paraId="12C48C42" w14:textId="2D62363A" w:rsidR="2D7C6561" w:rsidRPr="00F14B68" w:rsidRDefault="41206B48" w:rsidP="3A2B5E1B">
            <w:pPr>
              <w:spacing w:before="0" w:after="0" w:line="259" w:lineRule="auto"/>
              <w:rPr>
                <w:sz w:val="22"/>
                <w:szCs w:val="22"/>
              </w:rPr>
            </w:pPr>
            <w:r w:rsidRPr="00F14B68">
              <w:rPr>
                <w:sz w:val="22"/>
                <w:szCs w:val="22"/>
              </w:rPr>
              <w:t>Sections 90 to 95 (inclusive) of the Income Tax Act of Canada</w:t>
            </w:r>
          </w:p>
        </w:tc>
      </w:tr>
      <w:tr w:rsidR="0004329B" w:rsidRPr="0004329B" w14:paraId="74CB03D3" w14:textId="77777777" w:rsidTr="5DC3DB4F">
        <w:trPr>
          <w:trHeight w:val="300"/>
          <w:jc w:val="center"/>
        </w:trPr>
        <w:tc>
          <w:tcPr>
            <w:tcW w:w="765" w:type="dxa"/>
            <w:tcBorders>
              <w:top w:val="single" w:sz="6" w:space="0" w:color="000000" w:themeColor="text1"/>
              <w:bottom w:val="single" w:sz="6" w:space="0" w:color="000000" w:themeColor="text1"/>
            </w:tcBorders>
            <w:tcMar>
              <w:top w:w="0" w:type="dxa"/>
              <w:left w:w="108" w:type="dxa"/>
              <w:bottom w:w="0" w:type="dxa"/>
              <w:right w:w="108" w:type="dxa"/>
            </w:tcMar>
          </w:tcPr>
          <w:p w14:paraId="1F792C59" w14:textId="77777777" w:rsidR="2D7C6561" w:rsidRPr="00F14B68" w:rsidRDefault="2D7C6561" w:rsidP="2D7C6561">
            <w:pPr>
              <w:spacing w:before="0" w:after="0"/>
              <w:rPr>
                <w:sz w:val="22"/>
                <w:szCs w:val="22"/>
              </w:rPr>
            </w:pPr>
            <w:r w:rsidRPr="00F14B68">
              <w:rPr>
                <w:sz w:val="22"/>
                <w:szCs w:val="22"/>
              </w:rPr>
              <w:t>2</w:t>
            </w:r>
          </w:p>
        </w:tc>
        <w:tc>
          <w:tcPr>
            <w:tcW w:w="3077" w:type="dxa"/>
            <w:tcBorders>
              <w:top w:val="single" w:sz="6" w:space="0" w:color="000000" w:themeColor="text1"/>
              <w:bottom w:val="single" w:sz="6" w:space="0" w:color="000000" w:themeColor="text1"/>
            </w:tcBorders>
            <w:tcMar>
              <w:top w:w="0" w:type="dxa"/>
              <w:left w:w="108" w:type="dxa"/>
              <w:bottom w:w="0" w:type="dxa"/>
              <w:right w:w="108" w:type="dxa"/>
            </w:tcMar>
          </w:tcPr>
          <w:p w14:paraId="5D51654C" w14:textId="28278D7C" w:rsidR="2D7C6561" w:rsidRPr="0004329B" w:rsidRDefault="4B3577D8" w:rsidP="4350C5F9">
            <w:pPr>
              <w:spacing w:before="0" w:after="0" w:line="259" w:lineRule="auto"/>
            </w:pPr>
            <w:r w:rsidRPr="00F14B68">
              <w:rPr>
                <w:sz w:val="22"/>
                <w:szCs w:val="22"/>
              </w:rPr>
              <w:t>France</w:t>
            </w:r>
          </w:p>
        </w:tc>
        <w:tc>
          <w:tcPr>
            <w:tcW w:w="4230" w:type="dxa"/>
            <w:tcBorders>
              <w:top w:val="single" w:sz="6" w:space="0" w:color="000000" w:themeColor="text1"/>
              <w:bottom w:val="single" w:sz="6" w:space="0" w:color="000000" w:themeColor="text1"/>
            </w:tcBorders>
            <w:tcMar>
              <w:top w:w="0" w:type="dxa"/>
              <w:left w:w="108" w:type="dxa"/>
              <w:bottom w:w="0" w:type="dxa"/>
              <w:right w:w="108" w:type="dxa"/>
            </w:tcMar>
          </w:tcPr>
          <w:p w14:paraId="493DDEAD" w14:textId="2C6D5F3C" w:rsidR="2D7C6561" w:rsidRPr="00F14B68" w:rsidRDefault="396967E6" w:rsidP="3A2B5E1B">
            <w:pPr>
              <w:spacing w:before="0" w:after="0" w:line="259" w:lineRule="auto"/>
              <w:rPr>
                <w:sz w:val="22"/>
                <w:szCs w:val="22"/>
              </w:rPr>
            </w:pPr>
            <w:r w:rsidRPr="00F14B68">
              <w:rPr>
                <w:sz w:val="22"/>
                <w:szCs w:val="22"/>
              </w:rPr>
              <w:t>Article 209B of the General Tax Code of France</w:t>
            </w:r>
          </w:p>
        </w:tc>
      </w:tr>
      <w:tr w:rsidR="0004329B" w:rsidRPr="0004329B" w14:paraId="5FC428BF" w14:textId="77777777" w:rsidTr="5DC3DB4F">
        <w:trPr>
          <w:trHeight w:val="300"/>
          <w:jc w:val="center"/>
        </w:trPr>
        <w:tc>
          <w:tcPr>
            <w:tcW w:w="765" w:type="dxa"/>
            <w:tcBorders>
              <w:top w:val="single" w:sz="6" w:space="0" w:color="000000" w:themeColor="text1"/>
              <w:bottom w:val="single" w:sz="6" w:space="0" w:color="000000" w:themeColor="text1"/>
            </w:tcBorders>
            <w:tcMar>
              <w:top w:w="0" w:type="dxa"/>
              <w:left w:w="108" w:type="dxa"/>
              <w:bottom w:w="0" w:type="dxa"/>
              <w:right w:w="108" w:type="dxa"/>
            </w:tcMar>
          </w:tcPr>
          <w:p w14:paraId="5EAF149B" w14:textId="77777777" w:rsidR="3E0741A2" w:rsidRPr="00F14B68" w:rsidRDefault="3E0741A2" w:rsidP="3E0741A2">
            <w:pPr>
              <w:spacing w:before="0" w:after="0"/>
              <w:rPr>
                <w:sz w:val="22"/>
                <w:szCs w:val="22"/>
              </w:rPr>
            </w:pPr>
            <w:r w:rsidRPr="00F14B68">
              <w:rPr>
                <w:sz w:val="22"/>
                <w:szCs w:val="22"/>
              </w:rPr>
              <w:t>3</w:t>
            </w:r>
          </w:p>
        </w:tc>
        <w:tc>
          <w:tcPr>
            <w:tcW w:w="3077" w:type="dxa"/>
            <w:tcBorders>
              <w:top w:val="single" w:sz="6" w:space="0" w:color="000000" w:themeColor="text1"/>
              <w:bottom w:val="single" w:sz="6" w:space="0" w:color="000000" w:themeColor="text1"/>
            </w:tcBorders>
            <w:tcMar>
              <w:top w:w="0" w:type="dxa"/>
              <w:left w:w="108" w:type="dxa"/>
              <w:bottom w:w="0" w:type="dxa"/>
              <w:right w:w="108" w:type="dxa"/>
            </w:tcMar>
          </w:tcPr>
          <w:p w14:paraId="4256A010" w14:textId="70A612C2" w:rsidR="3E0741A2" w:rsidRPr="00F14B68" w:rsidRDefault="3E0741A2" w:rsidP="3E0741A2">
            <w:pPr>
              <w:spacing w:before="0" w:after="0" w:line="259" w:lineRule="auto"/>
              <w:rPr>
                <w:sz w:val="22"/>
                <w:szCs w:val="22"/>
              </w:rPr>
            </w:pPr>
            <w:r w:rsidRPr="00F14B68">
              <w:rPr>
                <w:sz w:val="22"/>
                <w:szCs w:val="22"/>
              </w:rPr>
              <w:t>Germany</w:t>
            </w:r>
          </w:p>
        </w:tc>
        <w:tc>
          <w:tcPr>
            <w:tcW w:w="4230" w:type="dxa"/>
            <w:tcBorders>
              <w:top w:val="single" w:sz="6" w:space="0" w:color="000000" w:themeColor="text1"/>
              <w:bottom w:val="single" w:sz="6" w:space="0" w:color="000000" w:themeColor="text1"/>
            </w:tcBorders>
            <w:tcMar>
              <w:top w:w="0" w:type="dxa"/>
              <w:left w:w="108" w:type="dxa"/>
              <w:bottom w:w="0" w:type="dxa"/>
              <w:right w:w="108" w:type="dxa"/>
            </w:tcMar>
          </w:tcPr>
          <w:p w14:paraId="1DE65095" w14:textId="243E7879" w:rsidR="3E0741A2" w:rsidRPr="00F14B68" w:rsidRDefault="3E0741A2" w:rsidP="3E0741A2">
            <w:pPr>
              <w:spacing w:before="0" w:after="0" w:line="259" w:lineRule="auto"/>
              <w:rPr>
                <w:sz w:val="22"/>
                <w:szCs w:val="22"/>
              </w:rPr>
            </w:pPr>
            <w:r w:rsidRPr="00F14B68">
              <w:rPr>
                <w:sz w:val="22"/>
                <w:szCs w:val="22"/>
              </w:rPr>
              <w:t xml:space="preserve">Sections 7 to 14 (inclusive) of the Foreign </w:t>
            </w:r>
            <w:r w:rsidR="771E13C1" w:rsidRPr="00F14B68">
              <w:rPr>
                <w:sz w:val="22"/>
                <w:szCs w:val="22"/>
              </w:rPr>
              <w:t>Tax Act of Germany</w:t>
            </w:r>
          </w:p>
        </w:tc>
      </w:tr>
      <w:tr w:rsidR="0004329B" w:rsidRPr="0004329B" w14:paraId="15FE9C54" w14:textId="77777777" w:rsidTr="5DC3DB4F">
        <w:trPr>
          <w:trHeight w:val="300"/>
          <w:jc w:val="center"/>
        </w:trPr>
        <w:tc>
          <w:tcPr>
            <w:tcW w:w="765" w:type="dxa"/>
            <w:tcBorders>
              <w:top w:val="single" w:sz="6" w:space="0" w:color="000000" w:themeColor="text1"/>
              <w:bottom w:val="single" w:sz="6" w:space="0" w:color="000000" w:themeColor="text1"/>
            </w:tcBorders>
            <w:tcMar>
              <w:top w:w="0" w:type="dxa"/>
              <w:left w:w="108" w:type="dxa"/>
              <w:bottom w:w="0" w:type="dxa"/>
              <w:right w:w="108" w:type="dxa"/>
            </w:tcMar>
          </w:tcPr>
          <w:p w14:paraId="26C2FD76" w14:textId="344DD1FF" w:rsidR="3E0741A2" w:rsidRPr="00F14B68" w:rsidRDefault="771E13C1" w:rsidP="3E0741A2">
            <w:pPr>
              <w:rPr>
                <w:sz w:val="22"/>
                <w:szCs w:val="22"/>
              </w:rPr>
            </w:pPr>
            <w:r w:rsidRPr="00F14B68">
              <w:rPr>
                <w:sz w:val="22"/>
                <w:szCs w:val="22"/>
              </w:rPr>
              <w:t>4</w:t>
            </w:r>
          </w:p>
        </w:tc>
        <w:tc>
          <w:tcPr>
            <w:tcW w:w="3077" w:type="dxa"/>
            <w:tcBorders>
              <w:top w:val="single" w:sz="6" w:space="0" w:color="000000" w:themeColor="text1"/>
              <w:bottom w:val="single" w:sz="6" w:space="0" w:color="000000" w:themeColor="text1"/>
            </w:tcBorders>
            <w:tcMar>
              <w:top w:w="0" w:type="dxa"/>
              <w:left w:w="108" w:type="dxa"/>
              <w:bottom w:w="0" w:type="dxa"/>
              <w:right w:w="108" w:type="dxa"/>
            </w:tcMar>
          </w:tcPr>
          <w:p w14:paraId="59057EC9" w14:textId="1ED9F729" w:rsidR="3E0741A2" w:rsidRPr="00F14B68" w:rsidRDefault="771E13C1" w:rsidP="3E0741A2">
            <w:pPr>
              <w:spacing w:line="259" w:lineRule="auto"/>
              <w:rPr>
                <w:sz w:val="22"/>
                <w:szCs w:val="22"/>
              </w:rPr>
            </w:pPr>
            <w:r w:rsidRPr="00F14B68">
              <w:rPr>
                <w:sz w:val="22"/>
                <w:szCs w:val="22"/>
              </w:rPr>
              <w:t>Japan</w:t>
            </w:r>
          </w:p>
        </w:tc>
        <w:tc>
          <w:tcPr>
            <w:tcW w:w="4230" w:type="dxa"/>
            <w:tcBorders>
              <w:top w:val="single" w:sz="6" w:space="0" w:color="000000" w:themeColor="text1"/>
              <w:bottom w:val="single" w:sz="6" w:space="0" w:color="000000" w:themeColor="text1"/>
            </w:tcBorders>
            <w:tcMar>
              <w:top w:w="0" w:type="dxa"/>
              <w:left w:w="108" w:type="dxa"/>
              <w:bottom w:w="0" w:type="dxa"/>
              <w:right w:w="108" w:type="dxa"/>
            </w:tcMar>
          </w:tcPr>
          <w:p w14:paraId="4E4917CB" w14:textId="5801FEBE" w:rsidR="3E0741A2" w:rsidRPr="00F14B68" w:rsidRDefault="771E13C1" w:rsidP="3E0741A2">
            <w:pPr>
              <w:spacing w:line="259" w:lineRule="auto"/>
              <w:rPr>
                <w:sz w:val="22"/>
                <w:szCs w:val="22"/>
              </w:rPr>
            </w:pPr>
            <w:r w:rsidRPr="00F14B68">
              <w:rPr>
                <w:sz w:val="22"/>
                <w:szCs w:val="22"/>
              </w:rPr>
              <w:t>Articles 40</w:t>
            </w:r>
            <w:r w:rsidR="00D15117">
              <w:rPr>
                <w:sz w:val="22"/>
                <w:szCs w:val="22"/>
              </w:rPr>
              <w:t>-</w:t>
            </w:r>
            <w:r w:rsidRPr="00F14B68">
              <w:rPr>
                <w:sz w:val="22"/>
                <w:szCs w:val="22"/>
              </w:rPr>
              <w:t>4 to 40</w:t>
            </w:r>
            <w:r w:rsidR="00D15117">
              <w:rPr>
                <w:sz w:val="22"/>
                <w:szCs w:val="22"/>
              </w:rPr>
              <w:t>-</w:t>
            </w:r>
            <w:r w:rsidRPr="00F14B68">
              <w:rPr>
                <w:sz w:val="22"/>
                <w:szCs w:val="22"/>
              </w:rPr>
              <w:t>6 (inclusive) and 66</w:t>
            </w:r>
            <w:r w:rsidR="00D15117">
              <w:rPr>
                <w:sz w:val="22"/>
                <w:szCs w:val="22"/>
              </w:rPr>
              <w:t>-</w:t>
            </w:r>
            <w:r w:rsidRPr="00F14B68">
              <w:rPr>
                <w:sz w:val="22"/>
                <w:szCs w:val="22"/>
              </w:rPr>
              <w:t>6 to 66</w:t>
            </w:r>
            <w:r w:rsidR="00AF73EE">
              <w:rPr>
                <w:sz w:val="22"/>
                <w:szCs w:val="22"/>
              </w:rPr>
              <w:t>-</w:t>
            </w:r>
            <w:r w:rsidRPr="00F14B68">
              <w:rPr>
                <w:sz w:val="22"/>
                <w:szCs w:val="22"/>
              </w:rPr>
              <w:t>9 (inclusive</w:t>
            </w:r>
            <w:r w:rsidR="00AF73EE">
              <w:rPr>
                <w:sz w:val="22"/>
                <w:szCs w:val="22"/>
              </w:rPr>
              <w:t>)</w:t>
            </w:r>
            <w:r w:rsidRPr="00F14B68">
              <w:rPr>
                <w:sz w:val="22"/>
                <w:szCs w:val="22"/>
              </w:rPr>
              <w:t xml:space="preserve"> of the Special Taxation Measures Law of Japan</w:t>
            </w:r>
          </w:p>
        </w:tc>
      </w:tr>
      <w:tr w:rsidR="0004329B" w:rsidRPr="0004329B" w14:paraId="5CE6D952" w14:textId="77777777" w:rsidTr="5DC3DB4F">
        <w:trPr>
          <w:trHeight w:val="300"/>
          <w:jc w:val="center"/>
        </w:trPr>
        <w:tc>
          <w:tcPr>
            <w:tcW w:w="765" w:type="dxa"/>
            <w:tcBorders>
              <w:top w:val="single" w:sz="6" w:space="0" w:color="000000" w:themeColor="text1"/>
              <w:bottom w:val="single" w:sz="6" w:space="0" w:color="000000" w:themeColor="text1"/>
            </w:tcBorders>
            <w:tcMar>
              <w:top w:w="0" w:type="dxa"/>
              <w:left w:w="108" w:type="dxa"/>
              <w:bottom w:w="0" w:type="dxa"/>
              <w:right w:w="108" w:type="dxa"/>
            </w:tcMar>
          </w:tcPr>
          <w:p w14:paraId="17E5A540" w14:textId="05193F8A" w:rsidR="3E0741A2" w:rsidRPr="00F14B68" w:rsidRDefault="771E13C1" w:rsidP="3E0741A2">
            <w:pPr>
              <w:rPr>
                <w:sz w:val="22"/>
                <w:szCs w:val="22"/>
              </w:rPr>
            </w:pPr>
            <w:r w:rsidRPr="00F14B68">
              <w:rPr>
                <w:sz w:val="22"/>
                <w:szCs w:val="22"/>
              </w:rPr>
              <w:t>5</w:t>
            </w:r>
          </w:p>
        </w:tc>
        <w:tc>
          <w:tcPr>
            <w:tcW w:w="3077" w:type="dxa"/>
            <w:tcBorders>
              <w:top w:val="single" w:sz="6" w:space="0" w:color="000000" w:themeColor="text1"/>
              <w:bottom w:val="single" w:sz="6" w:space="0" w:color="000000" w:themeColor="text1"/>
            </w:tcBorders>
            <w:tcMar>
              <w:top w:w="0" w:type="dxa"/>
              <w:left w:w="108" w:type="dxa"/>
              <w:bottom w:w="0" w:type="dxa"/>
              <w:right w:w="108" w:type="dxa"/>
            </w:tcMar>
          </w:tcPr>
          <w:p w14:paraId="6CEA8D7E" w14:textId="0D67AFDF" w:rsidR="3E0741A2" w:rsidRPr="00F14B68" w:rsidRDefault="771E13C1" w:rsidP="3E0741A2">
            <w:pPr>
              <w:spacing w:line="259" w:lineRule="auto"/>
              <w:rPr>
                <w:sz w:val="22"/>
                <w:szCs w:val="22"/>
              </w:rPr>
            </w:pPr>
            <w:r w:rsidRPr="00F14B68">
              <w:rPr>
                <w:sz w:val="22"/>
                <w:szCs w:val="22"/>
              </w:rPr>
              <w:t xml:space="preserve">New Zealand </w:t>
            </w:r>
          </w:p>
        </w:tc>
        <w:tc>
          <w:tcPr>
            <w:tcW w:w="4230" w:type="dxa"/>
            <w:tcBorders>
              <w:top w:val="single" w:sz="6" w:space="0" w:color="000000" w:themeColor="text1"/>
              <w:bottom w:val="single" w:sz="6" w:space="0" w:color="000000" w:themeColor="text1"/>
            </w:tcBorders>
            <w:tcMar>
              <w:top w:w="0" w:type="dxa"/>
              <w:left w:w="108" w:type="dxa"/>
              <w:bottom w:w="0" w:type="dxa"/>
              <w:right w:w="108" w:type="dxa"/>
            </w:tcMar>
          </w:tcPr>
          <w:p w14:paraId="106BD3E4" w14:textId="741615F2" w:rsidR="3E0741A2" w:rsidRPr="00F14B68" w:rsidRDefault="771E13C1" w:rsidP="3E0741A2">
            <w:pPr>
              <w:spacing w:line="259" w:lineRule="auto"/>
              <w:rPr>
                <w:sz w:val="22"/>
                <w:szCs w:val="22"/>
              </w:rPr>
            </w:pPr>
            <w:r w:rsidRPr="00F14B68">
              <w:rPr>
                <w:sz w:val="22"/>
                <w:szCs w:val="22"/>
              </w:rPr>
              <w:t>Sections CQ 1 to CQ 3 (inclusive) and sections EX 1 to EX 27 (inclusive) of the Income Tax Act 2007 of New Zealand</w:t>
            </w:r>
          </w:p>
        </w:tc>
      </w:tr>
      <w:tr w:rsidR="0004329B" w:rsidRPr="0004329B" w14:paraId="6A70CA71" w14:textId="77777777" w:rsidTr="5DC3DB4F">
        <w:trPr>
          <w:trHeight w:val="300"/>
          <w:jc w:val="center"/>
        </w:trPr>
        <w:tc>
          <w:tcPr>
            <w:tcW w:w="765" w:type="dxa"/>
            <w:tcBorders>
              <w:top w:val="single" w:sz="6" w:space="0" w:color="000000" w:themeColor="text1"/>
              <w:bottom w:val="single" w:sz="6" w:space="0" w:color="000000" w:themeColor="text1"/>
            </w:tcBorders>
            <w:tcMar>
              <w:top w:w="0" w:type="dxa"/>
              <w:left w:w="108" w:type="dxa"/>
              <w:bottom w:w="0" w:type="dxa"/>
              <w:right w:w="108" w:type="dxa"/>
            </w:tcMar>
          </w:tcPr>
          <w:p w14:paraId="7524CFAC" w14:textId="1F941DCA" w:rsidR="771E13C1" w:rsidRPr="00F14B68" w:rsidRDefault="771E13C1" w:rsidP="063B8FE8">
            <w:pPr>
              <w:rPr>
                <w:sz w:val="22"/>
                <w:szCs w:val="22"/>
              </w:rPr>
            </w:pPr>
            <w:r w:rsidRPr="00F14B68">
              <w:rPr>
                <w:sz w:val="22"/>
                <w:szCs w:val="22"/>
              </w:rPr>
              <w:t>6</w:t>
            </w:r>
          </w:p>
        </w:tc>
        <w:tc>
          <w:tcPr>
            <w:tcW w:w="3077" w:type="dxa"/>
            <w:tcBorders>
              <w:top w:val="single" w:sz="6" w:space="0" w:color="000000" w:themeColor="text1"/>
              <w:bottom w:val="single" w:sz="6" w:space="0" w:color="000000" w:themeColor="text1"/>
            </w:tcBorders>
            <w:tcMar>
              <w:top w:w="0" w:type="dxa"/>
              <w:left w:w="108" w:type="dxa"/>
              <w:bottom w:w="0" w:type="dxa"/>
              <w:right w:w="108" w:type="dxa"/>
            </w:tcMar>
          </w:tcPr>
          <w:p w14:paraId="2517F986" w14:textId="7FCDA63B" w:rsidR="063B8FE8" w:rsidRPr="00F14B68" w:rsidRDefault="771E13C1" w:rsidP="063B8FE8">
            <w:pPr>
              <w:spacing w:line="259" w:lineRule="auto"/>
              <w:rPr>
                <w:sz w:val="22"/>
                <w:szCs w:val="22"/>
              </w:rPr>
            </w:pPr>
            <w:r w:rsidRPr="00F14B68">
              <w:rPr>
                <w:sz w:val="22"/>
                <w:szCs w:val="22"/>
              </w:rPr>
              <w:t>United Kingdom</w:t>
            </w:r>
          </w:p>
        </w:tc>
        <w:tc>
          <w:tcPr>
            <w:tcW w:w="4230" w:type="dxa"/>
            <w:tcBorders>
              <w:top w:val="single" w:sz="6" w:space="0" w:color="000000" w:themeColor="text1"/>
              <w:bottom w:val="single" w:sz="6" w:space="0" w:color="000000" w:themeColor="text1"/>
            </w:tcBorders>
            <w:tcMar>
              <w:top w:w="0" w:type="dxa"/>
              <w:left w:w="108" w:type="dxa"/>
              <w:bottom w:w="0" w:type="dxa"/>
              <w:right w:w="108" w:type="dxa"/>
            </w:tcMar>
          </w:tcPr>
          <w:p w14:paraId="066B1B09" w14:textId="510977AD" w:rsidR="063B8FE8" w:rsidRPr="00F14B68" w:rsidRDefault="771E13C1" w:rsidP="063B8FE8">
            <w:pPr>
              <w:spacing w:line="259" w:lineRule="auto"/>
              <w:rPr>
                <w:sz w:val="22"/>
                <w:szCs w:val="22"/>
              </w:rPr>
            </w:pPr>
            <w:r w:rsidRPr="00F14B68">
              <w:rPr>
                <w:sz w:val="22"/>
                <w:szCs w:val="22"/>
              </w:rPr>
              <w:t xml:space="preserve">Part 9A of the Taxation (International and Other Provisions) Act 2010 of the </w:t>
            </w:r>
            <w:r w:rsidR="1CD35E97" w:rsidRPr="23653609">
              <w:rPr>
                <w:sz w:val="22"/>
                <w:szCs w:val="22"/>
              </w:rPr>
              <w:t>United</w:t>
            </w:r>
            <w:r w:rsidRPr="00F14B68">
              <w:rPr>
                <w:sz w:val="22"/>
                <w:szCs w:val="22"/>
              </w:rPr>
              <w:t xml:space="preserve"> Kingdom</w:t>
            </w:r>
          </w:p>
        </w:tc>
      </w:tr>
      <w:tr w:rsidR="0004329B" w:rsidRPr="0004329B" w14:paraId="53C04568" w14:textId="77777777" w:rsidTr="5DC3DB4F">
        <w:trPr>
          <w:trHeight w:val="300"/>
          <w:jc w:val="center"/>
        </w:trPr>
        <w:tc>
          <w:tcPr>
            <w:tcW w:w="765" w:type="dxa"/>
            <w:tcBorders>
              <w:top w:val="single" w:sz="6" w:space="0" w:color="000000" w:themeColor="text1"/>
              <w:bottom w:val="single" w:sz="6" w:space="0" w:color="000000" w:themeColor="text1"/>
            </w:tcBorders>
            <w:tcMar>
              <w:top w:w="0" w:type="dxa"/>
              <w:left w:w="108" w:type="dxa"/>
              <w:bottom w:w="0" w:type="dxa"/>
              <w:right w:w="108" w:type="dxa"/>
            </w:tcMar>
          </w:tcPr>
          <w:p w14:paraId="19D3BAD8" w14:textId="4023A12A" w:rsidR="771E13C1" w:rsidRPr="00F14B68" w:rsidRDefault="771E13C1" w:rsidP="063B8FE8">
            <w:pPr>
              <w:rPr>
                <w:sz w:val="22"/>
                <w:szCs w:val="22"/>
              </w:rPr>
            </w:pPr>
            <w:r w:rsidRPr="00F14B68">
              <w:rPr>
                <w:sz w:val="22"/>
                <w:szCs w:val="22"/>
              </w:rPr>
              <w:t>7</w:t>
            </w:r>
          </w:p>
        </w:tc>
        <w:tc>
          <w:tcPr>
            <w:tcW w:w="3077" w:type="dxa"/>
            <w:tcBorders>
              <w:top w:val="single" w:sz="6" w:space="0" w:color="000000" w:themeColor="text1"/>
              <w:bottom w:val="single" w:sz="6" w:space="0" w:color="000000" w:themeColor="text1"/>
            </w:tcBorders>
            <w:tcMar>
              <w:top w:w="0" w:type="dxa"/>
              <w:left w:w="108" w:type="dxa"/>
              <w:bottom w:w="0" w:type="dxa"/>
              <w:right w:w="108" w:type="dxa"/>
            </w:tcMar>
          </w:tcPr>
          <w:p w14:paraId="38688C47" w14:textId="4342763F" w:rsidR="063B8FE8" w:rsidRPr="00F14B68" w:rsidRDefault="771E13C1" w:rsidP="063B8FE8">
            <w:pPr>
              <w:spacing w:line="259" w:lineRule="auto"/>
              <w:rPr>
                <w:sz w:val="22"/>
                <w:szCs w:val="22"/>
              </w:rPr>
            </w:pPr>
            <w:r w:rsidRPr="00F14B68">
              <w:rPr>
                <w:sz w:val="22"/>
                <w:szCs w:val="22"/>
              </w:rPr>
              <w:t>United Kingdom</w:t>
            </w:r>
          </w:p>
        </w:tc>
        <w:tc>
          <w:tcPr>
            <w:tcW w:w="4230" w:type="dxa"/>
            <w:tcBorders>
              <w:top w:val="single" w:sz="6" w:space="0" w:color="000000" w:themeColor="text1"/>
              <w:bottom w:val="single" w:sz="6" w:space="0" w:color="000000" w:themeColor="text1"/>
            </w:tcBorders>
            <w:tcMar>
              <w:top w:w="0" w:type="dxa"/>
              <w:left w:w="108" w:type="dxa"/>
              <w:bottom w:w="0" w:type="dxa"/>
              <w:right w:w="108" w:type="dxa"/>
            </w:tcMar>
          </w:tcPr>
          <w:p w14:paraId="2682A450" w14:textId="6B8DDE62" w:rsidR="063B8FE8" w:rsidRPr="00F14B68" w:rsidRDefault="771E13C1" w:rsidP="063B8FE8">
            <w:pPr>
              <w:spacing w:line="259" w:lineRule="auto"/>
              <w:rPr>
                <w:sz w:val="22"/>
                <w:szCs w:val="22"/>
              </w:rPr>
            </w:pPr>
            <w:r w:rsidRPr="00F14B68">
              <w:rPr>
                <w:sz w:val="22"/>
                <w:szCs w:val="22"/>
              </w:rPr>
              <w:t>Chapter 3A of Part 2 of the Corporation Tax Act 2009 of the United Kingdom</w:t>
            </w:r>
          </w:p>
        </w:tc>
      </w:tr>
      <w:tr w:rsidR="0004329B" w:rsidRPr="0004329B" w14:paraId="5CA42810" w14:textId="77777777" w:rsidTr="5DC3DB4F">
        <w:trPr>
          <w:trHeight w:val="300"/>
          <w:jc w:val="center"/>
        </w:trPr>
        <w:tc>
          <w:tcPr>
            <w:tcW w:w="765" w:type="dxa"/>
            <w:tcBorders>
              <w:top w:val="single" w:sz="6" w:space="0" w:color="000000" w:themeColor="text1"/>
              <w:bottom w:val="single" w:sz="12" w:space="0" w:color="000000" w:themeColor="text1"/>
            </w:tcBorders>
            <w:tcMar>
              <w:top w:w="0" w:type="dxa"/>
              <w:left w:w="108" w:type="dxa"/>
              <w:bottom w:w="0" w:type="dxa"/>
              <w:right w:w="108" w:type="dxa"/>
            </w:tcMar>
          </w:tcPr>
          <w:p w14:paraId="526C7948" w14:textId="35DE80FF" w:rsidR="2D7C6561" w:rsidRPr="00F14B68" w:rsidRDefault="771E13C1" w:rsidP="2D7C6561">
            <w:pPr>
              <w:spacing w:before="0" w:after="0"/>
              <w:rPr>
                <w:sz w:val="22"/>
                <w:szCs w:val="22"/>
              </w:rPr>
            </w:pPr>
            <w:r w:rsidRPr="00F14B68">
              <w:rPr>
                <w:sz w:val="22"/>
                <w:szCs w:val="22"/>
              </w:rPr>
              <w:t>8</w:t>
            </w:r>
          </w:p>
        </w:tc>
        <w:tc>
          <w:tcPr>
            <w:tcW w:w="3077" w:type="dxa"/>
            <w:tcBorders>
              <w:top w:val="single" w:sz="6" w:space="0" w:color="000000" w:themeColor="text1"/>
              <w:bottom w:val="single" w:sz="12" w:space="0" w:color="000000" w:themeColor="text1"/>
            </w:tcBorders>
            <w:tcMar>
              <w:top w:w="0" w:type="dxa"/>
              <w:left w:w="108" w:type="dxa"/>
              <w:bottom w:w="0" w:type="dxa"/>
              <w:right w:w="108" w:type="dxa"/>
            </w:tcMar>
          </w:tcPr>
          <w:p w14:paraId="21D78128" w14:textId="71E6999B" w:rsidR="2D7C6561" w:rsidRPr="00F14B68" w:rsidRDefault="771E13C1" w:rsidP="4350C5F9">
            <w:pPr>
              <w:spacing w:before="0" w:after="0" w:line="259" w:lineRule="auto"/>
              <w:rPr>
                <w:sz w:val="22"/>
                <w:szCs w:val="22"/>
              </w:rPr>
            </w:pPr>
            <w:r w:rsidRPr="00F14B68">
              <w:rPr>
                <w:sz w:val="22"/>
                <w:szCs w:val="22"/>
              </w:rPr>
              <w:t>United States of America</w:t>
            </w:r>
          </w:p>
        </w:tc>
        <w:tc>
          <w:tcPr>
            <w:tcW w:w="4230" w:type="dxa"/>
            <w:tcBorders>
              <w:top w:val="single" w:sz="6" w:space="0" w:color="000000" w:themeColor="text1"/>
              <w:bottom w:val="single" w:sz="12" w:space="0" w:color="000000" w:themeColor="text1"/>
            </w:tcBorders>
            <w:tcMar>
              <w:top w:w="0" w:type="dxa"/>
              <w:left w:w="108" w:type="dxa"/>
              <w:bottom w:w="0" w:type="dxa"/>
              <w:right w:w="108" w:type="dxa"/>
            </w:tcMar>
          </w:tcPr>
          <w:p w14:paraId="3649ECC3" w14:textId="06C84B80" w:rsidR="2D7C6561" w:rsidRPr="00F14B68" w:rsidRDefault="771E13C1" w:rsidP="7F217E77">
            <w:pPr>
              <w:spacing w:before="0" w:after="0" w:line="259" w:lineRule="auto"/>
              <w:rPr>
                <w:sz w:val="22"/>
                <w:szCs w:val="22"/>
              </w:rPr>
            </w:pPr>
            <w:r w:rsidRPr="00F14B68">
              <w:rPr>
                <w:sz w:val="22"/>
                <w:szCs w:val="22"/>
              </w:rPr>
              <w:t>Subpart F of Part III of subchapter N of Chapter 1 of the Internal Revenue Code of the United States of America</w:t>
            </w:r>
          </w:p>
        </w:tc>
      </w:tr>
    </w:tbl>
    <w:p w14:paraId="5839C600" w14:textId="3927E5D8" w:rsidR="00B27EE7" w:rsidRPr="00F14B68" w:rsidRDefault="00B27EE7" w:rsidP="00DC6F64">
      <w:pPr>
        <w:spacing w:before="240" w:after="200"/>
        <w:rPr>
          <w:u w:val="single"/>
        </w:rPr>
      </w:pPr>
      <w:r w:rsidRPr="00F14B68">
        <w:rPr>
          <w:u w:val="single"/>
        </w:rPr>
        <w:t xml:space="preserve">Section 19 – Listed countries </w:t>
      </w:r>
    </w:p>
    <w:p w14:paraId="21808F1D" w14:textId="503D1B64" w:rsidR="00F23A0A" w:rsidRPr="00E65AAB" w:rsidRDefault="00F23A0A" w:rsidP="00DC6F64">
      <w:pPr>
        <w:spacing w:before="240" w:after="200"/>
      </w:pPr>
      <w:r>
        <w:t>Subsection 320(1)</w:t>
      </w:r>
      <w:r w:rsidR="002A1C82">
        <w:t xml:space="preserve"> </w:t>
      </w:r>
      <w:r w:rsidR="004E1909">
        <w:t>of the Act</w:t>
      </w:r>
      <w:r w:rsidR="002A1C82">
        <w:t xml:space="preserve"> provides</w:t>
      </w:r>
      <w:r w:rsidR="2DD1A1DE">
        <w:t>,</w:t>
      </w:r>
      <w:r w:rsidR="002A1C82">
        <w:t xml:space="preserve"> that </w:t>
      </w:r>
      <w:r w:rsidR="004E1909">
        <w:t>for the purposes of</w:t>
      </w:r>
      <w:r w:rsidR="00E65AAB">
        <w:t xml:space="preserve"> Part X of the Act</w:t>
      </w:r>
      <w:r w:rsidR="082B3A38">
        <w:t>,</w:t>
      </w:r>
      <w:r w:rsidR="00E65AAB">
        <w:t xml:space="preserve"> </w:t>
      </w:r>
      <w:r w:rsidR="00E65AAB">
        <w:rPr>
          <w:b/>
          <w:bCs/>
          <w:i/>
          <w:iCs/>
        </w:rPr>
        <w:t>listed country</w:t>
      </w:r>
      <w:r w:rsidR="00E65AAB">
        <w:t xml:space="preserve"> means</w:t>
      </w:r>
      <w:r w:rsidR="00E65AAB" w:rsidRPr="00E65AAB">
        <w:t xml:space="preserve"> a foreign country, or a part of a foreign country, that is declared by the </w:t>
      </w:r>
      <w:r w:rsidR="00EA3C85">
        <w:t>r</w:t>
      </w:r>
      <w:r w:rsidR="00E65AAB" w:rsidRPr="00E65AAB">
        <w:t xml:space="preserve">egulations to be a listed country for the purposes of </w:t>
      </w:r>
      <w:r w:rsidR="002D0CF1">
        <w:t>that</w:t>
      </w:r>
      <w:r w:rsidR="002D0CF1" w:rsidRPr="00E65AAB">
        <w:t xml:space="preserve"> </w:t>
      </w:r>
      <w:r w:rsidR="00E65AAB" w:rsidRPr="00E65AAB">
        <w:t>Part</w:t>
      </w:r>
      <w:r w:rsidR="004144E3">
        <w:t>. Part X of the Act</w:t>
      </w:r>
      <w:r w:rsidR="00BA4346">
        <w:t xml:space="preserve"> contains provisions relating to the attribution of income in respect of </w:t>
      </w:r>
      <w:r w:rsidR="007440F6">
        <w:t>CFC</w:t>
      </w:r>
      <w:r w:rsidR="0012555E">
        <w:t>s</w:t>
      </w:r>
      <w:r w:rsidR="00BA4346">
        <w:t>.</w:t>
      </w:r>
    </w:p>
    <w:p w14:paraId="30A4E35E" w14:textId="4CA73DF9" w:rsidR="006A3D60" w:rsidRPr="00F14B68" w:rsidRDefault="6EF39B84" w:rsidP="00DC6F64">
      <w:pPr>
        <w:spacing w:before="240" w:after="200"/>
      </w:pPr>
      <w:r w:rsidRPr="00F14B68">
        <w:t xml:space="preserve">Section 19 </w:t>
      </w:r>
      <w:r w:rsidR="00D7400D">
        <w:t xml:space="preserve">of the Regulations </w:t>
      </w:r>
      <w:r w:rsidR="65343959" w:rsidRPr="00F14B68">
        <w:t xml:space="preserve">declares </w:t>
      </w:r>
      <w:r w:rsidR="65343959">
        <w:t xml:space="preserve">the </w:t>
      </w:r>
      <w:r w:rsidR="00EF3BA9">
        <w:t>following countries</w:t>
      </w:r>
      <w:r w:rsidR="009C45CC">
        <w:t xml:space="preserve"> to be a listed country </w:t>
      </w:r>
      <w:r w:rsidR="00356385">
        <w:t>for the purposes of</w:t>
      </w:r>
      <w:r w:rsidR="65343959" w:rsidRPr="00700332">
        <w:t xml:space="preserve"> the definition of </w:t>
      </w:r>
      <w:r w:rsidR="65343959" w:rsidRPr="00F14B68">
        <w:rPr>
          <w:b/>
          <w:i/>
        </w:rPr>
        <w:t>listed country</w:t>
      </w:r>
      <w:r w:rsidR="65343959" w:rsidRPr="00F14B68">
        <w:t xml:space="preserve"> in subsection 320(1)</w:t>
      </w:r>
      <w:r w:rsidR="65343959">
        <w:t xml:space="preserve"> </w:t>
      </w:r>
      <w:r w:rsidR="00356385">
        <w:t>of the Act</w:t>
      </w:r>
      <w:r w:rsidR="009C45CC">
        <w:t>:</w:t>
      </w:r>
      <w:r w:rsidR="65343959" w:rsidRPr="00700332" w:rsidDel="009C45CC">
        <w:t xml:space="preserve"> </w:t>
      </w:r>
      <w:r w:rsidR="133419ED" w:rsidRPr="00700332">
        <w:t>Canada, France, Germany, Japan, New Zealand, United Kingdom and United States of America</w:t>
      </w:r>
      <w:r w:rsidR="397DA3AF" w:rsidRPr="00700332">
        <w:t>.</w:t>
      </w:r>
      <w:r w:rsidR="00920EA7">
        <w:t xml:space="preserve"> </w:t>
      </w:r>
    </w:p>
    <w:p w14:paraId="1A399A57" w14:textId="10EC3A79" w:rsidR="00FF7883" w:rsidRPr="00F14B68" w:rsidRDefault="00FF7883" w:rsidP="00DC6F64">
      <w:pPr>
        <w:spacing w:before="240" w:after="200"/>
        <w:rPr>
          <w:u w:val="single"/>
        </w:rPr>
      </w:pPr>
      <w:r w:rsidRPr="00F14B68">
        <w:rPr>
          <w:u w:val="single"/>
        </w:rPr>
        <w:t>Section 20 – Capital gains regarded as subject to tax</w:t>
      </w:r>
    </w:p>
    <w:p w14:paraId="1F4C4DC9" w14:textId="093EAAE4" w:rsidR="2E45BC29" w:rsidRDefault="2E45BC29" w:rsidP="410C72F2">
      <w:pPr>
        <w:spacing w:before="240" w:after="200"/>
      </w:pPr>
      <w:r w:rsidRPr="00F14B68">
        <w:t xml:space="preserve">Under subsection </w:t>
      </w:r>
      <w:r>
        <w:t>32</w:t>
      </w:r>
      <w:r w:rsidR="00F603F6">
        <w:t>4</w:t>
      </w:r>
      <w:r w:rsidRPr="00F14B68">
        <w:t xml:space="preserve">(2) of the Act, </w:t>
      </w:r>
      <w:r w:rsidR="002276E7">
        <w:t xml:space="preserve">the </w:t>
      </w:r>
      <w:r w:rsidR="00005C6B">
        <w:t>r</w:t>
      </w:r>
      <w:r w:rsidR="002276E7">
        <w:t>egulations ma</w:t>
      </w:r>
      <w:r w:rsidR="00612F67">
        <w:t>y provide</w:t>
      </w:r>
      <w:r w:rsidR="002276E7">
        <w:t xml:space="preserve"> that </w:t>
      </w:r>
      <w:r w:rsidR="58A21390" w:rsidRPr="00F14B68">
        <w:t xml:space="preserve">certain items of income or profits derived from an entity </w:t>
      </w:r>
      <w:r w:rsidR="4E666EE4" w:rsidRPr="00F14B68">
        <w:t xml:space="preserve">that </w:t>
      </w:r>
      <w:r w:rsidR="58A21390" w:rsidRPr="00F14B68">
        <w:t xml:space="preserve">are not subject to tax in a listed country in a particular tax accounting period </w:t>
      </w:r>
      <w:r w:rsidR="00C67B42">
        <w:t>are to</w:t>
      </w:r>
      <w:r w:rsidR="16A0D12B" w:rsidRPr="00700332">
        <w:t xml:space="preserve"> be treated as if they were subject to this tax</w:t>
      </w:r>
      <w:r w:rsidR="6BB4C313" w:rsidRPr="00700332">
        <w:t xml:space="preserve">. </w:t>
      </w:r>
      <w:r w:rsidR="000F1203">
        <w:t>Note, tax accounting period is defined by subsection 317(1) of the Act.</w:t>
      </w:r>
    </w:p>
    <w:p w14:paraId="63443939" w14:textId="26A8FE9C" w:rsidR="000A1089" w:rsidRPr="00F14B68" w:rsidRDefault="000A1089" w:rsidP="410C72F2">
      <w:pPr>
        <w:spacing w:before="240" w:after="200"/>
      </w:pPr>
      <w:r>
        <w:lastRenderedPageBreak/>
        <w:t>S</w:t>
      </w:r>
      <w:r w:rsidR="0069509C">
        <w:t>ubs</w:t>
      </w:r>
      <w:r>
        <w:t>ection 20</w:t>
      </w:r>
      <w:r w:rsidR="0069509C">
        <w:t>(1)</w:t>
      </w:r>
      <w:r>
        <w:t xml:space="preserve"> of the Regulations prov</w:t>
      </w:r>
      <w:r w:rsidR="00B92A0C">
        <w:t>ides that, for subsection 324(2) of the Act, capital gains</w:t>
      </w:r>
      <w:r w:rsidR="00F0072F">
        <w:t xml:space="preserve"> that are not subject to tax in</w:t>
      </w:r>
      <w:r w:rsidR="007C6DFF">
        <w:t xml:space="preserve"> a listed country in</w:t>
      </w:r>
      <w:r w:rsidR="00F0072F">
        <w:t xml:space="preserve"> a particular </w:t>
      </w:r>
      <w:r w:rsidR="00515C9C">
        <w:t>tax accounting period due to the availability of roll-over relief</w:t>
      </w:r>
      <w:r w:rsidR="00044F99">
        <w:t xml:space="preserve"> </w:t>
      </w:r>
      <w:r w:rsidR="00CE3945">
        <w:t>are to be treated as if they were subject to tax</w:t>
      </w:r>
      <w:r w:rsidR="00C97A37">
        <w:t xml:space="preserve"> in the listed country in the relevant tax accounting period for the purposes of Part X of the Act.</w:t>
      </w:r>
      <w:r w:rsidR="008C4BB9">
        <w:t xml:space="preserve"> Subsection 20(2) </w:t>
      </w:r>
      <w:r w:rsidR="00D257E9">
        <w:t>of the Regulations</w:t>
      </w:r>
      <w:r w:rsidR="008C4BB9">
        <w:t xml:space="preserve"> ensures that</w:t>
      </w:r>
      <w:r w:rsidR="00C227DF">
        <w:t xml:space="preserve"> the availability of roll-over relief</w:t>
      </w:r>
      <w:r w:rsidR="00EC4ADC">
        <w:t xml:space="preserve"> is </w:t>
      </w:r>
      <w:r w:rsidR="00680E0F">
        <w:t>a specified</w:t>
      </w:r>
      <w:r w:rsidR="00AA197F">
        <w:t xml:space="preserve"> kind of</w:t>
      </w:r>
      <w:r w:rsidR="00680E0F">
        <w:t xml:space="preserve"> feature</w:t>
      </w:r>
      <w:r w:rsidR="00005C6B">
        <w:t xml:space="preserve"> for paragraph 324(2)(b) of the Act</w:t>
      </w:r>
      <w:r w:rsidR="00C5381D">
        <w:t>.</w:t>
      </w:r>
    </w:p>
    <w:p w14:paraId="56EF02A5" w14:textId="5E8823BC" w:rsidR="72757D42" w:rsidRPr="00F14B68" w:rsidRDefault="2697DAA3" w:rsidP="3F40B18E">
      <w:pPr>
        <w:spacing w:before="240" w:after="200"/>
      </w:pPr>
      <w:r w:rsidRPr="00F14B68">
        <w:t>Subs</w:t>
      </w:r>
      <w:r w:rsidR="5451730D" w:rsidRPr="00F14B68">
        <w:t>ection 20</w:t>
      </w:r>
      <w:r w:rsidR="10481992" w:rsidRPr="00F14B68">
        <w:t>(3)</w:t>
      </w:r>
      <w:r w:rsidR="5451730D" w:rsidRPr="00F14B68">
        <w:t xml:space="preserve"> </w:t>
      </w:r>
      <w:r w:rsidR="00D257E9">
        <w:t>of the Regulations</w:t>
      </w:r>
      <w:r w:rsidR="5451730D" w:rsidRPr="00F14B68">
        <w:t xml:space="preserve"> defines </w:t>
      </w:r>
      <w:r w:rsidR="5451730D" w:rsidRPr="00F14B68">
        <w:rPr>
          <w:b/>
          <w:bCs/>
          <w:i/>
          <w:iCs/>
        </w:rPr>
        <w:t>roll</w:t>
      </w:r>
      <w:r w:rsidR="00AE2F71">
        <w:rPr>
          <w:b/>
          <w:bCs/>
          <w:i/>
          <w:iCs/>
        </w:rPr>
        <w:t>-</w:t>
      </w:r>
      <w:r w:rsidR="5451730D" w:rsidRPr="00F14B68">
        <w:rPr>
          <w:b/>
          <w:bCs/>
          <w:i/>
          <w:iCs/>
        </w:rPr>
        <w:t xml:space="preserve">over relief </w:t>
      </w:r>
      <w:r w:rsidR="2E0940FB" w:rsidRPr="00F14B68">
        <w:t xml:space="preserve">as the deferral of tax liability in the tax accounting period under a tax law of the listed country </w:t>
      </w:r>
      <w:r w:rsidR="00890B5F">
        <w:t xml:space="preserve">because </w:t>
      </w:r>
      <w:r w:rsidR="2E0940FB" w:rsidRPr="00F14B68">
        <w:t xml:space="preserve">of a </w:t>
      </w:r>
      <w:r w:rsidR="00BB379C">
        <w:t xml:space="preserve">specified </w:t>
      </w:r>
      <w:r w:rsidR="2E0940FB" w:rsidRPr="00F14B68">
        <w:t>circumstance</w:t>
      </w:r>
      <w:r w:rsidR="00BB379C">
        <w:t>.</w:t>
      </w:r>
      <w:r w:rsidR="2E0940FB" w:rsidRPr="00F14B68" w:rsidDel="00BB379C">
        <w:t xml:space="preserve"> </w:t>
      </w:r>
      <w:r w:rsidR="00A77D9F">
        <w:t>S</w:t>
      </w:r>
      <w:r w:rsidR="2E0940FB">
        <w:t>ubsections</w:t>
      </w:r>
      <w:r w:rsidR="2E0940FB" w:rsidRPr="00F14B68">
        <w:t xml:space="preserve"> </w:t>
      </w:r>
      <w:r w:rsidR="00A77D9F">
        <w:t>20</w:t>
      </w:r>
      <w:r w:rsidR="2E0940FB" w:rsidRPr="00F14B68">
        <w:t>(4)</w:t>
      </w:r>
      <w:r w:rsidR="1B35C183" w:rsidRPr="00F14B68">
        <w:t xml:space="preserve">, (6), (7) or </w:t>
      </w:r>
      <w:r w:rsidR="2E0940FB" w:rsidRPr="00F14B68">
        <w:t>(8)</w:t>
      </w:r>
      <w:r w:rsidR="00A77D9F">
        <w:t xml:space="preserve"> </w:t>
      </w:r>
      <w:r w:rsidR="00D257E9">
        <w:t>of the Regulations</w:t>
      </w:r>
      <w:r w:rsidR="00A77D9F">
        <w:t xml:space="preserve"> </w:t>
      </w:r>
      <w:r w:rsidR="00D257E9">
        <w:t xml:space="preserve">specify </w:t>
      </w:r>
      <w:r w:rsidR="003920A9">
        <w:t>these</w:t>
      </w:r>
      <w:r w:rsidR="00D257E9">
        <w:t xml:space="preserve"> circumstances. </w:t>
      </w:r>
      <w:r w:rsidR="2E0940FB" w:rsidRPr="00F14B68">
        <w:t xml:space="preserve"> </w:t>
      </w:r>
    </w:p>
    <w:p w14:paraId="57BD4BA6" w14:textId="7341795E" w:rsidR="72757D42" w:rsidRPr="00700332" w:rsidRDefault="23C74581" w:rsidP="62DBFFEA">
      <w:pPr>
        <w:spacing w:before="240" w:after="200"/>
      </w:pPr>
      <w:r w:rsidRPr="00700332">
        <w:t xml:space="preserve">Subsection 20(5) defines a </w:t>
      </w:r>
      <w:r w:rsidR="19B53FB6" w:rsidRPr="00700332">
        <w:rPr>
          <w:b/>
          <w:bCs/>
          <w:i/>
          <w:iCs/>
        </w:rPr>
        <w:t>compulsory acquisition</w:t>
      </w:r>
      <w:r w:rsidR="19B53FB6" w:rsidRPr="00700332">
        <w:t xml:space="preserve">, of a </w:t>
      </w:r>
      <w:r w:rsidR="00FD6FC8">
        <w:t>c</w:t>
      </w:r>
      <w:r w:rsidR="00413C03">
        <w:t xml:space="preserve">apital </w:t>
      </w:r>
      <w:r w:rsidR="00FD6FC8">
        <w:t>g</w:t>
      </w:r>
      <w:r w:rsidR="00413C03">
        <w:t xml:space="preserve">ains </w:t>
      </w:r>
      <w:r w:rsidR="00FD6FC8">
        <w:t>t</w:t>
      </w:r>
      <w:r w:rsidR="00413C03">
        <w:t>ax (</w:t>
      </w:r>
      <w:r w:rsidR="19B53FB6" w:rsidRPr="00700332">
        <w:t>CGT</w:t>
      </w:r>
      <w:r w:rsidR="00413C03">
        <w:t>)</w:t>
      </w:r>
      <w:r w:rsidR="19B53FB6" w:rsidRPr="00700332">
        <w:t xml:space="preserve"> asset, </w:t>
      </w:r>
      <w:r w:rsidR="6705362E" w:rsidRPr="00700332">
        <w:t>a</w:t>
      </w:r>
      <w:r w:rsidR="19B53FB6" w:rsidRPr="00700332">
        <w:t>s a compulsory acquisition of that asset by th</w:t>
      </w:r>
      <w:r w:rsidR="3709A55A" w:rsidRPr="00700332">
        <w:t>e government of a country, whether a federal, State or municipal government (however described) or an authority of such a government.</w:t>
      </w:r>
      <w:r w:rsidR="00555931">
        <w:t xml:space="preserve"> Note, CGT </w:t>
      </w:r>
      <w:r w:rsidR="00FD6FC8">
        <w:t>a</w:t>
      </w:r>
      <w:r w:rsidR="00555931">
        <w:t xml:space="preserve">sset is defined by the Act </w:t>
      </w:r>
      <w:r w:rsidR="0065474B">
        <w:t xml:space="preserve">as having the same meaning </w:t>
      </w:r>
      <w:r w:rsidR="003E3264">
        <w:t xml:space="preserve">as that used in the </w:t>
      </w:r>
      <w:r w:rsidR="003E3264" w:rsidRPr="00A2632E">
        <w:rPr>
          <w:i/>
          <w:iCs/>
        </w:rPr>
        <w:t>Income Tax Assessment Act 199</w:t>
      </w:r>
      <w:r w:rsidR="00D84259">
        <w:rPr>
          <w:i/>
          <w:iCs/>
        </w:rPr>
        <w:t>7</w:t>
      </w:r>
      <w:r w:rsidR="00A64706">
        <w:t>.</w:t>
      </w:r>
      <w:r w:rsidR="00CC3037">
        <w:t xml:space="preserve"> </w:t>
      </w:r>
    </w:p>
    <w:p w14:paraId="79280551" w14:textId="608C9F55" w:rsidR="00FF7883" w:rsidRPr="00700332" w:rsidRDefault="00FF7883" w:rsidP="00DC6F64">
      <w:pPr>
        <w:spacing w:before="240" w:after="200"/>
        <w:rPr>
          <w:u w:val="single"/>
        </w:rPr>
      </w:pPr>
      <w:r w:rsidRPr="00700332">
        <w:rPr>
          <w:u w:val="single"/>
        </w:rPr>
        <w:t>Section 21 – State foreign taxes that are treated as federal foreign taxes</w:t>
      </w:r>
    </w:p>
    <w:p w14:paraId="0B2AE450" w14:textId="4B2C247D" w:rsidR="00F01FF3" w:rsidRDefault="40030E59" w:rsidP="4C59ECA6">
      <w:pPr>
        <w:spacing w:before="240" w:after="200"/>
      </w:pPr>
      <w:r w:rsidRPr="00700332">
        <w:t xml:space="preserve">Section 21 </w:t>
      </w:r>
      <w:r w:rsidR="00203CD9">
        <w:t>of the Regulations</w:t>
      </w:r>
      <w:r>
        <w:t xml:space="preserve"> </w:t>
      </w:r>
      <w:r w:rsidRPr="00700332">
        <w:t>provides that</w:t>
      </w:r>
      <w:r w:rsidR="00F01FF3">
        <w:t>, for section 323 of the Act,</w:t>
      </w:r>
      <w:r w:rsidRPr="00700332">
        <w:t xml:space="preserve"> a foreign tax imposed in Switzerland that is a cantonal tax on income</w:t>
      </w:r>
      <w:r w:rsidR="519BF1EC" w:rsidRPr="00700332">
        <w:t xml:space="preserve"> referred to in paragraph 3(b) of Article 2 of the Swiss convention will be treated as if it were an additional federal foreign tax of Switzerland</w:t>
      </w:r>
      <w:r w:rsidR="607D9B91">
        <w:t xml:space="preserve">. </w:t>
      </w:r>
      <w:r w:rsidR="006B4989">
        <w:t>Note</w:t>
      </w:r>
      <w:r w:rsidR="00A64706">
        <w:t>,</w:t>
      </w:r>
      <w:r w:rsidR="006B4989">
        <w:t xml:space="preserve"> </w:t>
      </w:r>
      <w:r w:rsidR="006B4989" w:rsidRPr="00A2632E">
        <w:rPr>
          <w:b/>
          <w:bCs/>
          <w:i/>
          <w:iCs/>
        </w:rPr>
        <w:t>Swiss convention</w:t>
      </w:r>
      <w:r w:rsidR="006B4989">
        <w:t xml:space="preserve"> is defined in </w:t>
      </w:r>
      <w:r w:rsidR="00A64706">
        <w:t>s</w:t>
      </w:r>
      <w:r w:rsidR="006B4989">
        <w:t>ection 3AAA</w:t>
      </w:r>
      <w:r w:rsidR="0589EED8" w:rsidRPr="00700332" w:rsidDel="00F01FF3">
        <w:t xml:space="preserve"> of the </w:t>
      </w:r>
      <w:r w:rsidR="006B4989" w:rsidRPr="00A2632E">
        <w:rPr>
          <w:i/>
          <w:iCs/>
        </w:rPr>
        <w:t xml:space="preserve">International Tax Agreements </w:t>
      </w:r>
      <w:r w:rsidR="0589EED8" w:rsidRPr="00A2632E" w:rsidDel="00F01FF3">
        <w:rPr>
          <w:i/>
        </w:rPr>
        <w:t>Act</w:t>
      </w:r>
      <w:r w:rsidR="006B4989" w:rsidRPr="00A2632E">
        <w:rPr>
          <w:i/>
          <w:iCs/>
        </w:rPr>
        <w:t xml:space="preserve"> 1953.</w:t>
      </w:r>
    </w:p>
    <w:p w14:paraId="0DD9D943" w14:textId="1D3B5268" w:rsidR="4C59ECA6" w:rsidRPr="00700332" w:rsidRDefault="607D9B91" w:rsidP="4C59ECA6">
      <w:pPr>
        <w:spacing w:before="240" w:after="200"/>
      </w:pPr>
      <w:r>
        <w:t>S</w:t>
      </w:r>
      <w:r w:rsidR="19A8C07E">
        <w:t>ection</w:t>
      </w:r>
      <w:r>
        <w:t xml:space="preserve"> 323 </w:t>
      </w:r>
      <w:r w:rsidR="00CE4DC5">
        <w:t xml:space="preserve">of the Act </w:t>
      </w:r>
      <w:r>
        <w:t xml:space="preserve">provides that </w:t>
      </w:r>
      <w:r w:rsidR="627EC07F">
        <w:t xml:space="preserve">where listed and unlisted countries have both a federal foreign tax and State foreign tax, the latter is to be </w:t>
      </w:r>
      <w:r>
        <w:t>treated as an addi</w:t>
      </w:r>
      <w:r w:rsidR="77760061">
        <w:t>tional federal foreign tax</w:t>
      </w:r>
      <w:r w:rsidR="3DCA1247">
        <w:t xml:space="preserve"> of the country.</w:t>
      </w:r>
      <w:r w:rsidR="005764DE">
        <w:t xml:space="preserve"> Section 21 of the Regulations ensures that </w:t>
      </w:r>
      <w:r w:rsidR="00F01FF3">
        <w:t xml:space="preserve">a </w:t>
      </w:r>
      <w:r w:rsidR="0034747C" w:rsidRPr="00AE075E">
        <w:t>cantonal tax on income referred to in paragraph 3(b) of Article 2 of the Swiss convention will be treated</w:t>
      </w:r>
      <w:r w:rsidR="007C729C">
        <w:t xml:space="preserve"> </w:t>
      </w:r>
      <w:r w:rsidR="0034747C">
        <w:t xml:space="preserve">as </w:t>
      </w:r>
      <w:r w:rsidR="0034747C" w:rsidRPr="00AE075E">
        <w:t xml:space="preserve">federal foreign tax </w:t>
      </w:r>
      <w:r w:rsidR="0034747C">
        <w:t xml:space="preserve">for </w:t>
      </w:r>
      <w:r w:rsidR="00F01FF3">
        <w:t xml:space="preserve">the purposes of </w:t>
      </w:r>
      <w:r w:rsidR="0034747C">
        <w:t>section 323 of the Act.</w:t>
      </w:r>
    </w:p>
    <w:p w14:paraId="208F1920" w14:textId="7AA3F95B" w:rsidR="00FF7883" w:rsidRPr="00700332" w:rsidRDefault="00FF7883" w:rsidP="00DC6F64">
      <w:pPr>
        <w:spacing w:before="240" w:after="200"/>
        <w:rPr>
          <w:b/>
          <w:u w:val="single"/>
        </w:rPr>
      </w:pPr>
      <w:r w:rsidRPr="00700332">
        <w:rPr>
          <w:b/>
          <w:u w:val="single"/>
        </w:rPr>
        <w:t>Part 9 – Application and transitional provisions</w:t>
      </w:r>
    </w:p>
    <w:p w14:paraId="07ED5978" w14:textId="01E44EF1" w:rsidR="009F5C76" w:rsidRPr="00700332" w:rsidRDefault="009F5C76" w:rsidP="00DC6F64">
      <w:pPr>
        <w:spacing w:before="240" w:after="200"/>
        <w:rPr>
          <w:b/>
          <w:i/>
        </w:rPr>
      </w:pPr>
      <w:r w:rsidRPr="00700332">
        <w:rPr>
          <w:b/>
          <w:i/>
        </w:rPr>
        <w:t>Division 1 – Transitional matters relating to the repeal of the Income Tax Assessment (1936 Act) Regulation 2015</w:t>
      </w:r>
    </w:p>
    <w:p w14:paraId="5AD504E3" w14:textId="0178D847" w:rsidR="00391D75" w:rsidRPr="00247A0E" w:rsidRDefault="00BC3DAC" w:rsidP="00DC6F64">
      <w:pPr>
        <w:spacing w:before="240" w:after="200"/>
      </w:pPr>
      <w:r>
        <w:t>S</w:t>
      </w:r>
      <w:r w:rsidR="00B7526E" w:rsidRPr="00247A0E">
        <w:t>ections</w:t>
      </w:r>
      <w:r>
        <w:t xml:space="preserve"> 22 and 23</w:t>
      </w:r>
      <w:r w:rsidR="00B7526E" w:rsidRPr="00247A0E">
        <w:t xml:space="preserve"> in </w:t>
      </w:r>
      <w:r w:rsidR="00666070" w:rsidRPr="00247A0E">
        <w:t xml:space="preserve">Division 1 of Part 9 replace </w:t>
      </w:r>
      <w:r w:rsidR="007C729C">
        <w:t>the application and transitional provisions in the 2015 Regulations</w:t>
      </w:r>
      <w:r w:rsidR="00C21D0E">
        <w:t xml:space="preserve"> (</w:t>
      </w:r>
      <w:r w:rsidR="00666070" w:rsidRPr="00247A0E">
        <w:t>sections 22 to</w:t>
      </w:r>
      <w:r w:rsidR="007E1E5F" w:rsidRPr="00247A0E">
        <w:t xml:space="preserve"> 27</w:t>
      </w:r>
      <w:r w:rsidR="00C21D0E">
        <w:t>) to ensure the appropriate application of the Regulations from 1 October 2025.</w:t>
      </w:r>
      <w:r>
        <w:t xml:space="preserve"> </w:t>
      </w:r>
      <w:r w:rsidR="00666070" w:rsidRPr="00247A0E">
        <w:t xml:space="preserve"> </w:t>
      </w:r>
    </w:p>
    <w:p w14:paraId="144C5ED9" w14:textId="5A506F91" w:rsidR="009F5C76" w:rsidRPr="00700332" w:rsidRDefault="009F5C76" w:rsidP="00DC6F64">
      <w:pPr>
        <w:spacing w:before="240" w:after="200"/>
        <w:rPr>
          <w:u w:val="single"/>
        </w:rPr>
      </w:pPr>
      <w:r w:rsidRPr="00700332">
        <w:rPr>
          <w:u w:val="single"/>
        </w:rPr>
        <w:t>Section 22</w:t>
      </w:r>
      <w:r w:rsidR="008F08A8" w:rsidRPr="00700332">
        <w:rPr>
          <w:u w:val="single"/>
        </w:rPr>
        <w:t xml:space="preserve"> – Definitions</w:t>
      </w:r>
    </w:p>
    <w:p w14:paraId="3F72B18D" w14:textId="3A521C25" w:rsidR="006A3D60" w:rsidRPr="00A2632E" w:rsidRDefault="2C45C408" w:rsidP="5221262A">
      <w:pPr>
        <w:spacing w:before="240" w:after="200"/>
      </w:pPr>
      <w:r w:rsidRPr="00700332">
        <w:t>Section 2</w:t>
      </w:r>
      <w:r w:rsidR="00885E14">
        <w:t>2 of the Regulations</w:t>
      </w:r>
      <w:r w:rsidRPr="00700332">
        <w:t xml:space="preserve"> defines the </w:t>
      </w:r>
      <w:r w:rsidR="009907E5">
        <w:t>terms</w:t>
      </w:r>
      <w:r w:rsidRPr="00700332">
        <w:t xml:space="preserve"> </w:t>
      </w:r>
      <w:r w:rsidRPr="00337B92">
        <w:rPr>
          <w:b/>
          <w:i/>
        </w:rPr>
        <w:t>commencement</w:t>
      </w:r>
      <w:r w:rsidRPr="00700332">
        <w:t xml:space="preserve"> </w:t>
      </w:r>
      <w:r w:rsidRPr="00337B92">
        <w:rPr>
          <w:b/>
          <w:i/>
        </w:rPr>
        <w:t>time</w:t>
      </w:r>
      <w:r w:rsidRPr="00337B92">
        <w:rPr>
          <w:bCs/>
          <w:iCs/>
        </w:rPr>
        <w:t>,</w:t>
      </w:r>
      <w:r w:rsidRPr="00700332">
        <w:t xml:space="preserve"> </w:t>
      </w:r>
      <w:r w:rsidRPr="00337B92">
        <w:rPr>
          <w:b/>
          <w:i/>
        </w:rPr>
        <w:t>old regulations</w:t>
      </w:r>
      <w:r w:rsidRPr="00700332">
        <w:t xml:space="preserve"> and </w:t>
      </w:r>
      <w:r w:rsidR="500250BA" w:rsidRPr="00337B92">
        <w:rPr>
          <w:b/>
          <w:i/>
        </w:rPr>
        <w:t>repealing</w:t>
      </w:r>
      <w:r w:rsidRPr="00337B92">
        <w:rPr>
          <w:b/>
          <w:i/>
        </w:rPr>
        <w:t xml:space="preserve"> regulations</w:t>
      </w:r>
      <w:r w:rsidR="00337B92">
        <w:t>, which</w:t>
      </w:r>
      <w:r w:rsidRPr="00700332">
        <w:t xml:space="preserve"> are relevant to the application and transitional provisions related to the repeal of the</w:t>
      </w:r>
      <w:r w:rsidDel="00095529">
        <w:t xml:space="preserve"> </w:t>
      </w:r>
      <w:r w:rsidR="00051F35">
        <w:t>2015 Regulations</w:t>
      </w:r>
      <w:r w:rsidR="00337B92">
        <w:t>,</w:t>
      </w:r>
      <w:r w:rsidR="009907E5" w:rsidRPr="009907E5">
        <w:t xml:space="preserve"> </w:t>
      </w:r>
      <w:r w:rsidR="009907E5">
        <w:t>as follows</w:t>
      </w:r>
      <w:r w:rsidR="00DF6B5C">
        <w:t>:</w:t>
      </w:r>
    </w:p>
    <w:p w14:paraId="7C398AA7" w14:textId="51D8D58D" w:rsidR="006A3D60" w:rsidRPr="00700332" w:rsidRDefault="2C45C408" w:rsidP="00700332">
      <w:pPr>
        <w:pStyle w:val="Bullet"/>
      </w:pPr>
      <w:r w:rsidRPr="00A2632E">
        <w:rPr>
          <w:b/>
          <w:bCs/>
          <w:i/>
          <w:iCs/>
        </w:rPr>
        <w:t xml:space="preserve">commencement time </w:t>
      </w:r>
      <w:r w:rsidRPr="00A2632E">
        <w:t xml:space="preserve">means the time </w:t>
      </w:r>
      <w:r w:rsidR="00D96400">
        <w:t>the Regulations</w:t>
      </w:r>
      <w:r w:rsidRPr="00700332">
        <w:t xml:space="preserve"> commence</w:t>
      </w:r>
      <w:r w:rsidR="00D96400">
        <w:t>d (1 October 2025)</w:t>
      </w:r>
      <w:r w:rsidRPr="00700332">
        <w:t xml:space="preserve">. </w:t>
      </w:r>
    </w:p>
    <w:p w14:paraId="5C1482A8" w14:textId="0AC89E94" w:rsidR="006A3D60" w:rsidRPr="00700332" w:rsidRDefault="2C45C408" w:rsidP="00700332">
      <w:pPr>
        <w:pStyle w:val="Bullet"/>
        <w:rPr>
          <w:i/>
          <w:iCs/>
        </w:rPr>
      </w:pPr>
      <w:r w:rsidRPr="00700332">
        <w:rPr>
          <w:b/>
          <w:bCs/>
          <w:i/>
          <w:iCs/>
        </w:rPr>
        <w:t xml:space="preserve">old regulations </w:t>
      </w:r>
      <w:proofErr w:type="gramStart"/>
      <w:r w:rsidRPr="00700332">
        <w:t>means</w:t>
      </w:r>
      <w:proofErr w:type="gramEnd"/>
      <w:r w:rsidRPr="00700332">
        <w:t xml:space="preserve"> the </w:t>
      </w:r>
      <w:r w:rsidRPr="00700332">
        <w:rPr>
          <w:i/>
          <w:iCs/>
        </w:rPr>
        <w:t>Income Tax Assessment (1936 Act) Regulation 2015</w:t>
      </w:r>
      <w:r w:rsidR="006F394C">
        <w:rPr>
          <w:i/>
          <w:iCs/>
        </w:rPr>
        <w:t xml:space="preserve"> </w:t>
      </w:r>
      <w:r w:rsidR="006F394C">
        <w:t>(the 2015 Regulations)</w:t>
      </w:r>
      <w:r w:rsidRPr="00700332">
        <w:rPr>
          <w:i/>
          <w:iCs/>
        </w:rPr>
        <w:t xml:space="preserve">. </w:t>
      </w:r>
      <w:bookmarkStart w:id="0" w:name="_Int_IqwIuBqX"/>
      <w:bookmarkEnd w:id="0"/>
    </w:p>
    <w:p w14:paraId="02EB803E" w14:textId="378576CD" w:rsidR="006A3D60" w:rsidRPr="00700332" w:rsidRDefault="2C45C408" w:rsidP="00700332">
      <w:pPr>
        <w:pStyle w:val="Bullet"/>
        <w:rPr>
          <w:i/>
        </w:rPr>
      </w:pPr>
      <w:r w:rsidRPr="00700332">
        <w:rPr>
          <w:b/>
          <w:bCs/>
          <w:i/>
          <w:iCs/>
        </w:rPr>
        <w:lastRenderedPageBreak/>
        <w:t xml:space="preserve">repealing regulations </w:t>
      </w:r>
      <w:r w:rsidRPr="00700332">
        <w:t xml:space="preserve">means the </w:t>
      </w:r>
      <w:r w:rsidRPr="00700332">
        <w:rPr>
          <w:i/>
          <w:iCs/>
        </w:rPr>
        <w:t xml:space="preserve">Treasury Laws Amendment (Income Tax Assessment Repeal and Consequential Amendments) </w:t>
      </w:r>
      <w:r w:rsidR="005241C1" w:rsidRPr="0F1E76FE">
        <w:rPr>
          <w:i/>
          <w:iCs/>
        </w:rPr>
        <w:t>R</w:t>
      </w:r>
      <w:r w:rsidRPr="00700332">
        <w:rPr>
          <w:i/>
          <w:iCs/>
        </w:rPr>
        <w:t>egulations 2015</w:t>
      </w:r>
      <w:r w:rsidR="005241C1">
        <w:t xml:space="preserve">, which commenced at the same time as the Regulations to </w:t>
      </w:r>
      <w:r w:rsidR="004C3829" w:rsidRPr="004C3829">
        <w:t>make consequential amendments to support the remake</w:t>
      </w:r>
      <w:r w:rsidR="004C3829">
        <w:t xml:space="preserve"> of the 2015 Regulations</w:t>
      </w:r>
      <w:r w:rsidRPr="00700332">
        <w:rPr>
          <w:i/>
          <w:iCs/>
        </w:rPr>
        <w:t>.</w:t>
      </w:r>
    </w:p>
    <w:p w14:paraId="28938EE4" w14:textId="5902B90F" w:rsidR="00E23B24" w:rsidRDefault="008F08A8" w:rsidP="00DC6F64">
      <w:pPr>
        <w:spacing w:before="240" w:after="200"/>
      </w:pPr>
      <w:r w:rsidRPr="00700332">
        <w:rPr>
          <w:u w:val="single"/>
        </w:rPr>
        <w:t>Section 23 – This instrument generally applies to a year of income starting at or after the commencement time</w:t>
      </w:r>
    </w:p>
    <w:p w14:paraId="7E2037D0" w14:textId="50269C93" w:rsidR="00B27EE7" w:rsidRPr="00700332" w:rsidRDefault="00E11DBC" w:rsidP="00DC6F64">
      <w:pPr>
        <w:spacing w:before="240" w:after="200"/>
      </w:pPr>
      <w:r>
        <w:t>Subs</w:t>
      </w:r>
      <w:r w:rsidR="2CEAB98E" w:rsidRPr="00700332">
        <w:t>ection 23</w:t>
      </w:r>
      <w:r>
        <w:t>(</w:t>
      </w:r>
      <w:r w:rsidR="00FB4A9B">
        <w:t>1)</w:t>
      </w:r>
      <w:r w:rsidR="2CEAB98E" w:rsidRPr="00700332">
        <w:t xml:space="preserve"> </w:t>
      </w:r>
      <w:r w:rsidR="00203CD9">
        <w:t xml:space="preserve">of the Regulations </w:t>
      </w:r>
      <w:r w:rsidR="2CEAB98E" w:rsidRPr="00700332">
        <w:t>provides that th</w:t>
      </w:r>
      <w:r w:rsidR="00677759">
        <w:t xml:space="preserve">e Regulations </w:t>
      </w:r>
      <w:r w:rsidR="2CEAB98E" w:rsidRPr="00700332">
        <w:t>appl</w:t>
      </w:r>
      <w:r w:rsidR="00677759">
        <w:t>y</w:t>
      </w:r>
      <w:r w:rsidR="2CEAB98E" w:rsidRPr="00700332">
        <w:t xml:space="preserve"> in relation to a year of income starting at or after the commencement time. </w:t>
      </w:r>
    </w:p>
    <w:p w14:paraId="586BE10E" w14:textId="31FBE008" w:rsidR="00E42EC4" w:rsidRPr="00700332" w:rsidRDefault="00FB4A9B" w:rsidP="390A0B8F">
      <w:pPr>
        <w:spacing w:before="240" w:after="200"/>
      </w:pPr>
      <w:r>
        <w:t>Subs</w:t>
      </w:r>
      <w:r w:rsidR="46B4FFA4" w:rsidRPr="00700332">
        <w:t>ection 23</w:t>
      </w:r>
      <w:r>
        <w:t>(2)</w:t>
      </w:r>
      <w:r w:rsidR="46B4FFA4" w:rsidRPr="00700332">
        <w:t xml:space="preserve"> provides that despite the repeal of the </w:t>
      </w:r>
      <w:r w:rsidR="00051F35">
        <w:t>2015 R</w:t>
      </w:r>
      <w:r w:rsidR="46B4FFA4" w:rsidRPr="00700332">
        <w:t>egulations</w:t>
      </w:r>
      <w:r w:rsidR="765024E4" w:rsidRPr="00700332">
        <w:t>,</w:t>
      </w:r>
      <w:r w:rsidR="46B4FFA4" w:rsidRPr="00700332">
        <w:t xml:space="preserve"> the </w:t>
      </w:r>
      <w:r w:rsidR="004C3829">
        <w:t>2015</w:t>
      </w:r>
      <w:r w:rsidR="00BC3DAC">
        <w:t> </w:t>
      </w:r>
      <w:r w:rsidR="004C3829">
        <w:t>R</w:t>
      </w:r>
      <w:r w:rsidR="46B4FFA4" w:rsidRPr="00700332">
        <w:t>egulations continue to apply</w:t>
      </w:r>
      <w:r w:rsidR="38E4A79E" w:rsidRPr="00700332">
        <w:t xml:space="preserve"> in relation to a year of income starting before the commencement time</w:t>
      </w:r>
      <w:r w:rsidR="003A09DE">
        <w:t>.</w:t>
      </w:r>
      <w:r w:rsidR="00905F31" w:rsidDel="00905F31">
        <w:t xml:space="preserve"> </w:t>
      </w:r>
      <w:r w:rsidR="006C2977">
        <w:t>This ensures</w:t>
      </w:r>
      <w:r w:rsidR="007A7E4D">
        <w:t xml:space="preserve"> the appropriate application of the 2015 </w:t>
      </w:r>
      <w:r w:rsidR="00BC3DAC">
        <w:t xml:space="preserve">Regulations </w:t>
      </w:r>
      <w:r w:rsidR="007A7E4D">
        <w:t>prior to the commencement of</w:t>
      </w:r>
      <w:r w:rsidR="00BC3DAC">
        <w:t xml:space="preserve"> the Regulations.</w:t>
      </w:r>
      <w:r w:rsidR="007A7E4D">
        <w:t xml:space="preserve"> </w:t>
      </w:r>
    </w:p>
    <w:p w14:paraId="039D5A13" w14:textId="75CF85EB" w:rsidR="00EA4DD8" w:rsidRPr="00844849" w:rsidRDefault="00EA4DD8" w:rsidP="00466DD5">
      <w:pPr>
        <w:spacing w:before="240" w:after="200"/>
        <w:rPr>
          <w:color w:val="FF0000"/>
        </w:rPr>
      </w:pPr>
    </w:p>
    <w:p w14:paraId="46953E14" w14:textId="64226A49" w:rsidR="0093421F" w:rsidRPr="003C5719" w:rsidRDefault="007A55A7" w:rsidP="0093421F">
      <w:pPr>
        <w:pageBreakBefore/>
        <w:spacing w:before="240"/>
        <w:jc w:val="right"/>
        <w:rPr>
          <w:b/>
          <w:u w:val="single"/>
        </w:rPr>
      </w:pPr>
      <w:r w:rsidRPr="003C5719">
        <w:rPr>
          <w:b/>
          <w:u w:val="single"/>
        </w:rPr>
        <w:lastRenderedPageBreak/>
        <w:t xml:space="preserve">ATTACHMENT </w:t>
      </w:r>
      <w:r w:rsidR="00485BEF">
        <w:rPr>
          <w:b/>
          <w:u w:val="single"/>
        </w:rPr>
        <w:t>B</w:t>
      </w:r>
    </w:p>
    <w:p w14:paraId="4661E56A" w14:textId="77777777" w:rsidR="00E4438C" w:rsidRPr="003C5719" w:rsidRDefault="00E4438C" w:rsidP="00883863">
      <w:pPr>
        <w:pStyle w:val="Heading3"/>
        <w:jc w:val="center"/>
      </w:pPr>
      <w:r w:rsidRPr="003C5719">
        <w:t>Statement of Compatibility with Human Rights</w:t>
      </w:r>
    </w:p>
    <w:p w14:paraId="34AAE52E" w14:textId="77777777" w:rsidR="00E4438C" w:rsidRPr="003C5719" w:rsidRDefault="00E4438C" w:rsidP="004A27A8">
      <w:pPr>
        <w:spacing w:before="240"/>
        <w:jc w:val="center"/>
        <w:rPr>
          <w:i/>
        </w:rPr>
      </w:pPr>
      <w:r w:rsidRPr="003C5719">
        <w:rPr>
          <w:i/>
        </w:rPr>
        <w:t>Prepared in accordance with Part 3 of the Human Rights (Parliamentary Scrutiny) Act</w:t>
      </w:r>
      <w:r w:rsidR="00466731">
        <w:rPr>
          <w:i/>
        </w:rPr>
        <w:t> </w:t>
      </w:r>
      <w:r w:rsidRPr="003C5719">
        <w:rPr>
          <w:i/>
        </w:rPr>
        <w:t>2011</w:t>
      </w:r>
    </w:p>
    <w:p w14:paraId="1B26EF1A" w14:textId="35DF614E" w:rsidR="00E4438C" w:rsidRPr="003C5719" w:rsidRDefault="00011241" w:rsidP="004A27A8">
      <w:pPr>
        <w:pStyle w:val="Heading3"/>
        <w:jc w:val="center"/>
      </w:pPr>
      <w:r>
        <w:rPr>
          <w:i/>
        </w:rPr>
        <w:t>Income Tax Assessment (1936 Act) Regulations 2025</w:t>
      </w:r>
    </w:p>
    <w:p w14:paraId="3FAF86AC" w14:textId="77777777" w:rsidR="00E4438C" w:rsidRPr="003C5719" w:rsidRDefault="00E4438C" w:rsidP="004A27A8">
      <w:pPr>
        <w:spacing w:before="240"/>
      </w:pPr>
      <w:r w:rsidRPr="003C5719">
        <w:t xml:space="preserve">This Legislative Instrument is compatible with the human rights and freedoms recognised or declared in the international instruments listed in section 3 of the </w:t>
      </w:r>
      <w:r w:rsidRPr="003C5719">
        <w:rPr>
          <w:i/>
        </w:rPr>
        <w:t>Human Rights (Parliamentary Scrutiny) Act 2011</w:t>
      </w:r>
      <w:r w:rsidRPr="003C5719">
        <w:t>.</w:t>
      </w:r>
    </w:p>
    <w:p w14:paraId="4BCE403D" w14:textId="77777777" w:rsidR="00E4438C" w:rsidRPr="003C5719" w:rsidRDefault="00E4438C" w:rsidP="004A27A8">
      <w:pPr>
        <w:pStyle w:val="Heading3"/>
      </w:pPr>
      <w:r w:rsidRPr="003C5719">
        <w:t>Overview of the Legislative Instrument</w:t>
      </w:r>
    </w:p>
    <w:p w14:paraId="78C53A63" w14:textId="487A4765" w:rsidR="00F71135" w:rsidRDefault="00F71135" w:rsidP="00F71135">
      <w:pPr>
        <w:spacing w:before="240"/>
      </w:pPr>
      <w:r w:rsidRPr="003C5719">
        <w:t xml:space="preserve">The purpose of the </w:t>
      </w:r>
      <w:r>
        <w:rPr>
          <w:i/>
        </w:rPr>
        <w:t xml:space="preserve">Income Tax Assessment (1936 Act) Regulations 2025 </w:t>
      </w:r>
      <w:r>
        <w:rPr>
          <w:iCs/>
        </w:rPr>
        <w:t xml:space="preserve">(the </w:t>
      </w:r>
      <w:r w:rsidR="00DC4C41">
        <w:rPr>
          <w:iCs/>
        </w:rPr>
        <w:t>Legislative instrument</w:t>
      </w:r>
      <w:r>
        <w:rPr>
          <w:iCs/>
        </w:rPr>
        <w:t xml:space="preserve">) </w:t>
      </w:r>
      <w:r w:rsidRPr="003C5719">
        <w:t xml:space="preserve">is to </w:t>
      </w:r>
      <w:r>
        <w:t xml:space="preserve">remake and improve the operation of the </w:t>
      </w:r>
      <w:r w:rsidRPr="00DB4F91">
        <w:rPr>
          <w:i/>
          <w:iCs/>
        </w:rPr>
        <w:t>Income Tax Assessment (1936 Act) Regulation 2015</w:t>
      </w:r>
      <w:r>
        <w:t xml:space="preserve"> (the 2015 Regulations) before the 2015</w:t>
      </w:r>
      <w:r w:rsidR="00DC4C41">
        <w:t> </w:t>
      </w:r>
      <w:r>
        <w:t>Regulations ‘sunset’. A</w:t>
      </w:r>
      <w:r w:rsidRPr="00FA216D">
        <w:t>ll legislative instruments, other than exempt instruments, progressively sunset according to the timetable in section 50 of</w:t>
      </w:r>
      <w:r>
        <w:t xml:space="preserve"> the</w:t>
      </w:r>
      <w:r w:rsidRPr="00FA216D">
        <w:t xml:space="preserve"> </w:t>
      </w:r>
      <w:r w:rsidRPr="00FA216D">
        <w:rPr>
          <w:i/>
          <w:iCs/>
        </w:rPr>
        <w:t>Legislation Act 2003</w:t>
      </w:r>
      <w:r w:rsidRPr="00FA216D">
        <w:t>. Legislative instruments generally cease to have effect after 10 years unless their operation is extended such as by remaking the instrument.</w:t>
      </w:r>
      <w:r>
        <w:t xml:space="preserve"> The 2015 Regulations were scheduled to sunset on 1 October 2025.</w:t>
      </w:r>
    </w:p>
    <w:p w14:paraId="415DDCB4" w14:textId="7C581EF5" w:rsidR="00F71135" w:rsidRDefault="00F71135" w:rsidP="00F71135">
      <w:pPr>
        <w:spacing w:before="240"/>
      </w:pPr>
      <w:r>
        <w:t xml:space="preserve">The </w:t>
      </w:r>
      <w:r w:rsidR="00AC2A4E">
        <w:t xml:space="preserve">Legislative Instrument </w:t>
      </w:r>
      <w:r>
        <w:t>remake</w:t>
      </w:r>
      <w:r w:rsidR="00AC2A4E">
        <w:t>s</w:t>
      </w:r>
      <w:r>
        <w:t xml:space="preserve"> and improve</w:t>
      </w:r>
      <w:r w:rsidR="00AC2A4E">
        <w:t>s</w:t>
      </w:r>
      <w:r>
        <w:t xml:space="preserve"> the 2015 Regulations, repealing redundant provisions, simplifying language and updating existing rules and requirements to ensure they continue to operate in accordance with existing policy. </w:t>
      </w:r>
      <w:r w:rsidR="00FD2DD7">
        <w:t xml:space="preserve">Accordingly, </w:t>
      </w:r>
      <w:r w:rsidR="00894128">
        <w:t xml:space="preserve">the Legislative Instrument does not change </w:t>
      </w:r>
      <w:r w:rsidR="00B13D1A">
        <w:t>existing</w:t>
      </w:r>
      <w:r w:rsidR="00894128">
        <w:t xml:space="preserve"> arrangements for </w:t>
      </w:r>
      <w:r w:rsidR="00D433EE">
        <w:t xml:space="preserve">affected </w:t>
      </w:r>
      <w:r w:rsidR="00894128">
        <w:t>taxpayers</w:t>
      </w:r>
      <w:r w:rsidR="00B13D1A">
        <w:t>.</w:t>
      </w:r>
    </w:p>
    <w:p w14:paraId="48E8BF3B" w14:textId="60DF0CE7" w:rsidR="00F71135" w:rsidRDefault="00F71135" w:rsidP="00F71135">
      <w:pPr>
        <w:spacing w:before="240"/>
      </w:pPr>
      <w:r>
        <w:t xml:space="preserve">The </w:t>
      </w:r>
      <w:r w:rsidR="00AC2A4E">
        <w:t>Legislative Instrument</w:t>
      </w:r>
      <w:r>
        <w:t xml:space="preserve"> prescribe</w:t>
      </w:r>
      <w:r w:rsidR="00AC2A4E">
        <w:t>s</w:t>
      </w:r>
      <w:r>
        <w:t xml:space="preserve"> matters for the purposes of certain provisions of the Act, which include provisions relating to the tax treatment of</w:t>
      </w:r>
      <w:r w:rsidDel="003331B4">
        <w:t xml:space="preserve"> </w:t>
      </w:r>
      <w:r>
        <w:t xml:space="preserve">income of </w:t>
      </w:r>
      <w:r w:rsidR="00076C11">
        <w:t xml:space="preserve">certain </w:t>
      </w:r>
      <w:r w:rsidR="009F2AC7">
        <w:t>Defence Force</w:t>
      </w:r>
      <w:r w:rsidR="00076C11">
        <w:t xml:space="preserve"> members and other prescribed </w:t>
      </w:r>
      <w:r>
        <w:t>persons, eligibility for deductions, rebates for low income aged persons and pensioners, timeframes for amending assessments in prescribed circumstances, as well as the appointment of public officers and the treatment of income in respect of controlled foreign companies.</w:t>
      </w:r>
    </w:p>
    <w:p w14:paraId="04C3B51B" w14:textId="77777777" w:rsidR="00EB2BED" w:rsidRDefault="00E4438C" w:rsidP="004A27A8">
      <w:pPr>
        <w:pStyle w:val="Heading3"/>
      </w:pPr>
      <w:r w:rsidRPr="003C5719">
        <w:t>Human rights implications</w:t>
      </w:r>
      <w:r w:rsidR="006B520A">
        <w:t xml:space="preserve"> </w:t>
      </w:r>
    </w:p>
    <w:p w14:paraId="3130496F" w14:textId="7BAB120C" w:rsidR="00E4438C" w:rsidRPr="003C5719" w:rsidRDefault="00454E2D" w:rsidP="004A27A8">
      <w:pPr>
        <w:spacing w:before="240"/>
      </w:pPr>
      <w:r>
        <w:t>This Legislative Instrument does not engage any of the applicable rights or freedoms.</w:t>
      </w:r>
    </w:p>
    <w:p w14:paraId="247E0151" w14:textId="77777777" w:rsidR="00EB2BED" w:rsidRDefault="00E4438C" w:rsidP="004A27A8">
      <w:pPr>
        <w:pStyle w:val="Heading3"/>
      </w:pPr>
      <w:r w:rsidRPr="003C5719">
        <w:t>Conclusion</w:t>
      </w:r>
      <w:r w:rsidR="006D60D0">
        <w:t xml:space="preserve"> </w:t>
      </w:r>
    </w:p>
    <w:p w14:paraId="10824CA3" w14:textId="4775B176" w:rsidR="00E37FF7" w:rsidRPr="00C84FA0" w:rsidRDefault="00B91ECE" w:rsidP="004A27A8">
      <w:pPr>
        <w:spacing w:before="240"/>
      </w:pPr>
      <w:r>
        <w:t>This Legislative Instrument is compatible with human rights as it does not raise any human rights issues.</w:t>
      </w:r>
    </w:p>
    <w:sectPr w:rsidR="00E37FF7" w:rsidRPr="00C84FA0" w:rsidSect="004A27A8">
      <w:footerReference w:type="default" r:id="rId15"/>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41E9C" w14:textId="77777777" w:rsidR="0086658D" w:rsidRDefault="0086658D" w:rsidP="00954679">
      <w:pPr>
        <w:spacing w:before="0" w:after="0"/>
      </w:pPr>
      <w:r>
        <w:separator/>
      </w:r>
    </w:p>
  </w:endnote>
  <w:endnote w:type="continuationSeparator" w:id="0">
    <w:p w14:paraId="5A67897D" w14:textId="77777777" w:rsidR="0086658D" w:rsidRDefault="0086658D" w:rsidP="00954679">
      <w:pPr>
        <w:spacing w:before="0" w:after="0"/>
      </w:pPr>
      <w:r>
        <w:continuationSeparator/>
      </w:r>
    </w:p>
  </w:endnote>
  <w:endnote w:type="continuationNotice" w:id="1">
    <w:p w14:paraId="49C967A7" w14:textId="77777777" w:rsidR="0086658D" w:rsidRDefault="0086658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2FE2E7E"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3D0C1" w14:textId="77777777" w:rsidR="0086658D" w:rsidRDefault="0086658D" w:rsidP="00954679">
      <w:pPr>
        <w:spacing w:before="0" w:after="0"/>
      </w:pPr>
      <w:r>
        <w:separator/>
      </w:r>
    </w:p>
  </w:footnote>
  <w:footnote w:type="continuationSeparator" w:id="0">
    <w:p w14:paraId="14ABCF28" w14:textId="77777777" w:rsidR="0086658D" w:rsidRDefault="0086658D" w:rsidP="00954679">
      <w:pPr>
        <w:spacing w:before="0" w:after="0"/>
      </w:pPr>
      <w:r>
        <w:continuationSeparator/>
      </w:r>
    </w:p>
  </w:footnote>
  <w:footnote w:type="continuationNotice" w:id="1">
    <w:p w14:paraId="3D4F54A1" w14:textId="77777777" w:rsidR="0086658D" w:rsidRDefault="0086658D">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0F9"/>
    <w:multiLevelType w:val="hybridMultilevel"/>
    <w:tmpl w:val="446C7A82"/>
    <w:lvl w:ilvl="0" w:tplc="2C286C18">
      <w:start w:val="19"/>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9B6174"/>
    <w:multiLevelType w:val="hybridMultilevel"/>
    <w:tmpl w:val="B300889C"/>
    <w:lvl w:ilvl="0" w:tplc="4EF22494">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3" w15:restartNumberingAfterBreak="0">
    <w:nsid w:val="1BE7288F"/>
    <w:multiLevelType w:val="hybridMultilevel"/>
    <w:tmpl w:val="4A145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3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6" w15:restartNumberingAfterBreak="0">
    <w:nsid w:val="38526ABE"/>
    <w:multiLevelType w:val="hybridMultilevel"/>
    <w:tmpl w:val="339E829C"/>
    <w:lvl w:ilvl="0" w:tplc="2266F936">
      <w:start w:val="1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5B1609"/>
    <w:multiLevelType w:val="hybridMultilevel"/>
    <w:tmpl w:val="1424F75A"/>
    <w:lvl w:ilvl="0" w:tplc="3182AD4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B46690"/>
    <w:multiLevelType w:val="hybridMultilevel"/>
    <w:tmpl w:val="FFFFFFFF"/>
    <w:lvl w:ilvl="0" w:tplc="52C6F3B4">
      <w:start w:val="1"/>
      <w:numFmt w:val="bullet"/>
      <w:lvlText w:val=""/>
      <w:lvlJc w:val="left"/>
      <w:pPr>
        <w:ind w:left="720" w:hanging="360"/>
      </w:pPr>
      <w:rPr>
        <w:rFonts w:ascii="Symbol" w:hAnsi="Symbol" w:hint="default"/>
      </w:rPr>
    </w:lvl>
    <w:lvl w:ilvl="1" w:tplc="DD28E8D2">
      <w:start w:val="1"/>
      <w:numFmt w:val="bullet"/>
      <w:lvlText w:val="o"/>
      <w:lvlJc w:val="left"/>
      <w:pPr>
        <w:ind w:left="1440" w:hanging="360"/>
      </w:pPr>
      <w:rPr>
        <w:rFonts w:ascii="Courier New" w:hAnsi="Courier New" w:hint="default"/>
      </w:rPr>
    </w:lvl>
    <w:lvl w:ilvl="2" w:tplc="61986430">
      <w:start w:val="1"/>
      <w:numFmt w:val="bullet"/>
      <w:lvlText w:val=""/>
      <w:lvlJc w:val="left"/>
      <w:pPr>
        <w:ind w:left="2160" w:hanging="360"/>
      </w:pPr>
      <w:rPr>
        <w:rFonts w:ascii="Wingdings" w:hAnsi="Wingdings" w:hint="default"/>
      </w:rPr>
    </w:lvl>
    <w:lvl w:ilvl="3" w:tplc="0D221460">
      <w:start w:val="1"/>
      <w:numFmt w:val="bullet"/>
      <w:lvlText w:val=""/>
      <w:lvlJc w:val="left"/>
      <w:pPr>
        <w:ind w:left="2880" w:hanging="360"/>
      </w:pPr>
      <w:rPr>
        <w:rFonts w:ascii="Symbol" w:hAnsi="Symbol" w:hint="default"/>
      </w:rPr>
    </w:lvl>
    <w:lvl w:ilvl="4" w:tplc="0F00CAF2">
      <w:start w:val="1"/>
      <w:numFmt w:val="bullet"/>
      <w:lvlText w:val="o"/>
      <w:lvlJc w:val="left"/>
      <w:pPr>
        <w:ind w:left="3600" w:hanging="360"/>
      </w:pPr>
      <w:rPr>
        <w:rFonts w:ascii="Courier New" w:hAnsi="Courier New" w:hint="default"/>
      </w:rPr>
    </w:lvl>
    <w:lvl w:ilvl="5" w:tplc="5CC6AA70">
      <w:start w:val="1"/>
      <w:numFmt w:val="bullet"/>
      <w:lvlText w:val=""/>
      <w:lvlJc w:val="left"/>
      <w:pPr>
        <w:ind w:left="4320" w:hanging="360"/>
      </w:pPr>
      <w:rPr>
        <w:rFonts w:ascii="Wingdings" w:hAnsi="Wingdings" w:hint="default"/>
      </w:rPr>
    </w:lvl>
    <w:lvl w:ilvl="6" w:tplc="362E10FE">
      <w:start w:val="1"/>
      <w:numFmt w:val="bullet"/>
      <w:lvlText w:val=""/>
      <w:lvlJc w:val="left"/>
      <w:pPr>
        <w:ind w:left="5040" w:hanging="360"/>
      </w:pPr>
      <w:rPr>
        <w:rFonts w:ascii="Symbol" w:hAnsi="Symbol" w:hint="default"/>
      </w:rPr>
    </w:lvl>
    <w:lvl w:ilvl="7" w:tplc="4BF6A6B8">
      <w:start w:val="1"/>
      <w:numFmt w:val="bullet"/>
      <w:lvlText w:val="o"/>
      <w:lvlJc w:val="left"/>
      <w:pPr>
        <w:ind w:left="5760" w:hanging="360"/>
      </w:pPr>
      <w:rPr>
        <w:rFonts w:ascii="Courier New" w:hAnsi="Courier New" w:hint="default"/>
      </w:rPr>
    </w:lvl>
    <w:lvl w:ilvl="8" w:tplc="4FC49144">
      <w:start w:val="1"/>
      <w:numFmt w:val="bullet"/>
      <w:lvlText w:val=""/>
      <w:lvlJc w:val="left"/>
      <w:pPr>
        <w:ind w:left="6480" w:hanging="360"/>
      </w:pPr>
      <w:rPr>
        <w:rFonts w:ascii="Wingdings" w:hAnsi="Wingdings" w:hint="default"/>
      </w:rPr>
    </w:lvl>
  </w:abstractNum>
  <w:abstractNum w:abstractNumId="9" w15:restartNumberingAfterBreak="0">
    <w:nsid w:val="4A415515"/>
    <w:multiLevelType w:val="multilevel"/>
    <w:tmpl w:val="C1D0F540"/>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7A43C0B"/>
    <w:multiLevelType w:val="multilevel"/>
    <w:tmpl w:val="205A852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785"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CF40F14"/>
    <w:multiLevelType w:val="hybridMultilevel"/>
    <w:tmpl w:val="3790E252"/>
    <w:lvl w:ilvl="0" w:tplc="EE6A0D7A">
      <w:start w:val="1"/>
      <w:numFmt w:val="bullet"/>
      <w:lvlText w:val=""/>
      <w:lvlJc w:val="left"/>
      <w:pPr>
        <w:ind w:left="1080" w:hanging="360"/>
      </w:pPr>
      <w:rPr>
        <w:rFonts w:ascii="Symbol" w:hAnsi="Symbol"/>
      </w:rPr>
    </w:lvl>
    <w:lvl w:ilvl="1" w:tplc="5B2899A6">
      <w:start w:val="1"/>
      <w:numFmt w:val="bullet"/>
      <w:lvlText w:val=""/>
      <w:lvlJc w:val="left"/>
      <w:pPr>
        <w:ind w:left="1080" w:hanging="360"/>
      </w:pPr>
      <w:rPr>
        <w:rFonts w:ascii="Symbol" w:hAnsi="Symbol"/>
      </w:rPr>
    </w:lvl>
    <w:lvl w:ilvl="2" w:tplc="09681D88">
      <w:start w:val="1"/>
      <w:numFmt w:val="bullet"/>
      <w:lvlText w:val=""/>
      <w:lvlJc w:val="left"/>
      <w:pPr>
        <w:ind w:left="1080" w:hanging="360"/>
      </w:pPr>
      <w:rPr>
        <w:rFonts w:ascii="Symbol" w:hAnsi="Symbol"/>
      </w:rPr>
    </w:lvl>
    <w:lvl w:ilvl="3" w:tplc="2C38C38C">
      <w:start w:val="1"/>
      <w:numFmt w:val="bullet"/>
      <w:lvlText w:val=""/>
      <w:lvlJc w:val="left"/>
      <w:pPr>
        <w:ind w:left="1080" w:hanging="360"/>
      </w:pPr>
      <w:rPr>
        <w:rFonts w:ascii="Symbol" w:hAnsi="Symbol"/>
      </w:rPr>
    </w:lvl>
    <w:lvl w:ilvl="4" w:tplc="5AE8F554">
      <w:start w:val="1"/>
      <w:numFmt w:val="bullet"/>
      <w:lvlText w:val=""/>
      <w:lvlJc w:val="left"/>
      <w:pPr>
        <w:ind w:left="1080" w:hanging="360"/>
      </w:pPr>
      <w:rPr>
        <w:rFonts w:ascii="Symbol" w:hAnsi="Symbol"/>
      </w:rPr>
    </w:lvl>
    <w:lvl w:ilvl="5" w:tplc="46CC5466">
      <w:start w:val="1"/>
      <w:numFmt w:val="bullet"/>
      <w:lvlText w:val=""/>
      <w:lvlJc w:val="left"/>
      <w:pPr>
        <w:ind w:left="1080" w:hanging="360"/>
      </w:pPr>
      <w:rPr>
        <w:rFonts w:ascii="Symbol" w:hAnsi="Symbol"/>
      </w:rPr>
    </w:lvl>
    <w:lvl w:ilvl="6" w:tplc="64A217DA">
      <w:start w:val="1"/>
      <w:numFmt w:val="bullet"/>
      <w:lvlText w:val=""/>
      <w:lvlJc w:val="left"/>
      <w:pPr>
        <w:ind w:left="1080" w:hanging="360"/>
      </w:pPr>
      <w:rPr>
        <w:rFonts w:ascii="Symbol" w:hAnsi="Symbol"/>
      </w:rPr>
    </w:lvl>
    <w:lvl w:ilvl="7" w:tplc="47C235E8">
      <w:start w:val="1"/>
      <w:numFmt w:val="bullet"/>
      <w:lvlText w:val=""/>
      <w:lvlJc w:val="left"/>
      <w:pPr>
        <w:ind w:left="1080" w:hanging="360"/>
      </w:pPr>
      <w:rPr>
        <w:rFonts w:ascii="Symbol" w:hAnsi="Symbol"/>
      </w:rPr>
    </w:lvl>
    <w:lvl w:ilvl="8" w:tplc="82C2E138">
      <w:start w:val="1"/>
      <w:numFmt w:val="bullet"/>
      <w:lvlText w:val=""/>
      <w:lvlJc w:val="left"/>
      <w:pPr>
        <w:ind w:left="1080" w:hanging="360"/>
      </w:pPr>
      <w:rPr>
        <w:rFonts w:ascii="Symbol" w:hAnsi="Symbol"/>
      </w:rPr>
    </w:lvl>
  </w:abstractNum>
  <w:abstractNum w:abstractNumId="12" w15:restartNumberingAfterBreak="0">
    <w:nsid w:val="734441E4"/>
    <w:multiLevelType w:val="hybridMultilevel"/>
    <w:tmpl w:val="F7B8F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42919768">
    <w:abstractNumId w:val="5"/>
  </w:num>
  <w:num w:numId="2" w16cid:durableId="92435628">
    <w:abstractNumId w:val="10"/>
  </w:num>
  <w:num w:numId="3" w16cid:durableId="102648425">
    <w:abstractNumId w:val="4"/>
  </w:num>
  <w:num w:numId="4" w16cid:durableId="1451314351">
    <w:abstractNumId w:val="1"/>
  </w:num>
  <w:num w:numId="5" w16cid:durableId="1455824937">
    <w:abstractNumId w:val="10"/>
  </w:num>
  <w:num w:numId="6" w16cid:durableId="2012178582">
    <w:abstractNumId w:val="10"/>
  </w:num>
  <w:num w:numId="7" w16cid:durableId="1173374635">
    <w:abstractNumId w:val="10"/>
  </w:num>
  <w:num w:numId="8" w16cid:durableId="1074162301">
    <w:abstractNumId w:val="10"/>
  </w:num>
  <w:num w:numId="9" w16cid:durableId="1206795025">
    <w:abstractNumId w:val="10"/>
  </w:num>
  <w:num w:numId="10" w16cid:durableId="474571849">
    <w:abstractNumId w:val="10"/>
  </w:num>
  <w:num w:numId="11" w16cid:durableId="890385033">
    <w:abstractNumId w:val="10"/>
  </w:num>
  <w:num w:numId="12" w16cid:durableId="392780191">
    <w:abstractNumId w:val="10"/>
  </w:num>
  <w:num w:numId="13" w16cid:durableId="1793669345">
    <w:abstractNumId w:val="10"/>
  </w:num>
  <w:num w:numId="14" w16cid:durableId="2085832638">
    <w:abstractNumId w:val="10"/>
  </w:num>
  <w:num w:numId="15" w16cid:durableId="724838217">
    <w:abstractNumId w:val="10"/>
  </w:num>
  <w:num w:numId="16" w16cid:durableId="951398036">
    <w:abstractNumId w:val="10"/>
  </w:num>
  <w:num w:numId="17" w16cid:durableId="665212348">
    <w:abstractNumId w:val="9"/>
  </w:num>
  <w:num w:numId="18" w16cid:durableId="1377392713">
    <w:abstractNumId w:val="10"/>
  </w:num>
  <w:num w:numId="19" w16cid:durableId="818767120">
    <w:abstractNumId w:val="10"/>
  </w:num>
  <w:num w:numId="20" w16cid:durableId="254021409">
    <w:abstractNumId w:val="10"/>
  </w:num>
  <w:num w:numId="21" w16cid:durableId="1106001342">
    <w:abstractNumId w:val="10"/>
  </w:num>
  <w:num w:numId="22" w16cid:durableId="2091921891">
    <w:abstractNumId w:val="9"/>
  </w:num>
  <w:num w:numId="23" w16cid:durableId="1445224338">
    <w:abstractNumId w:val="10"/>
  </w:num>
  <w:num w:numId="24" w16cid:durableId="190265107">
    <w:abstractNumId w:val="9"/>
  </w:num>
  <w:num w:numId="25" w16cid:durableId="1232430115">
    <w:abstractNumId w:val="9"/>
  </w:num>
  <w:num w:numId="26" w16cid:durableId="2138139438">
    <w:abstractNumId w:val="7"/>
  </w:num>
  <w:num w:numId="27" w16cid:durableId="315379015">
    <w:abstractNumId w:val="12"/>
  </w:num>
  <w:num w:numId="28" w16cid:durableId="2007975210">
    <w:abstractNumId w:val="3"/>
  </w:num>
  <w:num w:numId="29" w16cid:durableId="557473785">
    <w:abstractNumId w:val="2"/>
  </w:num>
  <w:num w:numId="30" w16cid:durableId="1731033751">
    <w:abstractNumId w:val="10"/>
  </w:num>
  <w:num w:numId="31" w16cid:durableId="1531528124">
    <w:abstractNumId w:val="10"/>
  </w:num>
  <w:num w:numId="32" w16cid:durableId="810559604">
    <w:abstractNumId w:val="10"/>
  </w:num>
  <w:num w:numId="33" w16cid:durableId="218136014">
    <w:abstractNumId w:val="10"/>
  </w:num>
  <w:num w:numId="34" w16cid:durableId="101384273">
    <w:abstractNumId w:val="10"/>
  </w:num>
  <w:num w:numId="35" w16cid:durableId="1219786509">
    <w:abstractNumId w:val="10"/>
  </w:num>
  <w:num w:numId="36" w16cid:durableId="1849907558">
    <w:abstractNumId w:val="10"/>
  </w:num>
  <w:num w:numId="37" w16cid:durableId="1879971556">
    <w:abstractNumId w:val="10"/>
  </w:num>
  <w:num w:numId="38" w16cid:durableId="164633503">
    <w:abstractNumId w:val="10"/>
  </w:num>
  <w:num w:numId="39" w16cid:durableId="608002989">
    <w:abstractNumId w:val="10"/>
  </w:num>
  <w:num w:numId="40" w16cid:durableId="1524437424">
    <w:abstractNumId w:val="10"/>
  </w:num>
  <w:num w:numId="41" w16cid:durableId="926573404">
    <w:abstractNumId w:val="10"/>
  </w:num>
  <w:num w:numId="42" w16cid:durableId="1425420325">
    <w:abstractNumId w:val="10"/>
  </w:num>
  <w:num w:numId="43" w16cid:durableId="173230357">
    <w:abstractNumId w:val="10"/>
  </w:num>
  <w:num w:numId="44" w16cid:durableId="55511976">
    <w:abstractNumId w:val="10"/>
  </w:num>
  <w:num w:numId="45" w16cid:durableId="487284378">
    <w:abstractNumId w:val="10"/>
  </w:num>
  <w:num w:numId="46" w16cid:durableId="535316610">
    <w:abstractNumId w:val="10"/>
  </w:num>
  <w:num w:numId="47" w16cid:durableId="999040843">
    <w:abstractNumId w:val="10"/>
  </w:num>
  <w:num w:numId="48" w16cid:durableId="2031442693">
    <w:abstractNumId w:val="10"/>
  </w:num>
  <w:num w:numId="49" w16cid:durableId="943541010">
    <w:abstractNumId w:val="10"/>
  </w:num>
  <w:num w:numId="50" w16cid:durableId="1690639393">
    <w:abstractNumId w:val="10"/>
  </w:num>
  <w:num w:numId="51" w16cid:durableId="638807608">
    <w:abstractNumId w:val="10"/>
  </w:num>
  <w:num w:numId="52" w16cid:durableId="777598751">
    <w:abstractNumId w:val="10"/>
  </w:num>
  <w:num w:numId="53" w16cid:durableId="1858304100">
    <w:abstractNumId w:val="10"/>
  </w:num>
  <w:num w:numId="54" w16cid:durableId="1214081768">
    <w:abstractNumId w:val="10"/>
  </w:num>
  <w:num w:numId="55" w16cid:durableId="1472334064">
    <w:abstractNumId w:val="8"/>
  </w:num>
  <w:num w:numId="56" w16cid:durableId="188959885">
    <w:abstractNumId w:val="10"/>
  </w:num>
  <w:num w:numId="57" w16cid:durableId="1765108702">
    <w:abstractNumId w:val="10"/>
  </w:num>
  <w:num w:numId="58" w16cid:durableId="1138573221">
    <w:abstractNumId w:val="10"/>
  </w:num>
  <w:num w:numId="59" w16cid:durableId="565341853">
    <w:abstractNumId w:val="10"/>
  </w:num>
  <w:num w:numId="60" w16cid:durableId="1805386311">
    <w:abstractNumId w:val="11"/>
  </w:num>
  <w:num w:numId="61" w16cid:durableId="725689056">
    <w:abstractNumId w:val="6"/>
  </w:num>
  <w:num w:numId="62" w16cid:durableId="1434130633">
    <w:abstractNumId w:val="10"/>
  </w:num>
  <w:num w:numId="63" w16cid:durableId="14066071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76928864">
    <w:abstractNumId w:val="0"/>
  </w:num>
  <w:num w:numId="65" w16cid:durableId="1681809706">
    <w:abstractNumId w:val="10"/>
  </w:num>
  <w:num w:numId="66" w16cid:durableId="1788502663">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AF6"/>
    <w:rsid w:val="00000031"/>
    <w:rsid w:val="000001FC"/>
    <w:rsid w:val="000006E1"/>
    <w:rsid w:val="00000EDD"/>
    <w:rsid w:val="0000101D"/>
    <w:rsid w:val="00001DA3"/>
    <w:rsid w:val="00002033"/>
    <w:rsid w:val="000026BE"/>
    <w:rsid w:val="00002AAD"/>
    <w:rsid w:val="00003189"/>
    <w:rsid w:val="000035FE"/>
    <w:rsid w:val="0000371C"/>
    <w:rsid w:val="00004D0F"/>
    <w:rsid w:val="00005B51"/>
    <w:rsid w:val="00005C6B"/>
    <w:rsid w:val="0000622E"/>
    <w:rsid w:val="0000628C"/>
    <w:rsid w:val="00006CB1"/>
    <w:rsid w:val="00006E79"/>
    <w:rsid w:val="00007A9A"/>
    <w:rsid w:val="00010484"/>
    <w:rsid w:val="00011241"/>
    <w:rsid w:val="00012613"/>
    <w:rsid w:val="00012F1B"/>
    <w:rsid w:val="000131A5"/>
    <w:rsid w:val="00013390"/>
    <w:rsid w:val="0001365A"/>
    <w:rsid w:val="0001378E"/>
    <w:rsid w:val="00015717"/>
    <w:rsid w:val="00015793"/>
    <w:rsid w:val="000158C8"/>
    <w:rsid w:val="000159D6"/>
    <w:rsid w:val="0001656B"/>
    <w:rsid w:val="00016EA2"/>
    <w:rsid w:val="00017765"/>
    <w:rsid w:val="000178AC"/>
    <w:rsid w:val="000178BF"/>
    <w:rsid w:val="00020074"/>
    <w:rsid w:val="0002041E"/>
    <w:rsid w:val="000209FA"/>
    <w:rsid w:val="000218FF"/>
    <w:rsid w:val="00021A15"/>
    <w:rsid w:val="00022858"/>
    <w:rsid w:val="00022AAD"/>
    <w:rsid w:val="00022CAA"/>
    <w:rsid w:val="00023527"/>
    <w:rsid w:val="0002374B"/>
    <w:rsid w:val="000241DB"/>
    <w:rsid w:val="000249AB"/>
    <w:rsid w:val="00024AAE"/>
    <w:rsid w:val="0002546A"/>
    <w:rsid w:val="000265D9"/>
    <w:rsid w:val="00026A20"/>
    <w:rsid w:val="00026CBD"/>
    <w:rsid w:val="00030A8F"/>
    <w:rsid w:val="00030BE4"/>
    <w:rsid w:val="00031A8A"/>
    <w:rsid w:val="00031AE1"/>
    <w:rsid w:val="00032F30"/>
    <w:rsid w:val="000331F4"/>
    <w:rsid w:val="000334F1"/>
    <w:rsid w:val="00033686"/>
    <w:rsid w:val="00033EB0"/>
    <w:rsid w:val="00034531"/>
    <w:rsid w:val="00035C9C"/>
    <w:rsid w:val="00036027"/>
    <w:rsid w:val="0003665C"/>
    <w:rsid w:val="00037164"/>
    <w:rsid w:val="00037458"/>
    <w:rsid w:val="00037BAA"/>
    <w:rsid w:val="00037D7C"/>
    <w:rsid w:val="00037F82"/>
    <w:rsid w:val="00040D9B"/>
    <w:rsid w:val="00041639"/>
    <w:rsid w:val="00041702"/>
    <w:rsid w:val="00041C87"/>
    <w:rsid w:val="00042EE9"/>
    <w:rsid w:val="0004329B"/>
    <w:rsid w:val="00043362"/>
    <w:rsid w:val="00043629"/>
    <w:rsid w:val="00043DA8"/>
    <w:rsid w:val="000443A2"/>
    <w:rsid w:val="00044D3D"/>
    <w:rsid w:val="00044F99"/>
    <w:rsid w:val="000455BA"/>
    <w:rsid w:val="00046BC0"/>
    <w:rsid w:val="00050AA8"/>
    <w:rsid w:val="00051435"/>
    <w:rsid w:val="00051648"/>
    <w:rsid w:val="0005192F"/>
    <w:rsid w:val="00051D0D"/>
    <w:rsid w:val="00051F35"/>
    <w:rsid w:val="000520CA"/>
    <w:rsid w:val="00052268"/>
    <w:rsid w:val="000524A9"/>
    <w:rsid w:val="0005316A"/>
    <w:rsid w:val="0005356B"/>
    <w:rsid w:val="000545AD"/>
    <w:rsid w:val="000547DB"/>
    <w:rsid w:val="00054C59"/>
    <w:rsid w:val="00054E54"/>
    <w:rsid w:val="00054EDB"/>
    <w:rsid w:val="00055DCE"/>
    <w:rsid w:val="000562C4"/>
    <w:rsid w:val="00056464"/>
    <w:rsid w:val="00056AFD"/>
    <w:rsid w:val="000571AB"/>
    <w:rsid w:val="0005721D"/>
    <w:rsid w:val="00057405"/>
    <w:rsid w:val="000603D9"/>
    <w:rsid w:val="00060A67"/>
    <w:rsid w:val="00060DB8"/>
    <w:rsid w:val="00060E9C"/>
    <w:rsid w:val="000617F6"/>
    <w:rsid w:val="000619AB"/>
    <w:rsid w:val="000622E2"/>
    <w:rsid w:val="00062739"/>
    <w:rsid w:val="000627EA"/>
    <w:rsid w:val="00062B5E"/>
    <w:rsid w:val="00064021"/>
    <w:rsid w:val="0006404D"/>
    <w:rsid w:val="0006431A"/>
    <w:rsid w:val="000643CD"/>
    <w:rsid w:val="000647C3"/>
    <w:rsid w:val="00065581"/>
    <w:rsid w:val="00065681"/>
    <w:rsid w:val="00066AC0"/>
    <w:rsid w:val="00066BA4"/>
    <w:rsid w:val="00066E54"/>
    <w:rsid w:val="00070439"/>
    <w:rsid w:val="00070EC5"/>
    <w:rsid w:val="000710DC"/>
    <w:rsid w:val="00071211"/>
    <w:rsid w:val="000712D5"/>
    <w:rsid w:val="00071805"/>
    <w:rsid w:val="00072210"/>
    <w:rsid w:val="000729D2"/>
    <w:rsid w:val="00072A70"/>
    <w:rsid w:val="000739BF"/>
    <w:rsid w:val="00075019"/>
    <w:rsid w:val="00075358"/>
    <w:rsid w:val="000759A9"/>
    <w:rsid w:val="00075A77"/>
    <w:rsid w:val="00076178"/>
    <w:rsid w:val="0007641F"/>
    <w:rsid w:val="00076C11"/>
    <w:rsid w:val="00076E15"/>
    <w:rsid w:val="00076FF9"/>
    <w:rsid w:val="000773A1"/>
    <w:rsid w:val="000773A6"/>
    <w:rsid w:val="0007782C"/>
    <w:rsid w:val="00080673"/>
    <w:rsid w:val="00080676"/>
    <w:rsid w:val="00080F48"/>
    <w:rsid w:val="00081703"/>
    <w:rsid w:val="00082512"/>
    <w:rsid w:val="000836D9"/>
    <w:rsid w:val="00083DBA"/>
    <w:rsid w:val="00084453"/>
    <w:rsid w:val="000854E0"/>
    <w:rsid w:val="0008636B"/>
    <w:rsid w:val="000868D3"/>
    <w:rsid w:val="00086C61"/>
    <w:rsid w:val="00086CE3"/>
    <w:rsid w:val="00086E56"/>
    <w:rsid w:val="0008741E"/>
    <w:rsid w:val="0008753E"/>
    <w:rsid w:val="00087BAF"/>
    <w:rsid w:val="000902C3"/>
    <w:rsid w:val="00090AF3"/>
    <w:rsid w:val="0009139B"/>
    <w:rsid w:val="00091FFB"/>
    <w:rsid w:val="0009205C"/>
    <w:rsid w:val="00092562"/>
    <w:rsid w:val="00093C57"/>
    <w:rsid w:val="00093E0A"/>
    <w:rsid w:val="00095211"/>
    <w:rsid w:val="00095226"/>
    <w:rsid w:val="00095529"/>
    <w:rsid w:val="00095E84"/>
    <w:rsid w:val="0009625D"/>
    <w:rsid w:val="000968D6"/>
    <w:rsid w:val="00097030"/>
    <w:rsid w:val="000A0860"/>
    <w:rsid w:val="000A1089"/>
    <w:rsid w:val="000A1689"/>
    <w:rsid w:val="000A1CC1"/>
    <w:rsid w:val="000A1DFF"/>
    <w:rsid w:val="000A279C"/>
    <w:rsid w:val="000A2948"/>
    <w:rsid w:val="000A3DCF"/>
    <w:rsid w:val="000A3FF1"/>
    <w:rsid w:val="000A4147"/>
    <w:rsid w:val="000A5952"/>
    <w:rsid w:val="000A69C5"/>
    <w:rsid w:val="000A6ED5"/>
    <w:rsid w:val="000A7872"/>
    <w:rsid w:val="000A7A10"/>
    <w:rsid w:val="000B02B9"/>
    <w:rsid w:val="000B0D59"/>
    <w:rsid w:val="000B1BD4"/>
    <w:rsid w:val="000B1F19"/>
    <w:rsid w:val="000B2001"/>
    <w:rsid w:val="000B2DAC"/>
    <w:rsid w:val="000B3525"/>
    <w:rsid w:val="000B39A1"/>
    <w:rsid w:val="000B4205"/>
    <w:rsid w:val="000B5511"/>
    <w:rsid w:val="000B65F7"/>
    <w:rsid w:val="000B66CF"/>
    <w:rsid w:val="000B78AD"/>
    <w:rsid w:val="000C0B67"/>
    <w:rsid w:val="000C10DF"/>
    <w:rsid w:val="000C1735"/>
    <w:rsid w:val="000C1DDC"/>
    <w:rsid w:val="000C2611"/>
    <w:rsid w:val="000C2E12"/>
    <w:rsid w:val="000C360F"/>
    <w:rsid w:val="000C3D25"/>
    <w:rsid w:val="000C3DCD"/>
    <w:rsid w:val="000C3ECC"/>
    <w:rsid w:val="000C4B4E"/>
    <w:rsid w:val="000C4B61"/>
    <w:rsid w:val="000C5C40"/>
    <w:rsid w:val="000C5DEE"/>
    <w:rsid w:val="000C5E65"/>
    <w:rsid w:val="000C6163"/>
    <w:rsid w:val="000C6876"/>
    <w:rsid w:val="000C6935"/>
    <w:rsid w:val="000C72B1"/>
    <w:rsid w:val="000C7751"/>
    <w:rsid w:val="000C776F"/>
    <w:rsid w:val="000D010C"/>
    <w:rsid w:val="000D0E77"/>
    <w:rsid w:val="000D11E5"/>
    <w:rsid w:val="000D136F"/>
    <w:rsid w:val="000D1A34"/>
    <w:rsid w:val="000D2234"/>
    <w:rsid w:val="000D2E55"/>
    <w:rsid w:val="000D3A18"/>
    <w:rsid w:val="000D3E7E"/>
    <w:rsid w:val="000D4327"/>
    <w:rsid w:val="000D4332"/>
    <w:rsid w:val="000D5145"/>
    <w:rsid w:val="000D5827"/>
    <w:rsid w:val="000D59B4"/>
    <w:rsid w:val="000D6712"/>
    <w:rsid w:val="000D75DF"/>
    <w:rsid w:val="000D7660"/>
    <w:rsid w:val="000D7A5A"/>
    <w:rsid w:val="000E0A74"/>
    <w:rsid w:val="000E12BA"/>
    <w:rsid w:val="000E15B5"/>
    <w:rsid w:val="000E23EA"/>
    <w:rsid w:val="000E2574"/>
    <w:rsid w:val="000E2B0F"/>
    <w:rsid w:val="000E32E3"/>
    <w:rsid w:val="000E3638"/>
    <w:rsid w:val="000E40FE"/>
    <w:rsid w:val="000E52CF"/>
    <w:rsid w:val="000E53EB"/>
    <w:rsid w:val="000E7652"/>
    <w:rsid w:val="000E7C59"/>
    <w:rsid w:val="000F0224"/>
    <w:rsid w:val="000F1003"/>
    <w:rsid w:val="000F1203"/>
    <w:rsid w:val="000F12CA"/>
    <w:rsid w:val="000F1F12"/>
    <w:rsid w:val="000F2626"/>
    <w:rsid w:val="000F2A58"/>
    <w:rsid w:val="000F2C22"/>
    <w:rsid w:val="000F3A05"/>
    <w:rsid w:val="000F40B7"/>
    <w:rsid w:val="000F5187"/>
    <w:rsid w:val="000F53D9"/>
    <w:rsid w:val="000F5DE7"/>
    <w:rsid w:val="000F6D5B"/>
    <w:rsid w:val="000F711D"/>
    <w:rsid w:val="000F796C"/>
    <w:rsid w:val="00100857"/>
    <w:rsid w:val="001012C2"/>
    <w:rsid w:val="0010175E"/>
    <w:rsid w:val="00101A3F"/>
    <w:rsid w:val="001020D4"/>
    <w:rsid w:val="00102DE7"/>
    <w:rsid w:val="001034E2"/>
    <w:rsid w:val="00103B96"/>
    <w:rsid w:val="0010569B"/>
    <w:rsid w:val="00105A53"/>
    <w:rsid w:val="001062D9"/>
    <w:rsid w:val="00106905"/>
    <w:rsid w:val="00107132"/>
    <w:rsid w:val="00107601"/>
    <w:rsid w:val="00107A8C"/>
    <w:rsid w:val="001100F5"/>
    <w:rsid w:val="00110B08"/>
    <w:rsid w:val="001119D4"/>
    <w:rsid w:val="00112D3F"/>
    <w:rsid w:val="00113180"/>
    <w:rsid w:val="00113657"/>
    <w:rsid w:val="00113B45"/>
    <w:rsid w:val="00113CE7"/>
    <w:rsid w:val="00114003"/>
    <w:rsid w:val="0011527C"/>
    <w:rsid w:val="00115312"/>
    <w:rsid w:val="00115F08"/>
    <w:rsid w:val="0011653E"/>
    <w:rsid w:val="00116F14"/>
    <w:rsid w:val="00117059"/>
    <w:rsid w:val="00117C02"/>
    <w:rsid w:val="00117D4E"/>
    <w:rsid w:val="00117E2D"/>
    <w:rsid w:val="001205FB"/>
    <w:rsid w:val="00120ADD"/>
    <w:rsid w:val="00120C58"/>
    <w:rsid w:val="00121ECF"/>
    <w:rsid w:val="00122439"/>
    <w:rsid w:val="001224FD"/>
    <w:rsid w:val="00122CEB"/>
    <w:rsid w:val="0012555E"/>
    <w:rsid w:val="00125A71"/>
    <w:rsid w:val="00126585"/>
    <w:rsid w:val="001269B5"/>
    <w:rsid w:val="001276B4"/>
    <w:rsid w:val="00127CED"/>
    <w:rsid w:val="00127E7B"/>
    <w:rsid w:val="00127EC4"/>
    <w:rsid w:val="001319C8"/>
    <w:rsid w:val="001321F3"/>
    <w:rsid w:val="001324BC"/>
    <w:rsid w:val="0013271C"/>
    <w:rsid w:val="0013291C"/>
    <w:rsid w:val="001331B7"/>
    <w:rsid w:val="0013343F"/>
    <w:rsid w:val="00133D7A"/>
    <w:rsid w:val="001344B4"/>
    <w:rsid w:val="0013453B"/>
    <w:rsid w:val="00134641"/>
    <w:rsid w:val="0013548E"/>
    <w:rsid w:val="001356F0"/>
    <w:rsid w:val="001358EA"/>
    <w:rsid w:val="00137084"/>
    <w:rsid w:val="00137F92"/>
    <w:rsid w:val="001400DC"/>
    <w:rsid w:val="00140F62"/>
    <w:rsid w:val="001410A9"/>
    <w:rsid w:val="00142156"/>
    <w:rsid w:val="00142564"/>
    <w:rsid w:val="00142593"/>
    <w:rsid w:val="00142BCF"/>
    <w:rsid w:val="001432C6"/>
    <w:rsid w:val="00144593"/>
    <w:rsid w:val="0014474D"/>
    <w:rsid w:val="001449D6"/>
    <w:rsid w:val="00144E90"/>
    <w:rsid w:val="001453B2"/>
    <w:rsid w:val="00145567"/>
    <w:rsid w:val="00145A8F"/>
    <w:rsid w:val="0014608E"/>
    <w:rsid w:val="00146363"/>
    <w:rsid w:val="0014734F"/>
    <w:rsid w:val="001476ED"/>
    <w:rsid w:val="00147C60"/>
    <w:rsid w:val="00150437"/>
    <w:rsid w:val="00151066"/>
    <w:rsid w:val="00152107"/>
    <w:rsid w:val="00153CAD"/>
    <w:rsid w:val="00153D1A"/>
    <w:rsid w:val="001542EE"/>
    <w:rsid w:val="001554AF"/>
    <w:rsid w:val="0015575E"/>
    <w:rsid w:val="00155E7B"/>
    <w:rsid w:val="0015608A"/>
    <w:rsid w:val="00156C76"/>
    <w:rsid w:val="00156E26"/>
    <w:rsid w:val="00156EEE"/>
    <w:rsid w:val="00160993"/>
    <w:rsid w:val="00160C24"/>
    <w:rsid w:val="00160DC8"/>
    <w:rsid w:val="001613EC"/>
    <w:rsid w:val="0016150F"/>
    <w:rsid w:val="001616E7"/>
    <w:rsid w:val="00161A8D"/>
    <w:rsid w:val="00161E9C"/>
    <w:rsid w:val="00163111"/>
    <w:rsid w:val="00163CEC"/>
    <w:rsid w:val="00164576"/>
    <w:rsid w:val="0016488C"/>
    <w:rsid w:val="00164D7B"/>
    <w:rsid w:val="00164D7D"/>
    <w:rsid w:val="00165914"/>
    <w:rsid w:val="00165FCD"/>
    <w:rsid w:val="001661D5"/>
    <w:rsid w:val="001661DB"/>
    <w:rsid w:val="00166D54"/>
    <w:rsid w:val="001673CF"/>
    <w:rsid w:val="00171058"/>
    <w:rsid w:val="001712B3"/>
    <w:rsid w:val="00171389"/>
    <w:rsid w:val="00171BF5"/>
    <w:rsid w:val="0017211C"/>
    <w:rsid w:val="001728BF"/>
    <w:rsid w:val="00172B5A"/>
    <w:rsid w:val="00173359"/>
    <w:rsid w:val="0017445D"/>
    <w:rsid w:val="0017606C"/>
    <w:rsid w:val="00177387"/>
    <w:rsid w:val="001779C6"/>
    <w:rsid w:val="0018069F"/>
    <w:rsid w:val="0018096A"/>
    <w:rsid w:val="00180C9C"/>
    <w:rsid w:val="001824B3"/>
    <w:rsid w:val="00182B1F"/>
    <w:rsid w:val="00182FEA"/>
    <w:rsid w:val="00183441"/>
    <w:rsid w:val="00183E86"/>
    <w:rsid w:val="00183FC8"/>
    <w:rsid w:val="0018423A"/>
    <w:rsid w:val="0018477C"/>
    <w:rsid w:val="00184C94"/>
    <w:rsid w:val="00185215"/>
    <w:rsid w:val="0018565A"/>
    <w:rsid w:val="00185EE8"/>
    <w:rsid w:val="00186064"/>
    <w:rsid w:val="001862C5"/>
    <w:rsid w:val="00186D3A"/>
    <w:rsid w:val="00187396"/>
    <w:rsid w:val="0018775A"/>
    <w:rsid w:val="00187857"/>
    <w:rsid w:val="00190724"/>
    <w:rsid w:val="00190C35"/>
    <w:rsid w:val="00191609"/>
    <w:rsid w:val="0019161F"/>
    <w:rsid w:val="00192169"/>
    <w:rsid w:val="001928CC"/>
    <w:rsid w:val="00192C2A"/>
    <w:rsid w:val="001930AA"/>
    <w:rsid w:val="00194634"/>
    <w:rsid w:val="0019507E"/>
    <w:rsid w:val="00195279"/>
    <w:rsid w:val="00195A29"/>
    <w:rsid w:val="00195D1B"/>
    <w:rsid w:val="001961AC"/>
    <w:rsid w:val="00196FAF"/>
    <w:rsid w:val="001A00DD"/>
    <w:rsid w:val="001A032F"/>
    <w:rsid w:val="001A1074"/>
    <w:rsid w:val="001A16CB"/>
    <w:rsid w:val="001A1E48"/>
    <w:rsid w:val="001A2A7F"/>
    <w:rsid w:val="001A2E37"/>
    <w:rsid w:val="001A34F6"/>
    <w:rsid w:val="001A4080"/>
    <w:rsid w:val="001A49C4"/>
    <w:rsid w:val="001A5BDB"/>
    <w:rsid w:val="001A63A4"/>
    <w:rsid w:val="001A739D"/>
    <w:rsid w:val="001A7CBE"/>
    <w:rsid w:val="001B0542"/>
    <w:rsid w:val="001B0F9C"/>
    <w:rsid w:val="001B12BE"/>
    <w:rsid w:val="001B25B0"/>
    <w:rsid w:val="001B2B0B"/>
    <w:rsid w:val="001B3880"/>
    <w:rsid w:val="001B38BE"/>
    <w:rsid w:val="001B4919"/>
    <w:rsid w:val="001B4F36"/>
    <w:rsid w:val="001B505A"/>
    <w:rsid w:val="001B516E"/>
    <w:rsid w:val="001B570A"/>
    <w:rsid w:val="001B59DE"/>
    <w:rsid w:val="001B72EB"/>
    <w:rsid w:val="001B7498"/>
    <w:rsid w:val="001B7535"/>
    <w:rsid w:val="001B7BC2"/>
    <w:rsid w:val="001B7EC2"/>
    <w:rsid w:val="001B7F6D"/>
    <w:rsid w:val="001C0477"/>
    <w:rsid w:val="001C07D2"/>
    <w:rsid w:val="001C1868"/>
    <w:rsid w:val="001C1BD9"/>
    <w:rsid w:val="001C2C63"/>
    <w:rsid w:val="001C2F6E"/>
    <w:rsid w:val="001C3883"/>
    <w:rsid w:val="001C3B0F"/>
    <w:rsid w:val="001C3C09"/>
    <w:rsid w:val="001C3EF9"/>
    <w:rsid w:val="001C4557"/>
    <w:rsid w:val="001C5123"/>
    <w:rsid w:val="001C54DE"/>
    <w:rsid w:val="001C5EC4"/>
    <w:rsid w:val="001C6851"/>
    <w:rsid w:val="001C79DC"/>
    <w:rsid w:val="001C7A8D"/>
    <w:rsid w:val="001D03BC"/>
    <w:rsid w:val="001D068F"/>
    <w:rsid w:val="001D09BE"/>
    <w:rsid w:val="001D0A1B"/>
    <w:rsid w:val="001D0DFD"/>
    <w:rsid w:val="001D1617"/>
    <w:rsid w:val="001D1ACD"/>
    <w:rsid w:val="001D28C8"/>
    <w:rsid w:val="001D2E61"/>
    <w:rsid w:val="001D3851"/>
    <w:rsid w:val="001D43AD"/>
    <w:rsid w:val="001D4679"/>
    <w:rsid w:val="001D4B5C"/>
    <w:rsid w:val="001D5547"/>
    <w:rsid w:val="001D6E7F"/>
    <w:rsid w:val="001D7E16"/>
    <w:rsid w:val="001E026D"/>
    <w:rsid w:val="001E124F"/>
    <w:rsid w:val="001E17CF"/>
    <w:rsid w:val="001E1A8A"/>
    <w:rsid w:val="001E1C88"/>
    <w:rsid w:val="001E2E73"/>
    <w:rsid w:val="001E2E8D"/>
    <w:rsid w:val="001E3A54"/>
    <w:rsid w:val="001E3D82"/>
    <w:rsid w:val="001E6A74"/>
    <w:rsid w:val="001E70EA"/>
    <w:rsid w:val="001E7E28"/>
    <w:rsid w:val="001F0ABF"/>
    <w:rsid w:val="001F0F19"/>
    <w:rsid w:val="001F1EE7"/>
    <w:rsid w:val="001F201A"/>
    <w:rsid w:val="001F2535"/>
    <w:rsid w:val="001F3034"/>
    <w:rsid w:val="001F41D0"/>
    <w:rsid w:val="001F462C"/>
    <w:rsid w:val="001F5201"/>
    <w:rsid w:val="001F75EB"/>
    <w:rsid w:val="001F76ED"/>
    <w:rsid w:val="001F7765"/>
    <w:rsid w:val="002000F0"/>
    <w:rsid w:val="00200A46"/>
    <w:rsid w:val="00201B7C"/>
    <w:rsid w:val="00202874"/>
    <w:rsid w:val="00203CD9"/>
    <w:rsid w:val="00203CF2"/>
    <w:rsid w:val="00203D2E"/>
    <w:rsid w:val="00204EEB"/>
    <w:rsid w:val="002053EC"/>
    <w:rsid w:val="00205E11"/>
    <w:rsid w:val="00206776"/>
    <w:rsid w:val="002067ED"/>
    <w:rsid w:val="0020763F"/>
    <w:rsid w:val="00207B08"/>
    <w:rsid w:val="00207B1E"/>
    <w:rsid w:val="002106F2"/>
    <w:rsid w:val="00211DF3"/>
    <w:rsid w:val="00211E3F"/>
    <w:rsid w:val="002126E7"/>
    <w:rsid w:val="002127E7"/>
    <w:rsid w:val="002143BF"/>
    <w:rsid w:val="00214DE4"/>
    <w:rsid w:val="00214F45"/>
    <w:rsid w:val="00214F76"/>
    <w:rsid w:val="00215D0C"/>
    <w:rsid w:val="00216019"/>
    <w:rsid w:val="002162C4"/>
    <w:rsid w:val="0021755B"/>
    <w:rsid w:val="0022003E"/>
    <w:rsid w:val="0022046F"/>
    <w:rsid w:val="00220F16"/>
    <w:rsid w:val="00221082"/>
    <w:rsid w:val="002230C1"/>
    <w:rsid w:val="0022380C"/>
    <w:rsid w:val="00224827"/>
    <w:rsid w:val="002248AC"/>
    <w:rsid w:val="002248B3"/>
    <w:rsid w:val="00224F7D"/>
    <w:rsid w:val="0022550C"/>
    <w:rsid w:val="0022572F"/>
    <w:rsid w:val="00226959"/>
    <w:rsid w:val="00226AF2"/>
    <w:rsid w:val="0022752A"/>
    <w:rsid w:val="002276E7"/>
    <w:rsid w:val="00227D54"/>
    <w:rsid w:val="002305BE"/>
    <w:rsid w:val="00230B78"/>
    <w:rsid w:val="002311BB"/>
    <w:rsid w:val="00231490"/>
    <w:rsid w:val="002314DE"/>
    <w:rsid w:val="002315A6"/>
    <w:rsid w:val="00231837"/>
    <w:rsid w:val="00231F9D"/>
    <w:rsid w:val="002323A2"/>
    <w:rsid w:val="002336BC"/>
    <w:rsid w:val="00233B2F"/>
    <w:rsid w:val="00233B5B"/>
    <w:rsid w:val="002349A0"/>
    <w:rsid w:val="00234B49"/>
    <w:rsid w:val="00234ED5"/>
    <w:rsid w:val="002351EC"/>
    <w:rsid w:val="002364D1"/>
    <w:rsid w:val="00236710"/>
    <w:rsid w:val="00236E19"/>
    <w:rsid w:val="00236E20"/>
    <w:rsid w:val="0023706D"/>
    <w:rsid w:val="002376FC"/>
    <w:rsid w:val="00240222"/>
    <w:rsid w:val="00240D31"/>
    <w:rsid w:val="002414BB"/>
    <w:rsid w:val="0024185E"/>
    <w:rsid w:val="00241DBC"/>
    <w:rsid w:val="0024245F"/>
    <w:rsid w:val="002429A1"/>
    <w:rsid w:val="002439CC"/>
    <w:rsid w:val="0024402D"/>
    <w:rsid w:val="002441A6"/>
    <w:rsid w:val="00246FB7"/>
    <w:rsid w:val="002470F3"/>
    <w:rsid w:val="00247A0E"/>
    <w:rsid w:val="00250A3F"/>
    <w:rsid w:val="00250DF9"/>
    <w:rsid w:val="00251AA8"/>
    <w:rsid w:val="00251E66"/>
    <w:rsid w:val="0025342B"/>
    <w:rsid w:val="00253DC8"/>
    <w:rsid w:val="00253FAB"/>
    <w:rsid w:val="00254198"/>
    <w:rsid w:val="00254473"/>
    <w:rsid w:val="00254C5B"/>
    <w:rsid w:val="00254EB8"/>
    <w:rsid w:val="0025779E"/>
    <w:rsid w:val="002578EE"/>
    <w:rsid w:val="00260214"/>
    <w:rsid w:val="0026077A"/>
    <w:rsid w:val="002609FA"/>
    <w:rsid w:val="00261139"/>
    <w:rsid w:val="0026177C"/>
    <w:rsid w:val="002637AB"/>
    <w:rsid w:val="00263B04"/>
    <w:rsid w:val="00263B2B"/>
    <w:rsid w:val="00263CAD"/>
    <w:rsid w:val="0026455E"/>
    <w:rsid w:val="0026457F"/>
    <w:rsid w:val="0026493A"/>
    <w:rsid w:val="00264A8E"/>
    <w:rsid w:val="00264EF8"/>
    <w:rsid w:val="00265F42"/>
    <w:rsid w:val="002660BB"/>
    <w:rsid w:val="002662A0"/>
    <w:rsid w:val="0026660E"/>
    <w:rsid w:val="00267101"/>
    <w:rsid w:val="0026755D"/>
    <w:rsid w:val="002700F9"/>
    <w:rsid w:val="00270639"/>
    <w:rsid w:val="00270901"/>
    <w:rsid w:val="0027118E"/>
    <w:rsid w:val="00271975"/>
    <w:rsid w:val="00272073"/>
    <w:rsid w:val="00272233"/>
    <w:rsid w:val="002725F4"/>
    <w:rsid w:val="0027464F"/>
    <w:rsid w:val="0027489F"/>
    <w:rsid w:val="00275C13"/>
    <w:rsid w:val="00275DCB"/>
    <w:rsid w:val="002760C9"/>
    <w:rsid w:val="0027650F"/>
    <w:rsid w:val="0027654E"/>
    <w:rsid w:val="002771E5"/>
    <w:rsid w:val="002771F9"/>
    <w:rsid w:val="00277840"/>
    <w:rsid w:val="0028000F"/>
    <w:rsid w:val="00280793"/>
    <w:rsid w:val="002808A4"/>
    <w:rsid w:val="002808AA"/>
    <w:rsid w:val="0028105A"/>
    <w:rsid w:val="0028231E"/>
    <w:rsid w:val="0028295B"/>
    <w:rsid w:val="00283C64"/>
    <w:rsid w:val="00283DC3"/>
    <w:rsid w:val="002840E0"/>
    <w:rsid w:val="00284132"/>
    <w:rsid w:val="00284207"/>
    <w:rsid w:val="00284A9F"/>
    <w:rsid w:val="00285789"/>
    <w:rsid w:val="00285B48"/>
    <w:rsid w:val="00286D2C"/>
    <w:rsid w:val="002871F2"/>
    <w:rsid w:val="00287479"/>
    <w:rsid w:val="00287C5A"/>
    <w:rsid w:val="0029019A"/>
    <w:rsid w:val="0029051C"/>
    <w:rsid w:val="00290BFF"/>
    <w:rsid w:val="00290E6E"/>
    <w:rsid w:val="0029242B"/>
    <w:rsid w:val="00292A6A"/>
    <w:rsid w:val="00293839"/>
    <w:rsid w:val="00293847"/>
    <w:rsid w:val="002938CE"/>
    <w:rsid w:val="00293BD8"/>
    <w:rsid w:val="00294142"/>
    <w:rsid w:val="002945CF"/>
    <w:rsid w:val="00295511"/>
    <w:rsid w:val="00296417"/>
    <w:rsid w:val="0029662C"/>
    <w:rsid w:val="002966DF"/>
    <w:rsid w:val="0029675A"/>
    <w:rsid w:val="00296B9A"/>
    <w:rsid w:val="00297154"/>
    <w:rsid w:val="0029730F"/>
    <w:rsid w:val="00297495"/>
    <w:rsid w:val="00297BFA"/>
    <w:rsid w:val="00297CB2"/>
    <w:rsid w:val="00297E36"/>
    <w:rsid w:val="002A0362"/>
    <w:rsid w:val="002A0A48"/>
    <w:rsid w:val="002A1236"/>
    <w:rsid w:val="002A1765"/>
    <w:rsid w:val="002A1789"/>
    <w:rsid w:val="002A1B69"/>
    <w:rsid w:val="002A1C82"/>
    <w:rsid w:val="002A25F4"/>
    <w:rsid w:val="002A27ED"/>
    <w:rsid w:val="002A2D57"/>
    <w:rsid w:val="002A30D2"/>
    <w:rsid w:val="002A3A80"/>
    <w:rsid w:val="002A3C80"/>
    <w:rsid w:val="002A4580"/>
    <w:rsid w:val="002A4E43"/>
    <w:rsid w:val="002A584C"/>
    <w:rsid w:val="002A6DA4"/>
    <w:rsid w:val="002A700C"/>
    <w:rsid w:val="002A7B74"/>
    <w:rsid w:val="002A7E1F"/>
    <w:rsid w:val="002AD256"/>
    <w:rsid w:val="002B01C1"/>
    <w:rsid w:val="002B0236"/>
    <w:rsid w:val="002B0956"/>
    <w:rsid w:val="002B097B"/>
    <w:rsid w:val="002B12BA"/>
    <w:rsid w:val="002B15CB"/>
    <w:rsid w:val="002B1731"/>
    <w:rsid w:val="002B2466"/>
    <w:rsid w:val="002B2603"/>
    <w:rsid w:val="002B2773"/>
    <w:rsid w:val="002B2945"/>
    <w:rsid w:val="002B2BE3"/>
    <w:rsid w:val="002B3468"/>
    <w:rsid w:val="002B544B"/>
    <w:rsid w:val="002B55EF"/>
    <w:rsid w:val="002B583B"/>
    <w:rsid w:val="002B5E42"/>
    <w:rsid w:val="002B5FCC"/>
    <w:rsid w:val="002B634A"/>
    <w:rsid w:val="002B7D35"/>
    <w:rsid w:val="002C00BF"/>
    <w:rsid w:val="002C0197"/>
    <w:rsid w:val="002C041E"/>
    <w:rsid w:val="002C0792"/>
    <w:rsid w:val="002C0A5A"/>
    <w:rsid w:val="002C1092"/>
    <w:rsid w:val="002C1425"/>
    <w:rsid w:val="002C2039"/>
    <w:rsid w:val="002C226C"/>
    <w:rsid w:val="002C23FF"/>
    <w:rsid w:val="002C2493"/>
    <w:rsid w:val="002C26A8"/>
    <w:rsid w:val="002C28EB"/>
    <w:rsid w:val="002C2E16"/>
    <w:rsid w:val="002C38EB"/>
    <w:rsid w:val="002C3EE2"/>
    <w:rsid w:val="002C42AB"/>
    <w:rsid w:val="002C4B45"/>
    <w:rsid w:val="002C5131"/>
    <w:rsid w:val="002C5174"/>
    <w:rsid w:val="002C5F91"/>
    <w:rsid w:val="002C603C"/>
    <w:rsid w:val="002C6FD7"/>
    <w:rsid w:val="002C77C4"/>
    <w:rsid w:val="002C7A8B"/>
    <w:rsid w:val="002D07B7"/>
    <w:rsid w:val="002D0C4D"/>
    <w:rsid w:val="002D0CF1"/>
    <w:rsid w:val="002D0DBE"/>
    <w:rsid w:val="002D2F21"/>
    <w:rsid w:val="002D3451"/>
    <w:rsid w:val="002D3913"/>
    <w:rsid w:val="002D3BD7"/>
    <w:rsid w:val="002D4118"/>
    <w:rsid w:val="002D4932"/>
    <w:rsid w:val="002D4B55"/>
    <w:rsid w:val="002D4FD7"/>
    <w:rsid w:val="002D5014"/>
    <w:rsid w:val="002D5417"/>
    <w:rsid w:val="002D7619"/>
    <w:rsid w:val="002D7832"/>
    <w:rsid w:val="002D7CB6"/>
    <w:rsid w:val="002E00B2"/>
    <w:rsid w:val="002E1DD8"/>
    <w:rsid w:val="002E21EA"/>
    <w:rsid w:val="002E2D78"/>
    <w:rsid w:val="002E3DBF"/>
    <w:rsid w:val="002E4F25"/>
    <w:rsid w:val="002E595D"/>
    <w:rsid w:val="002E61C2"/>
    <w:rsid w:val="002E692F"/>
    <w:rsid w:val="002E73BB"/>
    <w:rsid w:val="002E7639"/>
    <w:rsid w:val="002E7833"/>
    <w:rsid w:val="002E7E09"/>
    <w:rsid w:val="002F022D"/>
    <w:rsid w:val="002F05B4"/>
    <w:rsid w:val="002F0AA0"/>
    <w:rsid w:val="002F0D05"/>
    <w:rsid w:val="002F1031"/>
    <w:rsid w:val="002F2AEA"/>
    <w:rsid w:val="002F30ED"/>
    <w:rsid w:val="002F376E"/>
    <w:rsid w:val="002F3C59"/>
    <w:rsid w:val="002F4719"/>
    <w:rsid w:val="002F6482"/>
    <w:rsid w:val="002F6BB1"/>
    <w:rsid w:val="002F6E3C"/>
    <w:rsid w:val="002F7AD6"/>
    <w:rsid w:val="00300193"/>
    <w:rsid w:val="0030174B"/>
    <w:rsid w:val="0030282C"/>
    <w:rsid w:val="003037F8"/>
    <w:rsid w:val="003041FA"/>
    <w:rsid w:val="003045BA"/>
    <w:rsid w:val="0030527C"/>
    <w:rsid w:val="0030567E"/>
    <w:rsid w:val="00306335"/>
    <w:rsid w:val="003064F6"/>
    <w:rsid w:val="00307B1E"/>
    <w:rsid w:val="00307EFC"/>
    <w:rsid w:val="0031075C"/>
    <w:rsid w:val="00311478"/>
    <w:rsid w:val="00311B11"/>
    <w:rsid w:val="0031270C"/>
    <w:rsid w:val="00312986"/>
    <w:rsid w:val="00312A68"/>
    <w:rsid w:val="00313633"/>
    <w:rsid w:val="003145FA"/>
    <w:rsid w:val="00314837"/>
    <w:rsid w:val="003155D2"/>
    <w:rsid w:val="00316147"/>
    <w:rsid w:val="00316204"/>
    <w:rsid w:val="0031635D"/>
    <w:rsid w:val="00316429"/>
    <w:rsid w:val="00316D37"/>
    <w:rsid w:val="00317209"/>
    <w:rsid w:val="003173C9"/>
    <w:rsid w:val="00317614"/>
    <w:rsid w:val="00320178"/>
    <w:rsid w:val="0032039C"/>
    <w:rsid w:val="00320F54"/>
    <w:rsid w:val="003214F9"/>
    <w:rsid w:val="003222F5"/>
    <w:rsid w:val="0032237B"/>
    <w:rsid w:val="003223A9"/>
    <w:rsid w:val="00322A50"/>
    <w:rsid w:val="0032471D"/>
    <w:rsid w:val="003252BB"/>
    <w:rsid w:val="00325375"/>
    <w:rsid w:val="0032537F"/>
    <w:rsid w:val="00325D4D"/>
    <w:rsid w:val="00325E4A"/>
    <w:rsid w:val="003279FD"/>
    <w:rsid w:val="00327EEB"/>
    <w:rsid w:val="003318AA"/>
    <w:rsid w:val="00331A6F"/>
    <w:rsid w:val="00332B18"/>
    <w:rsid w:val="003331B4"/>
    <w:rsid w:val="0033356C"/>
    <w:rsid w:val="00333E0F"/>
    <w:rsid w:val="00333EBA"/>
    <w:rsid w:val="00334064"/>
    <w:rsid w:val="003342CD"/>
    <w:rsid w:val="0033477F"/>
    <w:rsid w:val="00335042"/>
    <w:rsid w:val="00335C7E"/>
    <w:rsid w:val="003367EC"/>
    <w:rsid w:val="003370DD"/>
    <w:rsid w:val="00337233"/>
    <w:rsid w:val="00337250"/>
    <w:rsid w:val="003377F8"/>
    <w:rsid w:val="0033789F"/>
    <w:rsid w:val="00337B92"/>
    <w:rsid w:val="00337FDD"/>
    <w:rsid w:val="0034011A"/>
    <w:rsid w:val="00340806"/>
    <w:rsid w:val="00340D86"/>
    <w:rsid w:val="00341642"/>
    <w:rsid w:val="00341B80"/>
    <w:rsid w:val="003422A2"/>
    <w:rsid w:val="00342898"/>
    <w:rsid w:val="003430C6"/>
    <w:rsid w:val="00343299"/>
    <w:rsid w:val="00343895"/>
    <w:rsid w:val="00345430"/>
    <w:rsid w:val="00345CE2"/>
    <w:rsid w:val="00346F93"/>
    <w:rsid w:val="00347222"/>
    <w:rsid w:val="0034747C"/>
    <w:rsid w:val="003475E8"/>
    <w:rsid w:val="00347AD1"/>
    <w:rsid w:val="00347C16"/>
    <w:rsid w:val="003504AC"/>
    <w:rsid w:val="00350996"/>
    <w:rsid w:val="00351166"/>
    <w:rsid w:val="003523B3"/>
    <w:rsid w:val="00352CDE"/>
    <w:rsid w:val="003531F1"/>
    <w:rsid w:val="003547F8"/>
    <w:rsid w:val="00354F59"/>
    <w:rsid w:val="0035536A"/>
    <w:rsid w:val="00355836"/>
    <w:rsid w:val="00355872"/>
    <w:rsid w:val="003558E8"/>
    <w:rsid w:val="00355B23"/>
    <w:rsid w:val="00355B47"/>
    <w:rsid w:val="00355CCF"/>
    <w:rsid w:val="00356385"/>
    <w:rsid w:val="00356DA6"/>
    <w:rsid w:val="003575F5"/>
    <w:rsid w:val="00357733"/>
    <w:rsid w:val="003577B5"/>
    <w:rsid w:val="0035793E"/>
    <w:rsid w:val="00357CE4"/>
    <w:rsid w:val="00357EDC"/>
    <w:rsid w:val="00360C0A"/>
    <w:rsid w:val="00360F6B"/>
    <w:rsid w:val="0036158E"/>
    <w:rsid w:val="0036165D"/>
    <w:rsid w:val="0036176E"/>
    <w:rsid w:val="00362325"/>
    <w:rsid w:val="00362A47"/>
    <w:rsid w:val="00362B70"/>
    <w:rsid w:val="0036320F"/>
    <w:rsid w:val="00364791"/>
    <w:rsid w:val="00364DDB"/>
    <w:rsid w:val="00364DEE"/>
    <w:rsid w:val="00364DF5"/>
    <w:rsid w:val="00364E95"/>
    <w:rsid w:val="00365923"/>
    <w:rsid w:val="00365BE1"/>
    <w:rsid w:val="00365F21"/>
    <w:rsid w:val="0036709E"/>
    <w:rsid w:val="00367227"/>
    <w:rsid w:val="0036793C"/>
    <w:rsid w:val="00370395"/>
    <w:rsid w:val="00370BA5"/>
    <w:rsid w:val="00370DC7"/>
    <w:rsid w:val="0037180D"/>
    <w:rsid w:val="00372582"/>
    <w:rsid w:val="00372A9A"/>
    <w:rsid w:val="00373853"/>
    <w:rsid w:val="003739D7"/>
    <w:rsid w:val="00373DFE"/>
    <w:rsid w:val="0037422C"/>
    <w:rsid w:val="00374692"/>
    <w:rsid w:val="00374EC4"/>
    <w:rsid w:val="00374F0D"/>
    <w:rsid w:val="00374FE2"/>
    <w:rsid w:val="0037500A"/>
    <w:rsid w:val="003754FB"/>
    <w:rsid w:val="00375C18"/>
    <w:rsid w:val="003802E3"/>
    <w:rsid w:val="0038059F"/>
    <w:rsid w:val="003807D7"/>
    <w:rsid w:val="00380A04"/>
    <w:rsid w:val="00380EFF"/>
    <w:rsid w:val="00381159"/>
    <w:rsid w:val="003822AB"/>
    <w:rsid w:val="003823C3"/>
    <w:rsid w:val="00382E0E"/>
    <w:rsid w:val="003840E8"/>
    <w:rsid w:val="00384BC0"/>
    <w:rsid w:val="00384C45"/>
    <w:rsid w:val="003850AE"/>
    <w:rsid w:val="00385288"/>
    <w:rsid w:val="00385E04"/>
    <w:rsid w:val="003860A3"/>
    <w:rsid w:val="0038638F"/>
    <w:rsid w:val="00386A19"/>
    <w:rsid w:val="00386AEB"/>
    <w:rsid w:val="00386B0B"/>
    <w:rsid w:val="00387385"/>
    <w:rsid w:val="00390EF1"/>
    <w:rsid w:val="003912EA"/>
    <w:rsid w:val="00391A69"/>
    <w:rsid w:val="00391D75"/>
    <w:rsid w:val="003920A9"/>
    <w:rsid w:val="00392958"/>
    <w:rsid w:val="00392BBA"/>
    <w:rsid w:val="00392C0C"/>
    <w:rsid w:val="0039387D"/>
    <w:rsid w:val="00393BB8"/>
    <w:rsid w:val="00394477"/>
    <w:rsid w:val="00394495"/>
    <w:rsid w:val="00394A7D"/>
    <w:rsid w:val="0039510C"/>
    <w:rsid w:val="003954FD"/>
    <w:rsid w:val="003955F7"/>
    <w:rsid w:val="0039597D"/>
    <w:rsid w:val="00395CA0"/>
    <w:rsid w:val="00395DA9"/>
    <w:rsid w:val="00396BEB"/>
    <w:rsid w:val="00397FCE"/>
    <w:rsid w:val="003A0098"/>
    <w:rsid w:val="003A04AC"/>
    <w:rsid w:val="003A09DE"/>
    <w:rsid w:val="003A12AA"/>
    <w:rsid w:val="003A13C7"/>
    <w:rsid w:val="003A15DC"/>
    <w:rsid w:val="003A1A25"/>
    <w:rsid w:val="003A1A31"/>
    <w:rsid w:val="003A29A6"/>
    <w:rsid w:val="003A3276"/>
    <w:rsid w:val="003A343D"/>
    <w:rsid w:val="003A361F"/>
    <w:rsid w:val="003A4470"/>
    <w:rsid w:val="003A4623"/>
    <w:rsid w:val="003A4EA2"/>
    <w:rsid w:val="003A6578"/>
    <w:rsid w:val="003A7A7D"/>
    <w:rsid w:val="003B0620"/>
    <w:rsid w:val="003B06EB"/>
    <w:rsid w:val="003B09AF"/>
    <w:rsid w:val="003B0A99"/>
    <w:rsid w:val="003B0E8A"/>
    <w:rsid w:val="003B1038"/>
    <w:rsid w:val="003B19DD"/>
    <w:rsid w:val="003B1B59"/>
    <w:rsid w:val="003B274A"/>
    <w:rsid w:val="003B31F4"/>
    <w:rsid w:val="003B3404"/>
    <w:rsid w:val="003B3D8B"/>
    <w:rsid w:val="003B4267"/>
    <w:rsid w:val="003B4356"/>
    <w:rsid w:val="003B4E33"/>
    <w:rsid w:val="003B5EF6"/>
    <w:rsid w:val="003B61DD"/>
    <w:rsid w:val="003B6233"/>
    <w:rsid w:val="003B6259"/>
    <w:rsid w:val="003C0823"/>
    <w:rsid w:val="003C12A9"/>
    <w:rsid w:val="003C164B"/>
    <w:rsid w:val="003C1BD3"/>
    <w:rsid w:val="003C1CCE"/>
    <w:rsid w:val="003C2274"/>
    <w:rsid w:val="003C2AFD"/>
    <w:rsid w:val="003C323F"/>
    <w:rsid w:val="003C3822"/>
    <w:rsid w:val="003C430F"/>
    <w:rsid w:val="003C445C"/>
    <w:rsid w:val="003C528D"/>
    <w:rsid w:val="003C5719"/>
    <w:rsid w:val="003C59C3"/>
    <w:rsid w:val="003C5BF6"/>
    <w:rsid w:val="003C6230"/>
    <w:rsid w:val="003C6A23"/>
    <w:rsid w:val="003C6C95"/>
    <w:rsid w:val="003C7467"/>
    <w:rsid w:val="003C747B"/>
    <w:rsid w:val="003C7907"/>
    <w:rsid w:val="003C7B67"/>
    <w:rsid w:val="003C7B82"/>
    <w:rsid w:val="003D037E"/>
    <w:rsid w:val="003D068A"/>
    <w:rsid w:val="003D082E"/>
    <w:rsid w:val="003D0B99"/>
    <w:rsid w:val="003D0CAD"/>
    <w:rsid w:val="003D0D1A"/>
    <w:rsid w:val="003D1216"/>
    <w:rsid w:val="003D25DE"/>
    <w:rsid w:val="003D287E"/>
    <w:rsid w:val="003D32BA"/>
    <w:rsid w:val="003D35D4"/>
    <w:rsid w:val="003D392B"/>
    <w:rsid w:val="003D3BDD"/>
    <w:rsid w:val="003D429D"/>
    <w:rsid w:val="003D4EC6"/>
    <w:rsid w:val="003D4F85"/>
    <w:rsid w:val="003D5016"/>
    <w:rsid w:val="003D5FD7"/>
    <w:rsid w:val="003D6087"/>
    <w:rsid w:val="003D60D7"/>
    <w:rsid w:val="003D6F76"/>
    <w:rsid w:val="003D716C"/>
    <w:rsid w:val="003D7543"/>
    <w:rsid w:val="003D79D6"/>
    <w:rsid w:val="003D7FA7"/>
    <w:rsid w:val="003E0292"/>
    <w:rsid w:val="003E0411"/>
    <w:rsid w:val="003E04EF"/>
    <w:rsid w:val="003E0DDC"/>
    <w:rsid w:val="003E1264"/>
    <w:rsid w:val="003E1C8F"/>
    <w:rsid w:val="003E1CE3"/>
    <w:rsid w:val="003E2645"/>
    <w:rsid w:val="003E2B93"/>
    <w:rsid w:val="003E3264"/>
    <w:rsid w:val="003E39B8"/>
    <w:rsid w:val="003E3DDF"/>
    <w:rsid w:val="003E3DF4"/>
    <w:rsid w:val="003E3F86"/>
    <w:rsid w:val="003E45A1"/>
    <w:rsid w:val="003E5BE1"/>
    <w:rsid w:val="003E5EEA"/>
    <w:rsid w:val="003E7658"/>
    <w:rsid w:val="003E77BC"/>
    <w:rsid w:val="003F00D9"/>
    <w:rsid w:val="003F00F3"/>
    <w:rsid w:val="003F047E"/>
    <w:rsid w:val="003F1255"/>
    <w:rsid w:val="003F17A4"/>
    <w:rsid w:val="003F1C1C"/>
    <w:rsid w:val="003F2338"/>
    <w:rsid w:val="003F2573"/>
    <w:rsid w:val="003F2660"/>
    <w:rsid w:val="003F2918"/>
    <w:rsid w:val="003F3696"/>
    <w:rsid w:val="003F36CC"/>
    <w:rsid w:val="003F3B86"/>
    <w:rsid w:val="003F4457"/>
    <w:rsid w:val="003F48FB"/>
    <w:rsid w:val="003F6179"/>
    <w:rsid w:val="003F634E"/>
    <w:rsid w:val="003F66CA"/>
    <w:rsid w:val="003F7647"/>
    <w:rsid w:val="003F7A78"/>
    <w:rsid w:val="004000AE"/>
    <w:rsid w:val="00402801"/>
    <w:rsid w:val="0040345D"/>
    <w:rsid w:val="00403A06"/>
    <w:rsid w:val="00403FA2"/>
    <w:rsid w:val="004049A9"/>
    <w:rsid w:val="00404CB1"/>
    <w:rsid w:val="00404E4B"/>
    <w:rsid w:val="004050E4"/>
    <w:rsid w:val="004053C2"/>
    <w:rsid w:val="00405585"/>
    <w:rsid w:val="00405683"/>
    <w:rsid w:val="00405AD3"/>
    <w:rsid w:val="004066FA"/>
    <w:rsid w:val="0040698A"/>
    <w:rsid w:val="00410BA7"/>
    <w:rsid w:val="00410FC5"/>
    <w:rsid w:val="004110E0"/>
    <w:rsid w:val="00411914"/>
    <w:rsid w:val="00411A93"/>
    <w:rsid w:val="0041230A"/>
    <w:rsid w:val="0041290F"/>
    <w:rsid w:val="00412BB6"/>
    <w:rsid w:val="00412D26"/>
    <w:rsid w:val="0041325B"/>
    <w:rsid w:val="00413C03"/>
    <w:rsid w:val="004144E3"/>
    <w:rsid w:val="004146E1"/>
    <w:rsid w:val="00414B34"/>
    <w:rsid w:val="00415C7E"/>
    <w:rsid w:val="00415F3E"/>
    <w:rsid w:val="00415FF3"/>
    <w:rsid w:val="00416824"/>
    <w:rsid w:val="00416B3A"/>
    <w:rsid w:val="00416CCD"/>
    <w:rsid w:val="00416E24"/>
    <w:rsid w:val="00417EF3"/>
    <w:rsid w:val="00420C1E"/>
    <w:rsid w:val="00421610"/>
    <w:rsid w:val="00421926"/>
    <w:rsid w:val="004221AD"/>
    <w:rsid w:val="0042290F"/>
    <w:rsid w:val="0042423D"/>
    <w:rsid w:val="004242C4"/>
    <w:rsid w:val="00424413"/>
    <w:rsid w:val="00424A52"/>
    <w:rsid w:val="004255BA"/>
    <w:rsid w:val="00425640"/>
    <w:rsid w:val="004256F0"/>
    <w:rsid w:val="0042647E"/>
    <w:rsid w:val="00426623"/>
    <w:rsid w:val="00426D14"/>
    <w:rsid w:val="004275D3"/>
    <w:rsid w:val="00427EA3"/>
    <w:rsid w:val="0043170C"/>
    <w:rsid w:val="00431910"/>
    <w:rsid w:val="00432E75"/>
    <w:rsid w:val="00432EC6"/>
    <w:rsid w:val="00433220"/>
    <w:rsid w:val="0043358B"/>
    <w:rsid w:val="0043393B"/>
    <w:rsid w:val="00433E00"/>
    <w:rsid w:val="00434563"/>
    <w:rsid w:val="00435BB4"/>
    <w:rsid w:val="00435EBD"/>
    <w:rsid w:val="00436952"/>
    <w:rsid w:val="004375A7"/>
    <w:rsid w:val="004406FD"/>
    <w:rsid w:val="004407FB"/>
    <w:rsid w:val="00441520"/>
    <w:rsid w:val="00441ACB"/>
    <w:rsid w:val="004424D8"/>
    <w:rsid w:val="0044526D"/>
    <w:rsid w:val="00445304"/>
    <w:rsid w:val="004453BD"/>
    <w:rsid w:val="00445603"/>
    <w:rsid w:val="00445652"/>
    <w:rsid w:val="0044604F"/>
    <w:rsid w:val="004463C4"/>
    <w:rsid w:val="0044649E"/>
    <w:rsid w:val="00447161"/>
    <w:rsid w:val="004471D9"/>
    <w:rsid w:val="00447AEE"/>
    <w:rsid w:val="00447C02"/>
    <w:rsid w:val="00447C3B"/>
    <w:rsid w:val="004508BA"/>
    <w:rsid w:val="0045091A"/>
    <w:rsid w:val="00450D65"/>
    <w:rsid w:val="004514BE"/>
    <w:rsid w:val="004518A9"/>
    <w:rsid w:val="00452048"/>
    <w:rsid w:val="004524B1"/>
    <w:rsid w:val="004529A4"/>
    <w:rsid w:val="00454B1B"/>
    <w:rsid w:val="00454E2D"/>
    <w:rsid w:val="00455687"/>
    <w:rsid w:val="00455C03"/>
    <w:rsid w:val="004564A3"/>
    <w:rsid w:val="00456CD4"/>
    <w:rsid w:val="004572DA"/>
    <w:rsid w:val="004577E7"/>
    <w:rsid w:val="00460895"/>
    <w:rsid w:val="004608F7"/>
    <w:rsid w:val="00460B83"/>
    <w:rsid w:val="00461558"/>
    <w:rsid w:val="00462095"/>
    <w:rsid w:val="00464356"/>
    <w:rsid w:val="0046590B"/>
    <w:rsid w:val="00465C6C"/>
    <w:rsid w:val="00466731"/>
    <w:rsid w:val="00466DD5"/>
    <w:rsid w:val="00467354"/>
    <w:rsid w:val="00467A76"/>
    <w:rsid w:val="00467C60"/>
    <w:rsid w:val="00467E83"/>
    <w:rsid w:val="004704A6"/>
    <w:rsid w:val="00470EA3"/>
    <w:rsid w:val="00471DA3"/>
    <w:rsid w:val="0047248C"/>
    <w:rsid w:val="004725A9"/>
    <w:rsid w:val="0047265F"/>
    <w:rsid w:val="004726DB"/>
    <w:rsid w:val="004732EF"/>
    <w:rsid w:val="004736AF"/>
    <w:rsid w:val="00473B71"/>
    <w:rsid w:val="004743C1"/>
    <w:rsid w:val="00474535"/>
    <w:rsid w:val="004746B1"/>
    <w:rsid w:val="00474973"/>
    <w:rsid w:val="00474A40"/>
    <w:rsid w:val="004755FE"/>
    <w:rsid w:val="0047583D"/>
    <w:rsid w:val="00475B44"/>
    <w:rsid w:val="00475C32"/>
    <w:rsid w:val="00476948"/>
    <w:rsid w:val="0048018B"/>
    <w:rsid w:val="004803D7"/>
    <w:rsid w:val="004805E8"/>
    <w:rsid w:val="0048076D"/>
    <w:rsid w:val="00480787"/>
    <w:rsid w:val="00480948"/>
    <w:rsid w:val="00480C4A"/>
    <w:rsid w:val="0048112B"/>
    <w:rsid w:val="00481DA9"/>
    <w:rsid w:val="00481E87"/>
    <w:rsid w:val="00482663"/>
    <w:rsid w:val="00482A9C"/>
    <w:rsid w:val="00482B81"/>
    <w:rsid w:val="00482D4C"/>
    <w:rsid w:val="00483475"/>
    <w:rsid w:val="004837FE"/>
    <w:rsid w:val="004838E4"/>
    <w:rsid w:val="00483BE0"/>
    <w:rsid w:val="0048463A"/>
    <w:rsid w:val="00485651"/>
    <w:rsid w:val="00485BE0"/>
    <w:rsid w:val="00485BEF"/>
    <w:rsid w:val="00487947"/>
    <w:rsid w:val="0049142A"/>
    <w:rsid w:val="00491745"/>
    <w:rsid w:val="00491889"/>
    <w:rsid w:val="00491926"/>
    <w:rsid w:val="0049258C"/>
    <w:rsid w:val="004926DA"/>
    <w:rsid w:val="00492BA3"/>
    <w:rsid w:val="00492BF6"/>
    <w:rsid w:val="004931C1"/>
    <w:rsid w:val="00494617"/>
    <w:rsid w:val="004950E9"/>
    <w:rsid w:val="00495DD8"/>
    <w:rsid w:val="00496532"/>
    <w:rsid w:val="004A0297"/>
    <w:rsid w:val="004A0919"/>
    <w:rsid w:val="004A0942"/>
    <w:rsid w:val="004A0F60"/>
    <w:rsid w:val="004A10CE"/>
    <w:rsid w:val="004A1638"/>
    <w:rsid w:val="004A1A83"/>
    <w:rsid w:val="004A1F5D"/>
    <w:rsid w:val="004A25BF"/>
    <w:rsid w:val="004A27A8"/>
    <w:rsid w:val="004A2B8E"/>
    <w:rsid w:val="004A2E47"/>
    <w:rsid w:val="004A2FF1"/>
    <w:rsid w:val="004A3018"/>
    <w:rsid w:val="004A303F"/>
    <w:rsid w:val="004A31D7"/>
    <w:rsid w:val="004A36A4"/>
    <w:rsid w:val="004A4260"/>
    <w:rsid w:val="004A4499"/>
    <w:rsid w:val="004A52A1"/>
    <w:rsid w:val="004A52C8"/>
    <w:rsid w:val="004A6E1F"/>
    <w:rsid w:val="004A76D7"/>
    <w:rsid w:val="004A7E6D"/>
    <w:rsid w:val="004B13D9"/>
    <w:rsid w:val="004B17C9"/>
    <w:rsid w:val="004B1D34"/>
    <w:rsid w:val="004B2EB2"/>
    <w:rsid w:val="004B357A"/>
    <w:rsid w:val="004B3C0F"/>
    <w:rsid w:val="004B406B"/>
    <w:rsid w:val="004B4975"/>
    <w:rsid w:val="004B49E4"/>
    <w:rsid w:val="004B4A3C"/>
    <w:rsid w:val="004B535E"/>
    <w:rsid w:val="004B5CD0"/>
    <w:rsid w:val="004B6822"/>
    <w:rsid w:val="004B6CC1"/>
    <w:rsid w:val="004B6D92"/>
    <w:rsid w:val="004B6FDE"/>
    <w:rsid w:val="004B724D"/>
    <w:rsid w:val="004B77A6"/>
    <w:rsid w:val="004B7B72"/>
    <w:rsid w:val="004C05E4"/>
    <w:rsid w:val="004C1C33"/>
    <w:rsid w:val="004C2066"/>
    <w:rsid w:val="004C28DF"/>
    <w:rsid w:val="004C304D"/>
    <w:rsid w:val="004C35BD"/>
    <w:rsid w:val="004C3829"/>
    <w:rsid w:val="004C3C10"/>
    <w:rsid w:val="004C42A7"/>
    <w:rsid w:val="004C51E4"/>
    <w:rsid w:val="004C585F"/>
    <w:rsid w:val="004C6127"/>
    <w:rsid w:val="004C65B1"/>
    <w:rsid w:val="004C6FB8"/>
    <w:rsid w:val="004C7D87"/>
    <w:rsid w:val="004D09D9"/>
    <w:rsid w:val="004D11F4"/>
    <w:rsid w:val="004D1363"/>
    <w:rsid w:val="004D1F28"/>
    <w:rsid w:val="004D2F18"/>
    <w:rsid w:val="004D3B5E"/>
    <w:rsid w:val="004D3BCC"/>
    <w:rsid w:val="004D3C02"/>
    <w:rsid w:val="004D3FBD"/>
    <w:rsid w:val="004D4182"/>
    <w:rsid w:val="004D4251"/>
    <w:rsid w:val="004D4AE5"/>
    <w:rsid w:val="004D4C3A"/>
    <w:rsid w:val="004D4C59"/>
    <w:rsid w:val="004D5345"/>
    <w:rsid w:val="004D5610"/>
    <w:rsid w:val="004D60ED"/>
    <w:rsid w:val="004D663B"/>
    <w:rsid w:val="004D6C3B"/>
    <w:rsid w:val="004D790D"/>
    <w:rsid w:val="004E0265"/>
    <w:rsid w:val="004E1293"/>
    <w:rsid w:val="004E14F4"/>
    <w:rsid w:val="004E1845"/>
    <w:rsid w:val="004E184B"/>
    <w:rsid w:val="004E1909"/>
    <w:rsid w:val="004E1B01"/>
    <w:rsid w:val="004E2151"/>
    <w:rsid w:val="004E2B51"/>
    <w:rsid w:val="004E2EE7"/>
    <w:rsid w:val="004E340E"/>
    <w:rsid w:val="004E3590"/>
    <w:rsid w:val="004E37BB"/>
    <w:rsid w:val="004E39E1"/>
    <w:rsid w:val="004E4279"/>
    <w:rsid w:val="004E500B"/>
    <w:rsid w:val="004E5C47"/>
    <w:rsid w:val="004E5C6D"/>
    <w:rsid w:val="004E5FB1"/>
    <w:rsid w:val="004E65C6"/>
    <w:rsid w:val="004E73AB"/>
    <w:rsid w:val="004E7CE5"/>
    <w:rsid w:val="004E7EF9"/>
    <w:rsid w:val="004F00BA"/>
    <w:rsid w:val="004F011F"/>
    <w:rsid w:val="004F03F4"/>
    <w:rsid w:val="004F1AB1"/>
    <w:rsid w:val="004F1B0B"/>
    <w:rsid w:val="004F3127"/>
    <w:rsid w:val="004F3ADE"/>
    <w:rsid w:val="004F4C00"/>
    <w:rsid w:val="004F51A5"/>
    <w:rsid w:val="004F56D0"/>
    <w:rsid w:val="004F5C2E"/>
    <w:rsid w:val="004F5F99"/>
    <w:rsid w:val="004F6083"/>
    <w:rsid w:val="004F6464"/>
    <w:rsid w:val="004F646E"/>
    <w:rsid w:val="004F66BD"/>
    <w:rsid w:val="004F6BB0"/>
    <w:rsid w:val="004F72D0"/>
    <w:rsid w:val="004F746F"/>
    <w:rsid w:val="004F7949"/>
    <w:rsid w:val="004F7AA9"/>
    <w:rsid w:val="00500003"/>
    <w:rsid w:val="00500048"/>
    <w:rsid w:val="00500849"/>
    <w:rsid w:val="00500A26"/>
    <w:rsid w:val="00500E1D"/>
    <w:rsid w:val="0050101D"/>
    <w:rsid w:val="005010C7"/>
    <w:rsid w:val="00501307"/>
    <w:rsid w:val="00501460"/>
    <w:rsid w:val="00501D7D"/>
    <w:rsid w:val="0050235E"/>
    <w:rsid w:val="00502A2C"/>
    <w:rsid w:val="0050304E"/>
    <w:rsid w:val="00503A99"/>
    <w:rsid w:val="00503D51"/>
    <w:rsid w:val="00503E44"/>
    <w:rsid w:val="00503F77"/>
    <w:rsid w:val="0050492A"/>
    <w:rsid w:val="005057C6"/>
    <w:rsid w:val="00507318"/>
    <w:rsid w:val="00507764"/>
    <w:rsid w:val="0050777E"/>
    <w:rsid w:val="00507DEE"/>
    <w:rsid w:val="00510096"/>
    <w:rsid w:val="00510FBD"/>
    <w:rsid w:val="00511941"/>
    <w:rsid w:val="005119B5"/>
    <w:rsid w:val="00511DCC"/>
    <w:rsid w:val="00512221"/>
    <w:rsid w:val="005123BE"/>
    <w:rsid w:val="00513C41"/>
    <w:rsid w:val="00513DEB"/>
    <w:rsid w:val="00513FE8"/>
    <w:rsid w:val="0051429B"/>
    <w:rsid w:val="005149DF"/>
    <w:rsid w:val="00514E04"/>
    <w:rsid w:val="00514F07"/>
    <w:rsid w:val="00515283"/>
    <w:rsid w:val="005152B0"/>
    <w:rsid w:val="00515A6F"/>
    <w:rsid w:val="00515C9C"/>
    <w:rsid w:val="0051605E"/>
    <w:rsid w:val="00517116"/>
    <w:rsid w:val="005202E0"/>
    <w:rsid w:val="00520417"/>
    <w:rsid w:val="00520AD3"/>
    <w:rsid w:val="0052232F"/>
    <w:rsid w:val="005227CE"/>
    <w:rsid w:val="00522B56"/>
    <w:rsid w:val="00522C1F"/>
    <w:rsid w:val="005231C5"/>
    <w:rsid w:val="005233D7"/>
    <w:rsid w:val="005241C1"/>
    <w:rsid w:val="005241D1"/>
    <w:rsid w:val="0052514C"/>
    <w:rsid w:val="00525F8C"/>
    <w:rsid w:val="00526E84"/>
    <w:rsid w:val="005274EA"/>
    <w:rsid w:val="00527737"/>
    <w:rsid w:val="005303AD"/>
    <w:rsid w:val="0053071F"/>
    <w:rsid w:val="00531D87"/>
    <w:rsid w:val="00531DBA"/>
    <w:rsid w:val="00532809"/>
    <w:rsid w:val="00532DA5"/>
    <w:rsid w:val="00533427"/>
    <w:rsid w:val="00533926"/>
    <w:rsid w:val="005341E0"/>
    <w:rsid w:val="005344B6"/>
    <w:rsid w:val="005345AC"/>
    <w:rsid w:val="005348EE"/>
    <w:rsid w:val="00535C04"/>
    <w:rsid w:val="005372E7"/>
    <w:rsid w:val="005375B4"/>
    <w:rsid w:val="00537FB7"/>
    <w:rsid w:val="0054039F"/>
    <w:rsid w:val="00540E4C"/>
    <w:rsid w:val="005411D1"/>
    <w:rsid w:val="00541292"/>
    <w:rsid w:val="005418F1"/>
    <w:rsid w:val="00542873"/>
    <w:rsid w:val="005428EF"/>
    <w:rsid w:val="0054361A"/>
    <w:rsid w:val="00543710"/>
    <w:rsid w:val="00545BC6"/>
    <w:rsid w:val="00546069"/>
    <w:rsid w:val="005461CE"/>
    <w:rsid w:val="005462B1"/>
    <w:rsid w:val="005469F4"/>
    <w:rsid w:val="005501DA"/>
    <w:rsid w:val="00550EC0"/>
    <w:rsid w:val="00550F17"/>
    <w:rsid w:val="00550F7D"/>
    <w:rsid w:val="005537D6"/>
    <w:rsid w:val="00554209"/>
    <w:rsid w:val="0055587A"/>
    <w:rsid w:val="00555931"/>
    <w:rsid w:val="005562B6"/>
    <w:rsid w:val="0055675D"/>
    <w:rsid w:val="005568F9"/>
    <w:rsid w:val="00556FAC"/>
    <w:rsid w:val="005573C4"/>
    <w:rsid w:val="0055790D"/>
    <w:rsid w:val="00557CAC"/>
    <w:rsid w:val="00560D61"/>
    <w:rsid w:val="00562368"/>
    <w:rsid w:val="005628F8"/>
    <w:rsid w:val="0056403D"/>
    <w:rsid w:val="0056465F"/>
    <w:rsid w:val="005647C1"/>
    <w:rsid w:val="00564B3B"/>
    <w:rsid w:val="00564BFA"/>
    <w:rsid w:val="00564C0E"/>
    <w:rsid w:val="0056505A"/>
    <w:rsid w:val="005650BE"/>
    <w:rsid w:val="005651AA"/>
    <w:rsid w:val="0056537B"/>
    <w:rsid w:val="00565484"/>
    <w:rsid w:val="00565839"/>
    <w:rsid w:val="00565972"/>
    <w:rsid w:val="0056597E"/>
    <w:rsid w:val="005662FA"/>
    <w:rsid w:val="00566375"/>
    <w:rsid w:val="00566E8F"/>
    <w:rsid w:val="00567180"/>
    <w:rsid w:val="00567B96"/>
    <w:rsid w:val="005707C7"/>
    <w:rsid w:val="005709DE"/>
    <w:rsid w:val="005720A9"/>
    <w:rsid w:val="005726BA"/>
    <w:rsid w:val="005728C1"/>
    <w:rsid w:val="00572AC0"/>
    <w:rsid w:val="00572D12"/>
    <w:rsid w:val="00573568"/>
    <w:rsid w:val="00573FFC"/>
    <w:rsid w:val="0057422E"/>
    <w:rsid w:val="00575CBA"/>
    <w:rsid w:val="00576362"/>
    <w:rsid w:val="005764DE"/>
    <w:rsid w:val="00577470"/>
    <w:rsid w:val="005802BB"/>
    <w:rsid w:val="00581384"/>
    <w:rsid w:val="005823F4"/>
    <w:rsid w:val="005833BE"/>
    <w:rsid w:val="00583F51"/>
    <w:rsid w:val="00583FDE"/>
    <w:rsid w:val="005844A3"/>
    <w:rsid w:val="00584584"/>
    <w:rsid w:val="005858FB"/>
    <w:rsid w:val="00585DE2"/>
    <w:rsid w:val="005867FE"/>
    <w:rsid w:val="005868EB"/>
    <w:rsid w:val="00587112"/>
    <w:rsid w:val="0058779F"/>
    <w:rsid w:val="00587E79"/>
    <w:rsid w:val="00590352"/>
    <w:rsid w:val="00590A2D"/>
    <w:rsid w:val="0059118D"/>
    <w:rsid w:val="00591675"/>
    <w:rsid w:val="00591A6A"/>
    <w:rsid w:val="00591C59"/>
    <w:rsid w:val="00592150"/>
    <w:rsid w:val="0059241D"/>
    <w:rsid w:val="00592780"/>
    <w:rsid w:val="005928E5"/>
    <w:rsid w:val="00592A02"/>
    <w:rsid w:val="0059302A"/>
    <w:rsid w:val="0059321F"/>
    <w:rsid w:val="005933F9"/>
    <w:rsid w:val="00595163"/>
    <w:rsid w:val="005954F9"/>
    <w:rsid w:val="00595C40"/>
    <w:rsid w:val="00595E45"/>
    <w:rsid w:val="005963DE"/>
    <w:rsid w:val="005965E6"/>
    <w:rsid w:val="00597236"/>
    <w:rsid w:val="0059763D"/>
    <w:rsid w:val="005978C8"/>
    <w:rsid w:val="00597B24"/>
    <w:rsid w:val="005A0250"/>
    <w:rsid w:val="005A030B"/>
    <w:rsid w:val="005A0967"/>
    <w:rsid w:val="005A102E"/>
    <w:rsid w:val="005A110B"/>
    <w:rsid w:val="005A19E0"/>
    <w:rsid w:val="005A2572"/>
    <w:rsid w:val="005A2BC4"/>
    <w:rsid w:val="005A32C3"/>
    <w:rsid w:val="005A32F6"/>
    <w:rsid w:val="005A33BC"/>
    <w:rsid w:val="005A4222"/>
    <w:rsid w:val="005A459E"/>
    <w:rsid w:val="005A4F2E"/>
    <w:rsid w:val="005A5347"/>
    <w:rsid w:val="005A738D"/>
    <w:rsid w:val="005A787C"/>
    <w:rsid w:val="005A795D"/>
    <w:rsid w:val="005A7C69"/>
    <w:rsid w:val="005A7CF8"/>
    <w:rsid w:val="005B05E9"/>
    <w:rsid w:val="005B0DDF"/>
    <w:rsid w:val="005B0EFF"/>
    <w:rsid w:val="005B20E1"/>
    <w:rsid w:val="005B3AF1"/>
    <w:rsid w:val="005B3B68"/>
    <w:rsid w:val="005B41F1"/>
    <w:rsid w:val="005B5757"/>
    <w:rsid w:val="005B6815"/>
    <w:rsid w:val="005B6C4C"/>
    <w:rsid w:val="005B7515"/>
    <w:rsid w:val="005C032C"/>
    <w:rsid w:val="005C0646"/>
    <w:rsid w:val="005C06F2"/>
    <w:rsid w:val="005C0D84"/>
    <w:rsid w:val="005C0F03"/>
    <w:rsid w:val="005C2AEE"/>
    <w:rsid w:val="005C2B1F"/>
    <w:rsid w:val="005C2DA5"/>
    <w:rsid w:val="005C3611"/>
    <w:rsid w:val="005C40EA"/>
    <w:rsid w:val="005C4683"/>
    <w:rsid w:val="005C59F0"/>
    <w:rsid w:val="005C59FD"/>
    <w:rsid w:val="005C6AC6"/>
    <w:rsid w:val="005C733A"/>
    <w:rsid w:val="005C73D6"/>
    <w:rsid w:val="005C78FD"/>
    <w:rsid w:val="005D011C"/>
    <w:rsid w:val="005D08DF"/>
    <w:rsid w:val="005D0EB3"/>
    <w:rsid w:val="005D189E"/>
    <w:rsid w:val="005D199F"/>
    <w:rsid w:val="005D2168"/>
    <w:rsid w:val="005D268E"/>
    <w:rsid w:val="005D26BF"/>
    <w:rsid w:val="005D2787"/>
    <w:rsid w:val="005D2CBD"/>
    <w:rsid w:val="005D2CC3"/>
    <w:rsid w:val="005D46F2"/>
    <w:rsid w:val="005D4EE7"/>
    <w:rsid w:val="005D510C"/>
    <w:rsid w:val="005D586B"/>
    <w:rsid w:val="005D6CCC"/>
    <w:rsid w:val="005D797B"/>
    <w:rsid w:val="005D7D5A"/>
    <w:rsid w:val="005D7E35"/>
    <w:rsid w:val="005E002D"/>
    <w:rsid w:val="005E099B"/>
    <w:rsid w:val="005E0F6B"/>
    <w:rsid w:val="005E12A3"/>
    <w:rsid w:val="005E13C3"/>
    <w:rsid w:val="005E1D3A"/>
    <w:rsid w:val="005E1EF6"/>
    <w:rsid w:val="005E27CB"/>
    <w:rsid w:val="005E2EB4"/>
    <w:rsid w:val="005E35F9"/>
    <w:rsid w:val="005E3647"/>
    <w:rsid w:val="005E3AD7"/>
    <w:rsid w:val="005E4061"/>
    <w:rsid w:val="005E417E"/>
    <w:rsid w:val="005E4792"/>
    <w:rsid w:val="005E4BAC"/>
    <w:rsid w:val="005E510F"/>
    <w:rsid w:val="005E5414"/>
    <w:rsid w:val="005E580A"/>
    <w:rsid w:val="005E5AF7"/>
    <w:rsid w:val="005E5B9C"/>
    <w:rsid w:val="005E5D76"/>
    <w:rsid w:val="005E66DB"/>
    <w:rsid w:val="005E7A9F"/>
    <w:rsid w:val="005F0104"/>
    <w:rsid w:val="005F0ABE"/>
    <w:rsid w:val="005F1BC2"/>
    <w:rsid w:val="005F3E5E"/>
    <w:rsid w:val="005F41F6"/>
    <w:rsid w:val="005F453C"/>
    <w:rsid w:val="005F55F0"/>
    <w:rsid w:val="005F563B"/>
    <w:rsid w:val="005F56CA"/>
    <w:rsid w:val="005F5B7B"/>
    <w:rsid w:val="005F5B80"/>
    <w:rsid w:val="005F622C"/>
    <w:rsid w:val="005F6F6B"/>
    <w:rsid w:val="005F71DB"/>
    <w:rsid w:val="005F7237"/>
    <w:rsid w:val="005F73F1"/>
    <w:rsid w:val="005F74C7"/>
    <w:rsid w:val="005F77FE"/>
    <w:rsid w:val="005F7FE1"/>
    <w:rsid w:val="00600252"/>
    <w:rsid w:val="00600578"/>
    <w:rsid w:val="0060078E"/>
    <w:rsid w:val="00600BD3"/>
    <w:rsid w:val="0060130D"/>
    <w:rsid w:val="00602AA1"/>
    <w:rsid w:val="00603420"/>
    <w:rsid w:val="00604325"/>
    <w:rsid w:val="00606671"/>
    <w:rsid w:val="00606D68"/>
    <w:rsid w:val="0060708E"/>
    <w:rsid w:val="006071C2"/>
    <w:rsid w:val="0060729A"/>
    <w:rsid w:val="00607316"/>
    <w:rsid w:val="006074A6"/>
    <w:rsid w:val="00607744"/>
    <w:rsid w:val="0060791D"/>
    <w:rsid w:val="00607988"/>
    <w:rsid w:val="00607CE7"/>
    <w:rsid w:val="006100E5"/>
    <w:rsid w:val="00610541"/>
    <w:rsid w:val="00611867"/>
    <w:rsid w:val="00611F5E"/>
    <w:rsid w:val="00612329"/>
    <w:rsid w:val="0061263D"/>
    <w:rsid w:val="006127EE"/>
    <w:rsid w:val="00612E1A"/>
    <w:rsid w:val="00612F67"/>
    <w:rsid w:val="006133E9"/>
    <w:rsid w:val="006137A6"/>
    <w:rsid w:val="00613B16"/>
    <w:rsid w:val="00613F79"/>
    <w:rsid w:val="00615574"/>
    <w:rsid w:val="006166FF"/>
    <w:rsid w:val="006170FE"/>
    <w:rsid w:val="0061749A"/>
    <w:rsid w:val="00617511"/>
    <w:rsid w:val="006177DF"/>
    <w:rsid w:val="006178FE"/>
    <w:rsid w:val="00617DEB"/>
    <w:rsid w:val="006200C6"/>
    <w:rsid w:val="006204DA"/>
    <w:rsid w:val="006210FD"/>
    <w:rsid w:val="006217E2"/>
    <w:rsid w:val="00621C77"/>
    <w:rsid w:val="00622356"/>
    <w:rsid w:val="0062258E"/>
    <w:rsid w:val="006225C3"/>
    <w:rsid w:val="006234A9"/>
    <w:rsid w:val="00623683"/>
    <w:rsid w:val="00623F9C"/>
    <w:rsid w:val="00623FD3"/>
    <w:rsid w:val="0062418A"/>
    <w:rsid w:val="006243C6"/>
    <w:rsid w:val="0062442E"/>
    <w:rsid w:val="0062467E"/>
    <w:rsid w:val="006247DF"/>
    <w:rsid w:val="00624B38"/>
    <w:rsid w:val="00624C6B"/>
    <w:rsid w:val="00624E7D"/>
    <w:rsid w:val="006252EE"/>
    <w:rsid w:val="006261A8"/>
    <w:rsid w:val="00627019"/>
    <w:rsid w:val="00627098"/>
    <w:rsid w:val="0062795D"/>
    <w:rsid w:val="00627E92"/>
    <w:rsid w:val="00630682"/>
    <w:rsid w:val="00630893"/>
    <w:rsid w:val="00630EC4"/>
    <w:rsid w:val="006316A2"/>
    <w:rsid w:val="00632AAD"/>
    <w:rsid w:val="00632F8F"/>
    <w:rsid w:val="006332EA"/>
    <w:rsid w:val="0063370C"/>
    <w:rsid w:val="006340A7"/>
    <w:rsid w:val="006354EF"/>
    <w:rsid w:val="006355E6"/>
    <w:rsid w:val="00635B29"/>
    <w:rsid w:val="00635B89"/>
    <w:rsid w:val="00635DFD"/>
    <w:rsid w:val="00636B1A"/>
    <w:rsid w:val="0063705A"/>
    <w:rsid w:val="00637ED8"/>
    <w:rsid w:val="00640FF7"/>
    <w:rsid w:val="0064129F"/>
    <w:rsid w:val="0064189B"/>
    <w:rsid w:val="00641BF2"/>
    <w:rsid w:val="0064309D"/>
    <w:rsid w:val="00643635"/>
    <w:rsid w:val="00643674"/>
    <w:rsid w:val="00643905"/>
    <w:rsid w:val="00644F44"/>
    <w:rsid w:val="006451FD"/>
    <w:rsid w:val="00646724"/>
    <w:rsid w:val="00646D23"/>
    <w:rsid w:val="0064780D"/>
    <w:rsid w:val="00647985"/>
    <w:rsid w:val="00647BB7"/>
    <w:rsid w:val="00650C60"/>
    <w:rsid w:val="00651CC8"/>
    <w:rsid w:val="0065209C"/>
    <w:rsid w:val="00652999"/>
    <w:rsid w:val="00652E1C"/>
    <w:rsid w:val="00652FE3"/>
    <w:rsid w:val="00653195"/>
    <w:rsid w:val="00653300"/>
    <w:rsid w:val="0065331B"/>
    <w:rsid w:val="00653D05"/>
    <w:rsid w:val="0065474B"/>
    <w:rsid w:val="00654BE4"/>
    <w:rsid w:val="00655C2E"/>
    <w:rsid w:val="00655CB6"/>
    <w:rsid w:val="00655FC8"/>
    <w:rsid w:val="00656042"/>
    <w:rsid w:val="006569D5"/>
    <w:rsid w:val="00656C59"/>
    <w:rsid w:val="00656D14"/>
    <w:rsid w:val="006572A0"/>
    <w:rsid w:val="006578EF"/>
    <w:rsid w:val="00657C95"/>
    <w:rsid w:val="006603F5"/>
    <w:rsid w:val="00660401"/>
    <w:rsid w:val="006606DD"/>
    <w:rsid w:val="006606FA"/>
    <w:rsid w:val="00660A33"/>
    <w:rsid w:val="00660F56"/>
    <w:rsid w:val="0066142E"/>
    <w:rsid w:val="00661FC5"/>
    <w:rsid w:val="00662507"/>
    <w:rsid w:val="00662590"/>
    <w:rsid w:val="006625F4"/>
    <w:rsid w:val="00662BEF"/>
    <w:rsid w:val="0066319D"/>
    <w:rsid w:val="00663EA9"/>
    <w:rsid w:val="006645E7"/>
    <w:rsid w:val="00664B05"/>
    <w:rsid w:val="00665916"/>
    <w:rsid w:val="00665958"/>
    <w:rsid w:val="00665A0E"/>
    <w:rsid w:val="00666070"/>
    <w:rsid w:val="00666128"/>
    <w:rsid w:val="006661F6"/>
    <w:rsid w:val="006671A4"/>
    <w:rsid w:val="00670CE0"/>
    <w:rsid w:val="006711DF"/>
    <w:rsid w:val="006714B0"/>
    <w:rsid w:val="006719A4"/>
    <w:rsid w:val="00672815"/>
    <w:rsid w:val="0067393B"/>
    <w:rsid w:val="006750CE"/>
    <w:rsid w:val="00675511"/>
    <w:rsid w:val="0067726A"/>
    <w:rsid w:val="00677386"/>
    <w:rsid w:val="00677759"/>
    <w:rsid w:val="0067777B"/>
    <w:rsid w:val="006777EF"/>
    <w:rsid w:val="00680297"/>
    <w:rsid w:val="0068046D"/>
    <w:rsid w:val="00680871"/>
    <w:rsid w:val="00680E0F"/>
    <w:rsid w:val="00681893"/>
    <w:rsid w:val="00682361"/>
    <w:rsid w:val="006827A8"/>
    <w:rsid w:val="00683253"/>
    <w:rsid w:val="00683956"/>
    <w:rsid w:val="00683B07"/>
    <w:rsid w:val="00684A17"/>
    <w:rsid w:val="00684B06"/>
    <w:rsid w:val="0068528D"/>
    <w:rsid w:val="0068630F"/>
    <w:rsid w:val="0068648F"/>
    <w:rsid w:val="00686F8A"/>
    <w:rsid w:val="006873CE"/>
    <w:rsid w:val="006876E0"/>
    <w:rsid w:val="00687A20"/>
    <w:rsid w:val="00687AA6"/>
    <w:rsid w:val="00687BA6"/>
    <w:rsid w:val="00687E3F"/>
    <w:rsid w:val="00690A5C"/>
    <w:rsid w:val="0069137F"/>
    <w:rsid w:val="00691C2C"/>
    <w:rsid w:val="0069205F"/>
    <w:rsid w:val="00692785"/>
    <w:rsid w:val="00693972"/>
    <w:rsid w:val="00694750"/>
    <w:rsid w:val="00694E40"/>
    <w:rsid w:val="0069509C"/>
    <w:rsid w:val="0069604F"/>
    <w:rsid w:val="006964C3"/>
    <w:rsid w:val="00696569"/>
    <w:rsid w:val="0069665B"/>
    <w:rsid w:val="00696AD4"/>
    <w:rsid w:val="00696DC7"/>
    <w:rsid w:val="006971BC"/>
    <w:rsid w:val="0069736F"/>
    <w:rsid w:val="00697A8F"/>
    <w:rsid w:val="006A0786"/>
    <w:rsid w:val="006A1027"/>
    <w:rsid w:val="006A11D6"/>
    <w:rsid w:val="006A145F"/>
    <w:rsid w:val="006A156A"/>
    <w:rsid w:val="006A160F"/>
    <w:rsid w:val="006A1776"/>
    <w:rsid w:val="006A21AF"/>
    <w:rsid w:val="006A260C"/>
    <w:rsid w:val="006A2DC7"/>
    <w:rsid w:val="006A3B68"/>
    <w:rsid w:val="006A3D60"/>
    <w:rsid w:val="006A3E74"/>
    <w:rsid w:val="006A5A44"/>
    <w:rsid w:val="006A5D74"/>
    <w:rsid w:val="006A65AF"/>
    <w:rsid w:val="006A6B10"/>
    <w:rsid w:val="006B008B"/>
    <w:rsid w:val="006B1BD0"/>
    <w:rsid w:val="006B1E9C"/>
    <w:rsid w:val="006B22EA"/>
    <w:rsid w:val="006B2965"/>
    <w:rsid w:val="006B2A44"/>
    <w:rsid w:val="006B31D3"/>
    <w:rsid w:val="006B3E39"/>
    <w:rsid w:val="006B3F2D"/>
    <w:rsid w:val="006B4429"/>
    <w:rsid w:val="006B4989"/>
    <w:rsid w:val="006B520A"/>
    <w:rsid w:val="006B523A"/>
    <w:rsid w:val="006B5667"/>
    <w:rsid w:val="006B5C10"/>
    <w:rsid w:val="006B68BB"/>
    <w:rsid w:val="006B69BB"/>
    <w:rsid w:val="006C170A"/>
    <w:rsid w:val="006C197D"/>
    <w:rsid w:val="006C1994"/>
    <w:rsid w:val="006C1EFE"/>
    <w:rsid w:val="006C221A"/>
    <w:rsid w:val="006C26C0"/>
    <w:rsid w:val="006C2977"/>
    <w:rsid w:val="006C2DCC"/>
    <w:rsid w:val="006C2FB6"/>
    <w:rsid w:val="006C36BC"/>
    <w:rsid w:val="006C386A"/>
    <w:rsid w:val="006C39B3"/>
    <w:rsid w:val="006C49DC"/>
    <w:rsid w:val="006C51A0"/>
    <w:rsid w:val="006C55F5"/>
    <w:rsid w:val="006C5D0A"/>
    <w:rsid w:val="006C5D7B"/>
    <w:rsid w:val="006C63EE"/>
    <w:rsid w:val="006C6C6D"/>
    <w:rsid w:val="006D0093"/>
    <w:rsid w:val="006D02C2"/>
    <w:rsid w:val="006D1001"/>
    <w:rsid w:val="006D10EC"/>
    <w:rsid w:val="006D1622"/>
    <w:rsid w:val="006D1998"/>
    <w:rsid w:val="006D1C61"/>
    <w:rsid w:val="006D27CD"/>
    <w:rsid w:val="006D38D9"/>
    <w:rsid w:val="006D42DF"/>
    <w:rsid w:val="006D478B"/>
    <w:rsid w:val="006D4DAA"/>
    <w:rsid w:val="006D5000"/>
    <w:rsid w:val="006D50D1"/>
    <w:rsid w:val="006D5288"/>
    <w:rsid w:val="006D5719"/>
    <w:rsid w:val="006D5CA2"/>
    <w:rsid w:val="006D5D93"/>
    <w:rsid w:val="006D60D0"/>
    <w:rsid w:val="006D62E6"/>
    <w:rsid w:val="006D672B"/>
    <w:rsid w:val="006D7484"/>
    <w:rsid w:val="006E04DB"/>
    <w:rsid w:val="006E0852"/>
    <w:rsid w:val="006E0CBA"/>
    <w:rsid w:val="006E0DD2"/>
    <w:rsid w:val="006E0DFF"/>
    <w:rsid w:val="006E1080"/>
    <w:rsid w:val="006E10CC"/>
    <w:rsid w:val="006E12C5"/>
    <w:rsid w:val="006E2CAA"/>
    <w:rsid w:val="006E3343"/>
    <w:rsid w:val="006E3AB4"/>
    <w:rsid w:val="006E40F2"/>
    <w:rsid w:val="006E43B3"/>
    <w:rsid w:val="006E46A3"/>
    <w:rsid w:val="006E518A"/>
    <w:rsid w:val="006E51CC"/>
    <w:rsid w:val="006E58DF"/>
    <w:rsid w:val="006E6321"/>
    <w:rsid w:val="006E7710"/>
    <w:rsid w:val="006E7CA6"/>
    <w:rsid w:val="006F01CC"/>
    <w:rsid w:val="006F06C1"/>
    <w:rsid w:val="006F0890"/>
    <w:rsid w:val="006F0898"/>
    <w:rsid w:val="006F1138"/>
    <w:rsid w:val="006F1981"/>
    <w:rsid w:val="006F1A86"/>
    <w:rsid w:val="006F1CF0"/>
    <w:rsid w:val="006F2008"/>
    <w:rsid w:val="006F207B"/>
    <w:rsid w:val="006F20CC"/>
    <w:rsid w:val="006F26A7"/>
    <w:rsid w:val="006F27B7"/>
    <w:rsid w:val="006F2A2D"/>
    <w:rsid w:val="006F2FEB"/>
    <w:rsid w:val="006F3039"/>
    <w:rsid w:val="006F394C"/>
    <w:rsid w:val="006F3B44"/>
    <w:rsid w:val="006F3CDD"/>
    <w:rsid w:val="006F4AEE"/>
    <w:rsid w:val="006F4AF0"/>
    <w:rsid w:val="006F55F4"/>
    <w:rsid w:val="006F5982"/>
    <w:rsid w:val="006F6200"/>
    <w:rsid w:val="006F6208"/>
    <w:rsid w:val="006F64C7"/>
    <w:rsid w:val="006F6784"/>
    <w:rsid w:val="006F683C"/>
    <w:rsid w:val="006F6C2A"/>
    <w:rsid w:val="006F7178"/>
    <w:rsid w:val="006F74AB"/>
    <w:rsid w:val="00700332"/>
    <w:rsid w:val="00700B78"/>
    <w:rsid w:val="0070169C"/>
    <w:rsid w:val="00701F57"/>
    <w:rsid w:val="007022B8"/>
    <w:rsid w:val="0070247B"/>
    <w:rsid w:val="007028E3"/>
    <w:rsid w:val="00703613"/>
    <w:rsid w:val="00703CEE"/>
    <w:rsid w:val="007041BE"/>
    <w:rsid w:val="00704CA1"/>
    <w:rsid w:val="00704CCA"/>
    <w:rsid w:val="00704DAC"/>
    <w:rsid w:val="00705171"/>
    <w:rsid w:val="007052BA"/>
    <w:rsid w:val="007053B0"/>
    <w:rsid w:val="00706589"/>
    <w:rsid w:val="00706CF0"/>
    <w:rsid w:val="00710415"/>
    <w:rsid w:val="00710906"/>
    <w:rsid w:val="00710A84"/>
    <w:rsid w:val="00710E94"/>
    <w:rsid w:val="00710F18"/>
    <w:rsid w:val="00713305"/>
    <w:rsid w:val="00713838"/>
    <w:rsid w:val="00713AB8"/>
    <w:rsid w:val="00713C5E"/>
    <w:rsid w:val="00713E48"/>
    <w:rsid w:val="007147FA"/>
    <w:rsid w:val="00714841"/>
    <w:rsid w:val="00714BA4"/>
    <w:rsid w:val="00715374"/>
    <w:rsid w:val="00715B7A"/>
    <w:rsid w:val="00716CBE"/>
    <w:rsid w:val="00716D8B"/>
    <w:rsid w:val="00717D98"/>
    <w:rsid w:val="0072035F"/>
    <w:rsid w:val="007203A6"/>
    <w:rsid w:val="007208CD"/>
    <w:rsid w:val="00720BF0"/>
    <w:rsid w:val="00721101"/>
    <w:rsid w:val="0072145C"/>
    <w:rsid w:val="00721964"/>
    <w:rsid w:val="00721E63"/>
    <w:rsid w:val="00722EB8"/>
    <w:rsid w:val="00723140"/>
    <w:rsid w:val="00723A9D"/>
    <w:rsid w:val="00723E56"/>
    <w:rsid w:val="00724212"/>
    <w:rsid w:val="007250CA"/>
    <w:rsid w:val="00726031"/>
    <w:rsid w:val="00726761"/>
    <w:rsid w:val="00726D0B"/>
    <w:rsid w:val="00726F7F"/>
    <w:rsid w:val="00727A16"/>
    <w:rsid w:val="00727D8A"/>
    <w:rsid w:val="007306EB"/>
    <w:rsid w:val="00730DA8"/>
    <w:rsid w:val="00731FEA"/>
    <w:rsid w:val="007321D6"/>
    <w:rsid w:val="00732232"/>
    <w:rsid w:val="007323F4"/>
    <w:rsid w:val="00732565"/>
    <w:rsid w:val="00733E6B"/>
    <w:rsid w:val="00733F75"/>
    <w:rsid w:val="007355FE"/>
    <w:rsid w:val="00735921"/>
    <w:rsid w:val="0073599B"/>
    <w:rsid w:val="00735CCC"/>
    <w:rsid w:val="007362F8"/>
    <w:rsid w:val="00736329"/>
    <w:rsid w:val="0073653B"/>
    <w:rsid w:val="007366C4"/>
    <w:rsid w:val="00736B55"/>
    <w:rsid w:val="00736F61"/>
    <w:rsid w:val="00737048"/>
    <w:rsid w:val="00737241"/>
    <w:rsid w:val="007374F1"/>
    <w:rsid w:val="00740CCD"/>
    <w:rsid w:val="00740FBE"/>
    <w:rsid w:val="0074116F"/>
    <w:rsid w:val="007416C5"/>
    <w:rsid w:val="0074185E"/>
    <w:rsid w:val="007419E0"/>
    <w:rsid w:val="007419E2"/>
    <w:rsid w:val="00742253"/>
    <w:rsid w:val="00742419"/>
    <w:rsid w:val="00743383"/>
    <w:rsid w:val="007436F0"/>
    <w:rsid w:val="007439A6"/>
    <w:rsid w:val="00743E18"/>
    <w:rsid w:val="007440F6"/>
    <w:rsid w:val="0074415B"/>
    <w:rsid w:val="00744167"/>
    <w:rsid w:val="0074422A"/>
    <w:rsid w:val="0074461A"/>
    <w:rsid w:val="0074461B"/>
    <w:rsid w:val="00744EEC"/>
    <w:rsid w:val="00746E6E"/>
    <w:rsid w:val="0074728E"/>
    <w:rsid w:val="00750412"/>
    <w:rsid w:val="007504B0"/>
    <w:rsid w:val="00751730"/>
    <w:rsid w:val="00751C6A"/>
    <w:rsid w:val="00751EEC"/>
    <w:rsid w:val="00751F50"/>
    <w:rsid w:val="0075344A"/>
    <w:rsid w:val="00754188"/>
    <w:rsid w:val="0075456C"/>
    <w:rsid w:val="00754ACF"/>
    <w:rsid w:val="00754FFC"/>
    <w:rsid w:val="0075582F"/>
    <w:rsid w:val="0075648A"/>
    <w:rsid w:val="00756578"/>
    <w:rsid w:val="00756DDB"/>
    <w:rsid w:val="00756DFB"/>
    <w:rsid w:val="00756E04"/>
    <w:rsid w:val="00757053"/>
    <w:rsid w:val="00757B4B"/>
    <w:rsid w:val="00757B95"/>
    <w:rsid w:val="00760718"/>
    <w:rsid w:val="007611F0"/>
    <w:rsid w:val="00762206"/>
    <w:rsid w:val="007623BB"/>
    <w:rsid w:val="0076293A"/>
    <w:rsid w:val="00762CE0"/>
    <w:rsid w:val="0076337A"/>
    <w:rsid w:val="0076385B"/>
    <w:rsid w:val="00763C44"/>
    <w:rsid w:val="00763E2B"/>
    <w:rsid w:val="00764ABF"/>
    <w:rsid w:val="0076516B"/>
    <w:rsid w:val="00765BCC"/>
    <w:rsid w:val="00765C7E"/>
    <w:rsid w:val="00766141"/>
    <w:rsid w:val="007662C7"/>
    <w:rsid w:val="007665F5"/>
    <w:rsid w:val="007668D4"/>
    <w:rsid w:val="00767A63"/>
    <w:rsid w:val="0077003D"/>
    <w:rsid w:val="00770302"/>
    <w:rsid w:val="00771336"/>
    <w:rsid w:val="00771DB5"/>
    <w:rsid w:val="00772FAF"/>
    <w:rsid w:val="00773873"/>
    <w:rsid w:val="00774EE9"/>
    <w:rsid w:val="00775036"/>
    <w:rsid w:val="007752A2"/>
    <w:rsid w:val="00775779"/>
    <w:rsid w:val="00775B36"/>
    <w:rsid w:val="00775DF9"/>
    <w:rsid w:val="00776306"/>
    <w:rsid w:val="00776749"/>
    <w:rsid w:val="007768BB"/>
    <w:rsid w:val="0077701C"/>
    <w:rsid w:val="00777518"/>
    <w:rsid w:val="0078041C"/>
    <w:rsid w:val="007816E2"/>
    <w:rsid w:val="0078244A"/>
    <w:rsid w:val="007828E6"/>
    <w:rsid w:val="007843A8"/>
    <w:rsid w:val="00784BFC"/>
    <w:rsid w:val="007854DE"/>
    <w:rsid w:val="00785D5F"/>
    <w:rsid w:val="0078610A"/>
    <w:rsid w:val="0078654F"/>
    <w:rsid w:val="00786D9F"/>
    <w:rsid w:val="007870A0"/>
    <w:rsid w:val="007870FE"/>
    <w:rsid w:val="00787A2F"/>
    <w:rsid w:val="00787BEA"/>
    <w:rsid w:val="00787CC4"/>
    <w:rsid w:val="00787DCC"/>
    <w:rsid w:val="00793C29"/>
    <w:rsid w:val="007942AA"/>
    <w:rsid w:val="00794B13"/>
    <w:rsid w:val="00794F30"/>
    <w:rsid w:val="0079528F"/>
    <w:rsid w:val="007953FE"/>
    <w:rsid w:val="0079640D"/>
    <w:rsid w:val="00796D35"/>
    <w:rsid w:val="0079732B"/>
    <w:rsid w:val="00797F88"/>
    <w:rsid w:val="007A08FE"/>
    <w:rsid w:val="007A0E64"/>
    <w:rsid w:val="007A0F7E"/>
    <w:rsid w:val="007A0FCA"/>
    <w:rsid w:val="007A113F"/>
    <w:rsid w:val="007A132D"/>
    <w:rsid w:val="007A1477"/>
    <w:rsid w:val="007A1887"/>
    <w:rsid w:val="007A204E"/>
    <w:rsid w:val="007A2B0B"/>
    <w:rsid w:val="007A33F8"/>
    <w:rsid w:val="007A36DF"/>
    <w:rsid w:val="007A38B2"/>
    <w:rsid w:val="007A4A5B"/>
    <w:rsid w:val="007A4AA4"/>
    <w:rsid w:val="007A4BFC"/>
    <w:rsid w:val="007A4CBB"/>
    <w:rsid w:val="007A55A7"/>
    <w:rsid w:val="007A57BC"/>
    <w:rsid w:val="007A59F1"/>
    <w:rsid w:val="007A5C73"/>
    <w:rsid w:val="007A6BFD"/>
    <w:rsid w:val="007A6F73"/>
    <w:rsid w:val="007A71A9"/>
    <w:rsid w:val="007A78DD"/>
    <w:rsid w:val="007A7A9F"/>
    <w:rsid w:val="007A7C65"/>
    <w:rsid w:val="007A7E4D"/>
    <w:rsid w:val="007B04A6"/>
    <w:rsid w:val="007B0F2A"/>
    <w:rsid w:val="007B18F0"/>
    <w:rsid w:val="007B19F4"/>
    <w:rsid w:val="007B1F10"/>
    <w:rsid w:val="007B2143"/>
    <w:rsid w:val="007B2319"/>
    <w:rsid w:val="007B2360"/>
    <w:rsid w:val="007B257C"/>
    <w:rsid w:val="007B2929"/>
    <w:rsid w:val="007B335E"/>
    <w:rsid w:val="007B3D09"/>
    <w:rsid w:val="007B42E0"/>
    <w:rsid w:val="007B46BF"/>
    <w:rsid w:val="007B4A9D"/>
    <w:rsid w:val="007B4BE9"/>
    <w:rsid w:val="007B4D30"/>
    <w:rsid w:val="007B657E"/>
    <w:rsid w:val="007B7650"/>
    <w:rsid w:val="007B7AAA"/>
    <w:rsid w:val="007B7D51"/>
    <w:rsid w:val="007C056B"/>
    <w:rsid w:val="007C128E"/>
    <w:rsid w:val="007C137D"/>
    <w:rsid w:val="007C1A2B"/>
    <w:rsid w:val="007C1E63"/>
    <w:rsid w:val="007C1E99"/>
    <w:rsid w:val="007C21B4"/>
    <w:rsid w:val="007C247A"/>
    <w:rsid w:val="007C27B5"/>
    <w:rsid w:val="007C2DE1"/>
    <w:rsid w:val="007C3E95"/>
    <w:rsid w:val="007C4002"/>
    <w:rsid w:val="007C4085"/>
    <w:rsid w:val="007C4449"/>
    <w:rsid w:val="007C4A75"/>
    <w:rsid w:val="007C4BD9"/>
    <w:rsid w:val="007C4C83"/>
    <w:rsid w:val="007C4CF6"/>
    <w:rsid w:val="007C51A9"/>
    <w:rsid w:val="007C5C95"/>
    <w:rsid w:val="007C6280"/>
    <w:rsid w:val="007C675B"/>
    <w:rsid w:val="007C6DFF"/>
    <w:rsid w:val="007C729C"/>
    <w:rsid w:val="007C73BA"/>
    <w:rsid w:val="007C7607"/>
    <w:rsid w:val="007C7A9C"/>
    <w:rsid w:val="007C7D64"/>
    <w:rsid w:val="007D06A2"/>
    <w:rsid w:val="007D0AE1"/>
    <w:rsid w:val="007D151A"/>
    <w:rsid w:val="007D1CF1"/>
    <w:rsid w:val="007D2F58"/>
    <w:rsid w:val="007D3197"/>
    <w:rsid w:val="007D43E1"/>
    <w:rsid w:val="007D482A"/>
    <w:rsid w:val="007D4D99"/>
    <w:rsid w:val="007D5A1F"/>
    <w:rsid w:val="007D5EAC"/>
    <w:rsid w:val="007D65EC"/>
    <w:rsid w:val="007D6771"/>
    <w:rsid w:val="007D6AA5"/>
    <w:rsid w:val="007D756A"/>
    <w:rsid w:val="007E018D"/>
    <w:rsid w:val="007E0360"/>
    <w:rsid w:val="007E078B"/>
    <w:rsid w:val="007E1E5F"/>
    <w:rsid w:val="007E22DD"/>
    <w:rsid w:val="007E257F"/>
    <w:rsid w:val="007E34E8"/>
    <w:rsid w:val="007E38A5"/>
    <w:rsid w:val="007E404A"/>
    <w:rsid w:val="007E4514"/>
    <w:rsid w:val="007E55A9"/>
    <w:rsid w:val="007E5C1F"/>
    <w:rsid w:val="007E5E28"/>
    <w:rsid w:val="007E63B0"/>
    <w:rsid w:val="007E6A45"/>
    <w:rsid w:val="007E768B"/>
    <w:rsid w:val="007F036B"/>
    <w:rsid w:val="007F0629"/>
    <w:rsid w:val="007F0924"/>
    <w:rsid w:val="007F13DF"/>
    <w:rsid w:val="007F155C"/>
    <w:rsid w:val="007F1B71"/>
    <w:rsid w:val="007F1DA5"/>
    <w:rsid w:val="007F22C8"/>
    <w:rsid w:val="007F2581"/>
    <w:rsid w:val="007F26DB"/>
    <w:rsid w:val="007F27B7"/>
    <w:rsid w:val="007F34C7"/>
    <w:rsid w:val="007F3949"/>
    <w:rsid w:val="007F4162"/>
    <w:rsid w:val="007F475B"/>
    <w:rsid w:val="007F4BF8"/>
    <w:rsid w:val="007F50EF"/>
    <w:rsid w:val="007F53DD"/>
    <w:rsid w:val="007F56C2"/>
    <w:rsid w:val="007F5CD2"/>
    <w:rsid w:val="007F7EAE"/>
    <w:rsid w:val="00800040"/>
    <w:rsid w:val="008002C2"/>
    <w:rsid w:val="00800B45"/>
    <w:rsid w:val="00801320"/>
    <w:rsid w:val="00801F9C"/>
    <w:rsid w:val="0080320B"/>
    <w:rsid w:val="008037CF"/>
    <w:rsid w:val="008040A2"/>
    <w:rsid w:val="00806500"/>
    <w:rsid w:val="008065D3"/>
    <w:rsid w:val="00807E7D"/>
    <w:rsid w:val="00810921"/>
    <w:rsid w:val="00812369"/>
    <w:rsid w:val="008125CB"/>
    <w:rsid w:val="00812AE3"/>
    <w:rsid w:val="00812CF3"/>
    <w:rsid w:val="00813591"/>
    <w:rsid w:val="008137A7"/>
    <w:rsid w:val="00813C6F"/>
    <w:rsid w:val="00813FFC"/>
    <w:rsid w:val="008145BA"/>
    <w:rsid w:val="0081463F"/>
    <w:rsid w:val="00815C2B"/>
    <w:rsid w:val="0081622B"/>
    <w:rsid w:val="00816A03"/>
    <w:rsid w:val="00816CF9"/>
    <w:rsid w:val="00816DBD"/>
    <w:rsid w:val="0081711C"/>
    <w:rsid w:val="0082018C"/>
    <w:rsid w:val="0082087A"/>
    <w:rsid w:val="00820E2A"/>
    <w:rsid w:val="00821211"/>
    <w:rsid w:val="0082124F"/>
    <w:rsid w:val="0082131F"/>
    <w:rsid w:val="00822377"/>
    <w:rsid w:val="008229AB"/>
    <w:rsid w:val="00822AA3"/>
    <w:rsid w:val="008231F8"/>
    <w:rsid w:val="00823628"/>
    <w:rsid w:val="008237E9"/>
    <w:rsid w:val="00823C96"/>
    <w:rsid w:val="00824008"/>
    <w:rsid w:val="00824021"/>
    <w:rsid w:val="00824587"/>
    <w:rsid w:val="00824682"/>
    <w:rsid w:val="00824795"/>
    <w:rsid w:val="008248DA"/>
    <w:rsid w:val="008249BE"/>
    <w:rsid w:val="00824A18"/>
    <w:rsid w:val="00826B42"/>
    <w:rsid w:val="00827976"/>
    <w:rsid w:val="00827B6D"/>
    <w:rsid w:val="00830505"/>
    <w:rsid w:val="00830A89"/>
    <w:rsid w:val="00830F4A"/>
    <w:rsid w:val="008313C6"/>
    <w:rsid w:val="00831675"/>
    <w:rsid w:val="008317C1"/>
    <w:rsid w:val="008318A5"/>
    <w:rsid w:val="00831A9B"/>
    <w:rsid w:val="00831AFD"/>
    <w:rsid w:val="00831BB4"/>
    <w:rsid w:val="00832978"/>
    <w:rsid w:val="00833350"/>
    <w:rsid w:val="00833654"/>
    <w:rsid w:val="00833A9E"/>
    <w:rsid w:val="00833F6C"/>
    <w:rsid w:val="00835739"/>
    <w:rsid w:val="00835E30"/>
    <w:rsid w:val="008362F2"/>
    <w:rsid w:val="008364C2"/>
    <w:rsid w:val="008367C3"/>
    <w:rsid w:val="00836F99"/>
    <w:rsid w:val="00837E1A"/>
    <w:rsid w:val="008404AD"/>
    <w:rsid w:val="00840559"/>
    <w:rsid w:val="00840836"/>
    <w:rsid w:val="00840844"/>
    <w:rsid w:val="00840B27"/>
    <w:rsid w:val="00840E52"/>
    <w:rsid w:val="00841122"/>
    <w:rsid w:val="00841C1A"/>
    <w:rsid w:val="00841EA5"/>
    <w:rsid w:val="00842C1A"/>
    <w:rsid w:val="0084314B"/>
    <w:rsid w:val="008436BB"/>
    <w:rsid w:val="00843893"/>
    <w:rsid w:val="00843C92"/>
    <w:rsid w:val="008443E9"/>
    <w:rsid w:val="0084466E"/>
    <w:rsid w:val="00844849"/>
    <w:rsid w:val="00844E88"/>
    <w:rsid w:val="008459F1"/>
    <w:rsid w:val="00845A80"/>
    <w:rsid w:val="00845D6D"/>
    <w:rsid w:val="00845F9D"/>
    <w:rsid w:val="0084694E"/>
    <w:rsid w:val="00847139"/>
    <w:rsid w:val="00847160"/>
    <w:rsid w:val="008472C1"/>
    <w:rsid w:val="00850B06"/>
    <w:rsid w:val="00851CB4"/>
    <w:rsid w:val="008524E5"/>
    <w:rsid w:val="008524FE"/>
    <w:rsid w:val="008527BE"/>
    <w:rsid w:val="00852AE4"/>
    <w:rsid w:val="00852E89"/>
    <w:rsid w:val="00853556"/>
    <w:rsid w:val="00853BA3"/>
    <w:rsid w:val="00853C51"/>
    <w:rsid w:val="00854D4E"/>
    <w:rsid w:val="008552D6"/>
    <w:rsid w:val="0085541B"/>
    <w:rsid w:val="0085551D"/>
    <w:rsid w:val="008559EF"/>
    <w:rsid w:val="00855DA3"/>
    <w:rsid w:val="00856483"/>
    <w:rsid w:val="00857261"/>
    <w:rsid w:val="008573B3"/>
    <w:rsid w:val="00857F53"/>
    <w:rsid w:val="00860BB5"/>
    <w:rsid w:val="00861396"/>
    <w:rsid w:val="00861E51"/>
    <w:rsid w:val="00861FE9"/>
    <w:rsid w:val="0086237B"/>
    <w:rsid w:val="00862443"/>
    <w:rsid w:val="00862DF6"/>
    <w:rsid w:val="00864022"/>
    <w:rsid w:val="00864599"/>
    <w:rsid w:val="00864957"/>
    <w:rsid w:val="00864AAD"/>
    <w:rsid w:val="00865ADB"/>
    <w:rsid w:val="00865D97"/>
    <w:rsid w:val="00866442"/>
    <w:rsid w:val="0086658D"/>
    <w:rsid w:val="00866A6C"/>
    <w:rsid w:val="00866D16"/>
    <w:rsid w:val="00867023"/>
    <w:rsid w:val="0086780B"/>
    <w:rsid w:val="00867DFD"/>
    <w:rsid w:val="0087072C"/>
    <w:rsid w:val="008708E7"/>
    <w:rsid w:val="00871E31"/>
    <w:rsid w:val="00872055"/>
    <w:rsid w:val="0087223B"/>
    <w:rsid w:val="00872445"/>
    <w:rsid w:val="0087274B"/>
    <w:rsid w:val="00873859"/>
    <w:rsid w:val="00873C6A"/>
    <w:rsid w:val="00874112"/>
    <w:rsid w:val="0087463D"/>
    <w:rsid w:val="008758CB"/>
    <w:rsid w:val="0087596B"/>
    <w:rsid w:val="00875CED"/>
    <w:rsid w:val="00875DB4"/>
    <w:rsid w:val="00875DCA"/>
    <w:rsid w:val="00876064"/>
    <w:rsid w:val="0087671C"/>
    <w:rsid w:val="0087679B"/>
    <w:rsid w:val="00876C88"/>
    <w:rsid w:val="00876CDD"/>
    <w:rsid w:val="00876FD6"/>
    <w:rsid w:val="00877071"/>
    <w:rsid w:val="008770A1"/>
    <w:rsid w:val="008779B4"/>
    <w:rsid w:val="00877A2F"/>
    <w:rsid w:val="00877CBA"/>
    <w:rsid w:val="0088138D"/>
    <w:rsid w:val="008817A4"/>
    <w:rsid w:val="00881D42"/>
    <w:rsid w:val="00882AD7"/>
    <w:rsid w:val="008833CB"/>
    <w:rsid w:val="00883863"/>
    <w:rsid w:val="00883FDA"/>
    <w:rsid w:val="00884169"/>
    <w:rsid w:val="0088467C"/>
    <w:rsid w:val="00884E20"/>
    <w:rsid w:val="00885315"/>
    <w:rsid w:val="008853B9"/>
    <w:rsid w:val="0088547B"/>
    <w:rsid w:val="008854E4"/>
    <w:rsid w:val="00885A75"/>
    <w:rsid w:val="00885AA3"/>
    <w:rsid w:val="00885E14"/>
    <w:rsid w:val="00886030"/>
    <w:rsid w:val="0088622D"/>
    <w:rsid w:val="00887C6A"/>
    <w:rsid w:val="00887CA6"/>
    <w:rsid w:val="00890154"/>
    <w:rsid w:val="00890663"/>
    <w:rsid w:val="0089069E"/>
    <w:rsid w:val="00890A74"/>
    <w:rsid w:val="00890B5F"/>
    <w:rsid w:val="00890B98"/>
    <w:rsid w:val="00891675"/>
    <w:rsid w:val="0089167C"/>
    <w:rsid w:val="008916F4"/>
    <w:rsid w:val="00891F21"/>
    <w:rsid w:val="00892253"/>
    <w:rsid w:val="0089270B"/>
    <w:rsid w:val="008928B2"/>
    <w:rsid w:val="00892D3B"/>
    <w:rsid w:val="00894128"/>
    <w:rsid w:val="00894579"/>
    <w:rsid w:val="0089464C"/>
    <w:rsid w:val="00895CB7"/>
    <w:rsid w:val="00895CC6"/>
    <w:rsid w:val="00896158"/>
    <w:rsid w:val="00896A44"/>
    <w:rsid w:val="00897AFA"/>
    <w:rsid w:val="00897CDA"/>
    <w:rsid w:val="008A0D06"/>
    <w:rsid w:val="008A1474"/>
    <w:rsid w:val="008A24EB"/>
    <w:rsid w:val="008A2BDB"/>
    <w:rsid w:val="008A3B9D"/>
    <w:rsid w:val="008A3CC1"/>
    <w:rsid w:val="008A4056"/>
    <w:rsid w:val="008A40A9"/>
    <w:rsid w:val="008A41EE"/>
    <w:rsid w:val="008A4974"/>
    <w:rsid w:val="008A4A13"/>
    <w:rsid w:val="008A4B11"/>
    <w:rsid w:val="008A4C8A"/>
    <w:rsid w:val="008A548E"/>
    <w:rsid w:val="008A57EE"/>
    <w:rsid w:val="008A5B67"/>
    <w:rsid w:val="008A5CCD"/>
    <w:rsid w:val="008A6A6D"/>
    <w:rsid w:val="008A7644"/>
    <w:rsid w:val="008A79F3"/>
    <w:rsid w:val="008A7C41"/>
    <w:rsid w:val="008A7C72"/>
    <w:rsid w:val="008B0902"/>
    <w:rsid w:val="008B0DFD"/>
    <w:rsid w:val="008B15FD"/>
    <w:rsid w:val="008B1B17"/>
    <w:rsid w:val="008B1FA6"/>
    <w:rsid w:val="008B2010"/>
    <w:rsid w:val="008B278B"/>
    <w:rsid w:val="008B29E7"/>
    <w:rsid w:val="008B2C4E"/>
    <w:rsid w:val="008B2E43"/>
    <w:rsid w:val="008B33DF"/>
    <w:rsid w:val="008B39CB"/>
    <w:rsid w:val="008B4387"/>
    <w:rsid w:val="008B4676"/>
    <w:rsid w:val="008B4A6C"/>
    <w:rsid w:val="008B5BAE"/>
    <w:rsid w:val="008B5C0B"/>
    <w:rsid w:val="008B5CDC"/>
    <w:rsid w:val="008B5DB4"/>
    <w:rsid w:val="008B6779"/>
    <w:rsid w:val="008B697B"/>
    <w:rsid w:val="008B7FCC"/>
    <w:rsid w:val="008C026E"/>
    <w:rsid w:val="008C053A"/>
    <w:rsid w:val="008C2216"/>
    <w:rsid w:val="008C2B04"/>
    <w:rsid w:val="008C2B9C"/>
    <w:rsid w:val="008C3A93"/>
    <w:rsid w:val="008C46EE"/>
    <w:rsid w:val="008C4BB9"/>
    <w:rsid w:val="008C5F0C"/>
    <w:rsid w:val="008C698C"/>
    <w:rsid w:val="008C6E10"/>
    <w:rsid w:val="008C761B"/>
    <w:rsid w:val="008C7C6C"/>
    <w:rsid w:val="008C7F65"/>
    <w:rsid w:val="008D00B3"/>
    <w:rsid w:val="008D036D"/>
    <w:rsid w:val="008D0622"/>
    <w:rsid w:val="008D07E2"/>
    <w:rsid w:val="008D0AF8"/>
    <w:rsid w:val="008D16F7"/>
    <w:rsid w:val="008D1857"/>
    <w:rsid w:val="008D214B"/>
    <w:rsid w:val="008D2FD4"/>
    <w:rsid w:val="008D30DB"/>
    <w:rsid w:val="008D33CF"/>
    <w:rsid w:val="008D3D6C"/>
    <w:rsid w:val="008D40FA"/>
    <w:rsid w:val="008D47C6"/>
    <w:rsid w:val="008D4835"/>
    <w:rsid w:val="008D5BBF"/>
    <w:rsid w:val="008D5C1E"/>
    <w:rsid w:val="008D68A7"/>
    <w:rsid w:val="008D6FFE"/>
    <w:rsid w:val="008D707E"/>
    <w:rsid w:val="008D71FF"/>
    <w:rsid w:val="008D74B8"/>
    <w:rsid w:val="008D7A6F"/>
    <w:rsid w:val="008E05D9"/>
    <w:rsid w:val="008E0BE6"/>
    <w:rsid w:val="008E0F62"/>
    <w:rsid w:val="008E1427"/>
    <w:rsid w:val="008E169E"/>
    <w:rsid w:val="008E19A0"/>
    <w:rsid w:val="008E1D7E"/>
    <w:rsid w:val="008E3AC9"/>
    <w:rsid w:val="008E3E08"/>
    <w:rsid w:val="008E40A4"/>
    <w:rsid w:val="008E4654"/>
    <w:rsid w:val="008E52C7"/>
    <w:rsid w:val="008E55B2"/>
    <w:rsid w:val="008E595A"/>
    <w:rsid w:val="008E5A1D"/>
    <w:rsid w:val="008E5BC9"/>
    <w:rsid w:val="008E6CD8"/>
    <w:rsid w:val="008E707A"/>
    <w:rsid w:val="008F07C2"/>
    <w:rsid w:val="008F08A8"/>
    <w:rsid w:val="008F0946"/>
    <w:rsid w:val="008F0C50"/>
    <w:rsid w:val="008F1C7D"/>
    <w:rsid w:val="008F2233"/>
    <w:rsid w:val="008F248B"/>
    <w:rsid w:val="008F2529"/>
    <w:rsid w:val="008F27B1"/>
    <w:rsid w:val="008F27CF"/>
    <w:rsid w:val="008F2C78"/>
    <w:rsid w:val="008F2C7A"/>
    <w:rsid w:val="008F2D1C"/>
    <w:rsid w:val="008F4A25"/>
    <w:rsid w:val="008F6A43"/>
    <w:rsid w:val="008F6AC2"/>
    <w:rsid w:val="008F6FC7"/>
    <w:rsid w:val="008F778A"/>
    <w:rsid w:val="00900582"/>
    <w:rsid w:val="00902350"/>
    <w:rsid w:val="009023B2"/>
    <w:rsid w:val="00902ED6"/>
    <w:rsid w:val="00902F1E"/>
    <w:rsid w:val="0090320B"/>
    <w:rsid w:val="00904215"/>
    <w:rsid w:val="009048F2"/>
    <w:rsid w:val="00904A36"/>
    <w:rsid w:val="00904E18"/>
    <w:rsid w:val="00905107"/>
    <w:rsid w:val="009055A0"/>
    <w:rsid w:val="00905F31"/>
    <w:rsid w:val="00906037"/>
    <w:rsid w:val="00906DEA"/>
    <w:rsid w:val="009074CF"/>
    <w:rsid w:val="009077FB"/>
    <w:rsid w:val="00907AD0"/>
    <w:rsid w:val="0091040B"/>
    <w:rsid w:val="0091073D"/>
    <w:rsid w:val="00910D27"/>
    <w:rsid w:val="00910E58"/>
    <w:rsid w:val="0091108D"/>
    <w:rsid w:val="009117E4"/>
    <w:rsid w:val="0091209F"/>
    <w:rsid w:val="00912188"/>
    <w:rsid w:val="0091280A"/>
    <w:rsid w:val="009129AB"/>
    <w:rsid w:val="009143A0"/>
    <w:rsid w:val="00914460"/>
    <w:rsid w:val="00914867"/>
    <w:rsid w:val="0091580B"/>
    <w:rsid w:val="00915C47"/>
    <w:rsid w:val="00915E68"/>
    <w:rsid w:val="00916DD0"/>
    <w:rsid w:val="009175CA"/>
    <w:rsid w:val="0092071A"/>
    <w:rsid w:val="00920A33"/>
    <w:rsid w:val="00920CA3"/>
    <w:rsid w:val="00920EA7"/>
    <w:rsid w:val="00921319"/>
    <w:rsid w:val="0092189E"/>
    <w:rsid w:val="00921B5A"/>
    <w:rsid w:val="009221F0"/>
    <w:rsid w:val="0092227D"/>
    <w:rsid w:val="00922545"/>
    <w:rsid w:val="00922A19"/>
    <w:rsid w:val="0092328E"/>
    <w:rsid w:val="0092382E"/>
    <w:rsid w:val="00925124"/>
    <w:rsid w:val="009254B5"/>
    <w:rsid w:val="009254F7"/>
    <w:rsid w:val="00925635"/>
    <w:rsid w:val="00925C7E"/>
    <w:rsid w:val="00926B4F"/>
    <w:rsid w:val="009271F9"/>
    <w:rsid w:val="00927C3F"/>
    <w:rsid w:val="00927C59"/>
    <w:rsid w:val="00927F49"/>
    <w:rsid w:val="00930330"/>
    <w:rsid w:val="009303C0"/>
    <w:rsid w:val="00931822"/>
    <w:rsid w:val="00931881"/>
    <w:rsid w:val="0093300A"/>
    <w:rsid w:val="00933B6B"/>
    <w:rsid w:val="00933EA4"/>
    <w:rsid w:val="009340E6"/>
    <w:rsid w:val="0093421F"/>
    <w:rsid w:val="0093433B"/>
    <w:rsid w:val="0093462B"/>
    <w:rsid w:val="00934B15"/>
    <w:rsid w:val="00934FCE"/>
    <w:rsid w:val="00935748"/>
    <w:rsid w:val="00936902"/>
    <w:rsid w:val="00937266"/>
    <w:rsid w:val="00937FFD"/>
    <w:rsid w:val="00940643"/>
    <w:rsid w:val="009413A0"/>
    <w:rsid w:val="0094163A"/>
    <w:rsid w:val="009419C8"/>
    <w:rsid w:val="00941B7C"/>
    <w:rsid w:val="00942170"/>
    <w:rsid w:val="00942607"/>
    <w:rsid w:val="0094318F"/>
    <w:rsid w:val="009435A2"/>
    <w:rsid w:val="00943FE3"/>
    <w:rsid w:val="0094486D"/>
    <w:rsid w:val="00944BE9"/>
    <w:rsid w:val="0094520B"/>
    <w:rsid w:val="00945EB7"/>
    <w:rsid w:val="009470E1"/>
    <w:rsid w:val="009473ED"/>
    <w:rsid w:val="00947762"/>
    <w:rsid w:val="0094798F"/>
    <w:rsid w:val="00947A8A"/>
    <w:rsid w:val="00950B6C"/>
    <w:rsid w:val="00950E58"/>
    <w:rsid w:val="0095142C"/>
    <w:rsid w:val="00951DE8"/>
    <w:rsid w:val="00952170"/>
    <w:rsid w:val="00952319"/>
    <w:rsid w:val="00952DF0"/>
    <w:rsid w:val="009539A8"/>
    <w:rsid w:val="00954679"/>
    <w:rsid w:val="00954F11"/>
    <w:rsid w:val="009552FE"/>
    <w:rsid w:val="00955673"/>
    <w:rsid w:val="00955A99"/>
    <w:rsid w:val="00956231"/>
    <w:rsid w:val="009562E9"/>
    <w:rsid w:val="00956322"/>
    <w:rsid w:val="00957337"/>
    <w:rsid w:val="00957704"/>
    <w:rsid w:val="00957E74"/>
    <w:rsid w:val="00957ED8"/>
    <w:rsid w:val="009600E2"/>
    <w:rsid w:val="00961472"/>
    <w:rsid w:val="00961873"/>
    <w:rsid w:val="009619A4"/>
    <w:rsid w:val="00961D25"/>
    <w:rsid w:val="00961F62"/>
    <w:rsid w:val="0096490B"/>
    <w:rsid w:val="009651ED"/>
    <w:rsid w:val="009655DA"/>
    <w:rsid w:val="00965AC9"/>
    <w:rsid w:val="00965B45"/>
    <w:rsid w:val="00965BBC"/>
    <w:rsid w:val="009667D9"/>
    <w:rsid w:val="009673BE"/>
    <w:rsid w:val="009673C6"/>
    <w:rsid w:val="009673D0"/>
    <w:rsid w:val="0096748D"/>
    <w:rsid w:val="0096765B"/>
    <w:rsid w:val="009701DC"/>
    <w:rsid w:val="00972823"/>
    <w:rsid w:val="0097289B"/>
    <w:rsid w:val="0097290F"/>
    <w:rsid w:val="009742CF"/>
    <w:rsid w:val="0097434B"/>
    <w:rsid w:val="00974996"/>
    <w:rsid w:val="009755FA"/>
    <w:rsid w:val="00975B26"/>
    <w:rsid w:val="00976032"/>
    <w:rsid w:val="00976BD5"/>
    <w:rsid w:val="00977058"/>
    <w:rsid w:val="0097713A"/>
    <w:rsid w:val="00977981"/>
    <w:rsid w:val="009779B2"/>
    <w:rsid w:val="00977AFE"/>
    <w:rsid w:val="009800ED"/>
    <w:rsid w:val="00980172"/>
    <w:rsid w:val="009801D9"/>
    <w:rsid w:val="0098169F"/>
    <w:rsid w:val="00981FBE"/>
    <w:rsid w:val="0098219F"/>
    <w:rsid w:val="0098369D"/>
    <w:rsid w:val="00983933"/>
    <w:rsid w:val="00983D15"/>
    <w:rsid w:val="00983D2C"/>
    <w:rsid w:val="00985079"/>
    <w:rsid w:val="009851C3"/>
    <w:rsid w:val="0098583C"/>
    <w:rsid w:val="00985CF4"/>
    <w:rsid w:val="00986666"/>
    <w:rsid w:val="0098737D"/>
    <w:rsid w:val="0098772E"/>
    <w:rsid w:val="00990448"/>
    <w:rsid w:val="009904CF"/>
    <w:rsid w:val="009907D4"/>
    <w:rsid w:val="009907E5"/>
    <w:rsid w:val="00990A46"/>
    <w:rsid w:val="00990BE6"/>
    <w:rsid w:val="00990E38"/>
    <w:rsid w:val="009910A2"/>
    <w:rsid w:val="009917E0"/>
    <w:rsid w:val="00991B0F"/>
    <w:rsid w:val="00992BC8"/>
    <w:rsid w:val="00992F7A"/>
    <w:rsid w:val="00993D0C"/>
    <w:rsid w:val="0099482E"/>
    <w:rsid w:val="00994C7D"/>
    <w:rsid w:val="009950C0"/>
    <w:rsid w:val="00995BD3"/>
    <w:rsid w:val="00996039"/>
    <w:rsid w:val="00996426"/>
    <w:rsid w:val="00996DD4"/>
    <w:rsid w:val="00997922"/>
    <w:rsid w:val="00997D23"/>
    <w:rsid w:val="00997D38"/>
    <w:rsid w:val="009A0367"/>
    <w:rsid w:val="009A0C56"/>
    <w:rsid w:val="009A0D9F"/>
    <w:rsid w:val="009A121E"/>
    <w:rsid w:val="009A1938"/>
    <w:rsid w:val="009A2167"/>
    <w:rsid w:val="009A26A5"/>
    <w:rsid w:val="009A2F5D"/>
    <w:rsid w:val="009A3977"/>
    <w:rsid w:val="009A4385"/>
    <w:rsid w:val="009A46DA"/>
    <w:rsid w:val="009A49F0"/>
    <w:rsid w:val="009A4D96"/>
    <w:rsid w:val="009A5307"/>
    <w:rsid w:val="009A532C"/>
    <w:rsid w:val="009A59C0"/>
    <w:rsid w:val="009A64A1"/>
    <w:rsid w:val="009A6D99"/>
    <w:rsid w:val="009A7633"/>
    <w:rsid w:val="009A79D8"/>
    <w:rsid w:val="009A7E4F"/>
    <w:rsid w:val="009B046E"/>
    <w:rsid w:val="009B1E6A"/>
    <w:rsid w:val="009B24C6"/>
    <w:rsid w:val="009B31E3"/>
    <w:rsid w:val="009B3395"/>
    <w:rsid w:val="009B34F0"/>
    <w:rsid w:val="009B37F1"/>
    <w:rsid w:val="009B3DE1"/>
    <w:rsid w:val="009B4333"/>
    <w:rsid w:val="009B47CF"/>
    <w:rsid w:val="009B50DD"/>
    <w:rsid w:val="009B59DA"/>
    <w:rsid w:val="009B6A4D"/>
    <w:rsid w:val="009B6D96"/>
    <w:rsid w:val="009B731F"/>
    <w:rsid w:val="009B757D"/>
    <w:rsid w:val="009B7A38"/>
    <w:rsid w:val="009B7EF6"/>
    <w:rsid w:val="009C0051"/>
    <w:rsid w:val="009C02BE"/>
    <w:rsid w:val="009C05F2"/>
    <w:rsid w:val="009C06E1"/>
    <w:rsid w:val="009C1044"/>
    <w:rsid w:val="009C2828"/>
    <w:rsid w:val="009C2A9A"/>
    <w:rsid w:val="009C2AF6"/>
    <w:rsid w:val="009C3AEA"/>
    <w:rsid w:val="009C42B8"/>
    <w:rsid w:val="009C45CC"/>
    <w:rsid w:val="009C4AD2"/>
    <w:rsid w:val="009C4D7A"/>
    <w:rsid w:val="009C5174"/>
    <w:rsid w:val="009C5270"/>
    <w:rsid w:val="009C543B"/>
    <w:rsid w:val="009C6425"/>
    <w:rsid w:val="009C65E6"/>
    <w:rsid w:val="009C669F"/>
    <w:rsid w:val="009C6A1E"/>
    <w:rsid w:val="009D1067"/>
    <w:rsid w:val="009D1494"/>
    <w:rsid w:val="009D1C8C"/>
    <w:rsid w:val="009D1F51"/>
    <w:rsid w:val="009D2F0C"/>
    <w:rsid w:val="009D32FA"/>
    <w:rsid w:val="009D36BF"/>
    <w:rsid w:val="009D3CDF"/>
    <w:rsid w:val="009D3FB5"/>
    <w:rsid w:val="009D4222"/>
    <w:rsid w:val="009D477C"/>
    <w:rsid w:val="009D4ACE"/>
    <w:rsid w:val="009D66FE"/>
    <w:rsid w:val="009D6D5A"/>
    <w:rsid w:val="009E0155"/>
    <w:rsid w:val="009E0413"/>
    <w:rsid w:val="009E1170"/>
    <w:rsid w:val="009E191D"/>
    <w:rsid w:val="009E25A6"/>
    <w:rsid w:val="009E27A5"/>
    <w:rsid w:val="009E2B6F"/>
    <w:rsid w:val="009E2F86"/>
    <w:rsid w:val="009E31FB"/>
    <w:rsid w:val="009E33BC"/>
    <w:rsid w:val="009E443D"/>
    <w:rsid w:val="009E4BD2"/>
    <w:rsid w:val="009E4BF3"/>
    <w:rsid w:val="009E5640"/>
    <w:rsid w:val="009E58C5"/>
    <w:rsid w:val="009E68D1"/>
    <w:rsid w:val="009E6DE8"/>
    <w:rsid w:val="009E7C77"/>
    <w:rsid w:val="009F0091"/>
    <w:rsid w:val="009F01B0"/>
    <w:rsid w:val="009F04CC"/>
    <w:rsid w:val="009F0590"/>
    <w:rsid w:val="009F17F1"/>
    <w:rsid w:val="009F2AC7"/>
    <w:rsid w:val="009F3985"/>
    <w:rsid w:val="009F4062"/>
    <w:rsid w:val="009F41A2"/>
    <w:rsid w:val="009F4353"/>
    <w:rsid w:val="009F4F96"/>
    <w:rsid w:val="009F506B"/>
    <w:rsid w:val="009F55FC"/>
    <w:rsid w:val="009F5C76"/>
    <w:rsid w:val="009F6826"/>
    <w:rsid w:val="009F6987"/>
    <w:rsid w:val="009F6CFB"/>
    <w:rsid w:val="009F7238"/>
    <w:rsid w:val="009F765A"/>
    <w:rsid w:val="00A00234"/>
    <w:rsid w:val="00A0033D"/>
    <w:rsid w:val="00A00340"/>
    <w:rsid w:val="00A00673"/>
    <w:rsid w:val="00A01FA9"/>
    <w:rsid w:val="00A02261"/>
    <w:rsid w:val="00A0261F"/>
    <w:rsid w:val="00A03063"/>
    <w:rsid w:val="00A0488D"/>
    <w:rsid w:val="00A04AFA"/>
    <w:rsid w:val="00A04B9F"/>
    <w:rsid w:val="00A0515D"/>
    <w:rsid w:val="00A0546D"/>
    <w:rsid w:val="00A05D75"/>
    <w:rsid w:val="00A0679C"/>
    <w:rsid w:val="00A072D6"/>
    <w:rsid w:val="00A0749F"/>
    <w:rsid w:val="00A07BB5"/>
    <w:rsid w:val="00A10F94"/>
    <w:rsid w:val="00A12209"/>
    <w:rsid w:val="00A1255F"/>
    <w:rsid w:val="00A126DE"/>
    <w:rsid w:val="00A13592"/>
    <w:rsid w:val="00A1383B"/>
    <w:rsid w:val="00A155A4"/>
    <w:rsid w:val="00A168C3"/>
    <w:rsid w:val="00A16907"/>
    <w:rsid w:val="00A1696A"/>
    <w:rsid w:val="00A16A5C"/>
    <w:rsid w:val="00A16C78"/>
    <w:rsid w:val="00A17573"/>
    <w:rsid w:val="00A176B0"/>
    <w:rsid w:val="00A17F11"/>
    <w:rsid w:val="00A202D0"/>
    <w:rsid w:val="00A21778"/>
    <w:rsid w:val="00A21A23"/>
    <w:rsid w:val="00A21EAA"/>
    <w:rsid w:val="00A228D8"/>
    <w:rsid w:val="00A22AB7"/>
    <w:rsid w:val="00A23B50"/>
    <w:rsid w:val="00A23BDB"/>
    <w:rsid w:val="00A2632E"/>
    <w:rsid w:val="00A26948"/>
    <w:rsid w:val="00A27808"/>
    <w:rsid w:val="00A27CD2"/>
    <w:rsid w:val="00A27D0B"/>
    <w:rsid w:val="00A302A1"/>
    <w:rsid w:val="00A30876"/>
    <w:rsid w:val="00A31484"/>
    <w:rsid w:val="00A31681"/>
    <w:rsid w:val="00A321E1"/>
    <w:rsid w:val="00A32498"/>
    <w:rsid w:val="00A3284A"/>
    <w:rsid w:val="00A32D55"/>
    <w:rsid w:val="00A332B5"/>
    <w:rsid w:val="00A33F14"/>
    <w:rsid w:val="00A34CA4"/>
    <w:rsid w:val="00A34FF6"/>
    <w:rsid w:val="00A3569B"/>
    <w:rsid w:val="00A35822"/>
    <w:rsid w:val="00A35AB5"/>
    <w:rsid w:val="00A36DF3"/>
    <w:rsid w:val="00A3719D"/>
    <w:rsid w:val="00A37A9C"/>
    <w:rsid w:val="00A40FA6"/>
    <w:rsid w:val="00A414C5"/>
    <w:rsid w:val="00A4170C"/>
    <w:rsid w:val="00A41AD0"/>
    <w:rsid w:val="00A41E9B"/>
    <w:rsid w:val="00A426AE"/>
    <w:rsid w:val="00A42D11"/>
    <w:rsid w:val="00A4353B"/>
    <w:rsid w:val="00A436AC"/>
    <w:rsid w:val="00A439DA"/>
    <w:rsid w:val="00A43BDF"/>
    <w:rsid w:val="00A4441D"/>
    <w:rsid w:val="00A444A3"/>
    <w:rsid w:val="00A44A36"/>
    <w:rsid w:val="00A44F26"/>
    <w:rsid w:val="00A44F74"/>
    <w:rsid w:val="00A46402"/>
    <w:rsid w:val="00A47BDF"/>
    <w:rsid w:val="00A5060F"/>
    <w:rsid w:val="00A51648"/>
    <w:rsid w:val="00A51997"/>
    <w:rsid w:val="00A52F2C"/>
    <w:rsid w:val="00A52FC0"/>
    <w:rsid w:val="00A532DD"/>
    <w:rsid w:val="00A54195"/>
    <w:rsid w:val="00A5522E"/>
    <w:rsid w:val="00A55DFC"/>
    <w:rsid w:val="00A5601C"/>
    <w:rsid w:val="00A561B3"/>
    <w:rsid w:val="00A567D5"/>
    <w:rsid w:val="00A57CC9"/>
    <w:rsid w:val="00A60062"/>
    <w:rsid w:val="00A600B8"/>
    <w:rsid w:val="00A604EC"/>
    <w:rsid w:val="00A60B92"/>
    <w:rsid w:val="00A6108C"/>
    <w:rsid w:val="00A6193D"/>
    <w:rsid w:val="00A61E5F"/>
    <w:rsid w:val="00A61F0D"/>
    <w:rsid w:val="00A6219E"/>
    <w:rsid w:val="00A626BC"/>
    <w:rsid w:val="00A64706"/>
    <w:rsid w:val="00A647F5"/>
    <w:rsid w:val="00A649B6"/>
    <w:rsid w:val="00A654C7"/>
    <w:rsid w:val="00A65DD1"/>
    <w:rsid w:val="00A66762"/>
    <w:rsid w:val="00A66E02"/>
    <w:rsid w:val="00A66F37"/>
    <w:rsid w:val="00A70A6A"/>
    <w:rsid w:val="00A71099"/>
    <w:rsid w:val="00A71453"/>
    <w:rsid w:val="00A715E3"/>
    <w:rsid w:val="00A71661"/>
    <w:rsid w:val="00A71773"/>
    <w:rsid w:val="00A71B6B"/>
    <w:rsid w:val="00A72A34"/>
    <w:rsid w:val="00A72A71"/>
    <w:rsid w:val="00A72AE4"/>
    <w:rsid w:val="00A72E3F"/>
    <w:rsid w:val="00A73202"/>
    <w:rsid w:val="00A73A4C"/>
    <w:rsid w:val="00A73C2F"/>
    <w:rsid w:val="00A73CFD"/>
    <w:rsid w:val="00A73E35"/>
    <w:rsid w:val="00A742A6"/>
    <w:rsid w:val="00A74B90"/>
    <w:rsid w:val="00A74C63"/>
    <w:rsid w:val="00A74EB4"/>
    <w:rsid w:val="00A74FEB"/>
    <w:rsid w:val="00A75745"/>
    <w:rsid w:val="00A75CF4"/>
    <w:rsid w:val="00A760F0"/>
    <w:rsid w:val="00A76686"/>
    <w:rsid w:val="00A76DD2"/>
    <w:rsid w:val="00A770A0"/>
    <w:rsid w:val="00A77A52"/>
    <w:rsid w:val="00A77D9F"/>
    <w:rsid w:val="00A80257"/>
    <w:rsid w:val="00A80BCF"/>
    <w:rsid w:val="00A80EEC"/>
    <w:rsid w:val="00A82112"/>
    <w:rsid w:val="00A825D1"/>
    <w:rsid w:val="00A82BFE"/>
    <w:rsid w:val="00A82DD8"/>
    <w:rsid w:val="00A830E0"/>
    <w:rsid w:val="00A8369C"/>
    <w:rsid w:val="00A83725"/>
    <w:rsid w:val="00A84A73"/>
    <w:rsid w:val="00A8515F"/>
    <w:rsid w:val="00A85763"/>
    <w:rsid w:val="00A85D47"/>
    <w:rsid w:val="00A85F04"/>
    <w:rsid w:val="00A86579"/>
    <w:rsid w:val="00A86B42"/>
    <w:rsid w:val="00A86B87"/>
    <w:rsid w:val="00A87AD7"/>
    <w:rsid w:val="00A90212"/>
    <w:rsid w:val="00A90CC4"/>
    <w:rsid w:val="00A90FEE"/>
    <w:rsid w:val="00A91429"/>
    <w:rsid w:val="00A928C2"/>
    <w:rsid w:val="00A92B5B"/>
    <w:rsid w:val="00A92B80"/>
    <w:rsid w:val="00A93482"/>
    <w:rsid w:val="00A9401D"/>
    <w:rsid w:val="00A9539F"/>
    <w:rsid w:val="00A95D5A"/>
    <w:rsid w:val="00A95EDD"/>
    <w:rsid w:val="00A9636B"/>
    <w:rsid w:val="00A967C4"/>
    <w:rsid w:val="00A97360"/>
    <w:rsid w:val="00A97444"/>
    <w:rsid w:val="00A97487"/>
    <w:rsid w:val="00A9752E"/>
    <w:rsid w:val="00AA0428"/>
    <w:rsid w:val="00AA056C"/>
    <w:rsid w:val="00AA0ACB"/>
    <w:rsid w:val="00AA1689"/>
    <w:rsid w:val="00AA197F"/>
    <w:rsid w:val="00AA19CB"/>
    <w:rsid w:val="00AA1A5F"/>
    <w:rsid w:val="00AA1D2F"/>
    <w:rsid w:val="00AA20D8"/>
    <w:rsid w:val="00AA26DD"/>
    <w:rsid w:val="00AA29FC"/>
    <w:rsid w:val="00AA3242"/>
    <w:rsid w:val="00AA4344"/>
    <w:rsid w:val="00AA496F"/>
    <w:rsid w:val="00AA4F79"/>
    <w:rsid w:val="00AA5770"/>
    <w:rsid w:val="00AA57C4"/>
    <w:rsid w:val="00AA58E9"/>
    <w:rsid w:val="00AA5916"/>
    <w:rsid w:val="00AA5B67"/>
    <w:rsid w:val="00AA70DB"/>
    <w:rsid w:val="00AA726A"/>
    <w:rsid w:val="00AA76B8"/>
    <w:rsid w:val="00AA7BD2"/>
    <w:rsid w:val="00AB01AF"/>
    <w:rsid w:val="00AB1629"/>
    <w:rsid w:val="00AB2087"/>
    <w:rsid w:val="00AB2239"/>
    <w:rsid w:val="00AB237B"/>
    <w:rsid w:val="00AB2E70"/>
    <w:rsid w:val="00AB33C1"/>
    <w:rsid w:val="00AB348B"/>
    <w:rsid w:val="00AB3712"/>
    <w:rsid w:val="00AB38B7"/>
    <w:rsid w:val="00AB3973"/>
    <w:rsid w:val="00AB3E03"/>
    <w:rsid w:val="00AB3EF3"/>
    <w:rsid w:val="00AB41EF"/>
    <w:rsid w:val="00AB448A"/>
    <w:rsid w:val="00AB540F"/>
    <w:rsid w:val="00AB68B9"/>
    <w:rsid w:val="00AB6AEE"/>
    <w:rsid w:val="00AB776C"/>
    <w:rsid w:val="00AB790F"/>
    <w:rsid w:val="00AC07DF"/>
    <w:rsid w:val="00AC0AC6"/>
    <w:rsid w:val="00AC0B1B"/>
    <w:rsid w:val="00AC1445"/>
    <w:rsid w:val="00AC1D15"/>
    <w:rsid w:val="00AC2A4E"/>
    <w:rsid w:val="00AC3868"/>
    <w:rsid w:val="00AC4619"/>
    <w:rsid w:val="00AC50A9"/>
    <w:rsid w:val="00AC5588"/>
    <w:rsid w:val="00AC7017"/>
    <w:rsid w:val="00AC7CC2"/>
    <w:rsid w:val="00AC7F30"/>
    <w:rsid w:val="00AD0CE4"/>
    <w:rsid w:val="00AD0EC2"/>
    <w:rsid w:val="00AD1F38"/>
    <w:rsid w:val="00AD2749"/>
    <w:rsid w:val="00AD301A"/>
    <w:rsid w:val="00AD3F3B"/>
    <w:rsid w:val="00AD44C6"/>
    <w:rsid w:val="00AD4C85"/>
    <w:rsid w:val="00AD500B"/>
    <w:rsid w:val="00AD5C83"/>
    <w:rsid w:val="00AD63A5"/>
    <w:rsid w:val="00AD6484"/>
    <w:rsid w:val="00AD6566"/>
    <w:rsid w:val="00AD6B40"/>
    <w:rsid w:val="00AD71E7"/>
    <w:rsid w:val="00AE0691"/>
    <w:rsid w:val="00AE164A"/>
    <w:rsid w:val="00AE28FB"/>
    <w:rsid w:val="00AE2CAB"/>
    <w:rsid w:val="00AE2F71"/>
    <w:rsid w:val="00AE318C"/>
    <w:rsid w:val="00AE36F8"/>
    <w:rsid w:val="00AE460D"/>
    <w:rsid w:val="00AE46D6"/>
    <w:rsid w:val="00AE487B"/>
    <w:rsid w:val="00AE4981"/>
    <w:rsid w:val="00AE49FB"/>
    <w:rsid w:val="00AE5128"/>
    <w:rsid w:val="00AE5355"/>
    <w:rsid w:val="00AE6E02"/>
    <w:rsid w:val="00AE74CA"/>
    <w:rsid w:val="00AE7F82"/>
    <w:rsid w:val="00AF093E"/>
    <w:rsid w:val="00AF1AF6"/>
    <w:rsid w:val="00AF2C25"/>
    <w:rsid w:val="00AF3328"/>
    <w:rsid w:val="00AF34E7"/>
    <w:rsid w:val="00AF54A3"/>
    <w:rsid w:val="00AF583C"/>
    <w:rsid w:val="00AF682C"/>
    <w:rsid w:val="00AF6DBF"/>
    <w:rsid w:val="00AF73EE"/>
    <w:rsid w:val="00AF7965"/>
    <w:rsid w:val="00AF7AEF"/>
    <w:rsid w:val="00B00340"/>
    <w:rsid w:val="00B003E8"/>
    <w:rsid w:val="00B0042B"/>
    <w:rsid w:val="00B00AE2"/>
    <w:rsid w:val="00B0100B"/>
    <w:rsid w:val="00B01CD4"/>
    <w:rsid w:val="00B01CEC"/>
    <w:rsid w:val="00B021E4"/>
    <w:rsid w:val="00B02393"/>
    <w:rsid w:val="00B029F4"/>
    <w:rsid w:val="00B02CD5"/>
    <w:rsid w:val="00B02F3F"/>
    <w:rsid w:val="00B04C0D"/>
    <w:rsid w:val="00B04C5E"/>
    <w:rsid w:val="00B04EFF"/>
    <w:rsid w:val="00B05E1E"/>
    <w:rsid w:val="00B07526"/>
    <w:rsid w:val="00B07B0C"/>
    <w:rsid w:val="00B10835"/>
    <w:rsid w:val="00B1095F"/>
    <w:rsid w:val="00B10D8D"/>
    <w:rsid w:val="00B10DA8"/>
    <w:rsid w:val="00B120F9"/>
    <w:rsid w:val="00B126A3"/>
    <w:rsid w:val="00B12C4B"/>
    <w:rsid w:val="00B12D90"/>
    <w:rsid w:val="00B138AA"/>
    <w:rsid w:val="00B13D1A"/>
    <w:rsid w:val="00B14A86"/>
    <w:rsid w:val="00B14B51"/>
    <w:rsid w:val="00B15C04"/>
    <w:rsid w:val="00B15C59"/>
    <w:rsid w:val="00B16951"/>
    <w:rsid w:val="00B16F36"/>
    <w:rsid w:val="00B173A4"/>
    <w:rsid w:val="00B175D6"/>
    <w:rsid w:val="00B17C99"/>
    <w:rsid w:val="00B20142"/>
    <w:rsid w:val="00B213C0"/>
    <w:rsid w:val="00B217B9"/>
    <w:rsid w:val="00B21D27"/>
    <w:rsid w:val="00B228B0"/>
    <w:rsid w:val="00B230D5"/>
    <w:rsid w:val="00B23C8C"/>
    <w:rsid w:val="00B23CDB"/>
    <w:rsid w:val="00B240F0"/>
    <w:rsid w:val="00B24733"/>
    <w:rsid w:val="00B25563"/>
    <w:rsid w:val="00B2579E"/>
    <w:rsid w:val="00B26368"/>
    <w:rsid w:val="00B264F6"/>
    <w:rsid w:val="00B265BC"/>
    <w:rsid w:val="00B268BA"/>
    <w:rsid w:val="00B26D48"/>
    <w:rsid w:val="00B270AD"/>
    <w:rsid w:val="00B277D4"/>
    <w:rsid w:val="00B2789F"/>
    <w:rsid w:val="00B279B2"/>
    <w:rsid w:val="00B27BB5"/>
    <w:rsid w:val="00B27EE7"/>
    <w:rsid w:val="00B27FC9"/>
    <w:rsid w:val="00B303AF"/>
    <w:rsid w:val="00B30AF6"/>
    <w:rsid w:val="00B31291"/>
    <w:rsid w:val="00B3201C"/>
    <w:rsid w:val="00B324BC"/>
    <w:rsid w:val="00B32C76"/>
    <w:rsid w:val="00B33425"/>
    <w:rsid w:val="00B33D8B"/>
    <w:rsid w:val="00B348E7"/>
    <w:rsid w:val="00B34B0C"/>
    <w:rsid w:val="00B34B11"/>
    <w:rsid w:val="00B34E60"/>
    <w:rsid w:val="00B356B3"/>
    <w:rsid w:val="00B36A2B"/>
    <w:rsid w:val="00B373E8"/>
    <w:rsid w:val="00B37460"/>
    <w:rsid w:val="00B37CC4"/>
    <w:rsid w:val="00B40949"/>
    <w:rsid w:val="00B40D80"/>
    <w:rsid w:val="00B414A0"/>
    <w:rsid w:val="00B41F7B"/>
    <w:rsid w:val="00B42EE1"/>
    <w:rsid w:val="00B430BC"/>
    <w:rsid w:val="00B4507F"/>
    <w:rsid w:val="00B45452"/>
    <w:rsid w:val="00B460BD"/>
    <w:rsid w:val="00B469AD"/>
    <w:rsid w:val="00B46D29"/>
    <w:rsid w:val="00B47715"/>
    <w:rsid w:val="00B47934"/>
    <w:rsid w:val="00B479C7"/>
    <w:rsid w:val="00B47A59"/>
    <w:rsid w:val="00B47E8C"/>
    <w:rsid w:val="00B50D64"/>
    <w:rsid w:val="00B50F46"/>
    <w:rsid w:val="00B51025"/>
    <w:rsid w:val="00B510C6"/>
    <w:rsid w:val="00B53144"/>
    <w:rsid w:val="00B5349B"/>
    <w:rsid w:val="00B56139"/>
    <w:rsid w:val="00B5649C"/>
    <w:rsid w:val="00B57342"/>
    <w:rsid w:val="00B600DA"/>
    <w:rsid w:val="00B60355"/>
    <w:rsid w:val="00B604FB"/>
    <w:rsid w:val="00B6103D"/>
    <w:rsid w:val="00B6124C"/>
    <w:rsid w:val="00B61DB7"/>
    <w:rsid w:val="00B61E2F"/>
    <w:rsid w:val="00B61EEF"/>
    <w:rsid w:val="00B6251E"/>
    <w:rsid w:val="00B626B8"/>
    <w:rsid w:val="00B6279D"/>
    <w:rsid w:val="00B62FFF"/>
    <w:rsid w:val="00B6307B"/>
    <w:rsid w:val="00B64111"/>
    <w:rsid w:val="00B649FA"/>
    <w:rsid w:val="00B64DA1"/>
    <w:rsid w:val="00B64EF9"/>
    <w:rsid w:val="00B653FC"/>
    <w:rsid w:val="00B65447"/>
    <w:rsid w:val="00B6596F"/>
    <w:rsid w:val="00B65DBC"/>
    <w:rsid w:val="00B66E7D"/>
    <w:rsid w:val="00B67620"/>
    <w:rsid w:val="00B67CA3"/>
    <w:rsid w:val="00B7061C"/>
    <w:rsid w:val="00B7097C"/>
    <w:rsid w:val="00B7115F"/>
    <w:rsid w:val="00B7138A"/>
    <w:rsid w:val="00B71694"/>
    <w:rsid w:val="00B71CEA"/>
    <w:rsid w:val="00B71D69"/>
    <w:rsid w:val="00B71EF0"/>
    <w:rsid w:val="00B7250E"/>
    <w:rsid w:val="00B73EA4"/>
    <w:rsid w:val="00B74122"/>
    <w:rsid w:val="00B7413E"/>
    <w:rsid w:val="00B74850"/>
    <w:rsid w:val="00B7526E"/>
    <w:rsid w:val="00B7606F"/>
    <w:rsid w:val="00B764E8"/>
    <w:rsid w:val="00B806BE"/>
    <w:rsid w:val="00B80AA4"/>
    <w:rsid w:val="00B80CE8"/>
    <w:rsid w:val="00B813CD"/>
    <w:rsid w:val="00B815AC"/>
    <w:rsid w:val="00B816AB"/>
    <w:rsid w:val="00B818A9"/>
    <w:rsid w:val="00B81D20"/>
    <w:rsid w:val="00B8293D"/>
    <w:rsid w:val="00B8393E"/>
    <w:rsid w:val="00B83F34"/>
    <w:rsid w:val="00B865F4"/>
    <w:rsid w:val="00B86999"/>
    <w:rsid w:val="00B86CE4"/>
    <w:rsid w:val="00B87514"/>
    <w:rsid w:val="00B87A49"/>
    <w:rsid w:val="00B9010A"/>
    <w:rsid w:val="00B9081A"/>
    <w:rsid w:val="00B90D00"/>
    <w:rsid w:val="00B91ECE"/>
    <w:rsid w:val="00B92478"/>
    <w:rsid w:val="00B92A0C"/>
    <w:rsid w:val="00B92C6F"/>
    <w:rsid w:val="00B92DF1"/>
    <w:rsid w:val="00B93E19"/>
    <w:rsid w:val="00B9434A"/>
    <w:rsid w:val="00B943FB"/>
    <w:rsid w:val="00B94C18"/>
    <w:rsid w:val="00B94E1E"/>
    <w:rsid w:val="00B950C5"/>
    <w:rsid w:val="00B9520A"/>
    <w:rsid w:val="00B95CC2"/>
    <w:rsid w:val="00B969CB"/>
    <w:rsid w:val="00B96E76"/>
    <w:rsid w:val="00B97256"/>
    <w:rsid w:val="00B97463"/>
    <w:rsid w:val="00B976ED"/>
    <w:rsid w:val="00B97A7F"/>
    <w:rsid w:val="00BA063E"/>
    <w:rsid w:val="00BA0D8D"/>
    <w:rsid w:val="00BA0D91"/>
    <w:rsid w:val="00BA13A1"/>
    <w:rsid w:val="00BA16BB"/>
    <w:rsid w:val="00BA25B4"/>
    <w:rsid w:val="00BA2836"/>
    <w:rsid w:val="00BA2BE6"/>
    <w:rsid w:val="00BA392F"/>
    <w:rsid w:val="00BA3C1A"/>
    <w:rsid w:val="00BA4153"/>
    <w:rsid w:val="00BA4346"/>
    <w:rsid w:val="00BA4AFD"/>
    <w:rsid w:val="00BA4B00"/>
    <w:rsid w:val="00BA5719"/>
    <w:rsid w:val="00BA6188"/>
    <w:rsid w:val="00BA7572"/>
    <w:rsid w:val="00BA7B52"/>
    <w:rsid w:val="00BA7CD9"/>
    <w:rsid w:val="00BB1F03"/>
    <w:rsid w:val="00BB279D"/>
    <w:rsid w:val="00BB2917"/>
    <w:rsid w:val="00BB2B03"/>
    <w:rsid w:val="00BB2D0D"/>
    <w:rsid w:val="00BB3772"/>
    <w:rsid w:val="00BB379C"/>
    <w:rsid w:val="00BB3AFF"/>
    <w:rsid w:val="00BB49ED"/>
    <w:rsid w:val="00BB5D1F"/>
    <w:rsid w:val="00BB608E"/>
    <w:rsid w:val="00BB6BD5"/>
    <w:rsid w:val="00BB7567"/>
    <w:rsid w:val="00BB7856"/>
    <w:rsid w:val="00BC0EE0"/>
    <w:rsid w:val="00BC13A5"/>
    <w:rsid w:val="00BC219A"/>
    <w:rsid w:val="00BC24F4"/>
    <w:rsid w:val="00BC2E54"/>
    <w:rsid w:val="00BC3471"/>
    <w:rsid w:val="00BC361A"/>
    <w:rsid w:val="00BC390E"/>
    <w:rsid w:val="00BC3DAC"/>
    <w:rsid w:val="00BC4917"/>
    <w:rsid w:val="00BC4F72"/>
    <w:rsid w:val="00BC5120"/>
    <w:rsid w:val="00BC5717"/>
    <w:rsid w:val="00BC5CA7"/>
    <w:rsid w:val="00BC5D35"/>
    <w:rsid w:val="00BC68C2"/>
    <w:rsid w:val="00BC74ED"/>
    <w:rsid w:val="00BC7D1D"/>
    <w:rsid w:val="00BD0023"/>
    <w:rsid w:val="00BD16D1"/>
    <w:rsid w:val="00BD1A0C"/>
    <w:rsid w:val="00BD1A0F"/>
    <w:rsid w:val="00BD1C80"/>
    <w:rsid w:val="00BD2045"/>
    <w:rsid w:val="00BD22DD"/>
    <w:rsid w:val="00BD2707"/>
    <w:rsid w:val="00BD2B43"/>
    <w:rsid w:val="00BD2FFA"/>
    <w:rsid w:val="00BD3139"/>
    <w:rsid w:val="00BD32A2"/>
    <w:rsid w:val="00BD3450"/>
    <w:rsid w:val="00BD3D7D"/>
    <w:rsid w:val="00BD3EBE"/>
    <w:rsid w:val="00BD42E7"/>
    <w:rsid w:val="00BD458F"/>
    <w:rsid w:val="00BD471E"/>
    <w:rsid w:val="00BD47C0"/>
    <w:rsid w:val="00BD49F7"/>
    <w:rsid w:val="00BD4B80"/>
    <w:rsid w:val="00BD50D4"/>
    <w:rsid w:val="00BD5B44"/>
    <w:rsid w:val="00BD61A2"/>
    <w:rsid w:val="00BD7283"/>
    <w:rsid w:val="00BE030D"/>
    <w:rsid w:val="00BE1074"/>
    <w:rsid w:val="00BE14E9"/>
    <w:rsid w:val="00BE1CE7"/>
    <w:rsid w:val="00BE1FD4"/>
    <w:rsid w:val="00BE26A9"/>
    <w:rsid w:val="00BE3FBD"/>
    <w:rsid w:val="00BE484D"/>
    <w:rsid w:val="00BE4CC6"/>
    <w:rsid w:val="00BE4FE0"/>
    <w:rsid w:val="00BE5121"/>
    <w:rsid w:val="00BE5356"/>
    <w:rsid w:val="00BE62ED"/>
    <w:rsid w:val="00BE65A1"/>
    <w:rsid w:val="00BE6808"/>
    <w:rsid w:val="00BE6FBD"/>
    <w:rsid w:val="00BE6FD7"/>
    <w:rsid w:val="00BF0F28"/>
    <w:rsid w:val="00BF0FCD"/>
    <w:rsid w:val="00BF16BB"/>
    <w:rsid w:val="00BF20E8"/>
    <w:rsid w:val="00BF2320"/>
    <w:rsid w:val="00BF2596"/>
    <w:rsid w:val="00BF3EFE"/>
    <w:rsid w:val="00BF4A88"/>
    <w:rsid w:val="00BF4C7D"/>
    <w:rsid w:val="00BF50C2"/>
    <w:rsid w:val="00BF5AE5"/>
    <w:rsid w:val="00BF6BD5"/>
    <w:rsid w:val="00BF7CFF"/>
    <w:rsid w:val="00BF7F06"/>
    <w:rsid w:val="00C00125"/>
    <w:rsid w:val="00C00888"/>
    <w:rsid w:val="00C00B11"/>
    <w:rsid w:val="00C03195"/>
    <w:rsid w:val="00C03C72"/>
    <w:rsid w:val="00C03E54"/>
    <w:rsid w:val="00C03F69"/>
    <w:rsid w:val="00C049A3"/>
    <w:rsid w:val="00C04B91"/>
    <w:rsid w:val="00C05972"/>
    <w:rsid w:val="00C06438"/>
    <w:rsid w:val="00C0691B"/>
    <w:rsid w:val="00C06EBB"/>
    <w:rsid w:val="00C07117"/>
    <w:rsid w:val="00C10D60"/>
    <w:rsid w:val="00C10DAB"/>
    <w:rsid w:val="00C10F83"/>
    <w:rsid w:val="00C12B43"/>
    <w:rsid w:val="00C12E83"/>
    <w:rsid w:val="00C14149"/>
    <w:rsid w:val="00C156FB"/>
    <w:rsid w:val="00C158D7"/>
    <w:rsid w:val="00C15F85"/>
    <w:rsid w:val="00C20E0A"/>
    <w:rsid w:val="00C21000"/>
    <w:rsid w:val="00C21D0E"/>
    <w:rsid w:val="00C21D79"/>
    <w:rsid w:val="00C227DF"/>
    <w:rsid w:val="00C22F79"/>
    <w:rsid w:val="00C230C1"/>
    <w:rsid w:val="00C230C6"/>
    <w:rsid w:val="00C2411C"/>
    <w:rsid w:val="00C24549"/>
    <w:rsid w:val="00C24A62"/>
    <w:rsid w:val="00C24EDE"/>
    <w:rsid w:val="00C25116"/>
    <w:rsid w:val="00C25800"/>
    <w:rsid w:val="00C25A09"/>
    <w:rsid w:val="00C25E78"/>
    <w:rsid w:val="00C26736"/>
    <w:rsid w:val="00C271E8"/>
    <w:rsid w:val="00C27D33"/>
    <w:rsid w:val="00C30D5D"/>
    <w:rsid w:val="00C31FFF"/>
    <w:rsid w:val="00C32539"/>
    <w:rsid w:val="00C32866"/>
    <w:rsid w:val="00C32BB6"/>
    <w:rsid w:val="00C34152"/>
    <w:rsid w:val="00C366E1"/>
    <w:rsid w:val="00C36B01"/>
    <w:rsid w:val="00C37E05"/>
    <w:rsid w:val="00C416AC"/>
    <w:rsid w:val="00C41FE3"/>
    <w:rsid w:val="00C4270A"/>
    <w:rsid w:val="00C429AC"/>
    <w:rsid w:val="00C43B6C"/>
    <w:rsid w:val="00C45485"/>
    <w:rsid w:val="00C463BE"/>
    <w:rsid w:val="00C470E3"/>
    <w:rsid w:val="00C47789"/>
    <w:rsid w:val="00C5169F"/>
    <w:rsid w:val="00C5173B"/>
    <w:rsid w:val="00C51FCF"/>
    <w:rsid w:val="00C52172"/>
    <w:rsid w:val="00C5235C"/>
    <w:rsid w:val="00C52B53"/>
    <w:rsid w:val="00C532D5"/>
    <w:rsid w:val="00C53781"/>
    <w:rsid w:val="00C5381D"/>
    <w:rsid w:val="00C54125"/>
    <w:rsid w:val="00C5563D"/>
    <w:rsid w:val="00C55A31"/>
    <w:rsid w:val="00C55D29"/>
    <w:rsid w:val="00C56D3B"/>
    <w:rsid w:val="00C56F2E"/>
    <w:rsid w:val="00C57283"/>
    <w:rsid w:val="00C578D7"/>
    <w:rsid w:val="00C57A0B"/>
    <w:rsid w:val="00C603B9"/>
    <w:rsid w:val="00C61F85"/>
    <w:rsid w:val="00C6228C"/>
    <w:rsid w:val="00C62A6D"/>
    <w:rsid w:val="00C62B3A"/>
    <w:rsid w:val="00C644AD"/>
    <w:rsid w:val="00C64B47"/>
    <w:rsid w:val="00C65BE3"/>
    <w:rsid w:val="00C65F9C"/>
    <w:rsid w:val="00C6646B"/>
    <w:rsid w:val="00C6691D"/>
    <w:rsid w:val="00C67945"/>
    <w:rsid w:val="00C67B42"/>
    <w:rsid w:val="00C7009A"/>
    <w:rsid w:val="00C7053A"/>
    <w:rsid w:val="00C70B42"/>
    <w:rsid w:val="00C70D5D"/>
    <w:rsid w:val="00C70E9C"/>
    <w:rsid w:val="00C71CB3"/>
    <w:rsid w:val="00C72539"/>
    <w:rsid w:val="00C72EC4"/>
    <w:rsid w:val="00C73466"/>
    <w:rsid w:val="00C74398"/>
    <w:rsid w:val="00C7553D"/>
    <w:rsid w:val="00C755B2"/>
    <w:rsid w:val="00C76408"/>
    <w:rsid w:val="00C76FF8"/>
    <w:rsid w:val="00C77595"/>
    <w:rsid w:val="00C7781C"/>
    <w:rsid w:val="00C77856"/>
    <w:rsid w:val="00C7791C"/>
    <w:rsid w:val="00C81466"/>
    <w:rsid w:val="00C81C9E"/>
    <w:rsid w:val="00C83094"/>
    <w:rsid w:val="00C83B4A"/>
    <w:rsid w:val="00C83BDE"/>
    <w:rsid w:val="00C83DB6"/>
    <w:rsid w:val="00C84EE3"/>
    <w:rsid w:val="00C84FA0"/>
    <w:rsid w:val="00C8526C"/>
    <w:rsid w:val="00C855F1"/>
    <w:rsid w:val="00C85654"/>
    <w:rsid w:val="00C863F0"/>
    <w:rsid w:val="00C86EDE"/>
    <w:rsid w:val="00C86F6D"/>
    <w:rsid w:val="00C86F91"/>
    <w:rsid w:val="00C87192"/>
    <w:rsid w:val="00C871B6"/>
    <w:rsid w:val="00C879F8"/>
    <w:rsid w:val="00C905DC"/>
    <w:rsid w:val="00C9093B"/>
    <w:rsid w:val="00C91438"/>
    <w:rsid w:val="00C9235B"/>
    <w:rsid w:val="00C924EE"/>
    <w:rsid w:val="00C93026"/>
    <w:rsid w:val="00C948D8"/>
    <w:rsid w:val="00C94952"/>
    <w:rsid w:val="00C952F1"/>
    <w:rsid w:val="00C953D0"/>
    <w:rsid w:val="00C95609"/>
    <w:rsid w:val="00C96F64"/>
    <w:rsid w:val="00C975EC"/>
    <w:rsid w:val="00C976CB"/>
    <w:rsid w:val="00C978C0"/>
    <w:rsid w:val="00C97A37"/>
    <w:rsid w:val="00CA0502"/>
    <w:rsid w:val="00CA0BE9"/>
    <w:rsid w:val="00CA138D"/>
    <w:rsid w:val="00CA1402"/>
    <w:rsid w:val="00CA1737"/>
    <w:rsid w:val="00CA275F"/>
    <w:rsid w:val="00CA3829"/>
    <w:rsid w:val="00CA3D31"/>
    <w:rsid w:val="00CA41BE"/>
    <w:rsid w:val="00CA52B8"/>
    <w:rsid w:val="00CA57D9"/>
    <w:rsid w:val="00CA5D67"/>
    <w:rsid w:val="00CA7103"/>
    <w:rsid w:val="00CB0245"/>
    <w:rsid w:val="00CB0667"/>
    <w:rsid w:val="00CB0B29"/>
    <w:rsid w:val="00CB0DE8"/>
    <w:rsid w:val="00CB0EF5"/>
    <w:rsid w:val="00CB0F22"/>
    <w:rsid w:val="00CB1055"/>
    <w:rsid w:val="00CB17AA"/>
    <w:rsid w:val="00CB20C9"/>
    <w:rsid w:val="00CB2BEA"/>
    <w:rsid w:val="00CB2D56"/>
    <w:rsid w:val="00CB305F"/>
    <w:rsid w:val="00CB33D1"/>
    <w:rsid w:val="00CB3B37"/>
    <w:rsid w:val="00CB48CE"/>
    <w:rsid w:val="00CB584D"/>
    <w:rsid w:val="00CB596B"/>
    <w:rsid w:val="00CB5AE6"/>
    <w:rsid w:val="00CB5F9A"/>
    <w:rsid w:val="00CB655E"/>
    <w:rsid w:val="00CB6846"/>
    <w:rsid w:val="00CB684F"/>
    <w:rsid w:val="00CB68DA"/>
    <w:rsid w:val="00CB6D08"/>
    <w:rsid w:val="00CB705E"/>
    <w:rsid w:val="00CB7873"/>
    <w:rsid w:val="00CB7A2C"/>
    <w:rsid w:val="00CB7DAB"/>
    <w:rsid w:val="00CB7DF9"/>
    <w:rsid w:val="00CC01CB"/>
    <w:rsid w:val="00CC055B"/>
    <w:rsid w:val="00CC1BA0"/>
    <w:rsid w:val="00CC220F"/>
    <w:rsid w:val="00CC24E3"/>
    <w:rsid w:val="00CC2AFE"/>
    <w:rsid w:val="00CC3037"/>
    <w:rsid w:val="00CC3F48"/>
    <w:rsid w:val="00CC4107"/>
    <w:rsid w:val="00CC41E8"/>
    <w:rsid w:val="00CC4208"/>
    <w:rsid w:val="00CC53EF"/>
    <w:rsid w:val="00CC5F60"/>
    <w:rsid w:val="00CC6108"/>
    <w:rsid w:val="00CC6184"/>
    <w:rsid w:val="00CC6BDE"/>
    <w:rsid w:val="00CC6CED"/>
    <w:rsid w:val="00CC7135"/>
    <w:rsid w:val="00CC7641"/>
    <w:rsid w:val="00CC78CD"/>
    <w:rsid w:val="00CC79A4"/>
    <w:rsid w:val="00CC7A3C"/>
    <w:rsid w:val="00CD0B44"/>
    <w:rsid w:val="00CD0D3A"/>
    <w:rsid w:val="00CD0D3F"/>
    <w:rsid w:val="00CD20F7"/>
    <w:rsid w:val="00CD3059"/>
    <w:rsid w:val="00CD378C"/>
    <w:rsid w:val="00CD37E3"/>
    <w:rsid w:val="00CD4285"/>
    <w:rsid w:val="00CD4CCC"/>
    <w:rsid w:val="00CD4CCD"/>
    <w:rsid w:val="00CD57E6"/>
    <w:rsid w:val="00CD60F8"/>
    <w:rsid w:val="00CD621D"/>
    <w:rsid w:val="00CD66CF"/>
    <w:rsid w:val="00CD6D75"/>
    <w:rsid w:val="00CD7042"/>
    <w:rsid w:val="00CD72D6"/>
    <w:rsid w:val="00CD7C57"/>
    <w:rsid w:val="00CE0058"/>
    <w:rsid w:val="00CE0595"/>
    <w:rsid w:val="00CE0632"/>
    <w:rsid w:val="00CE0A97"/>
    <w:rsid w:val="00CE0B46"/>
    <w:rsid w:val="00CE1AF6"/>
    <w:rsid w:val="00CE2DA1"/>
    <w:rsid w:val="00CE3060"/>
    <w:rsid w:val="00CE3512"/>
    <w:rsid w:val="00CE35F2"/>
    <w:rsid w:val="00CE388B"/>
    <w:rsid w:val="00CE3945"/>
    <w:rsid w:val="00CE4D77"/>
    <w:rsid w:val="00CE4DC5"/>
    <w:rsid w:val="00CE4EFB"/>
    <w:rsid w:val="00CE5488"/>
    <w:rsid w:val="00CE59B4"/>
    <w:rsid w:val="00CE5B62"/>
    <w:rsid w:val="00CE680A"/>
    <w:rsid w:val="00CE6879"/>
    <w:rsid w:val="00CE689F"/>
    <w:rsid w:val="00CE6968"/>
    <w:rsid w:val="00CE6BB5"/>
    <w:rsid w:val="00CE7719"/>
    <w:rsid w:val="00CE7D19"/>
    <w:rsid w:val="00CF00FE"/>
    <w:rsid w:val="00CF01F0"/>
    <w:rsid w:val="00CF031A"/>
    <w:rsid w:val="00CF0681"/>
    <w:rsid w:val="00CF0B47"/>
    <w:rsid w:val="00CF18F3"/>
    <w:rsid w:val="00CF1AB2"/>
    <w:rsid w:val="00CF23EE"/>
    <w:rsid w:val="00CF2515"/>
    <w:rsid w:val="00CF26BE"/>
    <w:rsid w:val="00CF2C96"/>
    <w:rsid w:val="00CF37D2"/>
    <w:rsid w:val="00CF3E79"/>
    <w:rsid w:val="00CF4A64"/>
    <w:rsid w:val="00CF4AEA"/>
    <w:rsid w:val="00CF5C64"/>
    <w:rsid w:val="00CF6873"/>
    <w:rsid w:val="00CF695D"/>
    <w:rsid w:val="00CF6F66"/>
    <w:rsid w:val="00CF7773"/>
    <w:rsid w:val="00CF7EF8"/>
    <w:rsid w:val="00D002EA"/>
    <w:rsid w:val="00D00788"/>
    <w:rsid w:val="00D00D2E"/>
    <w:rsid w:val="00D010B9"/>
    <w:rsid w:val="00D011E6"/>
    <w:rsid w:val="00D0157A"/>
    <w:rsid w:val="00D016D4"/>
    <w:rsid w:val="00D02B83"/>
    <w:rsid w:val="00D02DBA"/>
    <w:rsid w:val="00D02E8E"/>
    <w:rsid w:val="00D0376D"/>
    <w:rsid w:val="00D0434C"/>
    <w:rsid w:val="00D04784"/>
    <w:rsid w:val="00D04A17"/>
    <w:rsid w:val="00D053C5"/>
    <w:rsid w:val="00D05406"/>
    <w:rsid w:val="00D05E34"/>
    <w:rsid w:val="00D05EEC"/>
    <w:rsid w:val="00D0624A"/>
    <w:rsid w:val="00D0625D"/>
    <w:rsid w:val="00D072B4"/>
    <w:rsid w:val="00D074A2"/>
    <w:rsid w:val="00D10947"/>
    <w:rsid w:val="00D10B8B"/>
    <w:rsid w:val="00D10DBF"/>
    <w:rsid w:val="00D10E31"/>
    <w:rsid w:val="00D11135"/>
    <w:rsid w:val="00D11B68"/>
    <w:rsid w:val="00D132B8"/>
    <w:rsid w:val="00D135ED"/>
    <w:rsid w:val="00D13794"/>
    <w:rsid w:val="00D14159"/>
    <w:rsid w:val="00D15117"/>
    <w:rsid w:val="00D16626"/>
    <w:rsid w:val="00D16770"/>
    <w:rsid w:val="00D16BBE"/>
    <w:rsid w:val="00D1705E"/>
    <w:rsid w:val="00D17632"/>
    <w:rsid w:val="00D176D8"/>
    <w:rsid w:val="00D20289"/>
    <w:rsid w:val="00D2164F"/>
    <w:rsid w:val="00D218E7"/>
    <w:rsid w:val="00D21AA0"/>
    <w:rsid w:val="00D22313"/>
    <w:rsid w:val="00D2233A"/>
    <w:rsid w:val="00D223E5"/>
    <w:rsid w:val="00D22B83"/>
    <w:rsid w:val="00D232F8"/>
    <w:rsid w:val="00D24052"/>
    <w:rsid w:val="00D24386"/>
    <w:rsid w:val="00D24E5C"/>
    <w:rsid w:val="00D24F6C"/>
    <w:rsid w:val="00D24FA8"/>
    <w:rsid w:val="00D2529B"/>
    <w:rsid w:val="00D253B7"/>
    <w:rsid w:val="00D254C9"/>
    <w:rsid w:val="00D255D8"/>
    <w:rsid w:val="00D257E9"/>
    <w:rsid w:val="00D263FE"/>
    <w:rsid w:val="00D26920"/>
    <w:rsid w:val="00D26C59"/>
    <w:rsid w:val="00D27EEC"/>
    <w:rsid w:val="00D306B3"/>
    <w:rsid w:val="00D308E0"/>
    <w:rsid w:val="00D31575"/>
    <w:rsid w:val="00D31A89"/>
    <w:rsid w:val="00D31DC2"/>
    <w:rsid w:val="00D31E52"/>
    <w:rsid w:val="00D321DF"/>
    <w:rsid w:val="00D32560"/>
    <w:rsid w:val="00D32E90"/>
    <w:rsid w:val="00D338B5"/>
    <w:rsid w:val="00D33AA3"/>
    <w:rsid w:val="00D34626"/>
    <w:rsid w:val="00D34C16"/>
    <w:rsid w:val="00D34FB4"/>
    <w:rsid w:val="00D358B6"/>
    <w:rsid w:val="00D359BA"/>
    <w:rsid w:val="00D35C87"/>
    <w:rsid w:val="00D35E20"/>
    <w:rsid w:val="00D36178"/>
    <w:rsid w:val="00D3695C"/>
    <w:rsid w:val="00D36FCD"/>
    <w:rsid w:val="00D37229"/>
    <w:rsid w:val="00D377EC"/>
    <w:rsid w:val="00D37B45"/>
    <w:rsid w:val="00D40779"/>
    <w:rsid w:val="00D40820"/>
    <w:rsid w:val="00D40886"/>
    <w:rsid w:val="00D4091E"/>
    <w:rsid w:val="00D41186"/>
    <w:rsid w:val="00D4168D"/>
    <w:rsid w:val="00D4257A"/>
    <w:rsid w:val="00D42980"/>
    <w:rsid w:val="00D42994"/>
    <w:rsid w:val="00D433EE"/>
    <w:rsid w:val="00D43989"/>
    <w:rsid w:val="00D43BD7"/>
    <w:rsid w:val="00D43F5C"/>
    <w:rsid w:val="00D441C6"/>
    <w:rsid w:val="00D447C5"/>
    <w:rsid w:val="00D447E4"/>
    <w:rsid w:val="00D44CC3"/>
    <w:rsid w:val="00D4506F"/>
    <w:rsid w:val="00D456A9"/>
    <w:rsid w:val="00D467F8"/>
    <w:rsid w:val="00D46BF0"/>
    <w:rsid w:val="00D470F7"/>
    <w:rsid w:val="00D507E8"/>
    <w:rsid w:val="00D50844"/>
    <w:rsid w:val="00D508BB"/>
    <w:rsid w:val="00D51522"/>
    <w:rsid w:val="00D51690"/>
    <w:rsid w:val="00D52798"/>
    <w:rsid w:val="00D5468A"/>
    <w:rsid w:val="00D54E22"/>
    <w:rsid w:val="00D5557E"/>
    <w:rsid w:val="00D557A7"/>
    <w:rsid w:val="00D55CE3"/>
    <w:rsid w:val="00D55D7D"/>
    <w:rsid w:val="00D5632D"/>
    <w:rsid w:val="00D56F11"/>
    <w:rsid w:val="00D56F6B"/>
    <w:rsid w:val="00D570D3"/>
    <w:rsid w:val="00D57AC1"/>
    <w:rsid w:val="00D604B5"/>
    <w:rsid w:val="00D604DB"/>
    <w:rsid w:val="00D61745"/>
    <w:rsid w:val="00D61755"/>
    <w:rsid w:val="00D61B1E"/>
    <w:rsid w:val="00D62665"/>
    <w:rsid w:val="00D62A6C"/>
    <w:rsid w:val="00D62B07"/>
    <w:rsid w:val="00D62D9B"/>
    <w:rsid w:val="00D62EFA"/>
    <w:rsid w:val="00D6318B"/>
    <w:rsid w:val="00D642BB"/>
    <w:rsid w:val="00D643B4"/>
    <w:rsid w:val="00D645AC"/>
    <w:rsid w:val="00D651BB"/>
    <w:rsid w:val="00D655CF"/>
    <w:rsid w:val="00D6634E"/>
    <w:rsid w:val="00D66878"/>
    <w:rsid w:val="00D669EB"/>
    <w:rsid w:val="00D66C71"/>
    <w:rsid w:val="00D66D7C"/>
    <w:rsid w:val="00D66D9A"/>
    <w:rsid w:val="00D67281"/>
    <w:rsid w:val="00D6767B"/>
    <w:rsid w:val="00D67DDC"/>
    <w:rsid w:val="00D70205"/>
    <w:rsid w:val="00D71417"/>
    <w:rsid w:val="00D71F1C"/>
    <w:rsid w:val="00D726F1"/>
    <w:rsid w:val="00D72874"/>
    <w:rsid w:val="00D72BCC"/>
    <w:rsid w:val="00D72D4D"/>
    <w:rsid w:val="00D73121"/>
    <w:rsid w:val="00D735B6"/>
    <w:rsid w:val="00D735EF"/>
    <w:rsid w:val="00D7395A"/>
    <w:rsid w:val="00D7400D"/>
    <w:rsid w:val="00D743AA"/>
    <w:rsid w:val="00D74450"/>
    <w:rsid w:val="00D744FC"/>
    <w:rsid w:val="00D74B7D"/>
    <w:rsid w:val="00D75979"/>
    <w:rsid w:val="00D7609F"/>
    <w:rsid w:val="00D7685D"/>
    <w:rsid w:val="00D76990"/>
    <w:rsid w:val="00D774A0"/>
    <w:rsid w:val="00D77FAC"/>
    <w:rsid w:val="00D807D3"/>
    <w:rsid w:val="00D80E67"/>
    <w:rsid w:val="00D81039"/>
    <w:rsid w:val="00D81AA7"/>
    <w:rsid w:val="00D825F0"/>
    <w:rsid w:val="00D826E2"/>
    <w:rsid w:val="00D8291F"/>
    <w:rsid w:val="00D82963"/>
    <w:rsid w:val="00D82E47"/>
    <w:rsid w:val="00D84259"/>
    <w:rsid w:val="00D843FF"/>
    <w:rsid w:val="00D84977"/>
    <w:rsid w:val="00D84A01"/>
    <w:rsid w:val="00D85AC6"/>
    <w:rsid w:val="00D866C3"/>
    <w:rsid w:val="00D8798D"/>
    <w:rsid w:val="00D909C6"/>
    <w:rsid w:val="00D90C2B"/>
    <w:rsid w:val="00D90C45"/>
    <w:rsid w:val="00D91969"/>
    <w:rsid w:val="00D91BC2"/>
    <w:rsid w:val="00D92CD6"/>
    <w:rsid w:val="00D93E35"/>
    <w:rsid w:val="00D94463"/>
    <w:rsid w:val="00D9505A"/>
    <w:rsid w:val="00D959DD"/>
    <w:rsid w:val="00D963E3"/>
    <w:rsid w:val="00D96400"/>
    <w:rsid w:val="00D965A8"/>
    <w:rsid w:val="00D97534"/>
    <w:rsid w:val="00D977EA"/>
    <w:rsid w:val="00DA03CF"/>
    <w:rsid w:val="00DA122C"/>
    <w:rsid w:val="00DA1850"/>
    <w:rsid w:val="00DA1AC1"/>
    <w:rsid w:val="00DA1BF0"/>
    <w:rsid w:val="00DA1DE2"/>
    <w:rsid w:val="00DA1EDD"/>
    <w:rsid w:val="00DA1F9C"/>
    <w:rsid w:val="00DA24E3"/>
    <w:rsid w:val="00DA2890"/>
    <w:rsid w:val="00DA37E0"/>
    <w:rsid w:val="00DA4AED"/>
    <w:rsid w:val="00DA5214"/>
    <w:rsid w:val="00DA53AE"/>
    <w:rsid w:val="00DA5507"/>
    <w:rsid w:val="00DA6452"/>
    <w:rsid w:val="00DA6587"/>
    <w:rsid w:val="00DA6B70"/>
    <w:rsid w:val="00DA6E4E"/>
    <w:rsid w:val="00DA78F3"/>
    <w:rsid w:val="00DA7E06"/>
    <w:rsid w:val="00DB0907"/>
    <w:rsid w:val="00DB0EB3"/>
    <w:rsid w:val="00DB113B"/>
    <w:rsid w:val="00DB148C"/>
    <w:rsid w:val="00DB1A31"/>
    <w:rsid w:val="00DB1CB5"/>
    <w:rsid w:val="00DB202E"/>
    <w:rsid w:val="00DB2770"/>
    <w:rsid w:val="00DB35C6"/>
    <w:rsid w:val="00DB395E"/>
    <w:rsid w:val="00DB3E75"/>
    <w:rsid w:val="00DB4F78"/>
    <w:rsid w:val="00DB4F91"/>
    <w:rsid w:val="00DB5165"/>
    <w:rsid w:val="00DB52DB"/>
    <w:rsid w:val="00DB58AA"/>
    <w:rsid w:val="00DB5BF6"/>
    <w:rsid w:val="00DB7843"/>
    <w:rsid w:val="00DB7A73"/>
    <w:rsid w:val="00DB7FA0"/>
    <w:rsid w:val="00DC027B"/>
    <w:rsid w:val="00DC03D5"/>
    <w:rsid w:val="00DC0BFA"/>
    <w:rsid w:val="00DC0CDE"/>
    <w:rsid w:val="00DC1A85"/>
    <w:rsid w:val="00DC1FAD"/>
    <w:rsid w:val="00DC21C0"/>
    <w:rsid w:val="00DC2A7E"/>
    <w:rsid w:val="00DC2E4F"/>
    <w:rsid w:val="00DC377A"/>
    <w:rsid w:val="00DC4629"/>
    <w:rsid w:val="00DC498E"/>
    <w:rsid w:val="00DC4C41"/>
    <w:rsid w:val="00DC4D72"/>
    <w:rsid w:val="00DC5737"/>
    <w:rsid w:val="00DC5A6B"/>
    <w:rsid w:val="00DC5D90"/>
    <w:rsid w:val="00DC6525"/>
    <w:rsid w:val="00DC66B4"/>
    <w:rsid w:val="00DC671D"/>
    <w:rsid w:val="00DC6F64"/>
    <w:rsid w:val="00DC7018"/>
    <w:rsid w:val="00DD0783"/>
    <w:rsid w:val="00DD087A"/>
    <w:rsid w:val="00DD0C7D"/>
    <w:rsid w:val="00DD12B0"/>
    <w:rsid w:val="00DD1CF7"/>
    <w:rsid w:val="00DD23C5"/>
    <w:rsid w:val="00DD3288"/>
    <w:rsid w:val="00DD3605"/>
    <w:rsid w:val="00DD5610"/>
    <w:rsid w:val="00DD5C2B"/>
    <w:rsid w:val="00DD621E"/>
    <w:rsid w:val="00DD6646"/>
    <w:rsid w:val="00DD6859"/>
    <w:rsid w:val="00DD6989"/>
    <w:rsid w:val="00DE04B6"/>
    <w:rsid w:val="00DE0AD5"/>
    <w:rsid w:val="00DE0BB7"/>
    <w:rsid w:val="00DE0FD6"/>
    <w:rsid w:val="00DE17E6"/>
    <w:rsid w:val="00DE3912"/>
    <w:rsid w:val="00DE3C8B"/>
    <w:rsid w:val="00DE3EDA"/>
    <w:rsid w:val="00DE429A"/>
    <w:rsid w:val="00DE54A0"/>
    <w:rsid w:val="00DE57CD"/>
    <w:rsid w:val="00DE57F9"/>
    <w:rsid w:val="00DE5D8B"/>
    <w:rsid w:val="00DE650E"/>
    <w:rsid w:val="00DE7FB4"/>
    <w:rsid w:val="00DF0CB3"/>
    <w:rsid w:val="00DF0F54"/>
    <w:rsid w:val="00DF12E4"/>
    <w:rsid w:val="00DF17BF"/>
    <w:rsid w:val="00DF2AC4"/>
    <w:rsid w:val="00DF39A6"/>
    <w:rsid w:val="00DF45CE"/>
    <w:rsid w:val="00DF494C"/>
    <w:rsid w:val="00DF5060"/>
    <w:rsid w:val="00DF52F4"/>
    <w:rsid w:val="00DF5B2F"/>
    <w:rsid w:val="00DF5E80"/>
    <w:rsid w:val="00DF6627"/>
    <w:rsid w:val="00DF668E"/>
    <w:rsid w:val="00DF6A3F"/>
    <w:rsid w:val="00DF6AC1"/>
    <w:rsid w:val="00DF6B5C"/>
    <w:rsid w:val="00DF6C7E"/>
    <w:rsid w:val="00DF6D0B"/>
    <w:rsid w:val="00DF7E0D"/>
    <w:rsid w:val="00E002ED"/>
    <w:rsid w:val="00E0115B"/>
    <w:rsid w:val="00E011D6"/>
    <w:rsid w:val="00E0152D"/>
    <w:rsid w:val="00E01BEB"/>
    <w:rsid w:val="00E022B8"/>
    <w:rsid w:val="00E024DD"/>
    <w:rsid w:val="00E02AB1"/>
    <w:rsid w:val="00E02C69"/>
    <w:rsid w:val="00E033DD"/>
    <w:rsid w:val="00E04DD8"/>
    <w:rsid w:val="00E0528A"/>
    <w:rsid w:val="00E05DB6"/>
    <w:rsid w:val="00E06047"/>
    <w:rsid w:val="00E0624D"/>
    <w:rsid w:val="00E0666F"/>
    <w:rsid w:val="00E06F68"/>
    <w:rsid w:val="00E074F3"/>
    <w:rsid w:val="00E101EC"/>
    <w:rsid w:val="00E1089C"/>
    <w:rsid w:val="00E1120A"/>
    <w:rsid w:val="00E1147A"/>
    <w:rsid w:val="00E11C9D"/>
    <w:rsid w:val="00E11DBC"/>
    <w:rsid w:val="00E12012"/>
    <w:rsid w:val="00E1230A"/>
    <w:rsid w:val="00E1273D"/>
    <w:rsid w:val="00E129F6"/>
    <w:rsid w:val="00E13023"/>
    <w:rsid w:val="00E149FE"/>
    <w:rsid w:val="00E14F6D"/>
    <w:rsid w:val="00E15245"/>
    <w:rsid w:val="00E1601E"/>
    <w:rsid w:val="00E160A5"/>
    <w:rsid w:val="00E16772"/>
    <w:rsid w:val="00E16FC7"/>
    <w:rsid w:val="00E179D4"/>
    <w:rsid w:val="00E20023"/>
    <w:rsid w:val="00E209C2"/>
    <w:rsid w:val="00E20EB6"/>
    <w:rsid w:val="00E223B0"/>
    <w:rsid w:val="00E2256B"/>
    <w:rsid w:val="00E23B24"/>
    <w:rsid w:val="00E245DB"/>
    <w:rsid w:val="00E25487"/>
    <w:rsid w:val="00E254DC"/>
    <w:rsid w:val="00E255DA"/>
    <w:rsid w:val="00E25F25"/>
    <w:rsid w:val="00E26198"/>
    <w:rsid w:val="00E263C0"/>
    <w:rsid w:val="00E2642E"/>
    <w:rsid w:val="00E26D31"/>
    <w:rsid w:val="00E275BA"/>
    <w:rsid w:val="00E27C36"/>
    <w:rsid w:val="00E27C81"/>
    <w:rsid w:val="00E30611"/>
    <w:rsid w:val="00E30696"/>
    <w:rsid w:val="00E30AC9"/>
    <w:rsid w:val="00E316A7"/>
    <w:rsid w:val="00E3188E"/>
    <w:rsid w:val="00E31A59"/>
    <w:rsid w:val="00E31C9C"/>
    <w:rsid w:val="00E31D5E"/>
    <w:rsid w:val="00E320F8"/>
    <w:rsid w:val="00E326D6"/>
    <w:rsid w:val="00E32FE7"/>
    <w:rsid w:val="00E3322C"/>
    <w:rsid w:val="00E33620"/>
    <w:rsid w:val="00E33AC1"/>
    <w:rsid w:val="00E33BF7"/>
    <w:rsid w:val="00E33F2A"/>
    <w:rsid w:val="00E353A3"/>
    <w:rsid w:val="00E35913"/>
    <w:rsid w:val="00E35C9D"/>
    <w:rsid w:val="00E35EA0"/>
    <w:rsid w:val="00E35FA7"/>
    <w:rsid w:val="00E35FC2"/>
    <w:rsid w:val="00E36777"/>
    <w:rsid w:val="00E36DC7"/>
    <w:rsid w:val="00E37194"/>
    <w:rsid w:val="00E372EC"/>
    <w:rsid w:val="00E37454"/>
    <w:rsid w:val="00E37FF7"/>
    <w:rsid w:val="00E4052A"/>
    <w:rsid w:val="00E40BA8"/>
    <w:rsid w:val="00E42EC4"/>
    <w:rsid w:val="00E43A60"/>
    <w:rsid w:val="00E44057"/>
    <w:rsid w:val="00E4438C"/>
    <w:rsid w:val="00E443D8"/>
    <w:rsid w:val="00E44F02"/>
    <w:rsid w:val="00E44F14"/>
    <w:rsid w:val="00E44FE8"/>
    <w:rsid w:val="00E45768"/>
    <w:rsid w:val="00E457B7"/>
    <w:rsid w:val="00E457F3"/>
    <w:rsid w:val="00E4599F"/>
    <w:rsid w:val="00E469C2"/>
    <w:rsid w:val="00E46EC8"/>
    <w:rsid w:val="00E50378"/>
    <w:rsid w:val="00E50663"/>
    <w:rsid w:val="00E50987"/>
    <w:rsid w:val="00E51258"/>
    <w:rsid w:val="00E5166A"/>
    <w:rsid w:val="00E51BFD"/>
    <w:rsid w:val="00E521A4"/>
    <w:rsid w:val="00E54A17"/>
    <w:rsid w:val="00E55738"/>
    <w:rsid w:val="00E55D69"/>
    <w:rsid w:val="00E55F9B"/>
    <w:rsid w:val="00E5696C"/>
    <w:rsid w:val="00E5707A"/>
    <w:rsid w:val="00E576F5"/>
    <w:rsid w:val="00E5771A"/>
    <w:rsid w:val="00E5794F"/>
    <w:rsid w:val="00E57A6A"/>
    <w:rsid w:val="00E60605"/>
    <w:rsid w:val="00E609F4"/>
    <w:rsid w:val="00E62129"/>
    <w:rsid w:val="00E63F88"/>
    <w:rsid w:val="00E6472D"/>
    <w:rsid w:val="00E64DDE"/>
    <w:rsid w:val="00E6520F"/>
    <w:rsid w:val="00E6552D"/>
    <w:rsid w:val="00E65AAB"/>
    <w:rsid w:val="00E671DF"/>
    <w:rsid w:val="00E6727B"/>
    <w:rsid w:val="00E67439"/>
    <w:rsid w:val="00E679B5"/>
    <w:rsid w:val="00E67D4E"/>
    <w:rsid w:val="00E71257"/>
    <w:rsid w:val="00E7199F"/>
    <w:rsid w:val="00E73086"/>
    <w:rsid w:val="00E73632"/>
    <w:rsid w:val="00E73A62"/>
    <w:rsid w:val="00E73CC1"/>
    <w:rsid w:val="00E73F79"/>
    <w:rsid w:val="00E73F99"/>
    <w:rsid w:val="00E7426B"/>
    <w:rsid w:val="00E74CE4"/>
    <w:rsid w:val="00E75234"/>
    <w:rsid w:val="00E7698E"/>
    <w:rsid w:val="00E76B12"/>
    <w:rsid w:val="00E76DC7"/>
    <w:rsid w:val="00E779ED"/>
    <w:rsid w:val="00E80E5D"/>
    <w:rsid w:val="00E8157D"/>
    <w:rsid w:val="00E82080"/>
    <w:rsid w:val="00E8208A"/>
    <w:rsid w:val="00E82477"/>
    <w:rsid w:val="00E82528"/>
    <w:rsid w:val="00E828BB"/>
    <w:rsid w:val="00E831BF"/>
    <w:rsid w:val="00E8320E"/>
    <w:rsid w:val="00E83C73"/>
    <w:rsid w:val="00E84351"/>
    <w:rsid w:val="00E84579"/>
    <w:rsid w:val="00E85932"/>
    <w:rsid w:val="00E86357"/>
    <w:rsid w:val="00E8654E"/>
    <w:rsid w:val="00E86B4B"/>
    <w:rsid w:val="00E871B9"/>
    <w:rsid w:val="00E87284"/>
    <w:rsid w:val="00E87881"/>
    <w:rsid w:val="00E90A73"/>
    <w:rsid w:val="00E90C0F"/>
    <w:rsid w:val="00E90F41"/>
    <w:rsid w:val="00E91042"/>
    <w:rsid w:val="00E9163F"/>
    <w:rsid w:val="00E9210A"/>
    <w:rsid w:val="00E927A5"/>
    <w:rsid w:val="00E92872"/>
    <w:rsid w:val="00E9287C"/>
    <w:rsid w:val="00E93544"/>
    <w:rsid w:val="00E93547"/>
    <w:rsid w:val="00E936A4"/>
    <w:rsid w:val="00E93759"/>
    <w:rsid w:val="00E93844"/>
    <w:rsid w:val="00E938DF"/>
    <w:rsid w:val="00E94918"/>
    <w:rsid w:val="00E94F0D"/>
    <w:rsid w:val="00E95887"/>
    <w:rsid w:val="00E95E32"/>
    <w:rsid w:val="00E96D46"/>
    <w:rsid w:val="00E973AF"/>
    <w:rsid w:val="00E97526"/>
    <w:rsid w:val="00E97664"/>
    <w:rsid w:val="00EA02C2"/>
    <w:rsid w:val="00EA153B"/>
    <w:rsid w:val="00EA25A7"/>
    <w:rsid w:val="00EA34BC"/>
    <w:rsid w:val="00EA39F1"/>
    <w:rsid w:val="00EA3C85"/>
    <w:rsid w:val="00EA3EC5"/>
    <w:rsid w:val="00EA4829"/>
    <w:rsid w:val="00EA48BD"/>
    <w:rsid w:val="00EA4BD5"/>
    <w:rsid w:val="00EA4DD8"/>
    <w:rsid w:val="00EA51C6"/>
    <w:rsid w:val="00EA5D86"/>
    <w:rsid w:val="00EA6CC7"/>
    <w:rsid w:val="00EA7959"/>
    <w:rsid w:val="00EA79A8"/>
    <w:rsid w:val="00EB01C7"/>
    <w:rsid w:val="00EB0F43"/>
    <w:rsid w:val="00EB11B1"/>
    <w:rsid w:val="00EB17FA"/>
    <w:rsid w:val="00EB2063"/>
    <w:rsid w:val="00EB2273"/>
    <w:rsid w:val="00EB2AD6"/>
    <w:rsid w:val="00EB2AEF"/>
    <w:rsid w:val="00EB2BED"/>
    <w:rsid w:val="00EB2FCB"/>
    <w:rsid w:val="00EB37DB"/>
    <w:rsid w:val="00EB40EE"/>
    <w:rsid w:val="00EB44A8"/>
    <w:rsid w:val="00EB4B84"/>
    <w:rsid w:val="00EB4FEF"/>
    <w:rsid w:val="00EB5D85"/>
    <w:rsid w:val="00EB611D"/>
    <w:rsid w:val="00EB62F0"/>
    <w:rsid w:val="00EB733A"/>
    <w:rsid w:val="00EB7D64"/>
    <w:rsid w:val="00EB7E71"/>
    <w:rsid w:val="00EC003E"/>
    <w:rsid w:val="00EC099D"/>
    <w:rsid w:val="00EC09EA"/>
    <w:rsid w:val="00EC1C24"/>
    <w:rsid w:val="00EC1DDC"/>
    <w:rsid w:val="00EC20B6"/>
    <w:rsid w:val="00EC2B50"/>
    <w:rsid w:val="00EC3EE1"/>
    <w:rsid w:val="00EC41A2"/>
    <w:rsid w:val="00EC4ADC"/>
    <w:rsid w:val="00EC4BC7"/>
    <w:rsid w:val="00EC5B47"/>
    <w:rsid w:val="00EC6183"/>
    <w:rsid w:val="00EC67AB"/>
    <w:rsid w:val="00EC6C9E"/>
    <w:rsid w:val="00EC7714"/>
    <w:rsid w:val="00EC7A9D"/>
    <w:rsid w:val="00EC7C8E"/>
    <w:rsid w:val="00ED01D6"/>
    <w:rsid w:val="00ED123E"/>
    <w:rsid w:val="00ED1F15"/>
    <w:rsid w:val="00ED216B"/>
    <w:rsid w:val="00ED227C"/>
    <w:rsid w:val="00ED2AE0"/>
    <w:rsid w:val="00ED3EE8"/>
    <w:rsid w:val="00ED40F4"/>
    <w:rsid w:val="00ED4ACD"/>
    <w:rsid w:val="00ED54DD"/>
    <w:rsid w:val="00ED5D2D"/>
    <w:rsid w:val="00ED6BCB"/>
    <w:rsid w:val="00ED6F17"/>
    <w:rsid w:val="00ED709A"/>
    <w:rsid w:val="00ED7ED4"/>
    <w:rsid w:val="00EE0307"/>
    <w:rsid w:val="00EE03B4"/>
    <w:rsid w:val="00EE0F09"/>
    <w:rsid w:val="00EE30EA"/>
    <w:rsid w:val="00EE37BD"/>
    <w:rsid w:val="00EE482F"/>
    <w:rsid w:val="00EE48E2"/>
    <w:rsid w:val="00EE4C0B"/>
    <w:rsid w:val="00EE4F42"/>
    <w:rsid w:val="00EE51DF"/>
    <w:rsid w:val="00EE65B1"/>
    <w:rsid w:val="00EE6A77"/>
    <w:rsid w:val="00EE6B0F"/>
    <w:rsid w:val="00EE7A37"/>
    <w:rsid w:val="00EE7E7E"/>
    <w:rsid w:val="00EF089C"/>
    <w:rsid w:val="00EF1116"/>
    <w:rsid w:val="00EF1D59"/>
    <w:rsid w:val="00EF2788"/>
    <w:rsid w:val="00EF3103"/>
    <w:rsid w:val="00EF35A5"/>
    <w:rsid w:val="00EF3BA9"/>
    <w:rsid w:val="00EF450D"/>
    <w:rsid w:val="00EF62C1"/>
    <w:rsid w:val="00EF693C"/>
    <w:rsid w:val="00EF6A73"/>
    <w:rsid w:val="00EF6E9B"/>
    <w:rsid w:val="00EF7714"/>
    <w:rsid w:val="00EF798A"/>
    <w:rsid w:val="00EF7FAE"/>
    <w:rsid w:val="00F004EC"/>
    <w:rsid w:val="00F0072F"/>
    <w:rsid w:val="00F00D94"/>
    <w:rsid w:val="00F01797"/>
    <w:rsid w:val="00F01856"/>
    <w:rsid w:val="00F01FF3"/>
    <w:rsid w:val="00F023DB"/>
    <w:rsid w:val="00F02407"/>
    <w:rsid w:val="00F0267A"/>
    <w:rsid w:val="00F03712"/>
    <w:rsid w:val="00F04318"/>
    <w:rsid w:val="00F04996"/>
    <w:rsid w:val="00F04E63"/>
    <w:rsid w:val="00F0501F"/>
    <w:rsid w:val="00F05240"/>
    <w:rsid w:val="00F05565"/>
    <w:rsid w:val="00F061FD"/>
    <w:rsid w:val="00F06623"/>
    <w:rsid w:val="00F06696"/>
    <w:rsid w:val="00F07FF1"/>
    <w:rsid w:val="00F10447"/>
    <w:rsid w:val="00F109D4"/>
    <w:rsid w:val="00F10A6F"/>
    <w:rsid w:val="00F10AB0"/>
    <w:rsid w:val="00F1165A"/>
    <w:rsid w:val="00F11B5F"/>
    <w:rsid w:val="00F11DC0"/>
    <w:rsid w:val="00F11E29"/>
    <w:rsid w:val="00F12172"/>
    <w:rsid w:val="00F12191"/>
    <w:rsid w:val="00F13614"/>
    <w:rsid w:val="00F1381C"/>
    <w:rsid w:val="00F145C4"/>
    <w:rsid w:val="00F14B68"/>
    <w:rsid w:val="00F14BE4"/>
    <w:rsid w:val="00F15821"/>
    <w:rsid w:val="00F15AD4"/>
    <w:rsid w:val="00F15C79"/>
    <w:rsid w:val="00F15EE9"/>
    <w:rsid w:val="00F201C1"/>
    <w:rsid w:val="00F2096F"/>
    <w:rsid w:val="00F20AAC"/>
    <w:rsid w:val="00F20B6E"/>
    <w:rsid w:val="00F2142D"/>
    <w:rsid w:val="00F220CF"/>
    <w:rsid w:val="00F22226"/>
    <w:rsid w:val="00F228BE"/>
    <w:rsid w:val="00F2352C"/>
    <w:rsid w:val="00F23800"/>
    <w:rsid w:val="00F23A0A"/>
    <w:rsid w:val="00F23A80"/>
    <w:rsid w:val="00F23B7F"/>
    <w:rsid w:val="00F24675"/>
    <w:rsid w:val="00F24736"/>
    <w:rsid w:val="00F2595F"/>
    <w:rsid w:val="00F261C0"/>
    <w:rsid w:val="00F26E78"/>
    <w:rsid w:val="00F27344"/>
    <w:rsid w:val="00F27629"/>
    <w:rsid w:val="00F27999"/>
    <w:rsid w:val="00F27C2E"/>
    <w:rsid w:val="00F30B83"/>
    <w:rsid w:val="00F31036"/>
    <w:rsid w:val="00F313F3"/>
    <w:rsid w:val="00F31515"/>
    <w:rsid w:val="00F31D37"/>
    <w:rsid w:val="00F32CEB"/>
    <w:rsid w:val="00F3304A"/>
    <w:rsid w:val="00F332DD"/>
    <w:rsid w:val="00F33611"/>
    <w:rsid w:val="00F33994"/>
    <w:rsid w:val="00F33DF0"/>
    <w:rsid w:val="00F341D2"/>
    <w:rsid w:val="00F343AA"/>
    <w:rsid w:val="00F3515C"/>
    <w:rsid w:val="00F3523F"/>
    <w:rsid w:val="00F35DC9"/>
    <w:rsid w:val="00F35FB8"/>
    <w:rsid w:val="00F37359"/>
    <w:rsid w:val="00F37500"/>
    <w:rsid w:val="00F37AF4"/>
    <w:rsid w:val="00F4041C"/>
    <w:rsid w:val="00F40604"/>
    <w:rsid w:val="00F4241B"/>
    <w:rsid w:val="00F438CB"/>
    <w:rsid w:val="00F4400C"/>
    <w:rsid w:val="00F441F4"/>
    <w:rsid w:val="00F44A26"/>
    <w:rsid w:val="00F44B37"/>
    <w:rsid w:val="00F44BB8"/>
    <w:rsid w:val="00F44C5B"/>
    <w:rsid w:val="00F453FE"/>
    <w:rsid w:val="00F46704"/>
    <w:rsid w:val="00F46C17"/>
    <w:rsid w:val="00F46F9E"/>
    <w:rsid w:val="00F47585"/>
    <w:rsid w:val="00F475BC"/>
    <w:rsid w:val="00F47CA4"/>
    <w:rsid w:val="00F5021C"/>
    <w:rsid w:val="00F51695"/>
    <w:rsid w:val="00F516AA"/>
    <w:rsid w:val="00F51A2D"/>
    <w:rsid w:val="00F51E58"/>
    <w:rsid w:val="00F520C8"/>
    <w:rsid w:val="00F520ED"/>
    <w:rsid w:val="00F522B5"/>
    <w:rsid w:val="00F53407"/>
    <w:rsid w:val="00F53691"/>
    <w:rsid w:val="00F53C47"/>
    <w:rsid w:val="00F54475"/>
    <w:rsid w:val="00F5617B"/>
    <w:rsid w:val="00F57E96"/>
    <w:rsid w:val="00F6017F"/>
    <w:rsid w:val="00F603F6"/>
    <w:rsid w:val="00F60479"/>
    <w:rsid w:val="00F608A1"/>
    <w:rsid w:val="00F60B3C"/>
    <w:rsid w:val="00F620DF"/>
    <w:rsid w:val="00F6249C"/>
    <w:rsid w:val="00F62CE6"/>
    <w:rsid w:val="00F63241"/>
    <w:rsid w:val="00F632DA"/>
    <w:rsid w:val="00F633FE"/>
    <w:rsid w:val="00F63964"/>
    <w:rsid w:val="00F64095"/>
    <w:rsid w:val="00F648A3"/>
    <w:rsid w:val="00F668CC"/>
    <w:rsid w:val="00F66A68"/>
    <w:rsid w:val="00F676A4"/>
    <w:rsid w:val="00F678B8"/>
    <w:rsid w:val="00F70485"/>
    <w:rsid w:val="00F7078E"/>
    <w:rsid w:val="00F70B23"/>
    <w:rsid w:val="00F70B57"/>
    <w:rsid w:val="00F71135"/>
    <w:rsid w:val="00F71972"/>
    <w:rsid w:val="00F71A42"/>
    <w:rsid w:val="00F73328"/>
    <w:rsid w:val="00F73920"/>
    <w:rsid w:val="00F73B37"/>
    <w:rsid w:val="00F73DE6"/>
    <w:rsid w:val="00F7471E"/>
    <w:rsid w:val="00F74C69"/>
    <w:rsid w:val="00F7509C"/>
    <w:rsid w:val="00F75BDB"/>
    <w:rsid w:val="00F7682D"/>
    <w:rsid w:val="00F77415"/>
    <w:rsid w:val="00F77493"/>
    <w:rsid w:val="00F77E25"/>
    <w:rsid w:val="00F77E99"/>
    <w:rsid w:val="00F80008"/>
    <w:rsid w:val="00F81232"/>
    <w:rsid w:val="00F81284"/>
    <w:rsid w:val="00F816C8"/>
    <w:rsid w:val="00F8291C"/>
    <w:rsid w:val="00F82F30"/>
    <w:rsid w:val="00F830E5"/>
    <w:rsid w:val="00F83826"/>
    <w:rsid w:val="00F838E5"/>
    <w:rsid w:val="00F84A05"/>
    <w:rsid w:val="00F84C6D"/>
    <w:rsid w:val="00F84CC2"/>
    <w:rsid w:val="00F859D2"/>
    <w:rsid w:val="00F85AB8"/>
    <w:rsid w:val="00F85E6F"/>
    <w:rsid w:val="00F864AE"/>
    <w:rsid w:val="00F86F10"/>
    <w:rsid w:val="00F870A0"/>
    <w:rsid w:val="00F873AA"/>
    <w:rsid w:val="00F8746F"/>
    <w:rsid w:val="00F8753E"/>
    <w:rsid w:val="00F875AE"/>
    <w:rsid w:val="00F876E0"/>
    <w:rsid w:val="00F87D3C"/>
    <w:rsid w:val="00F9068B"/>
    <w:rsid w:val="00F909F9"/>
    <w:rsid w:val="00F9106F"/>
    <w:rsid w:val="00F92145"/>
    <w:rsid w:val="00F92C75"/>
    <w:rsid w:val="00F94599"/>
    <w:rsid w:val="00F94BF5"/>
    <w:rsid w:val="00F94E7B"/>
    <w:rsid w:val="00F95449"/>
    <w:rsid w:val="00F956C9"/>
    <w:rsid w:val="00F95E0F"/>
    <w:rsid w:val="00F967DE"/>
    <w:rsid w:val="00F97BAB"/>
    <w:rsid w:val="00F97BE4"/>
    <w:rsid w:val="00FA0CF0"/>
    <w:rsid w:val="00FA13BA"/>
    <w:rsid w:val="00FA1869"/>
    <w:rsid w:val="00FA1942"/>
    <w:rsid w:val="00FA1A00"/>
    <w:rsid w:val="00FA216D"/>
    <w:rsid w:val="00FA2279"/>
    <w:rsid w:val="00FA29F3"/>
    <w:rsid w:val="00FA343F"/>
    <w:rsid w:val="00FA352C"/>
    <w:rsid w:val="00FA3763"/>
    <w:rsid w:val="00FA380A"/>
    <w:rsid w:val="00FA3B63"/>
    <w:rsid w:val="00FA4773"/>
    <w:rsid w:val="00FA487A"/>
    <w:rsid w:val="00FA4FD8"/>
    <w:rsid w:val="00FA5E5A"/>
    <w:rsid w:val="00FA6009"/>
    <w:rsid w:val="00FA614C"/>
    <w:rsid w:val="00FA68AF"/>
    <w:rsid w:val="00FA6ABC"/>
    <w:rsid w:val="00FA6D7B"/>
    <w:rsid w:val="00FB0E0A"/>
    <w:rsid w:val="00FB13B3"/>
    <w:rsid w:val="00FB2260"/>
    <w:rsid w:val="00FB2E49"/>
    <w:rsid w:val="00FB416C"/>
    <w:rsid w:val="00FB42C4"/>
    <w:rsid w:val="00FB42FD"/>
    <w:rsid w:val="00FB4876"/>
    <w:rsid w:val="00FB4A9B"/>
    <w:rsid w:val="00FB57A3"/>
    <w:rsid w:val="00FB6117"/>
    <w:rsid w:val="00FB6127"/>
    <w:rsid w:val="00FB61B2"/>
    <w:rsid w:val="00FB6490"/>
    <w:rsid w:val="00FB66E2"/>
    <w:rsid w:val="00FB680C"/>
    <w:rsid w:val="00FB6CDA"/>
    <w:rsid w:val="00FB7259"/>
    <w:rsid w:val="00FB79FE"/>
    <w:rsid w:val="00FB7D76"/>
    <w:rsid w:val="00FC0A9C"/>
    <w:rsid w:val="00FC1512"/>
    <w:rsid w:val="00FC2036"/>
    <w:rsid w:val="00FC214E"/>
    <w:rsid w:val="00FC2CB5"/>
    <w:rsid w:val="00FC2DDA"/>
    <w:rsid w:val="00FC3326"/>
    <w:rsid w:val="00FC38D9"/>
    <w:rsid w:val="00FC3A8F"/>
    <w:rsid w:val="00FC4019"/>
    <w:rsid w:val="00FC4C4A"/>
    <w:rsid w:val="00FC5751"/>
    <w:rsid w:val="00FC57E4"/>
    <w:rsid w:val="00FC595E"/>
    <w:rsid w:val="00FC5DF1"/>
    <w:rsid w:val="00FC6040"/>
    <w:rsid w:val="00FC7BCD"/>
    <w:rsid w:val="00FD0075"/>
    <w:rsid w:val="00FD1622"/>
    <w:rsid w:val="00FD1849"/>
    <w:rsid w:val="00FD19F7"/>
    <w:rsid w:val="00FD2409"/>
    <w:rsid w:val="00FD2975"/>
    <w:rsid w:val="00FD2DD7"/>
    <w:rsid w:val="00FD32BE"/>
    <w:rsid w:val="00FD3EC3"/>
    <w:rsid w:val="00FD51B0"/>
    <w:rsid w:val="00FD6FC8"/>
    <w:rsid w:val="00FD7402"/>
    <w:rsid w:val="00FD7610"/>
    <w:rsid w:val="00FD7B14"/>
    <w:rsid w:val="00FE03A3"/>
    <w:rsid w:val="00FE04E4"/>
    <w:rsid w:val="00FE1712"/>
    <w:rsid w:val="00FE1848"/>
    <w:rsid w:val="00FE22A1"/>
    <w:rsid w:val="00FE2774"/>
    <w:rsid w:val="00FE2DD7"/>
    <w:rsid w:val="00FE318D"/>
    <w:rsid w:val="00FE3894"/>
    <w:rsid w:val="00FE45EA"/>
    <w:rsid w:val="00FE5238"/>
    <w:rsid w:val="00FE5295"/>
    <w:rsid w:val="00FE53C2"/>
    <w:rsid w:val="00FE5B9C"/>
    <w:rsid w:val="00FE6224"/>
    <w:rsid w:val="00FE6A7D"/>
    <w:rsid w:val="00FE73F9"/>
    <w:rsid w:val="00FE7699"/>
    <w:rsid w:val="00FE7844"/>
    <w:rsid w:val="00FE79A5"/>
    <w:rsid w:val="00FE7C06"/>
    <w:rsid w:val="00FE7DF7"/>
    <w:rsid w:val="00FE7FAB"/>
    <w:rsid w:val="00FF0B41"/>
    <w:rsid w:val="00FF1057"/>
    <w:rsid w:val="00FF1515"/>
    <w:rsid w:val="00FF1528"/>
    <w:rsid w:val="00FF216F"/>
    <w:rsid w:val="00FF30F4"/>
    <w:rsid w:val="00FF3651"/>
    <w:rsid w:val="00FF3A72"/>
    <w:rsid w:val="00FF3E25"/>
    <w:rsid w:val="00FF4394"/>
    <w:rsid w:val="00FF4E2C"/>
    <w:rsid w:val="00FF5117"/>
    <w:rsid w:val="00FF5EC1"/>
    <w:rsid w:val="00FF5FD8"/>
    <w:rsid w:val="00FF6536"/>
    <w:rsid w:val="00FF7096"/>
    <w:rsid w:val="00FF756E"/>
    <w:rsid w:val="00FF7883"/>
    <w:rsid w:val="00FF7E40"/>
    <w:rsid w:val="00FF84C9"/>
    <w:rsid w:val="0170361D"/>
    <w:rsid w:val="0173466A"/>
    <w:rsid w:val="01D0A6EB"/>
    <w:rsid w:val="01EFF36E"/>
    <w:rsid w:val="01F7DF67"/>
    <w:rsid w:val="021EA35E"/>
    <w:rsid w:val="02207696"/>
    <w:rsid w:val="02612240"/>
    <w:rsid w:val="026AEFA6"/>
    <w:rsid w:val="02C2E538"/>
    <w:rsid w:val="02DB5C7E"/>
    <w:rsid w:val="0331BE37"/>
    <w:rsid w:val="0387AA84"/>
    <w:rsid w:val="038A2EB4"/>
    <w:rsid w:val="03FBAFE4"/>
    <w:rsid w:val="040A69CD"/>
    <w:rsid w:val="04BA78E4"/>
    <w:rsid w:val="05547ED9"/>
    <w:rsid w:val="057A3D4C"/>
    <w:rsid w:val="0589EED8"/>
    <w:rsid w:val="0591FE3C"/>
    <w:rsid w:val="059B60B2"/>
    <w:rsid w:val="05A240C0"/>
    <w:rsid w:val="05E73A09"/>
    <w:rsid w:val="061BF639"/>
    <w:rsid w:val="063B8FE8"/>
    <w:rsid w:val="069D304D"/>
    <w:rsid w:val="06BAA3A8"/>
    <w:rsid w:val="06E18025"/>
    <w:rsid w:val="06F4250A"/>
    <w:rsid w:val="0706E0CA"/>
    <w:rsid w:val="0730C4A2"/>
    <w:rsid w:val="077C9FF3"/>
    <w:rsid w:val="078B6F05"/>
    <w:rsid w:val="07B5B64D"/>
    <w:rsid w:val="07DADB02"/>
    <w:rsid w:val="07F06760"/>
    <w:rsid w:val="082B3A38"/>
    <w:rsid w:val="0924FFD3"/>
    <w:rsid w:val="0948E0D1"/>
    <w:rsid w:val="099CE7FC"/>
    <w:rsid w:val="099ED46C"/>
    <w:rsid w:val="09B70CEA"/>
    <w:rsid w:val="0A5B9F24"/>
    <w:rsid w:val="0A5C2C6D"/>
    <w:rsid w:val="0AA31CE0"/>
    <w:rsid w:val="0B78CF6C"/>
    <w:rsid w:val="0B98CFFB"/>
    <w:rsid w:val="0C12D446"/>
    <w:rsid w:val="0C1A709D"/>
    <w:rsid w:val="0C500E05"/>
    <w:rsid w:val="0CABFF92"/>
    <w:rsid w:val="0CB02345"/>
    <w:rsid w:val="0D1F510C"/>
    <w:rsid w:val="0D5CDA08"/>
    <w:rsid w:val="0DBA6D7E"/>
    <w:rsid w:val="0DD3705F"/>
    <w:rsid w:val="0E016241"/>
    <w:rsid w:val="0E10F93A"/>
    <w:rsid w:val="0E113C6F"/>
    <w:rsid w:val="0E776547"/>
    <w:rsid w:val="0E8D5B8A"/>
    <w:rsid w:val="0E8F2190"/>
    <w:rsid w:val="0E9EE8EE"/>
    <w:rsid w:val="0EA7D6C5"/>
    <w:rsid w:val="0EB6430F"/>
    <w:rsid w:val="0EB788FE"/>
    <w:rsid w:val="0F1E76FE"/>
    <w:rsid w:val="0F9C9B09"/>
    <w:rsid w:val="0FB68A1E"/>
    <w:rsid w:val="0FEFFEEC"/>
    <w:rsid w:val="0FF8AE3E"/>
    <w:rsid w:val="0FFA8110"/>
    <w:rsid w:val="10481992"/>
    <w:rsid w:val="105BC378"/>
    <w:rsid w:val="109EF360"/>
    <w:rsid w:val="10C22761"/>
    <w:rsid w:val="10D5C137"/>
    <w:rsid w:val="10EAE4AC"/>
    <w:rsid w:val="10F8C601"/>
    <w:rsid w:val="1102E87B"/>
    <w:rsid w:val="1120AE1B"/>
    <w:rsid w:val="11D8AD84"/>
    <w:rsid w:val="128B9178"/>
    <w:rsid w:val="12E0E508"/>
    <w:rsid w:val="12EAA48B"/>
    <w:rsid w:val="1317E60E"/>
    <w:rsid w:val="1321D472"/>
    <w:rsid w:val="133419ED"/>
    <w:rsid w:val="13964228"/>
    <w:rsid w:val="13A8774E"/>
    <w:rsid w:val="145ADFCB"/>
    <w:rsid w:val="14D65399"/>
    <w:rsid w:val="154E27BD"/>
    <w:rsid w:val="1599AD5D"/>
    <w:rsid w:val="1610ABA9"/>
    <w:rsid w:val="1638E48B"/>
    <w:rsid w:val="16A0D12B"/>
    <w:rsid w:val="177104F8"/>
    <w:rsid w:val="1772D10F"/>
    <w:rsid w:val="17B428A0"/>
    <w:rsid w:val="17E4E4B4"/>
    <w:rsid w:val="1849651E"/>
    <w:rsid w:val="1855AC77"/>
    <w:rsid w:val="185AC5AA"/>
    <w:rsid w:val="1902EB38"/>
    <w:rsid w:val="19099134"/>
    <w:rsid w:val="19131322"/>
    <w:rsid w:val="19A44F59"/>
    <w:rsid w:val="19A8C07E"/>
    <w:rsid w:val="19B53FB6"/>
    <w:rsid w:val="19CACC08"/>
    <w:rsid w:val="1A264055"/>
    <w:rsid w:val="1A52C9D3"/>
    <w:rsid w:val="1A7198E3"/>
    <w:rsid w:val="1AE32645"/>
    <w:rsid w:val="1B0491B5"/>
    <w:rsid w:val="1B35C183"/>
    <w:rsid w:val="1B981910"/>
    <w:rsid w:val="1BE40E8C"/>
    <w:rsid w:val="1C53F6B8"/>
    <w:rsid w:val="1C7270CB"/>
    <w:rsid w:val="1C909315"/>
    <w:rsid w:val="1CB67D75"/>
    <w:rsid w:val="1CD35E97"/>
    <w:rsid w:val="1D15A7D9"/>
    <w:rsid w:val="1D42381C"/>
    <w:rsid w:val="1D864C15"/>
    <w:rsid w:val="1DEF376A"/>
    <w:rsid w:val="1E1B4E13"/>
    <w:rsid w:val="1F97272B"/>
    <w:rsid w:val="20492E36"/>
    <w:rsid w:val="20D56B01"/>
    <w:rsid w:val="214A0FCB"/>
    <w:rsid w:val="2159561A"/>
    <w:rsid w:val="2177F857"/>
    <w:rsid w:val="219105D6"/>
    <w:rsid w:val="21B828ED"/>
    <w:rsid w:val="21D85C96"/>
    <w:rsid w:val="220B3BC1"/>
    <w:rsid w:val="221270EE"/>
    <w:rsid w:val="2246D7B6"/>
    <w:rsid w:val="224F2927"/>
    <w:rsid w:val="2255290D"/>
    <w:rsid w:val="2287EBF9"/>
    <w:rsid w:val="22A7FE6B"/>
    <w:rsid w:val="231F5A61"/>
    <w:rsid w:val="23653609"/>
    <w:rsid w:val="23C74581"/>
    <w:rsid w:val="242BE1D2"/>
    <w:rsid w:val="243EF1EB"/>
    <w:rsid w:val="24DD6694"/>
    <w:rsid w:val="24E97BC0"/>
    <w:rsid w:val="251CC6B6"/>
    <w:rsid w:val="2527E7E5"/>
    <w:rsid w:val="254D53EE"/>
    <w:rsid w:val="25522A72"/>
    <w:rsid w:val="256DD2B7"/>
    <w:rsid w:val="25A03479"/>
    <w:rsid w:val="25E1E23A"/>
    <w:rsid w:val="26699B1E"/>
    <w:rsid w:val="266AF15E"/>
    <w:rsid w:val="2697DAA3"/>
    <w:rsid w:val="27341F39"/>
    <w:rsid w:val="274EB7BD"/>
    <w:rsid w:val="27DA98CD"/>
    <w:rsid w:val="28185787"/>
    <w:rsid w:val="284C0F91"/>
    <w:rsid w:val="284D26F3"/>
    <w:rsid w:val="28A110E6"/>
    <w:rsid w:val="28A2CB55"/>
    <w:rsid w:val="298E2F13"/>
    <w:rsid w:val="29A8F92C"/>
    <w:rsid w:val="29B5A987"/>
    <w:rsid w:val="2A33F0AC"/>
    <w:rsid w:val="2AAD094B"/>
    <w:rsid w:val="2AC66646"/>
    <w:rsid w:val="2ADA02D2"/>
    <w:rsid w:val="2AEE8075"/>
    <w:rsid w:val="2AEEF806"/>
    <w:rsid w:val="2B0C080F"/>
    <w:rsid w:val="2B330092"/>
    <w:rsid w:val="2BA3D4FD"/>
    <w:rsid w:val="2BBDD22F"/>
    <w:rsid w:val="2C420CC0"/>
    <w:rsid w:val="2C45C408"/>
    <w:rsid w:val="2C4F2FCA"/>
    <w:rsid w:val="2CA2E2CC"/>
    <w:rsid w:val="2CBDBB53"/>
    <w:rsid w:val="2CDE42E3"/>
    <w:rsid w:val="2CEAB98E"/>
    <w:rsid w:val="2CEE544C"/>
    <w:rsid w:val="2D0A3916"/>
    <w:rsid w:val="2D0A5A2B"/>
    <w:rsid w:val="2D77ED74"/>
    <w:rsid w:val="2D7C6561"/>
    <w:rsid w:val="2D861DBA"/>
    <w:rsid w:val="2D9848FB"/>
    <w:rsid w:val="2DD1A1DE"/>
    <w:rsid w:val="2DF26681"/>
    <w:rsid w:val="2E0940FB"/>
    <w:rsid w:val="2E25C207"/>
    <w:rsid w:val="2E453B09"/>
    <w:rsid w:val="2E45BC29"/>
    <w:rsid w:val="2E4D8858"/>
    <w:rsid w:val="2E559038"/>
    <w:rsid w:val="2E64C8FD"/>
    <w:rsid w:val="2F4A91C2"/>
    <w:rsid w:val="2F850E10"/>
    <w:rsid w:val="2FBFC47D"/>
    <w:rsid w:val="3013E939"/>
    <w:rsid w:val="3037411A"/>
    <w:rsid w:val="303BC327"/>
    <w:rsid w:val="30E8A133"/>
    <w:rsid w:val="30F2E176"/>
    <w:rsid w:val="310E3E1E"/>
    <w:rsid w:val="32412239"/>
    <w:rsid w:val="32516348"/>
    <w:rsid w:val="327F3337"/>
    <w:rsid w:val="32CA94D6"/>
    <w:rsid w:val="32CEC777"/>
    <w:rsid w:val="335B4F60"/>
    <w:rsid w:val="33A519AA"/>
    <w:rsid w:val="33B91D6B"/>
    <w:rsid w:val="33C7342C"/>
    <w:rsid w:val="33F4ABBA"/>
    <w:rsid w:val="34282D52"/>
    <w:rsid w:val="34284E43"/>
    <w:rsid w:val="34AC3F9E"/>
    <w:rsid w:val="34EA05DE"/>
    <w:rsid w:val="3503AF27"/>
    <w:rsid w:val="353C5203"/>
    <w:rsid w:val="354EC1F0"/>
    <w:rsid w:val="354FC183"/>
    <w:rsid w:val="356296C6"/>
    <w:rsid w:val="35A58D9E"/>
    <w:rsid w:val="35EBB4EA"/>
    <w:rsid w:val="3709A55A"/>
    <w:rsid w:val="370D3EE8"/>
    <w:rsid w:val="37674D9B"/>
    <w:rsid w:val="37AA75D5"/>
    <w:rsid w:val="38E4A79E"/>
    <w:rsid w:val="390A0B8F"/>
    <w:rsid w:val="396967E6"/>
    <w:rsid w:val="397DA3AF"/>
    <w:rsid w:val="397E8C8D"/>
    <w:rsid w:val="39820D9F"/>
    <w:rsid w:val="399C9775"/>
    <w:rsid w:val="39AFECFC"/>
    <w:rsid w:val="39E189FA"/>
    <w:rsid w:val="3A195E7E"/>
    <w:rsid w:val="3A2B5E1B"/>
    <w:rsid w:val="3A93D6B0"/>
    <w:rsid w:val="3AE42801"/>
    <w:rsid w:val="3B29B277"/>
    <w:rsid w:val="3B72BCA8"/>
    <w:rsid w:val="3B7766A4"/>
    <w:rsid w:val="3BB76558"/>
    <w:rsid w:val="3C476E2F"/>
    <w:rsid w:val="3C572B26"/>
    <w:rsid w:val="3C6A812D"/>
    <w:rsid w:val="3C7911B7"/>
    <w:rsid w:val="3CFD0008"/>
    <w:rsid w:val="3D75888B"/>
    <w:rsid w:val="3D914244"/>
    <w:rsid w:val="3DB35788"/>
    <w:rsid w:val="3DCA1247"/>
    <w:rsid w:val="3E0741A2"/>
    <w:rsid w:val="3E29E86D"/>
    <w:rsid w:val="3E371537"/>
    <w:rsid w:val="3ECC32CC"/>
    <w:rsid w:val="3EEBEE42"/>
    <w:rsid w:val="3F1C11DC"/>
    <w:rsid w:val="3F3FF2B2"/>
    <w:rsid w:val="3F40B18E"/>
    <w:rsid w:val="3FA6F42C"/>
    <w:rsid w:val="3FCBBCC7"/>
    <w:rsid w:val="4001D798"/>
    <w:rsid w:val="40030E59"/>
    <w:rsid w:val="40D33765"/>
    <w:rsid w:val="410C72F2"/>
    <w:rsid w:val="41206B48"/>
    <w:rsid w:val="417D5927"/>
    <w:rsid w:val="419EB394"/>
    <w:rsid w:val="41AFCF72"/>
    <w:rsid w:val="41C681DE"/>
    <w:rsid w:val="423887A4"/>
    <w:rsid w:val="42A170EE"/>
    <w:rsid w:val="42A38D35"/>
    <w:rsid w:val="42CF9B90"/>
    <w:rsid w:val="43267265"/>
    <w:rsid w:val="4350C5F9"/>
    <w:rsid w:val="441CB141"/>
    <w:rsid w:val="455D01A5"/>
    <w:rsid w:val="456489A7"/>
    <w:rsid w:val="4584F76F"/>
    <w:rsid w:val="460648CA"/>
    <w:rsid w:val="460855B9"/>
    <w:rsid w:val="462C36D8"/>
    <w:rsid w:val="46391F5D"/>
    <w:rsid w:val="4658E3ED"/>
    <w:rsid w:val="46B4FFA4"/>
    <w:rsid w:val="470547B1"/>
    <w:rsid w:val="47184EB9"/>
    <w:rsid w:val="4727B220"/>
    <w:rsid w:val="47DF96ED"/>
    <w:rsid w:val="48861F97"/>
    <w:rsid w:val="48E07879"/>
    <w:rsid w:val="4938E1A5"/>
    <w:rsid w:val="4997A420"/>
    <w:rsid w:val="49AB47E6"/>
    <w:rsid w:val="49CBC1CE"/>
    <w:rsid w:val="4A09B20E"/>
    <w:rsid w:val="4A4D772E"/>
    <w:rsid w:val="4A6DAA45"/>
    <w:rsid w:val="4A91FF2A"/>
    <w:rsid w:val="4A9831FC"/>
    <w:rsid w:val="4AB25226"/>
    <w:rsid w:val="4AD83CC7"/>
    <w:rsid w:val="4B18DDD5"/>
    <w:rsid w:val="4B2C6933"/>
    <w:rsid w:val="4B3577D8"/>
    <w:rsid w:val="4BB63BE5"/>
    <w:rsid w:val="4C59ECA6"/>
    <w:rsid w:val="4C6E4994"/>
    <w:rsid w:val="4CA50B6B"/>
    <w:rsid w:val="4CCB504E"/>
    <w:rsid w:val="4CDADEE1"/>
    <w:rsid w:val="4CE446B3"/>
    <w:rsid w:val="4D062CFA"/>
    <w:rsid w:val="4D1D3FBC"/>
    <w:rsid w:val="4DA7E66A"/>
    <w:rsid w:val="4E20A457"/>
    <w:rsid w:val="4E33DC11"/>
    <w:rsid w:val="4E54B32D"/>
    <w:rsid w:val="4E65967F"/>
    <w:rsid w:val="4E666EE4"/>
    <w:rsid w:val="4F1AA111"/>
    <w:rsid w:val="4F24379F"/>
    <w:rsid w:val="4F2FCDE4"/>
    <w:rsid w:val="4F5F4699"/>
    <w:rsid w:val="4F80C90D"/>
    <w:rsid w:val="4FB20B85"/>
    <w:rsid w:val="4FB794D6"/>
    <w:rsid w:val="4FB80A38"/>
    <w:rsid w:val="500250BA"/>
    <w:rsid w:val="5036C884"/>
    <w:rsid w:val="503875D3"/>
    <w:rsid w:val="503C7B74"/>
    <w:rsid w:val="50C0341B"/>
    <w:rsid w:val="512F6FCC"/>
    <w:rsid w:val="5130CB3B"/>
    <w:rsid w:val="515824B5"/>
    <w:rsid w:val="519BF1EC"/>
    <w:rsid w:val="5221262A"/>
    <w:rsid w:val="52CE1EC1"/>
    <w:rsid w:val="52D3E508"/>
    <w:rsid w:val="53204A17"/>
    <w:rsid w:val="53391856"/>
    <w:rsid w:val="53773E76"/>
    <w:rsid w:val="53CC086A"/>
    <w:rsid w:val="53E0BF53"/>
    <w:rsid w:val="53F3FFC1"/>
    <w:rsid w:val="53FD5C8E"/>
    <w:rsid w:val="542919D4"/>
    <w:rsid w:val="54418B2C"/>
    <w:rsid w:val="54430E02"/>
    <w:rsid w:val="5451730D"/>
    <w:rsid w:val="549ACBB6"/>
    <w:rsid w:val="549D0A65"/>
    <w:rsid w:val="54EAC09E"/>
    <w:rsid w:val="54F6E4E1"/>
    <w:rsid w:val="55B87E1C"/>
    <w:rsid w:val="55E8D2FF"/>
    <w:rsid w:val="55F8EFAC"/>
    <w:rsid w:val="5610A2D8"/>
    <w:rsid w:val="566EA96C"/>
    <w:rsid w:val="56D2200D"/>
    <w:rsid w:val="57403DA7"/>
    <w:rsid w:val="57AA2246"/>
    <w:rsid w:val="5817B014"/>
    <w:rsid w:val="58451878"/>
    <w:rsid w:val="5855EA63"/>
    <w:rsid w:val="58973998"/>
    <w:rsid w:val="58A21390"/>
    <w:rsid w:val="58E5428F"/>
    <w:rsid w:val="58F363B4"/>
    <w:rsid w:val="591D77D5"/>
    <w:rsid w:val="5922C878"/>
    <w:rsid w:val="5928CE88"/>
    <w:rsid w:val="598F6F10"/>
    <w:rsid w:val="59C2098E"/>
    <w:rsid w:val="5AC887D8"/>
    <w:rsid w:val="5B45A1FE"/>
    <w:rsid w:val="5B5259B1"/>
    <w:rsid w:val="5B61825B"/>
    <w:rsid w:val="5BA344FD"/>
    <w:rsid w:val="5C4F513C"/>
    <w:rsid w:val="5C9693C1"/>
    <w:rsid w:val="5DC3DB4F"/>
    <w:rsid w:val="5DEB0CF1"/>
    <w:rsid w:val="5E1108CA"/>
    <w:rsid w:val="5E2DE951"/>
    <w:rsid w:val="5E923D4A"/>
    <w:rsid w:val="5EA70D65"/>
    <w:rsid w:val="5F46395B"/>
    <w:rsid w:val="5F51972C"/>
    <w:rsid w:val="5FF0F538"/>
    <w:rsid w:val="60038517"/>
    <w:rsid w:val="600471BD"/>
    <w:rsid w:val="6051C12F"/>
    <w:rsid w:val="60725686"/>
    <w:rsid w:val="607513B1"/>
    <w:rsid w:val="607D9B91"/>
    <w:rsid w:val="608B0E62"/>
    <w:rsid w:val="608FA00D"/>
    <w:rsid w:val="6098D0D3"/>
    <w:rsid w:val="60A927DB"/>
    <w:rsid w:val="60C2E2F2"/>
    <w:rsid w:val="60DCC90D"/>
    <w:rsid w:val="61508631"/>
    <w:rsid w:val="616397EC"/>
    <w:rsid w:val="6173507C"/>
    <w:rsid w:val="61B062F5"/>
    <w:rsid w:val="61B7A18E"/>
    <w:rsid w:val="61F06614"/>
    <w:rsid w:val="62395DB4"/>
    <w:rsid w:val="624415F5"/>
    <w:rsid w:val="627EC07F"/>
    <w:rsid w:val="629487BA"/>
    <w:rsid w:val="62A04B17"/>
    <w:rsid w:val="62DBFFEA"/>
    <w:rsid w:val="62F2517B"/>
    <w:rsid w:val="63498E8D"/>
    <w:rsid w:val="638AEE54"/>
    <w:rsid w:val="639C5E44"/>
    <w:rsid w:val="63BBB199"/>
    <w:rsid w:val="6401291B"/>
    <w:rsid w:val="641CFEB7"/>
    <w:rsid w:val="6444FC86"/>
    <w:rsid w:val="64517ED9"/>
    <w:rsid w:val="645B04FD"/>
    <w:rsid w:val="64952AF8"/>
    <w:rsid w:val="64B1185E"/>
    <w:rsid w:val="64B6CFD9"/>
    <w:rsid w:val="64B914F0"/>
    <w:rsid w:val="64FB63B3"/>
    <w:rsid w:val="652E267D"/>
    <w:rsid w:val="65343959"/>
    <w:rsid w:val="65A4F169"/>
    <w:rsid w:val="65C801F1"/>
    <w:rsid w:val="65E77442"/>
    <w:rsid w:val="6664BCD0"/>
    <w:rsid w:val="667AFF39"/>
    <w:rsid w:val="66D75E28"/>
    <w:rsid w:val="67051AD9"/>
    <w:rsid w:val="6705362E"/>
    <w:rsid w:val="67821679"/>
    <w:rsid w:val="67AC8ABD"/>
    <w:rsid w:val="67B72260"/>
    <w:rsid w:val="67B79D54"/>
    <w:rsid w:val="67E3FA4E"/>
    <w:rsid w:val="67F273F7"/>
    <w:rsid w:val="682DBD3F"/>
    <w:rsid w:val="68971186"/>
    <w:rsid w:val="68D204B8"/>
    <w:rsid w:val="690C896F"/>
    <w:rsid w:val="69A363DA"/>
    <w:rsid w:val="69BBA2BA"/>
    <w:rsid w:val="69F9823F"/>
    <w:rsid w:val="6A91C603"/>
    <w:rsid w:val="6B07B52D"/>
    <w:rsid w:val="6B5DA770"/>
    <w:rsid w:val="6BB4C313"/>
    <w:rsid w:val="6BB69583"/>
    <w:rsid w:val="6BC42EB0"/>
    <w:rsid w:val="6BDE0A40"/>
    <w:rsid w:val="6BDFD4E8"/>
    <w:rsid w:val="6BF8C042"/>
    <w:rsid w:val="6BFD1714"/>
    <w:rsid w:val="6C561F8F"/>
    <w:rsid w:val="6C873A41"/>
    <w:rsid w:val="6CDD174A"/>
    <w:rsid w:val="6CF35500"/>
    <w:rsid w:val="6D04B701"/>
    <w:rsid w:val="6D370808"/>
    <w:rsid w:val="6D9AE563"/>
    <w:rsid w:val="6E171CF8"/>
    <w:rsid w:val="6EF39B84"/>
    <w:rsid w:val="6EF9F103"/>
    <w:rsid w:val="6F4FE50C"/>
    <w:rsid w:val="6F5AA00F"/>
    <w:rsid w:val="6F7695A3"/>
    <w:rsid w:val="6F85076C"/>
    <w:rsid w:val="6FD47FCF"/>
    <w:rsid w:val="7005DD9B"/>
    <w:rsid w:val="70180835"/>
    <w:rsid w:val="703EADE2"/>
    <w:rsid w:val="707C5047"/>
    <w:rsid w:val="70BDC431"/>
    <w:rsid w:val="7149D9EC"/>
    <w:rsid w:val="7155D96F"/>
    <w:rsid w:val="717B533F"/>
    <w:rsid w:val="719B0E60"/>
    <w:rsid w:val="71D89BBD"/>
    <w:rsid w:val="72239C06"/>
    <w:rsid w:val="72757D42"/>
    <w:rsid w:val="72A3FDC5"/>
    <w:rsid w:val="72B95B34"/>
    <w:rsid w:val="72E109B9"/>
    <w:rsid w:val="731923B0"/>
    <w:rsid w:val="731D4C80"/>
    <w:rsid w:val="734B7DD8"/>
    <w:rsid w:val="739A519F"/>
    <w:rsid w:val="741E9EFF"/>
    <w:rsid w:val="7454D1CC"/>
    <w:rsid w:val="7485A0E5"/>
    <w:rsid w:val="75112BF0"/>
    <w:rsid w:val="7528BBC2"/>
    <w:rsid w:val="75A1C150"/>
    <w:rsid w:val="75C73B4E"/>
    <w:rsid w:val="765024E4"/>
    <w:rsid w:val="768CBB5D"/>
    <w:rsid w:val="76B48BEC"/>
    <w:rsid w:val="7704CB9C"/>
    <w:rsid w:val="771E13C1"/>
    <w:rsid w:val="775F41A6"/>
    <w:rsid w:val="7769C96F"/>
    <w:rsid w:val="77760061"/>
    <w:rsid w:val="77EE9F4A"/>
    <w:rsid w:val="77F27B6E"/>
    <w:rsid w:val="77FD1E73"/>
    <w:rsid w:val="782AD867"/>
    <w:rsid w:val="783DE2A7"/>
    <w:rsid w:val="792D15F9"/>
    <w:rsid w:val="79330F44"/>
    <w:rsid w:val="7968893A"/>
    <w:rsid w:val="798404DC"/>
    <w:rsid w:val="79B01D34"/>
    <w:rsid w:val="79BBAE21"/>
    <w:rsid w:val="79E8BAFF"/>
    <w:rsid w:val="79EE202C"/>
    <w:rsid w:val="79F2A70C"/>
    <w:rsid w:val="7A00AB40"/>
    <w:rsid w:val="7A3A5783"/>
    <w:rsid w:val="7AB11AC3"/>
    <w:rsid w:val="7AFB008F"/>
    <w:rsid w:val="7B207E5C"/>
    <w:rsid w:val="7B277AA4"/>
    <w:rsid w:val="7B87C865"/>
    <w:rsid w:val="7BA5F632"/>
    <w:rsid w:val="7BCD02B4"/>
    <w:rsid w:val="7BF74F29"/>
    <w:rsid w:val="7BFE91E4"/>
    <w:rsid w:val="7C977312"/>
    <w:rsid w:val="7CD32D6A"/>
    <w:rsid w:val="7CF9C6FB"/>
    <w:rsid w:val="7D9621B6"/>
    <w:rsid w:val="7E1FE558"/>
    <w:rsid w:val="7E2CC083"/>
    <w:rsid w:val="7E540ECD"/>
    <w:rsid w:val="7E54F7BA"/>
    <w:rsid w:val="7E56D0D2"/>
    <w:rsid w:val="7EBE05C2"/>
    <w:rsid w:val="7F1E7304"/>
    <w:rsid w:val="7F217E77"/>
    <w:rsid w:val="7F89229B"/>
    <w:rsid w:val="7FA1683C"/>
    <w:rsid w:val="7FD0CF2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1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paragraph" w:customStyle="1" w:styleId="tabletext">
    <w:name w:val="tabletext"/>
    <w:basedOn w:val="Normal"/>
    <w:rsid w:val="00B60355"/>
    <w:pPr>
      <w:spacing w:before="100" w:beforeAutospacing="1" w:after="100" w:afterAutospacing="1"/>
    </w:pPr>
    <w:rPr>
      <w:szCs w:val="24"/>
    </w:rPr>
  </w:style>
  <w:style w:type="paragraph" w:customStyle="1" w:styleId="tablea">
    <w:name w:val="tablea"/>
    <w:basedOn w:val="Normal"/>
    <w:link w:val="tableaChar"/>
    <w:rsid w:val="00B60355"/>
    <w:pPr>
      <w:spacing w:before="100" w:beforeAutospacing="1" w:after="100" w:afterAutospacing="1"/>
    </w:pPr>
    <w:rPr>
      <w:szCs w:val="24"/>
    </w:rPr>
  </w:style>
  <w:style w:type="paragraph" w:customStyle="1" w:styleId="tablei">
    <w:name w:val="tablei"/>
    <w:basedOn w:val="Normal"/>
    <w:rsid w:val="00B60355"/>
    <w:pPr>
      <w:spacing w:before="100" w:beforeAutospacing="1" w:after="100" w:afterAutospacing="1"/>
    </w:pPr>
    <w:rPr>
      <w:szCs w:val="24"/>
    </w:rPr>
  </w:style>
  <w:style w:type="paragraph" w:customStyle="1" w:styleId="OutlineNumbered1">
    <w:name w:val="Outline Numbered 1"/>
    <w:basedOn w:val="Normal"/>
    <w:link w:val="OutlineNumbered1Char"/>
    <w:rsid w:val="006D5288"/>
    <w:pPr>
      <w:numPr>
        <w:numId w:val="17"/>
      </w:numPr>
      <w:spacing w:before="60" w:after="0"/>
    </w:pPr>
    <w:rPr>
      <w:color w:val="000000"/>
      <w:szCs w:val="24"/>
    </w:rPr>
  </w:style>
  <w:style w:type="character" w:customStyle="1" w:styleId="tableaChar">
    <w:name w:val="tablea Char"/>
    <w:basedOn w:val="DefaultParagraphFont"/>
    <w:link w:val="tablea"/>
    <w:rsid w:val="006D5288"/>
    <w:rPr>
      <w:sz w:val="24"/>
      <w:szCs w:val="24"/>
    </w:rPr>
  </w:style>
  <w:style w:type="character" w:customStyle="1" w:styleId="OutlineNumbered1Char">
    <w:name w:val="Outline Numbered 1 Char"/>
    <w:basedOn w:val="tableaChar"/>
    <w:link w:val="OutlineNumbered1"/>
    <w:rsid w:val="006D5288"/>
    <w:rPr>
      <w:color w:val="000000"/>
      <w:sz w:val="24"/>
      <w:szCs w:val="24"/>
    </w:rPr>
  </w:style>
  <w:style w:type="paragraph" w:customStyle="1" w:styleId="OutlineNumbered2">
    <w:name w:val="Outline Numbered 2"/>
    <w:basedOn w:val="Normal"/>
    <w:link w:val="OutlineNumbered2Char"/>
    <w:rsid w:val="006D5288"/>
    <w:pPr>
      <w:numPr>
        <w:ilvl w:val="1"/>
        <w:numId w:val="17"/>
      </w:numPr>
      <w:spacing w:before="60" w:after="0"/>
    </w:pPr>
    <w:rPr>
      <w:color w:val="000000"/>
      <w:szCs w:val="24"/>
    </w:rPr>
  </w:style>
  <w:style w:type="character" w:customStyle="1" w:styleId="OutlineNumbered2Char">
    <w:name w:val="Outline Numbered 2 Char"/>
    <w:basedOn w:val="tableaChar"/>
    <w:link w:val="OutlineNumbered2"/>
    <w:rsid w:val="006D5288"/>
    <w:rPr>
      <w:color w:val="000000"/>
      <w:sz w:val="24"/>
      <w:szCs w:val="24"/>
    </w:rPr>
  </w:style>
  <w:style w:type="paragraph" w:customStyle="1" w:styleId="OutlineNumbered3">
    <w:name w:val="Outline Numbered 3"/>
    <w:basedOn w:val="Normal"/>
    <w:link w:val="OutlineNumbered3Char"/>
    <w:rsid w:val="006D5288"/>
    <w:pPr>
      <w:numPr>
        <w:ilvl w:val="2"/>
        <w:numId w:val="17"/>
      </w:numPr>
      <w:spacing w:before="60" w:after="0"/>
    </w:pPr>
    <w:rPr>
      <w:color w:val="000000"/>
      <w:szCs w:val="24"/>
    </w:rPr>
  </w:style>
  <w:style w:type="character" w:customStyle="1" w:styleId="OutlineNumbered3Char">
    <w:name w:val="Outline Numbered 3 Char"/>
    <w:basedOn w:val="tableaChar"/>
    <w:link w:val="OutlineNumbered3"/>
    <w:rsid w:val="006D5288"/>
    <w:rPr>
      <w:color w:val="000000"/>
      <w:sz w:val="24"/>
      <w:szCs w:val="24"/>
    </w:rPr>
  </w:style>
  <w:style w:type="paragraph" w:customStyle="1" w:styleId="Definition">
    <w:name w:val="Definition"/>
    <w:aliases w:val="dd"/>
    <w:basedOn w:val="Normal"/>
    <w:rsid w:val="005A7C69"/>
    <w:pPr>
      <w:spacing w:before="180" w:after="0"/>
      <w:ind w:left="1134"/>
    </w:pPr>
    <w:rPr>
      <w:sz w:val="22"/>
    </w:rPr>
  </w:style>
  <w:style w:type="paragraph" w:customStyle="1" w:styleId="paragraph">
    <w:name w:val="paragraph"/>
    <w:aliases w:val="a"/>
    <w:basedOn w:val="Normal"/>
    <w:rsid w:val="005A7C69"/>
    <w:pPr>
      <w:tabs>
        <w:tab w:val="right" w:pos="1531"/>
      </w:tabs>
      <w:spacing w:before="40" w:after="0"/>
      <w:ind w:left="1644" w:hanging="1644"/>
    </w:pPr>
    <w:rPr>
      <w:sz w:val="22"/>
    </w:rPr>
  </w:style>
  <w:style w:type="character" w:styleId="Mention">
    <w:name w:val="Mention"/>
    <w:basedOn w:val="DefaultParagraphFont"/>
    <w:uiPriority w:val="99"/>
    <w:unhideWhenUsed/>
    <w:rsid w:val="004A52C8"/>
    <w:rPr>
      <w:color w:val="2B579A"/>
      <w:shd w:val="clear" w:color="auto" w:fill="E1DFDD"/>
    </w:rPr>
  </w:style>
  <w:style w:type="table" w:styleId="TableGrid">
    <w:name w:val="Table Grid"/>
    <w:basedOn w:val="TableNormal"/>
    <w:uiPriority w:val="59"/>
    <w:rsid w:val="00384BC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3186">
      <w:bodyDiv w:val="1"/>
      <w:marLeft w:val="0"/>
      <w:marRight w:val="0"/>
      <w:marTop w:val="0"/>
      <w:marBottom w:val="0"/>
      <w:divBdr>
        <w:top w:val="none" w:sz="0" w:space="0" w:color="auto"/>
        <w:left w:val="none" w:sz="0" w:space="0" w:color="auto"/>
        <w:bottom w:val="none" w:sz="0" w:space="0" w:color="auto"/>
        <w:right w:val="none" w:sz="0" w:space="0" w:color="auto"/>
      </w:divBdr>
    </w:div>
    <w:div w:id="212499160">
      <w:bodyDiv w:val="1"/>
      <w:marLeft w:val="0"/>
      <w:marRight w:val="0"/>
      <w:marTop w:val="0"/>
      <w:marBottom w:val="0"/>
      <w:divBdr>
        <w:top w:val="none" w:sz="0" w:space="0" w:color="auto"/>
        <w:left w:val="none" w:sz="0" w:space="0" w:color="auto"/>
        <w:bottom w:val="none" w:sz="0" w:space="0" w:color="auto"/>
        <w:right w:val="none" w:sz="0" w:space="0" w:color="auto"/>
      </w:divBdr>
    </w:div>
    <w:div w:id="218324088">
      <w:bodyDiv w:val="1"/>
      <w:marLeft w:val="0"/>
      <w:marRight w:val="0"/>
      <w:marTop w:val="0"/>
      <w:marBottom w:val="0"/>
      <w:divBdr>
        <w:top w:val="none" w:sz="0" w:space="0" w:color="auto"/>
        <w:left w:val="none" w:sz="0" w:space="0" w:color="auto"/>
        <w:bottom w:val="none" w:sz="0" w:space="0" w:color="auto"/>
        <w:right w:val="none" w:sz="0" w:space="0" w:color="auto"/>
      </w:divBdr>
    </w:div>
    <w:div w:id="371004477">
      <w:bodyDiv w:val="1"/>
      <w:marLeft w:val="0"/>
      <w:marRight w:val="0"/>
      <w:marTop w:val="0"/>
      <w:marBottom w:val="0"/>
      <w:divBdr>
        <w:top w:val="none" w:sz="0" w:space="0" w:color="auto"/>
        <w:left w:val="none" w:sz="0" w:space="0" w:color="auto"/>
        <w:bottom w:val="none" w:sz="0" w:space="0" w:color="auto"/>
        <w:right w:val="none" w:sz="0" w:space="0" w:color="auto"/>
      </w:divBdr>
    </w:div>
    <w:div w:id="439692119">
      <w:bodyDiv w:val="1"/>
      <w:marLeft w:val="0"/>
      <w:marRight w:val="0"/>
      <w:marTop w:val="0"/>
      <w:marBottom w:val="0"/>
      <w:divBdr>
        <w:top w:val="none" w:sz="0" w:space="0" w:color="auto"/>
        <w:left w:val="none" w:sz="0" w:space="0" w:color="auto"/>
        <w:bottom w:val="none" w:sz="0" w:space="0" w:color="auto"/>
        <w:right w:val="none" w:sz="0" w:space="0" w:color="auto"/>
      </w:divBdr>
    </w:div>
    <w:div w:id="455756394">
      <w:bodyDiv w:val="1"/>
      <w:marLeft w:val="0"/>
      <w:marRight w:val="0"/>
      <w:marTop w:val="0"/>
      <w:marBottom w:val="0"/>
      <w:divBdr>
        <w:top w:val="none" w:sz="0" w:space="0" w:color="auto"/>
        <w:left w:val="none" w:sz="0" w:space="0" w:color="auto"/>
        <w:bottom w:val="none" w:sz="0" w:space="0" w:color="auto"/>
        <w:right w:val="none" w:sz="0" w:space="0" w:color="auto"/>
      </w:divBdr>
    </w:div>
    <w:div w:id="487215024">
      <w:bodyDiv w:val="1"/>
      <w:marLeft w:val="0"/>
      <w:marRight w:val="0"/>
      <w:marTop w:val="0"/>
      <w:marBottom w:val="0"/>
      <w:divBdr>
        <w:top w:val="none" w:sz="0" w:space="0" w:color="auto"/>
        <w:left w:val="none" w:sz="0" w:space="0" w:color="auto"/>
        <w:bottom w:val="none" w:sz="0" w:space="0" w:color="auto"/>
        <w:right w:val="none" w:sz="0" w:space="0" w:color="auto"/>
      </w:divBdr>
    </w:div>
    <w:div w:id="592208178">
      <w:bodyDiv w:val="1"/>
      <w:marLeft w:val="0"/>
      <w:marRight w:val="0"/>
      <w:marTop w:val="0"/>
      <w:marBottom w:val="0"/>
      <w:divBdr>
        <w:top w:val="none" w:sz="0" w:space="0" w:color="auto"/>
        <w:left w:val="none" w:sz="0" w:space="0" w:color="auto"/>
        <w:bottom w:val="none" w:sz="0" w:space="0" w:color="auto"/>
        <w:right w:val="none" w:sz="0" w:space="0" w:color="auto"/>
      </w:divBdr>
    </w:div>
    <w:div w:id="605506125">
      <w:bodyDiv w:val="1"/>
      <w:marLeft w:val="0"/>
      <w:marRight w:val="0"/>
      <w:marTop w:val="0"/>
      <w:marBottom w:val="0"/>
      <w:divBdr>
        <w:top w:val="none" w:sz="0" w:space="0" w:color="auto"/>
        <w:left w:val="none" w:sz="0" w:space="0" w:color="auto"/>
        <w:bottom w:val="none" w:sz="0" w:space="0" w:color="auto"/>
        <w:right w:val="none" w:sz="0" w:space="0" w:color="auto"/>
      </w:divBdr>
    </w:div>
    <w:div w:id="622033597">
      <w:bodyDiv w:val="1"/>
      <w:marLeft w:val="0"/>
      <w:marRight w:val="0"/>
      <w:marTop w:val="0"/>
      <w:marBottom w:val="0"/>
      <w:divBdr>
        <w:top w:val="none" w:sz="0" w:space="0" w:color="auto"/>
        <w:left w:val="none" w:sz="0" w:space="0" w:color="auto"/>
        <w:bottom w:val="none" w:sz="0" w:space="0" w:color="auto"/>
        <w:right w:val="none" w:sz="0" w:space="0" w:color="auto"/>
      </w:divBdr>
    </w:div>
    <w:div w:id="640766335">
      <w:bodyDiv w:val="1"/>
      <w:marLeft w:val="0"/>
      <w:marRight w:val="0"/>
      <w:marTop w:val="0"/>
      <w:marBottom w:val="0"/>
      <w:divBdr>
        <w:top w:val="none" w:sz="0" w:space="0" w:color="auto"/>
        <w:left w:val="none" w:sz="0" w:space="0" w:color="auto"/>
        <w:bottom w:val="none" w:sz="0" w:space="0" w:color="auto"/>
        <w:right w:val="none" w:sz="0" w:space="0" w:color="auto"/>
      </w:divBdr>
    </w:div>
    <w:div w:id="644119877">
      <w:bodyDiv w:val="1"/>
      <w:marLeft w:val="0"/>
      <w:marRight w:val="0"/>
      <w:marTop w:val="0"/>
      <w:marBottom w:val="0"/>
      <w:divBdr>
        <w:top w:val="none" w:sz="0" w:space="0" w:color="auto"/>
        <w:left w:val="none" w:sz="0" w:space="0" w:color="auto"/>
        <w:bottom w:val="none" w:sz="0" w:space="0" w:color="auto"/>
        <w:right w:val="none" w:sz="0" w:space="0" w:color="auto"/>
      </w:divBdr>
    </w:div>
    <w:div w:id="757403722">
      <w:bodyDiv w:val="1"/>
      <w:marLeft w:val="0"/>
      <w:marRight w:val="0"/>
      <w:marTop w:val="0"/>
      <w:marBottom w:val="0"/>
      <w:divBdr>
        <w:top w:val="none" w:sz="0" w:space="0" w:color="auto"/>
        <w:left w:val="none" w:sz="0" w:space="0" w:color="auto"/>
        <w:bottom w:val="none" w:sz="0" w:space="0" w:color="auto"/>
        <w:right w:val="none" w:sz="0" w:space="0" w:color="auto"/>
      </w:divBdr>
    </w:div>
    <w:div w:id="805901117">
      <w:bodyDiv w:val="1"/>
      <w:marLeft w:val="0"/>
      <w:marRight w:val="0"/>
      <w:marTop w:val="0"/>
      <w:marBottom w:val="0"/>
      <w:divBdr>
        <w:top w:val="none" w:sz="0" w:space="0" w:color="auto"/>
        <w:left w:val="none" w:sz="0" w:space="0" w:color="auto"/>
        <w:bottom w:val="none" w:sz="0" w:space="0" w:color="auto"/>
        <w:right w:val="none" w:sz="0" w:space="0" w:color="auto"/>
      </w:divBdr>
    </w:div>
    <w:div w:id="838885236">
      <w:bodyDiv w:val="1"/>
      <w:marLeft w:val="0"/>
      <w:marRight w:val="0"/>
      <w:marTop w:val="0"/>
      <w:marBottom w:val="0"/>
      <w:divBdr>
        <w:top w:val="none" w:sz="0" w:space="0" w:color="auto"/>
        <w:left w:val="none" w:sz="0" w:space="0" w:color="auto"/>
        <w:bottom w:val="none" w:sz="0" w:space="0" w:color="auto"/>
        <w:right w:val="none" w:sz="0" w:space="0" w:color="auto"/>
      </w:divBdr>
    </w:div>
    <w:div w:id="899484980">
      <w:bodyDiv w:val="1"/>
      <w:marLeft w:val="0"/>
      <w:marRight w:val="0"/>
      <w:marTop w:val="0"/>
      <w:marBottom w:val="0"/>
      <w:divBdr>
        <w:top w:val="none" w:sz="0" w:space="0" w:color="auto"/>
        <w:left w:val="none" w:sz="0" w:space="0" w:color="auto"/>
        <w:bottom w:val="none" w:sz="0" w:space="0" w:color="auto"/>
        <w:right w:val="none" w:sz="0" w:space="0" w:color="auto"/>
      </w:divBdr>
    </w:div>
    <w:div w:id="956571052">
      <w:bodyDiv w:val="1"/>
      <w:marLeft w:val="0"/>
      <w:marRight w:val="0"/>
      <w:marTop w:val="0"/>
      <w:marBottom w:val="0"/>
      <w:divBdr>
        <w:top w:val="none" w:sz="0" w:space="0" w:color="auto"/>
        <w:left w:val="none" w:sz="0" w:space="0" w:color="auto"/>
        <w:bottom w:val="none" w:sz="0" w:space="0" w:color="auto"/>
        <w:right w:val="none" w:sz="0" w:space="0" w:color="auto"/>
      </w:divBdr>
    </w:div>
    <w:div w:id="985012069">
      <w:bodyDiv w:val="1"/>
      <w:marLeft w:val="0"/>
      <w:marRight w:val="0"/>
      <w:marTop w:val="0"/>
      <w:marBottom w:val="0"/>
      <w:divBdr>
        <w:top w:val="none" w:sz="0" w:space="0" w:color="auto"/>
        <w:left w:val="none" w:sz="0" w:space="0" w:color="auto"/>
        <w:bottom w:val="none" w:sz="0" w:space="0" w:color="auto"/>
        <w:right w:val="none" w:sz="0" w:space="0" w:color="auto"/>
      </w:divBdr>
    </w:div>
    <w:div w:id="1066534474">
      <w:bodyDiv w:val="1"/>
      <w:marLeft w:val="0"/>
      <w:marRight w:val="0"/>
      <w:marTop w:val="0"/>
      <w:marBottom w:val="0"/>
      <w:divBdr>
        <w:top w:val="none" w:sz="0" w:space="0" w:color="auto"/>
        <w:left w:val="none" w:sz="0" w:space="0" w:color="auto"/>
        <w:bottom w:val="none" w:sz="0" w:space="0" w:color="auto"/>
        <w:right w:val="none" w:sz="0" w:space="0" w:color="auto"/>
      </w:divBdr>
    </w:div>
    <w:div w:id="1069577546">
      <w:bodyDiv w:val="1"/>
      <w:marLeft w:val="0"/>
      <w:marRight w:val="0"/>
      <w:marTop w:val="0"/>
      <w:marBottom w:val="0"/>
      <w:divBdr>
        <w:top w:val="none" w:sz="0" w:space="0" w:color="auto"/>
        <w:left w:val="none" w:sz="0" w:space="0" w:color="auto"/>
        <w:bottom w:val="none" w:sz="0" w:space="0" w:color="auto"/>
        <w:right w:val="none" w:sz="0" w:space="0" w:color="auto"/>
      </w:divBdr>
    </w:div>
    <w:div w:id="1091704211">
      <w:bodyDiv w:val="1"/>
      <w:marLeft w:val="0"/>
      <w:marRight w:val="0"/>
      <w:marTop w:val="0"/>
      <w:marBottom w:val="0"/>
      <w:divBdr>
        <w:top w:val="none" w:sz="0" w:space="0" w:color="auto"/>
        <w:left w:val="none" w:sz="0" w:space="0" w:color="auto"/>
        <w:bottom w:val="none" w:sz="0" w:space="0" w:color="auto"/>
        <w:right w:val="none" w:sz="0" w:space="0" w:color="auto"/>
      </w:divBdr>
    </w:div>
    <w:div w:id="1219122859">
      <w:bodyDiv w:val="1"/>
      <w:marLeft w:val="0"/>
      <w:marRight w:val="0"/>
      <w:marTop w:val="0"/>
      <w:marBottom w:val="0"/>
      <w:divBdr>
        <w:top w:val="none" w:sz="0" w:space="0" w:color="auto"/>
        <w:left w:val="none" w:sz="0" w:space="0" w:color="auto"/>
        <w:bottom w:val="none" w:sz="0" w:space="0" w:color="auto"/>
        <w:right w:val="none" w:sz="0" w:space="0" w:color="auto"/>
      </w:divBdr>
    </w:div>
    <w:div w:id="1277447452">
      <w:bodyDiv w:val="1"/>
      <w:marLeft w:val="0"/>
      <w:marRight w:val="0"/>
      <w:marTop w:val="0"/>
      <w:marBottom w:val="0"/>
      <w:divBdr>
        <w:top w:val="none" w:sz="0" w:space="0" w:color="auto"/>
        <w:left w:val="none" w:sz="0" w:space="0" w:color="auto"/>
        <w:bottom w:val="none" w:sz="0" w:space="0" w:color="auto"/>
        <w:right w:val="none" w:sz="0" w:space="0" w:color="auto"/>
      </w:divBdr>
    </w:div>
    <w:div w:id="1345864258">
      <w:bodyDiv w:val="1"/>
      <w:marLeft w:val="0"/>
      <w:marRight w:val="0"/>
      <w:marTop w:val="0"/>
      <w:marBottom w:val="0"/>
      <w:divBdr>
        <w:top w:val="none" w:sz="0" w:space="0" w:color="auto"/>
        <w:left w:val="none" w:sz="0" w:space="0" w:color="auto"/>
        <w:bottom w:val="none" w:sz="0" w:space="0" w:color="auto"/>
        <w:right w:val="none" w:sz="0" w:space="0" w:color="auto"/>
      </w:divBdr>
    </w:div>
    <w:div w:id="1408382099">
      <w:bodyDiv w:val="1"/>
      <w:marLeft w:val="0"/>
      <w:marRight w:val="0"/>
      <w:marTop w:val="0"/>
      <w:marBottom w:val="0"/>
      <w:divBdr>
        <w:top w:val="none" w:sz="0" w:space="0" w:color="auto"/>
        <w:left w:val="none" w:sz="0" w:space="0" w:color="auto"/>
        <w:bottom w:val="none" w:sz="0" w:space="0" w:color="auto"/>
        <w:right w:val="none" w:sz="0" w:space="0" w:color="auto"/>
      </w:divBdr>
    </w:div>
    <w:div w:id="1463108782">
      <w:bodyDiv w:val="1"/>
      <w:marLeft w:val="0"/>
      <w:marRight w:val="0"/>
      <w:marTop w:val="0"/>
      <w:marBottom w:val="0"/>
      <w:divBdr>
        <w:top w:val="none" w:sz="0" w:space="0" w:color="auto"/>
        <w:left w:val="none" w:sz="0" w:space="0" w:color="auto"/>
        <w:bottom w:val="none" w:sz="0" w:space="0" w:color="auto"/>
        <w:right w:val="none" w:sz="0" w:space="0" w:color="auto"/>
      </w:divBdr>
    </w:div>
    <w:div w:id="1518887845">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647851667">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908950972">
      <w:bodyDiv w:val="1"/>
      <w:marLeft w:val="0"/>
      <w:marRight w:val="0"/>
      <w:marTop w:val="0"/>
      <w:marBottom w:val="0"/>
      <w:divBdr>
        <w:top w:val="none" w:sz="0" w:space="0" w:color="auto"/>
        <w:left w:val="none" w:sz="0" w:space="0" w:color="auto"/>
        <w:bottom w:val="none" w:sz="0" w:space="0" w:color="auto"/>
        <w:right w:val="none" w:sz="0" w:space="0" w:color="auto"/>
      </w:divBdr>
    </w:div>
    <w:div w:id="1993218895">
      <w:bodyDiv w:val="1"/>
      <w:marLeft w:val="0"/>
      <w:marRight w:val="0"/>
      <w:marTop w:val="0"/>
      <w:marBottom w:val="0"/>
      <w:divBdr>
        <w:top w:val="none" w:sz="0" w:space="0" w:color="auto"/>
        <w:left w:val="none" w:sz="0" w:space="0" w:color="auto"/>
        <w:bottom w:val="none" w:sz="0" w:space="0" w:color="auto"/>
        <w:right w:val="none" w:sz="0" w:space="0" w:color="auto"/>
      </w:divBdr>
    </w:div>
    <w:div w:id="2075855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customXml" Target="../customXml/item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7F814C2CAC45D49FAEDAED56933579"/>
        <w:category>
          <w:name w:val="General"/>
          <w:gallery w:val="placeholder"/>
        </w:category>
        <w:types>
          <w:type w:val="bbPlcHdr"/>
        </w:types>
        <w:behaviors>
          <w:behavior w:val="content"/>
        </w:behaviors>
        <w:guid w:val="{4C8F30B3-06ED-448D-B8CD-AC7770864676}"/>
      </w:docPartPr>
      <w:docPartBody>
        <w:p w:rsidR="003823C3" w:rsidRDefault="003823C3">
          <w:pPr>
            <w:pStyle w:val="8F7F814C2CAC45D49FAEDAED56933579"/>
          </w:pPr>
          <w:r w:rsidRPr="003C5719">
            <w:rPr>
              <w:rStyle w:val="PlaceholderText"/>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3C3"/>
    <w:rsid w:val="000334F1"/>
    <w:rsid w:val="0005192F"/>
    <w:rsid w:val="000A5E78"/>
    <w:rsid w:val="001729BC"/>
    <w:rsid w:val="00230AEC"/>
    <w:rsid w:val="00234B49"/>
    <w:rsid w:val="002B23CB"/>
    <w:rsid w:val="002C293D"/>
    <w:rsid w:val="002C5174"/>
    <w:rsid w:val="0035763C"/>
    <w:rsid w:val="00373191"/>
    <w:rsid w:val="003823C3"/>
    <w:rsid w:val="00441520"/>
    <w:rsid w:val="00514D27"/>
    <w:rsid w:val="005461CE"/>
    <w:rsid w:val="005C6023"/>
    <w:rsid w:val="006A49F9"/>
    <w:rsid w:val="006D3F7D"/>
    <w:rsid w:val="006E12C5"/>
    <w:rsid w:val="006F1981"/>
    <w:rsid w:val="007235FB"/>
    <w:rsid w:val="007374F1"/>
    <w:rsid w:val="00763E2B"/>
    <w:rsid w:val="007F3949"/>
    <w:rsid w:val="008D71FF"/>
    <w:rsid w:val="00943FE3"/>
    <w:rsid w:val="00997D38"/>
    <w:rsid w:val="009A1938"/>
    <w:rsid w:val="009A4385"/>
    <w:rsid w:val="00A60B92"/>
    <w:rsid w:val="00AA056C"/>
    <w:rsid w:val="00AB312B"/>
    <w:rsid w:val="00AF682C"/>
    <w:rsid w:val="00B55B96"/>
    <w:rsid w:val="00B73CB2"/>
    <w:rsid w:val="00C049A3"/>
    <w:rsid w:val="00C6228C"/>
    <w:rsid w:val="00C70846"/>
    <w:rsid w:val="00C8681C"/>
    <w:rsid w:val="00D00DE6"/>
    <w:rsid w:val="00D04784"/>
    <w:rsid w:val="00D70D3F"/>
    <w:rsid w:val="00D80E67"/>
    <w:rsid w:val="00DE2166"/>
    <w:rsid w:val="00E50B9C"/>
    <w:rsid w:val="00E82477"/>
    <w:rsid w:val="00FE12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F7F814C2CAC45D49FAEDAED56933579">
    <w:name w:val="8F7F814C2CAC45D49FAEDAED569335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D28D97A9C21749A9E8F8B6AC29448A" ma:contentTypeVersion="23" ma:contentTypeDescription="Create a new document." ma:contentTypeScope="" ma:versionID="3abcfead848913b3ff277bb1609826fb">
  <xsd:schema xmlns:xsd="http://www.w3.org/2001/XMLSchema" xmlns:xs="http://www.w3.org/2001/XMLSchema" xmlns:p="http://schemas.microsoft.com/office/2006/metadata/properties" xmlns:ns2="42f4cb5a-261c-4c59-b165-7132460581a3" xmlns:ns3="ff38c824-6e29-4496-8487-69f397e7ed29" xmlns:ns4="fe39d773-a83d-4623-ae74-f25711a76616" xmlns:ns5="9a91be02-49fe-4568-a0ce-30550d2c0542" targetNamespace="http://schemas.microsoft.com/office/2006/metadata/properties" ma:root="true" ma:fieldsID="68ce8d81041517f2d6d20018312a4c51" ns2:_="" ns3:_="" ns4:_="" ns5:_="">
    <xsd:import namespace="42f4cb5a-261c-4c59-b165-7132460581a3"/>
    <xsd:import namespace="ff38c824-6e29-4496-8487-69f397e7ed29"/>
    <xsd:import namespace="fe39d773-a83d-4623-ae74-f25711a76616"/>
    <xsd:import namespace="9a91be02-49fe-4568-a0ce-30550d2c0542"/>
    <xsd:element name="properties">
      <xsd:complexType>
        <xsd:sequence>
          <xsd:element name="documentManagement">
            <xsd:complexType>
              <xsd:all>
                <xsd:element ref="ns4:_dlc_DocId" minOccurs="0"/>
                <xsd:element ref="ns4:_dlc_DocIdUrl" minOccurs="0"/>
                <xsd:element ref="ns4:_dlc_DocIdPersistId" minOccurs="0"/>
                <xsd:element ref="ns3:TaxCatchAll" minOccurs="0"/>
                <xsd:element ref="ns3:TaxCatchAllLabel" minOccurs="0"/>
                <xsd:element ref="ns4:e4fe7dcdd1c0411bbf19a4de3665191f"/>
                <xsd:element ref="ns4:gfba5f33532c49208d2320ce38cc3c2b"/>
                <xsd:element ref="ns4:kfc39f3e4e2747ae990d3c8bb74a5a64"/>
                <xsd:element ref="ns4:ge25bdd0d6464e36b066695d9e81d63d" minOccurs="0"/>
                <xsd:element ref="ns2:e5a1f46bacea44adb95da67637e84767" minOccurs="0"/>
                <xsd:element ref="ns5:ExcoMeetingDate" minOccurs="0"/>
                <xsd:element ref="ns5:MediaServiceMetadata" minOccurs="0"/>
                <xsd:element ref="ns5:MediaServiceFastMetadata" minOccurs="0"/>
                <xsd:element ref="ns5:MediaServiceObjectDetectorVersions" minOccurs="0"/>
                <xsd:element ref="ns5:MediaServiceSearchProperties" minOccurs="0"/>
                <xsd:element ref="ns4:a48f371a4a874164b16a8c4aab488f5c"/>
                <xsd:element ref="ns5:MediaServiceDateTaken" minOccurs="0"/>
                <xsd:element ref="ns5:MediaServiceGenerationTime" minOccurs="0"/>
                <xsd:element ref="ns5:MediaServiceEventHashCode" minOccurs="0"/>
                <xsd:element ref="ns5:MediaLengthInSeconds" minOccurs="0"/>
                <xsd:element ref="ns3:TSY_CreatedByDivision" minOccurs="0"/>
                <xsd:element ref="ns3:TSY_ModifiedBy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2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SY_CreatedByDivision" ma:index="34" nillable="true" ma:displayName="Created By Division" ma:internalName="TSY_CreatedByDivision" ma:readOnly="true">
      <xsd:simpleType>
        <xsd:restriction base="dms:Text"/>
      </xsd:simpleType>
    </xsd:element>
    <xsd:element name="TSY_ModifiedByDivision" ma:index="35"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fe7dcdd1c0411bbf19a4de3665191f" ma:index="13"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9"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a48f371a4a874164b16a8c4aab488f5c" ma:index="28"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23" nillable="true" ma:displayName="Exco Meeting Date" ma:format="DateOnly" ma:internalName="ExcoMeetingDate">
      <xsd:simpleType>
        <xsd:restriction base="dms:DateTim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_dlc_DocId xmlns="fe39d773-a83d-4623-ae74-f25711a76616">S574FYTY5PW6-349572302-1734</_dlc_DocId>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_dlc_DocIdUrl xmlns="fe39d773-a83d-4623-ae74-f25711a76616">
      <Url>https://austreasury.sharepoint.com/sites/leg-cord-function/_layouts/15/DocIdRedir.aspx?ID=S574FYTY5PW6-349572302-1734</Url>
      <Description>S574FYTY5PW6-349572302-1734</Description>
    </_dlc_DocIdUrl>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ExcoMeetingDate xmlns="9a91be02-49fe-4568-a0ce-30550d2c0542" xsi:nil="true"/>
    <TaxCatchAll xmlns="ff38c824-6e29-4496-8487-69f397e7ed29">
      <Value>81</Value>
      <Value>36</Value>
      <Value>1</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TSY_ModifiedByDivision xmlns="ff38c824-6e29-4496-8487-69f397e7ed29">Small Business Corporate and Law Group - Law Division</TSY_ModifiedByDivision>
    <TSY_CreatedByDivision xmlns="ff38c824-6e29-4496-8487-69f397e7ed29">Small Business Housing Corporate and Law Group - Law Division</TSY_CreatedByDivision>
  </documentManagement>
</p:properties>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2.xml><?xml version="1.0" encoding="utf-8"?>
<ds:datastoreItem xmlns:ds="http://schemas.openxmlformats.org/officeDocument/2006/customXml" ds:itemID="{2189709E-D8FD-4E58-8413-509991C8E274}"/>
</file>

<file path=customXml/itemProps3.xml><?xml version="1.0" encoding="utf-8"?>
<ds:datastoreItem xmlns:ds="http://schemas.openxmlformats.org/officeDocument/2006/customXml" ds:itemID="{4E5F6005-70B9-4B64-9C2A-C33AB9BC2052}"/>
</file>

<file path=customXml/itemProps4.xml><?xml version="1.0" encoding="utf-8"?>
<ds:datastoreItem xmlns:ds="http://schemas.openxmlformats.org/officeDocument/2006/customXml" ds:itemID="{77B10772-11E7-421F-9B54-23B6D8CA4FA2}"/>
</file>

<file path=customXml/itemProps5.xml><?xml version="1.0" encoding="utf-8"?>
<ds:datastoreItem xmlns:ds="http://schemas.openxmlformats.org/officeDocument/2006/customXml" ds:itemID="{A0EDFFA2-7AF8-4D8E-9658-5C736B62B235}"/>
</file>

<file path=docProps/app.xml><?xml version="1.0" encoding="utf-8"?>
<Properties xmlns="http://schemas.openxmlformats.org/officeDocument/2006/extended-properties" xmlns:vt="http://schemas.openxmlformats.org/officeDocument/2006/docPropsVTypes">
  <Template>Normal.dotm</Template>
  <TotalTime>0</TotalTime>
  <Pages>18</Pages>
  <Words>5314</Words>
  <Characters>30295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35538</CharactersWithSpaces>
  <SharedDoc>false</SharedDoc>
  <HLinks>
    <vt:vector size="30" baseType="variant">
      <vt:variant>
        <vt:i4>2490404</vt:i4>
      </vt:variant>
      <vt:variant>
        <vt:i4>6</vt:i4>
      </vt:variant>
      <vt:variant>
        <vt:i4>0</vt:i4>
      </vt:variant>
      <vt:variant>
        <vt:i4>5</vt:i4>
      </vt:variant>
      <vt:variant>
        <vt:lpwstr>https://www.ag.gov.au/rights-and-protections/human-rights-and-anti-discrimination/human-rights-scrutiny/statements-compatibility-templates</vt:lpwstr>
      </vt:variant>
      <vt:variant>
        <vt:lpwstr/>
      </vt:variant>
      <vt:variant>
        <vt:i4>2818049</vt:i4>
      </vt:variant>
      <vt:variant>
        <vt:i4>9</vt:i4>
      </vt:variant>
      <vt:variant>
        <vt:i4>0</vt:i4>
      </vt:variant>
      <vt:variant>
        <vt:i4>5</vt:i4>
      </vt:variant>
      <vt:variant>
        <vt:lpwstr>mailto:Emma.Strohfeldt@TREASURY.GOV.AU</vt:lpwstr>
      </vt:variant>
      <vt:variant>
        <vt:lpwstr/>
      </vt:variant>
      <vt:variant>
        <vt:i4>196644</vt:i4>
      </vt:variant>
      <vt:variant>
        <vt:i4>6</vt:i4>
      </vt:variant>
      <vt:variant>
        <vt:i4>0</vt:i4>
      </vt:variant>
      <vt:variant>
        <vt:i4>5</vt:i4>
      </vt:variant>
      <vt:variant>
        <vt:lpwstr>mailto:Alycia.Robertson@TREASURY.GOV.AU</vt:lpwstr>
      </vt:variant>
      <vt:variant>
        <vt:lpwstr/>
      </vt:variant>
      <vt:variant>
        <vt:i4>7405641</vt:i4>
      </vt:variant>
      <vt:variant>
        <vt:i4>3</vt:i4>
      </vt:variant>
      <vt:variant>
        <vt:i4>0</vt:i4>
      </vt:variant>
      <vt:variant>
        <vt:i4>5</vt:i4>
      </vt:variant>
      <vt:variant>
        <vt:lpwstr>mailto:Eva.Goswell@TREASURY.GOV.AU</vt:lpwstr>
      </vt:variant>
      <vt:variant>
        <vt:lpwstr/>
      </vt:variant>
      <vt:variant>
        <vt:i4>196644</vt:i4>
      </vt:variant>
      <vt:variant>
        <vt:i4>0</vt:i4>
      </vt:variant>
      <vt:variant>
        <vt:i4>0</vt:i4>
      </vt:variant>
      <vt:variant>
        <vt:i4>5</vt:i4>
      </vt:variant>
      <vt:variant>
        <vt:lpwstr>mailto:Alycia.Robertson@TREASURY.GOV.AU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2025-09-05T03:59:00Z</dcterms:created>
  <dcterms:modified xsi:type="dcterms:W3CDTF">2025-09-05T03:59:00Z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2025-09-05T03:59:19Z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254293df-19d5-4dc9-8c42-31e1977d98b6</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y fmtid="{D5CDD505-2E9C-101B-9397-08002B2CF9AE}" pid="10" name="TSYStatus">
    <vt:lpwstr/>
  </property>
  <property fmtid="{D5CDD505-2E9C-101B-9397-08002B2CF9AE}" pid="11" name="MediaServiceImageTags">
    <vt:lpwstr/>
  </property>
  <property fmtid="{D5CDD505-2E9C-101B-9397-08002B2CF9AE}" pid="12" name="ContentTypeId">
    <vt:lpwstr>0x01010045D28D97A9C21749A9E8F8B6AC29448A</vt:lpwstr>
  </property>
  <property fmtid="{D5CDD505-2E9C-101B-9397-08002B2CF9AE}" pid="13" name="eTheme">
    <vt:lpwstr>1</vt:lpwstr>
  </property>
  <property fmtid="{D5CDD505-2E9C-101B-9397-08002B2CF9AE}" pid="14" name="eDocumentType">
    <vt:lpwstr>81;#Explanatory Materials|ac61e78e-992e-40fd-ae93-2c9522960b05</vt:lpwstr>
  </property>
  <property fmtid="{D5CDD505-2E9C-101B-9397-08002B2CF9AE}" pid="15" name="Theme">
    <vt:lpwstr>1;#Law Design|318dd2d2-18da-4b8e-a458-14db2c1af95f</vt:lpwstr>
  </property>
  <property fmtid="{D5CDD505-2E9C-101B-9397-08002B2CF9AE}" pid="16" name="eTopic">
    <vt:lpwstr>36;#Legislation Coordination|58c6712e-e847-48f4-81ab-b25e2bbd3986</vt:lpwstr>
  </property>
  <property fmtid="{D5CDD505-2E9C-101B-9397-08002B2CF9AE}" pid="17" name="_NewReviewCycle">
    <vt:lpwstr/>
  </property>
  <property fmtid="{D5CDD505-2E9C-101B-9397-08002B2CF9AE}" pid="18" name="_docset_NoMedatataSyncRequired">
    <vt:lpwstr>False</vt:lpwstr>
  </property>
  <property fmtid="{D5CDD505-2E9C-101B-9397-08002B2CF9AE}" pid="19" name="LMDivision">
    <vt:lpwstr/>
  </property>
  <property fmtid="{D5CDD505-2E9C-101B-9397-08002B2CF9AE}" pid="20" name="eActivity">
    <vt:lpwstr>35</vt:lpwstr>
  </property>
  <property fmtid="{D5CDD505-2E9C-101B-9397-08002B2CF9AE}" pid="21" name="TSYTopic">
    <vt:lpwstr/>
  </property>
  <property fmtid="{D5CDD505-2E9C-101B-9397-08002B2CF9AE}" pid="22" name="k8424359e03846678cc4a99dd97e9705">
    <vt:lpwstr/>
  </property>
  <property fmtid="{D5CDD505-2E9C-101B-9397-08002B2CF9AE}" pid="23" name="TSYRecordClass">
    <vt:lpwstr>1;#AE-20260-Destroy 7 years after action completed|623f5ec9-ec5d-4824-8e13-9c9bfc51fe7e</vt:lpwstr>
  </property>
  <property fmtid="{D5CDD505-2E9C-101B-9397-08002B2CF9AE}" pid="24" name="_dlc_DocIdItemGuid">
    <vt:lpwstr>4bc1e6d6-0c5e-40b9-8692-37ac754b80d9</vt:lpwstr>
  </property>
  <property fmtid="{D5CDD505-2E9C-101B-9397-08002B2CF9AE}" pid="25" name="TSYOffice">
    <vt:lpwstr/>
  </property>
</Properties>
</file>