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A59E1" w14:textId="77777777" w:rsidR="00715914" w:rsidRPr="005F1388" w:rsidRDefault="00DA186E" w:rsidP="00706972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5A7E17B5" wp14:editId="6044F48D">
            <wp:extent cx="1503328" cy="1105200"/>
            <wp:effectExtent l="0" t="0" r="1905" b="0"/>
            <wp:docPr id="1" name="Picture 1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6C7DC" w14:textId="77777777" w:rsidR="00715914" w:rsidRPr="00E500D4" w:rsidRDefault="00715914" w:rsidP="00706972">
      <w:pPr>
        <w:rPr>
          <w:sz w:val="19"/>
        </w:rPr>
      </w:pPr>
    </w:p>
    <w:p w14:paraId="1D6608D5" w14:textId="07292AC7" w:rsidR="00382091" w:rsidRPr="008E7EE9" w:rsidRDefault="00382091" w:rsidP="00706972">
      <w:pPr>
        <w:pStyle w:val="ShortT"/>
      </w:pPr>
      <w:r w:rsidRPr="008E7EE9">
        <w:t xml:space="preserve">A New Tax System (Goods and Services Tax) </w:t>
      </w:r>
      <w:r w:rsidR="0021522D">
        <w:t>(</w:t>
      </w:r>
      <w:r>
        <w:t>Simplified Accounting Methods</w:t>
      </w:r>
      <w:r w:rsidR="00040A22">
        <w:t xml:space="preserve"> </w:t>
      </w:r>
      <w:r w:rsidR="006105EA">
        <w:t xml:space="preserve">– </w:t>
      </w:r>
      <w:r w:rsidR="009E76F6">
        <w:t xml:space="preserve">Supermarket and </w:t>
      </w:r>
      <w:r w:rsidR="00706972">
        <w:t>C</w:t>
      </w:r>
      <w:r w:rsidR="009E76F6">
        <w:t xml:space="preserve">onvenience </w:t>
      </w:r>
      <w:r w:rsidR="00706972">
        <w:t>S</w:t>
      </w:r>
      <w:r w:rsidR="009E76F6">
        <w:t>tores)</w:t>
      </w:r>
      <w:r w:rsidRPr="008E7EE9">
        <w:t xml:space="preserve"> Determination 202</w:t>
      </w:r>
      <w:r w:rsidR="00115EA4">
        <w:t>5</w:t>
      </w:r>
    </w:p>
    <w:p w14:paraId="6E6D97A3" w14:textId="048C14F2" w:rsidR="00382091" w:rsidRPr="00DA182D" w:rsidRDefault="00382091" w:rsidP="009109E3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>I</w:t>
      </w:r>
      <w:r w:rsidR="00753C86">
        <w:rPr>
          <w:szCs w:val="22"/>
        </w:rPr>
        <w:t>, Ben Kelly, Deputy</w:t>
      </w:r>
      <w:r>
        <w:rPr>
          <w:szCs w:val="22"/>
        </w:rPr>
        <w:t xml:space="preserve"> Commissioner of Taxation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the following </w:t>
      </w:r>
      <w:r w:rsidR="00630BD1">
        <w:rPr>
          <w:szCs w:val="22"/>
        </w:rPr>
        <w:t>instrument</w:t>
      </w:r>
      <w:r w:rsidRPr="00DA182D">
        <w:rPr>
          <w:szCs w:val="22"/>
        </w:rPr>
        <w:t>.</w:t>
      </w:r>
    </w:p>
    <w:p w14:paraId="7D5F3442" w14:textId="71115B4F" w:rsidR="00382091" w:rsidRPr="00001A63" w:rsidRDefault="00070F3C" w:rsidP="009109E3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</w:t>
      </w:r>
      <w:r w:rsidR="007E24DB">
        <w:rPr>
          <w:szCs w:val="22"/>
        </w:rPr>
        <w:t>ated</w:t>
      </w:r>
      <w:r w:rsidR="00266D50">
        <w:rPr>
          <w:szCs w:val="22"/>
        </w:rPr>
        <w:t xml:space="preserve">  </w:t>
      </w:r>
      <w:r w:rsidR="007E24DB">
        <w:rPr>
          <w:szCs w:val="22"/>
        </w:rPr>
        <w:t xml:space="preserve"> </w:t>
      </w:r>
      <w:r w:rsidR="00150E9D">
        <w:rPr>
          <w:szCs w:val="22"/>
        </w:rPr>
        <w:t>4</w:t>
      </w:r>
      <w:r w:rsidR="00266D50">
        <w:rPr>
          <w:szCs w:val="22"/>
        </w:rPr>
        <w:t xml:space="preserve"> </w:t>
      </w:r>
      <w:r w:rsidR="00150E9D">
        <w:rPr>
          <w:szCs w:val="22"/>
        </w:rPr>
        <w:t>September</w:t>
      </w:r>
      <w:r w:rsidR="00266D50">
        <w:rPr>
          <w:szCs w:val="22"/>
        </w:rPr>
        <w:t xml:space="preserve"> </w:t>
      </w:r>
      <w:r>
        <w:rPr>
          <w:szCs w:val="22"/>
        </w:rPr>
        <w:t>2025</w:t>
      </w:r>
    </w:p>
    <w:p w14:paraId="4864C57B" w14:textId="468AECD1" w:rsidR="00382091" w:rsidRDefault="00753C86" w:rsidP="00706972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 xml:space="preserve">Ben Kelly </w:t>
      </w:r>
    </w:p>
    <w:p w14:paraId="5CF8E31D" w14:textId="41F2DA00" w:rsidR="00382091" w:rsidRPr="008E0027" w:rsidRDefault="00753C86" w:rsidP="00706972">
      <w:pPr>
        <w:pStyle w:val="SignCoverPageEnd"/>
        <w:ind w:right="91"/>
        <w:rPr>
          <w:sz w:val="22"/>
        </w:rPr>
      </w:pPr>
      <w:r>
        <w:rPr>
          <w:sz w:val="22"/>
        </w:rPr>
        <w:t xml:space="preserve">Deputy </w:t>
      </w:r>
      <w:r w:rsidR="00382091">
        <w:rPr>
          <w:sz w:val="22"/>
        </w:rPr>
        <w:t>Commissioner of Taxation</w:t>
      </w:r>
    </w:p>
    <w:p w14:paraId="62FA9E64" w14:textId="77777777" w:rsidR="00F6696E" w:rsidRDefault="00F6696E" w:rsidP="00706972"/>
    <w:p w14:paraId="439B5019" w14:textId="77777777" w:rsidR="00F6696E" w:rsidRDefault="00F6696E" w:rsidP="00706972">
      <w:pPr>
        <w:sectPr w:rsidR="00F6696E" w:rsidSect="007F39B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 w:code="9"/>
          <w:pgMar w:top="2234" w:right="1797" w:bottom="1440" w:left="1797" w:header="720" w:footer="987" w:gutter="0"/>
          <w:pgNumType w:start="1"/>
          <w:cols w:space="708"/>
          <w:titlePg/>
          <w:docGrid w:linePitch="360"/>
        </w:sectPr>
      </w:pPr>
    </w:p>
    <w:p w14:paraId="385CACE5" w14:textId="77777777" w:rsidR="007500C8" w:rsidRDefault="00715914" w:rsidP="00706972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1F25A0A3" w14:textId="70553043" w:rsidR="0054001E" w:rsidRDefault="00B418CB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54001E">
        <w:rPr>
          <w:noProof/>
        </w:rPr>
        <w:t>1  Name</w:t>
      </w:r>
      <w:r w:rsidR="0054001E">
        <w:rPr>
          <w:noProof/>
        </w:rPr>
        <w:tab/>
      </w:r>
      <w:r w:rsidR="0054001E">
        <w:rPr>
          <w:noProof/>
        </w:rPr>
        <w:fldChar w:fldCharType="begin"/>
      </w:r>
      <w:r w:rsidR="0054001E">
        <w:rPr>
          <w:noProof/>
        </w:rPr>
        <w:instrText xml:space="preserve"> PAGEREF _Toc205539717 \h </w:instrText>
      </w:r>
      <w:r w:rsidR="0054001E">
        <w:rPr>
          <w:noProof/>
        </w:rPr>
      </w:r>
      <w:r w:rsidR="0054001E">
        <w:rPr>
          <w:noProof/>
        </w:rPr>
        <w:fldChar w:fldCharType="separate"/>
      </w:r>
      <w:r w:rsidR="0054001E">
        <w:rPr>
          <w:noProof/>
        </w:rPr>
        <w:t>1</w:t>
      </w:r>
      <w:r w:rsidR="0054001E">
        <w:rPr>
          <w:noProof/>
        </w:rPr>
        <w:fldChar w:fldCharType="end"/>
      </w:r>
    </w:p>
    <w:p w14:paraId="01903F45" w14:textId="5E2316A9" w:rsidR="0054001E" w:rsidRDefault="0054001E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_Toc205539718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15D7FA6F" w14:textId="09A7D8E0" w:rsidR="0054001E" w:rsidRDefault="0054001E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_Toc205539719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19AF28ED" w14:textId="201392CC" w:rsidR="0054001E" w:rsidRDefault="0054001E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_Toc205539720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6FC1DEB4" w14:textId="7A925AA7" w:rsidR="0054001E" w:rsidRDefault="0054001E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5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_Toc205539721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7B899656" w14:textId="2E4405FD" w:rsidR="0054001E" w:rsidRDefault="0054001E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6  Entities that may choose to use the simplified accounting method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_Toc205539722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68595BE6" w14:textId="087B0E5F" w:rsidR="0054001E" w:rsidRDefault="0054001E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7  Simplified Accounting Method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_Toc205539723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47276DBB" w14:textId="6CAB4ACC" w:rsidR="0054001E" w:rsidRDefault="0054001E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 1—Repeals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_Toc205539724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4EA97D58" w14:textId="2AD637A7" w:rsidR="0054001E" w:rsidRDefault="0054001E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A New Tax System (Goods and Services Tax) Act 1999 Simplified GST Accounting Methods Determination (No. 29) 2015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_Toc205539725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6EC08B7F" w14:textId="573A6DB6" w:rsidR="00F6696E" w:rsidRDefault="00B418CB" w:rsidP="00706972">
      <w:pPr>
        <w:outlineLvl w:val="0"/>
      </w:pPr>
      <w:r>
        <w:fldChar w:fldCharType="end"/>
      </w:r>
    </w:p>
    <w:p w14:paraId="6BB48803" w14:textId="77777777" w:rsidR="00F6696E" w:rsidRPr="00A802BC" w:rsidRDefault="00F6696E" w:rsidP="00706972">
      <w:pPr>
        <w:outlineLvl w:val="0"/>
        <w:rPr>
          <w:sz w:val="20"/>
        </w:rPr>
      </w:pPr>
    </w:p>
    <w:p w14:paraId="07D2C51E" w14:textId="77777777" w:rsidR="00F6696E" w:rsidRDefault="00F6696E" w:rsidP="00706972">
      <w:pPr>
        <w:sectPr w:rsidR="00F6696E" w:rsidSect="00B03F09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3A2E21D" w14:textId="77777777" w:rsidR="00382091" w:rsidRPr="00E235D0" w:rsidRDefault="00382091" w:rsidP="00A2565B">
      <w:pPr>
        <w:pStyle w:val="ActHead5"/>
      </w:pPr>
      <w:bookmarkStart w:id="0" w:name="_Toc171939835"/>
      <w:bookmarkStart w:id="1" w:name="_Toc205539717"/>
      <w:proofErr w:type="gramStart"/>
      <w:r w:rsidRPr="00E235D0">
        <w:lastRenderedPageBreak/>
        <w:t>1  Name</w:t>
      </w:r>
      <w:bookmarkEnd w:id="0"/>
      <w:bookmarkEnd w:id="1"/>
      <w:proofErr w:type="gramEnd"/>
    </w:p>
    <w:p w14:paraId="1AC91754" w14:textId="72F2E9A9" w:rsidR="00382091" w:rsidRPr="00E235D0" w:rsidRDefault="00382091" w:rsidP="00A2565B">
      <w:pPr>
        <w:pStyle w:val="subsection"/>
      </w:pPr>
      <w:r w:rsidRPr="00E235D0">
        <w:tab/>
      </w:r>
      <w:r w:rsidRPr="00E235D0">
        <w:tab/>
        <w:t xml:space="preserve">This instrument is the </w:t>
      </w:r>
      <w:bookmarkStart w:id="2" w:name="BKCheck15B_3"/>
      <w:bookmarkEnd w:id="2"/>
      <w:r w:rsidRPr="00E235D0">
        <w:rPr>
          <w:i/>
          <w:iCs/>
        </w:rPr>
        <w:fldChar w:fldCharType="begin"/>
      </w:r>
      <w:r w:rsidRPr="00E235D0">
        <w:rPr>
          <w:i/>
          <w:iCs/>
        </w:rPr>
        <w:instrText xml:space="preserve"> STYLEREF  ShortT </w:instrText>
      </w:r>
      <w:r w:rsidRPr="00E235D0">
        <w:rPr>
          <w:i/>
          <w:iCs/>
        </w:rPr>
        <w:fldChar w:fldCharType="separate"/>
      </w:r>
      <w:r w:rsidR="00A45613">
        <w:rPr>
          <w:i/>
          <w:iCs/>
          <w:noProof/>
        </w:rPr>
        <w:t>A New Tax System (Goods and Services Tax) (Simplified Accounting Methods - Supermarket and Convenience Stores) Determination 2025</w:t>
      </w:r>
      <w:r w:rsidRPr="00E235D0">
        <w:rPr>
          <w:i/>
          <w:iCs/>
        </w:rPr>
        <w:fldChar w:fldCharType="end"/>
      </w:r>
      <w:r w:rsidRPr="00E235D0">
        <w:t>.</w:t>
      </w:r>
    </w:p>
    <w:p w14:paraId="2F90AC1C" w14:textId="77777777" w:rsidR="00382091" w:rsidRPr="00E235D0" w:rsidRDefault="00382091" w:rsidP="00A2565B">
      <w:pPr>
        <w:pStyle w:val="ActHead5"/>
      </w:pPr>
      <w:bookmarkStart w:id="3" w:name="_Toc171676924"/>
      <w:bookmarkStart w:id="4" w:name="_Toc171688505"/>
      <w:bookmarkStart w:id="5" w:name="_Toc171932897"/>
      <w:bookmarkStart w:id="6" w:name="_Toc171939836"/>
      <w:bookmarkStart w:id="7" w:name="_Toc205539718"/>
      <w:bookmarkStart w:id="8" w:name="_Hlk171689170"/>
      <w:bookmarkStart w:id="9" w:name="_Hlk171688895"/>
      <w:proofErr w:type="gramStart"/>
      <w:r w:rsidRPr="00E235D0">
        <w:t>2  Commencement</w:t>
      </w:r>
      <w:bookmarkEnd w:id="3"/>
      <w:bookmarkEnd w:id="4"/>
      <w:bookmarkEnd w:id="5"/>
      <w:bookmarkEnd w:id="6"/>
      <w:bookmarkEnd w:id="7"/>
      <w:proofErr w:type="gramEnd"/>
    </w:p>
    <w:p w14:paraId="5C2789A8" w14:textId="77777777" w:rsidR="00382091" w:rsidRPr="00E235D0" w:rsidRDefault="00382091" w:rsidP="00A2565B">
      <w:pPr>
        <w:pStyle w:val="subsection"/>
      </w:pPr>
      <w:r w:rsidRPr="00E235D0">
        <w:tab/>
        <w:t>(1)</w:t>
      </w:r>
      <w:r w:rsidRPr="00E235D0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73D8E9EA" w14:textId="77777777" w:rsidR="00382091" w:rsidRPr="00E235D0" w:rsidRDefault="00382091" w:rsidP="00A2565B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382091" w:rsidRPr="00E235D0" w14:paraId="0C3D2033" w14:textId="77777777" w:rsidTr="003E0934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6392A7D2" w14:textId="77777777" w:rsidR="00382091" w:rsidRPr="00E235D0" w:rsidRDefault="00382091" w:rsidP="00A2565B">
            <w:pPr>
              <w:pStyle w:val="TableHeading"/>
            </w:pPr>
            <w:r w:rsidRPr="00E235D0">
              <w:t>Commencement information</w:t>
            </w:r>
          </w:p>
        </w:tc>
      </w:tr>
      <w:tr w:rsidR="00382091" w:rsidRPr="00E235D0" w14:paraId="12A0F655" w14:textId="77777777" w:rsidTr="003E0934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008F023" w14:textId="77777777" w:rsidR="00382091" w:rsidRPr="00E235D0" w:rsidRDefault="00382091" w:rsidP="00A2565B">
            <w:pPr>
              <w:pStyle w:val="TableHeading"/>
            </w:pPr>
            <w:r w:rsidRPr="00E235D0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1F13D9E" w14:textId="77777777" w:rsidR="00382091" w:rsidRPr="00E235D0" w:rsidRDefault="00382091" w:rsidP="00A2565B">
            <w:pPr>
              <w:pStyle w:val="TableHeading"/>
            </w:pPr>
            <w:r w:rsidRPr="00E235D0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ED59423" w14:textId="77777777" w:rsidR="00382091" w:rsidRPr="00E235D0" w:rsidRDefault="00382091" w:rsidP="00A2565B">
            <w:pPr>
              <w:pStyle w:val="TableHeading"/>
            </w:pPr>
            <w:r w:rsidRPr="00E235D0">
              <w:t>Column 3</w:t>
            </w:r>
          </w:p>
        </w:tc>
      </w:tr>
      <w:tr w:rsidR="00382091" w:rsidRPr="00E235D0" w14:paraId="229337C4" w14:textId="77777777" w:rsidTr="003E0934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416D8D8" w14:textId="77777777" w:rsidR="00382091" w:rsidRPr="00E235D0" w:rsidRDefault="00382091" w:rsidP="00A2565B">
            <w:pPr>
              <w:pStyle w:val="TableHeading"/>
            </w:pPr>
            <w:r w:rsidRPr="00E235D0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B89B8A0" w14:textId="77777777" w:rsidR="00382091" w:rsidRPr="00E235D0" w:rsidRDefault="00382091" w:rsidP="00A2565B">
            <w:pPr>
              <w:pStyle w:val="TableHeading"/>
            </w:pPr>
            <w:r w:rsidRPr="00E235D0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D7CAA04" w14:textId="77777777" w:rsidR="00382091" w:rsidRPr="00E235D0" w:rsidRDefault="00382091" w:rsidP="00A2565B">
            <w:pPr>
              <w:pStyle w:val="TableHeading"/>
            </w:pPr>
            <w:r w:rsidRPr="00E235D0">
              <w:t>Date/Details</w:t>
            </w:r>
          </w:p>
        </w:tc>
      </w:tr>
      <w:tr w:rsidR="00382091" w:rsidRPr="00E235D0" w14:paraId="468FC11B" w14:textId="77777777" w:rsidTr="003E0934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4CF2BA7" w14:textId="3A8A4891" w:rsidR="00382091" w:rsidRPr="00E235D0" w:rsidRDefault="00382091" w:rsidP="00A2565B">
            <w:pPr>
              <w:pStyle w:val="Tabletext"/>
              <w:rPr>
                <w:i/>
              </w:rPr>
            </w:pPr>
            <w:r w:rsidRPr="00E235D0">
              <w:t xml:space="preserve">1.  </w:t>
            </w:r>
            <w:r w:rsidRPr="00E235D0">
              <w:rPr>
                <w:iCs/>
              </w:rPr>
              <w:t xml:space="preserve">The whole of this </w:t>
            </w:r>
            <w:r w:rsidR="00753C86">
              <w:rPr>
                <w:iCs/>
              </w:rPr>
              <w:t>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ACA6A28" w14:textId="45AFD20E" w:rsidR="00382091" w:rsidRPr="00E235D0" w:rsidRDefault="00040A22" w:rsidP="00A2565B">
            <w:pPr>
              <w:pStyle w:val="Tabletext"/>
              <w:rPr>
                <w:iCs/>
              </w:rPr>
            </w:pPr>
            <w:r>
              <w:rPr>
                <w:iCs/>
              </w:rPr>
              <w:t>T</w:t>
            </w:r>
            <w:r w:rsidR="00382091" w:rsidRPr="00E235D0">
              <w:rPr>
                <w:iCs/>
              </w:rPr>
              <w:t xml:space="preserve">he day after this </w:t>
            </w:r>
            <w:r w:rsidR="00753C86">
              <w:rPr>
                <w:iCs/>
              </w:rPr>
              <w:t>instrument</w:t>
            </w:r>
            <w:r w:rsidR="00753C86" w:rsidRPr="00E235D0">
              <w:rPr>
                <w:iCs/>
              </w:rPr>
              <w:t xml:space="preserve"> </w:t>
            </w:r>
            <w:r w:rsidR="00382091" w:rsidRPr="00E235D0">
              <w:rPr>
                <w:iCs/>
              </w:rPr>
              <w:t>is registered</w:t>
            </w:r>
            <w:r w:rsidR="00753C86">
              <w:rPr>
                <w:iCs/>
              </w:rPr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25734C1" w14:textId="77777777" w:rsidR="00382091" w:rsidRPr="00E235D0" w:rsidRDefault="00382091" w:rsidP="00A2565B">
            <w:pPr>
              <w:pStyle w:val="Tabletext"/>
              <w:rPr>
                <w:iCs/>
              </w:rPr>
            </w:pPr>
          </w:p>
        </w:tc>
      </w:tr>
    </w:tbl>
    <w:p w14:paraId="13EFFF5B" w14:textId="024B2149" w:rsidR="00382091" w:rsidRDefault="00382091" w:rsidP="00A2565B">
      <w:pPr>
        <w:pStyle w:val="notetext"/>
        <w:rPr>
          <w:snapToGrid w:val="0"/>
          <w:lang w:eastAsia="en-US"/>
        </w:rPr>
      </w:pPr>
      <w:r w:rsidRPr="00E235D0">
        <w:rPr>
          <w:snapToGrid w:val="0"/>
          <w:lang w:eastAsia="en-US"/>
        </w:rPr>
        <w:t>Note:</w:t>
      </w:r>
      <w:r w:rsidRPr="00E235D0">
        <w:rPr>
          <w:snapToGrid w:val="0"/>
          <w:lang w:eastAsia="en-US"/>
        </w:rPr>
        <w:tab/>
        <w:t>This table relates only to the provisions of this instrument</w:t>
      </w:r>
      <w:r w:rsidRPr="00E235D0">
        <w:t xml:space="preserve"> </w:t>
      </w:r>
      <w:r w:rsidRPr="00E235D0">
        <w:rPr>
          <w:snapToGrid w:val="0"/>
          <w:lang w:eastAsia="en-US"/>
        </w:rPr>
        <w:t>as originally made. It will not be amended to deal with any later amendments of this instrument.</w:t>
      </w:r>
      <w:bookmarkEnd w:id="8"/>
    </w:p>
    <w:p w14:paraId="1748AE8F" w14:textId="2CAF69FA" w:rsidR="00694822" w:rsidRPr="00E235D0" w:rsidRDefault="00694822" w:rsidP="00A2565B">
      <w:pPr>
        <w:pStyle w:val="subsection"/>
      </w:pPr>
      <w:r w:rsidRPr="003422B4">
        <w:tab/>
        <w:t>(2)</w:t>
      </w:r>
      <w:r w:rsidRPr="003422B4">
        <w:tab/>
        <w:t>Any information in column 3 of the table is not part of this instrument.</w:t>
      </w:r>
      <w:r w:rsidR="00CD13C9">
        <w:t xml:space="preserve"> </w:t>
      </w:r>
      <w:r w:rsidRPr="003422B4">
        <w:t>Information may be inserted in this column, or information in it may be edited, in any published version of this instrument.</w:t>
      </w:r>
    </w:p>
    <w:p w14:paraId="7923F1AA" w14:textId="77777777" w:rsidR="00382091" w:rsidRPr="00E235D0" w:rsidRDefault="00382091" w:rsidP="00A2565B">
      <w:pPr>
        <w:pStyle w:val="ActHead5"/>
      </w:pPr>
      <w:bookmarkStart w:id="10" w:name="_Toc171676925"/>
      <w:bookmarkStart w:id="11" w:name="_Toc171688506"/>
      <w:bookmarkStart w:id="12" w:name="_Toc171932898"/>
      <w:bookmarkStart w:id="13" w:name="_Toc171939837"/>
      <w:bookmarkStart w:id="14" w:name="_Toc205539719"/>
      <w:proofErr w:type="gramStart"/>
      <w:r w:rsidRPr="00E235D0">
        <w:t>3  Authority</w:t>
      </w:r>
      <w:bookmarkEnd w:id="10"/>
      <w:bookmarkEnd w:id="11"/>
      <w:bookmarkEnd w:id="12"/>
      <w:bookmarkEnd w:id="13"/>
      <w:bookmarkEnd w:id="14"/>
      <w:proofErr w:type="gramEnd"/>
    </w:p>
    <w:p w14:paraId="72FAFC05" w14:textId="37ABC9A2" w:rsidR="00382091" w:rsidRPr="00E235D0" w:rsidRDefault="00382091" w:rsidP="00A2565B">
      <w:pPr>
        <w:pStyle w:val="subsection"/>
        <w:rPr>
          <w:i/>
          <w:iCs/>
        </w:rPr>
      </w:pPr>
      <w:r w:rsidRPr="00E235D0">
        <w:tab/>
      </w:r>
      <w:r w:rsidRPr="00E235D0">
        <w:tab/>
        <w:t xml:space="preserve">This instrument is made under </w:t>
      </w:r>
      <w:r w:rsidR="00994886">
        <w:t xml:space="preserve">paragraph </w:t>
      </w:r>
      <w:r w:rsidRPr="00E235D0">
        <w:t>123-5(1)</w:t>
      </w:r>
      <w:r w:rsidR="00994886">
        <w:t>(a)</w:t>
      </w:r>
      <w:r w:rsidRPr="00E235D0">
        <w:t xml:space="preserve"> of the</w:t>
      </w:r>
      <w:r w:rsidR="00040A22">
        <w:t xml:space="preserve"> Act</w:t>
      </w:r>
      <w:r w:rsidR="00C2088C" w:rsidRPr="007F39BC">
        <w:t>.</w:t>
      </w:r>
    </w:p>
    <w:p w14:paraId="21A32FFF" w14:textId="77777777" w:rsidR="00382091" w:rsidRPr="00E235D0" w:rsidRDefault="00382091" w:rsidP="00A2565B">
      <w:pPr>
        <w:pStyle w:val="ActHead5"/>
      </w:pPr>
      <w:bookmarkStart w:id="15" w:name="_Toc171676926"/>
      <w:bookmarkStart w:id="16" w:name="_Toc171688507"/>
      <w:bookmarkStart w:id="17" w:name="_Toc171932899"/>
      <w:bookmarkStart w:id="18" w:name="_Toc171939838"/>
      <w:bookmarkStart w:id="19" w:name="_Toc205539720"/>
      <w:proofErr w:type="gramStart"/>
      <w:r w:rsidRPr="00E235D0">
        <w:t>4  Definitions</w:t>
      </w:r>
      <w:bookmarkEnd w:id="15"/>
      <w:bookmarkEnd w:id="16"/>
      <w:bookmarkEnd w:id="17"/>
      <w:bookmarkEnd w:id="18"/>
      <w:bookmarkEnd w:id="19"/>
      <w:proofErr w:type="gramEnd"/>
    </w:p>
    <w:p w14:paraId="0C751DEF" w14:textId="64B492FB" w:rsidR="00382091" w:rsidRDefault="00382091" w:rsidP="00A2565B">
      <w:pPr>
        <w:pStyle w:val="notetext"/>
      </w:pPr>
      <w:bookmarkStart w:id="20" w:name="_Hlk171689262"/>
      <w:r w:rsidRPr="00E235D0">
        <w:t>Note:</w:t>
      </w:r>
      <w:r w:rsidRPr="00E235D0">
        <w:tab/>
      </w:r>
      <w:proofErr w:type="gramStart"/>
      <w:r w:rsidR="004607EB">
        <w:t>A number of</w:t>
      </w:r>
      <w:proofErr w:type="gramEnd"/>
      <w:r w:rsidRPr="00E235D0">
        <w:t xml:space="preserve"> expressions used in this instrument are defined in section 195-1 of the Act</w:t>
      </w:r>
      <w:r w:rsidR="004607EB">
        <w:t>, including the following:</w:t>
      </w:r>
    </w:p>
    <w:p w14:paraId="6E1699A8" w14:textId="492376D4" w:rsidR="004607EB" w:rsidRDefault="00476F60" w:rsidP="00A2565B">
      <w:pPr>
        <w:pStyle w:val="notepara"/>
      </w:pPr>
      <w:r w:rsidRPr="00C32026">
        <w:t>(a)</w:t>
      </w:r>
      <w:r w:rsidRPr="00C32026">
        <w:tab/>
      </w:r>
      <w:proofErr w:type="gramStart"/>
      <w:r w:rsidR="004607EB">
        <w:t>consideration</w:t>
      </w:r>
      <w:r w:rsidR="002454D6">
        <w:t>;</w:t>
      </w:r>
      <w:proofErr w:type="gramEnd"/>
    </w:p>
    <w:p w14:paraId="75BD7F29" w14:textId="07C883EF" w:rsidR="004607EB" w:rsidRDefault="002454D6" w:rsidP="00A2565B">
      <w:pPr>
        <w:pStyle w:val="notepara"/>
      </w:pPr>
      <w:r w:rsidRPr="00C32026">
        <w:t>(</w:t>
      </w:r>
      <w:r>
        <w:t>b</w:t>
      </w:r>
      <w:r w:rsidRPr="00C32026">
        <w:t>)</w:t>
      </w:r>
      <w:r w:rsidRPr="00C32026">
        <w:tab/>
      </w:r>
      <w:r w:rsidR="004607EB">
        <w:t>GST-</w:t>
      </w:r>
      <w:proofErr w:type="gramStart"/>
      <w:r w:rsidR="004607EB">
        <w:t>free</w:t>
      </w:r>
      <w:r w:rsidR="00134512">
        <w:t>;</w:t>
      </w:r>
      <w:proofErr w:type="gramEnd"/>
    </w:p>
    <w:p w14:paraId="41C22D09" w14:textId="318AAF56" w:rsidR="00D02DB9" w:rsidRDefault="002454D6" w:rsidP="00A2565B">
      <w:pPr>
        <w:pStyle w:val="notepara"/>
      </w:pPr>
      <w:r w:rsidRPr="00C32026">
        <w:t>(</w:t>
      </w:r>
      <w:r>
        <w:t>c</w:t>
      </w:r>
      <w:r w:rsidRPr="00C32026">
        <w:t>)</w:t>
      </w:r>
      <w:r w:rsidRPr="00C32026">
        <w:tab/>
      </w:r>
      <w:r w:rsidR="00D02DB9">
        <w:t xml:space="preserve">GST </w:t>
      </w:r>
      <w:proofErr w:type="gramStart"/>
      <w:r w:rsidR="00D02DB9">
        <w:t>return</w:t>
      </w:r>
      <w:r w:rsidR="00134512">
        <w:t>;</w:t>
      </w:r>
      <w:proofErr w:type="gramEnd"/>
    </w:p>
    <w:p w14:paraId="5D766487" w14:textId="499D0C81" w:rsidR="004607EB" w:rsidRDefault="002454D6" w:rsidP="00A2565B">
      <w:pPr>
        <w:pStyle w:val="notepara"/>
      </w:pPr>
      <w:r w:rsidRPr="00C32026">
        <w:t>(</w:t>
      </w:r>
      <w:r>
        <w:t>d</w:t>
      </w:r>
      <w:r w:rsidRPr="00C32026">
        <w:t>)</w:t>
      </w:r>
      <w:r w:rsidRPr="00C32026">
        <w:tab/>
      </w:r>
      <w:r w:rsidR="004607EB">
        <w:t xml:space="preserve">GST </w:t>
      </w:r>
      <w:proofErr w:type="gramStart"/>
      <w:r w:rsidR="004607EB">
        <w:t>turnover</w:t>
      </w:r>
      <w:r w:rsidR="00134512">
        <w:t>;</w:t>
      </w:r>
      <w:proofErr w:type="gramEnd"/>
    </w:p>
    <w:p w14:paraId="2D8CF1A5" w14:textId="658061CF" w:rsidR="004607EB" w:rsidRDefault="002454D6" w:rsidP="00A2565B">
      <w:pPr>
        <w:pStyle w:val="notepara"/>
      </w:pPr>
      <w:r w:rsidRPr="00C32026">
        <w:t>(</w:t>
      </w:r>
      <w:r>
        <w:t>e</w:t>
      </w:r>
      <w:r w:rsidRPr="00C32026">
        <w:t>)</w:t>
      </w:r>
      <w:r w:rsidRPr="00C32026">
        <w:tab/>
      </w:r>
      <w:r w:rsidR="004607EB">
        <w:t xml:space="preserve">input tax </w:t>
      </w:r>
      <w:proofErr w:type="gramStart"/>
      <w:r w:rsidR="004607EB">
        <w:t>credit</w:t>
      </w:r>
      <w:r w:rsidR="00134512">
        <w:t>;</w:t>
      </w:r>
      <w:proofErr w:type="gramEnd"/>
    </w:p>
    <w:p w14:paraId="5816ECEB" w14:textId="358B4DDC" w:rsidR="00FE1241" w:rsidRDefault="002454D6" w:rsidP="00A2565B">
      <w:pPr>
        <w:pStyle w:val="notepara"/>
      </w:pPr>
      <w:r w:rsidRPr="00C32026">
        <w:t>(</w:t>
      </w:r>
      <w:r>
        <w:t>f</w:t>
      </w:r>
      <w:r w:rsidRPr="00C32026">
        <w:t>)</w:t>
      </w:r>
      <w:r w:rsidRPr="00C32026">
        <w:tab/>
      </w:r>
      <w:proofErr w:type="gramStart"/>
      <w:r w:rsidR="00FE1241">
        <w:t>invoice</w:t>
      </w:r>
      <w:r w:rsidR="00134512">
        <w:t>;</w:t>
      </w:r>
      <w:proofErr w:type="gramEnd"/>
    </w:p>
    <w:p w14:paraId="1AC18502" w14:textId="165C1CC8" w:rsidR="00FE1241" w:rsidRDefault="002454D6" w:rsidP="00A2565B">
      <w:pPr>
        <w:pStyle w:val="notepara"/>
      </w:pPr>
      <w:r w:rsidRPr="00C32026">
        <w:t>(</w:t>
      </w:r>
      <w:r>
        <w:t>g</w:t>
      </w:r>
      <w:r w:rsidRPr="00C32026">
        <w:t>)</w:t>
      </w:r>
      <w:r w:rsidRPr="00C32026">
        <w:tab/>
      </w:r>
      <w:r w:rsidR="00FE1241">
        <w:t xml:space="preserve">net </w:t>
      </w:r>
      <w:proofErr w:type="gramStart"/>
      <w:r w:rsidR="00FE1241">
        <w:t>amount</w:t>
      </w:r>
      <w:r w:rsidR="00134512">
        <w:t>;</w:t>
      </w:r>
      <w:proofErr w:type="gramEnd"/>
    </w:p>
    <w:p w14:paraId="1B4B151F" w14:textId="2E1E085F" w:rsidR="00931C78" w:rsidRDefault="002454D6" w:rsidP="00A2565B">
      <w:pPr>
        <w:pStyle w:val="notepara"/>
      </w:pPr>
      <w:r w:rsidRPr="00C32026">
        <w:t>(</w:t>
      </w:r>
      <w:r>
        <w:t>h</w:t>
      </w:r>
      <w:r w:rsidRPr="00C32026">
        <w:t>)</w:t>
      </w:r>
      <w:r w:rsidRPr="00C32026">
        <w:tab/>
      </w:r>
      <w:proofErr w:type="gramStart"/>
      <w:r w:rsidR="00931C78">
        <w:t>registered</w:t>
      </w:r>
      <w:r w:rsidR="00134512">
        <w:t>;</w:t>
      </w:r>
      <w:proofErr w:type="gramEnd"/>
    </w:p>
    <w:p w14:paraId="6CE59D95" w14:textId="00A80BF4" w:rsidR="004607EB" w:rsidRDefault="002454D6" w:rsidP="00A2565B">
      <w:pPr>
        <w:pStyle w:val="notepara"/>
      </w:pPr>
      <w:r w:rsidRPr="00C32026">
        <w:t>(</w:t>
      </w:r>
      <w:proofErr w:type="spellStart"/>
      <w:r>
        <w:t>i</w:t>
      </w:r>
      <w:proofErr w:type="spellEnd"/>
      <w:r w:rsidRPr="00C32026">
        <w:t>)</w:t>
      </w:r>
      <w:r w:rsidRPr="00C32026">
        <w:tab/>
      </w:r>
      <w:proofErr w:type="gramStart"/>
      <w:r w:rsidR="004607EB">
        <w:t>retailer</w:t>
      </w:r>
      <w:r w:rsidR="00134512">
        <w:t>;</w:t>
      </w:r>
      <w:proofErr w:type="gramEnd"/>
    </w:p>
    <w:p w14:paraId="6607A5DE" w14:textId="4EE2E40B" w:rsidR="004607EB" w:rsidRDefault="002454D6" w:rsidP="00A2565B">
      <w:pPr>
        <w:pStyle w:val="notepara"/>
      </w:pPr>
      <w:r w:rsidRPr="00C32026">
        <w:t>(</w:t>
      </w:r>
      <w:r>
        <w:t>j</w:t>
      </w:r>
      <w:r w:rsidRPr="00C32026">
        <w:t>)</w:t>
      </w:r>
      <w:r w:rsidRPr="00C32026">
        <w:tab/>
      </w:r>
      <w:r w:rsidR="004607EB">
        <w:t xml:space="preserve">simplified accounting </w:t>
      </w:r>
      <w:proofErr w:type="gramStart"/>
      <w:r w:rsidR="004607EB">
        <w:t>method</w:t>
      </w:r>
      <w:r w:rsidR="00134512">
        <w:t>;</w:t>
      </w:r>
      <w:proofErr w:type="gramEnd"/>
    </w:p>
    <w:p w14:paraId="2191A90B" w14:textId="4C7E88C0" w:rsidR="004607EB" w:rsidRDefault="002454D6" w:rsidP="00A2565B">
      <w:pPr>
        <w:pStyle w:val="notepara"/>
      </w:pPr>
      <w:r w:rsidRPr="00C32026">
        <w:t>(</w:t>
      </w:r>
      <w:r>
        <w:t>k</w:t>
      </w:r>
      <w:r w:rsidRPr="00C32026">
        <w:t>)</w:t>
      </w:r>
      <w:r w:rsidRPr="00C32026">
        <w:tab/>
      </w:r>
      <w:r w:rsidR="004607EB">
        <w:t xml:space="preserve">taxable </w:t>
      </w:r>
      <w:proofErr w:type="gramStart"/>
      <w:r w:rsidR="004607EB">
        <w:t>supply</w:t>
      </w:r>
      <w:r w:rsidR="00134512">
        <w:t>;</w:t>
      </w:r>
      <w:proofErr w:type="gramEnd"/>
    </w:p>
    <w:p w14:paraId="6A9EFEC4" w14:textId="1EAD7FAA" w:rsidR="004607EB" w:rsidRPr="00E235D0" w:rsidRDefault="002454D6" w:rsidP="00A2565B">
      <w:pPr>
        <w:pStyle w:val="notepara"/>
      </w:pPr>
      <w:r w:rsidRPr="00C32026">
        <w:t>(</w:t>
      </w:r>
      <w:r>
        <w:t>l</w:t>
      </w:r>
      <w:r w:rsidRPr="00C32026">
        <w:t>)</w:t>
      </w:r>
      <w:r w:rsidRPr="00C32026">
        <w:tab/>
      </w:r>
      <w:r w:rsidR="004607EB">
        <w:t>tax period</w:t>
      </w:r>
      <w:r w:rsidR="00134512">
        <w:t>.</w:t>
      </w:r>
    </w:p>
    <w:p w14:paraId="040A1A91" w14:textId="5F4CE055" w:rsidR="00382091" w:rsidRPr="00E235D0" w:rsidRDefault="00382091" w:rsidP="00A2565B">
      <w:pPr>
        <w:pStyle w:val="subsection"/>
      </w:pPr>
      <w:r w:rsidRPr="00E235D0">
        <w:tab/>
      </w:r>
      <w:r w:rsidRPr="00E235D0">
        <w:tab/>
        <w:t>In this instrument:</w:t>
      </w:r>
    </w:p>
    <w:p w14:paraId="60A50012" w14:textId="77777777" w:rsidR="002454D6" w:rsidRPr="00C32026" w:rsidRDefault="00382091" w:rsidP="00706972">
      <w:pPr>
        <w:pStyle w:val="Definition"/>
      </w:pPr>
      <w:r w:rsidRPr="00E235D0">
        <w:rPr>
          <w:b/>
          <w:i/>
        </w:rPr>
        <w:t>Act</w:t>
      </w:r>
      <w:r w:rsidRPr="00E235D0">
        <w:t xml:space="preserve"> means the </w:t>
      </w:r>
      <w:r w:rsidRPr="00E235D0">
        <w:rPr>
          <w:i/>
          <w:iCs/>
        </w:rPr>
        <w:t>A New Tax System (Goods and Services Tax) Act 1999</w:t>
      </w:r>
      <w:r w:rsidRPr="00E235D0">
        <w:t>.</w:t>
      </w:r>
      <w:bookmarkEnd w:id="9"/>
      <w:bookmarkEnd w:id="20"/>
    </w:p>
    <w:p w14:paraId="149762AF" w14:textId="02BFCA01" w:rsidR="002454D6" w:rsidRPr="00C32026" w:rsidRDefault="00F32539" w:rsidP="00706972">
      <w:pPr>
        <w:pStyle w:val="Definition"/>
      </w:pPr>
      <w:r>
        <w:rPr>
          <w:b/>
          <w:i/>
        </w:rPr>
        <w:lastRenderedPageBreak/>
        <w:t>a</w:t>
      </w:r>
      <w:r w:rsidR="00895175">
        <w:rPr>
          <w:b/>
          <w:i/>
        </w:rPr>
        <w:t xml:space="preserve">dequate point-of-sale equipment </w:t>
      </w:r>
      <w:r w:rsidR="00895175">
        <w:rPr>
          <w:bCs/>
          <w:iCs/>
        </w:rPr>
        <w:t>means point-of-sale equipment that can</w:t>
      </w:r>
      <w:r w:rsidR="009523A2">
        <w:rPr>
          <w:bCs/>
          <w:iCs/>
        </w:rPr>
        <w:t xml:space="preserve"> identify and record</w:t>
      </w:r>
      <w:r w:rsidR="00895175">
        <w:rPr>
          <w:bCs/>
          <w:iCs/>
        </w:rPr>
        <w:t>:</w:t>
      </w:r>
    </w:p>
    <w:p w14:paraId="0453AAC7" w14:textId="6A4BFD5D" w:rsidR="00895175" w:rsidRDefault="002454D6" w:rsidP="00C95B65">
      <w:pPr>
        <w:pStyle w:val="paragraph"/>
        <w:rPr>
          <w:bCs/>
          <w:iCs/>
        </w:rPr>
      </w:pPr>
      <w:r w:rsidRPr="00E235D0">
        <w:tab/>
        <w:t>(a)</w:t>
      </w:r>
      <w:r w:rsidRPr="00E235D0">
        <w:tab/>
      </w:r>
      <w:r w:rsidR="00895175">
        <w:rPr>
          <w:bCs/>
          <w:iCs/>
        </w:rPr>
        <w:t xml:space="preserve">a sale as being </w:t>
      </w:r>
      <w:r w:rsidR="00CB3796">
        <w:rPr>
          <w:bCs/>
          <w:iCs/>
        </w:rPr>
        <w:t xml:space="preserve">a </w:t>
      </w:r>
      <w:r w:rsidR="00895175">
        <w:rPr>
          <w:bCs/>
          <w:iCs/>
        </w:rPr>
        <w:t xml:space="preserve">GST-free </w:t>
      </w:r>
      <w:r w:rsidR="00CB3796">
        <w:rPr>
          <w:bCs/>
          <w:iCs/>
        </w:rPr>
        <w:t xml:space="preserve">supply </w:t>
      </w:r>
      <w:r w:rsidR="00895175">
        <w:rPr>
          <w:bCs/>
          <w:iCs/>
        </w:rPr>
        <w:t>or</w:t>
      </w:r>
      <w:r w:rsidR="009523A2">
        <w:rPr>
          <w:bCs/>
          <w:iCs/>
        </w:rPr>
        <w:t xml:space="preserve"> </w:t>
      </w:r>
      <w:r w:rsidR="00CB3796">
        <w:rPr>
          <w:bCs/>
          <w:iCs/>
        </w:rPr>
        <w:t xml:space="preserve">a </w:t>
      </w:r>
      <w:r w:rsidR="009523A2">
        <w:rPr>
          <w:bCs/>
          <w:iCs/>
        </w:rPr>
        <w:t xml:space="preserve">taxable </w:t>
      </w:r>
      <w:proofErr w:type="gramStart"/>
      <w:r w:rsidR="009523A2">
        <w:rPr>
          <w:bCs/>
          <w:iCs/>
        </w:rPr>
        <w:t>supply</w:t>
      </w:r>
      <w:r w:rsidR="00895175">
        <w:rPr>
          <w:bCs/>
          <w:iCs/>
        </w:rPr>
        <w:t>;</w:t>
      </w:r>
      <w:proofErr w:type="gramEnd"/>
    </w:p>
    <w:p w14:paraId="4081C918" w14:textId="0090B621" w:rsidR="00AB3FAA" w:rsidRDefault="002454D6" w:rsidP="00C95B65">
      <w:pPr>
        <w:pStyle w:val="paragraph"/>
        <w:rPr>
          <w:bCs/>
          <w:iCs/>
        </w:rPr>
      </w:pPr>
      <w:r w:rsidRPr="00E235D0">
        <w:tab/>
        <w:t>(b)</w:t>
      </w:r>
      <w:r w:rsidRPr="00E235D0">
        <w:tab/>
      </w:r>
      <w:r w:rsidR="00895175">
        <w:rPr>
          <w:bCs/>
          <w:iCs/>
        </w:rPr>
        <w:t xml:space="preserve">the total </w:t>
      </w:r>
      <w:r w:rsidR="00255289">
        <w:rPr>
          <w:bCs/>
          <w:iCs/>
        </w:rPr>
        <w:t>consideration</w:t>
      </w:r>
      <w:r w:rsidR="00895175">
        <w:rPr>
          <w:bCs/>
          <w:iCs/>
        </w:rPr>
        <w:t xml:space="preserve"> </w:t>
      </w:r>
      <w:r w:rsidR="00255289">
        <w:rPr>
          <w:bCs/>
          <w:iCs/>
        </w:rPr>
        <w:t>received for</w:t>
      </w:r>
      <w:r w:rsidR="00895175">
        <w:rPr>
          <w:bCs/>
          <w:iCs/>
        </w:rPr>
        <w:t xml:space="preserve"> </w:t>
      </w:r>
      <w:r w:rsidR="00C95B65">
        <w:rPr>
          <w:bCs/>
          <w:iCs/>
        </w:rPr>
        <w:t xml:space="preserve">all </w:t>
      </w:r>
      <w:r w:rsidR="00FB5BEB">
        <w:rPr>
          <w:bCs/>
          <w:iCs/>
        </w:rPr>
        <w:t>goods sold</w:t>
      </w:r>
      <w:r w:rsidR="00895175">
        <w:rPr>
          <w:bCs/>
          <w:iCs/>
        </w:rPr>
        <w:t xml:space="preserve"> </w:t>
      </w:r>
      <w:r w:rsidR="00C95B65">
        <w:rPr>
          <w:bCs/>
          <w:iCs/>
        </w:rPr>
        <w:t>as GST-free supplies</w:t>
      </w:r>
      <w:r w:rsidR="00AB3FAA">
        <w:rPr>
          <w:bCs/>
          <w:iCs/>
        </w:rPr>
        <w:t xml:space="preserve"> in a specified period;</w:t>
      </w:r>
      <w:r w:rsidR="00C95B65">
        <w:rPr>
          <w:bCs/>
          <w:iCs/>
        </w:rPr>
        <w:t xml:space="preserve"> </w:t>
      </w:r>
      <w:r w:rsidR="00895175">
        <w:rPr>
          <w:bCs/>
          <w:iCs/>
        </w:rPr>
        <w:t>and</w:t>
      </w:r>
    </w:p>
    <w:p w14:paraId="10A8630B" w14:textId="3DD22EC7" w:rsidR="00895175" w:rsidRDefault="00AB3FAA" w:rsidP="00C95B65">
      <w:pPr>
        <w:pStyle w:val="paragraph"/>
        <w:rPr>
          <w:bCs/>
          <w:iCs/>
        </w:rPr>
      </w:pPr>
      <w:r>
        <w:rPr>
          <w:bCs/>
          <w:iCs/>
        </w:rPr>
        <w:tab/>
        <w:t>(c)</w:t>
      </w:r>
      <w:r>
        <w:rPr>
          <w:bCs/>
          <w:iCs/>
        </w:rPr>
        <w:tab/>
      </w:r>
      <w:r w:rsidR="00895175">
        <w:rPr>
          <w:bCs/>
          <w:iCs/>
        </w:rPr>
        <w:t xml:space="preserve">the total </w:t>
      </w:r>
      <w:r w:rsidR="00255289">
        <w:rPr>
          <w:bCs/>
          <w:iCs/>
        </w:rPr>
        <w:t>consideration received for</w:t>
      </w:r>
      <w:r w:rsidR="00895175">
        <w:rPr>
          <w:bCs/>
          <w:iCs/>
        </w:rPr>
        <w:t xml:space="preserve"> </w:t>
      </w:r>
      <w:r w:rsidR="00255289">
        <w:rPr>
          <w:bCs/>
          <w:iCs/>
        </w:rPr>
        <w:t xml:space="preserve">all </w:t>
      </w:r>
      <w:r w:rsidR="00FB5BEB">
        <w:rPr>
          <w:bCs/>
          <w:iCs/>
        </w:rPr>
        <w:t>goods sold</w:t>
      </w:r>
      <w:r w:rsidR="00895175">
        <w:rPr>
          <w:bCs/>
          <w:iCs/>
        </w:rPr>
        <w:t xml:space="preserve"> </w:t>
      </w:r>
      <w:r w:rsidR="00A67F40">
        <w:rPr>
          <w:bCs/>
          <w:iCs/>
        </w:rPr>
        <w:t>in</w:t>
      </w:r>
      <w:r w:rsidR="00895175">
        <w:rPr>
          <w:bCs/>
          <w:iCs/>
        </w:rPr>
        <w:t xml:space="preserve"> a specified period</w:t>
      </w:r>
      <w:r w:rsidR="00F32539">
        <w:rPr>
          <w:bCs/>
          <w:iCs/>
        </w:rPr>
        <w:t>.</w:t>
      </w:r>
    </w:p>
    <w:p w14:paraId="3A677821" w14:textId="26DB23B1" w:rsidR="00554826" w:rsidRPr="00E235D0" w:rsidRDefault="00554826" w:rsidP="00C95B65">
      <w:pPr>
        <w:pStyle w:val="ActHead5"/>
      </w:pPr>
      <w:bookmarkStart w:id="21" w:name="_Toc454781205"/>
      <w:bookmarkStart w:id="22" w:name="_Toc205539721"/>
      <w:proofErr w:type="gramStart"/>
      <w:r w:rsidRPr="00E235D0">
        <w:t>5  Schedules</w:t>
      </w:r>
      <w:bookmarkEnd w:id="21"/>
      <w:bookmarkEnd w:id="22"/>
      <w:proofErr w:type="gramEnd"/>
    </w:p>
    <w:p w14:paraId="2E784E40" w14:textId="77777777" w:rsidR="00554826" w:rsidRPr="00E235D0" w:rsidRDefault="00554826" w:rsidP="00A029ED">
      <w:pPr>
        <w:pStyle w:val="subsection"/>
      </w:pPr>
      <w:r w:rsidRPr="00E235D0">
        <w:tab/>
      </w:r>
      <w:r w:rsidRPr="00E235D0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72182611" w14:textId="68DBB19D" w:rsidR="00F978CE" w:rsidRPr="00FB6A00" w:rsidRDefault="00040A22" w:rsidP="006761E5">
      <w:pPr>
        <w:pStyle w:val="ActHead5"/>
      </w:pPr>
      <w:bookmarkStart w:id="23" w:name="_Toc205539722"/>
      <w:proofErr w:type="gramStart"/>
      <w:r>
        <w:t>6</w:t>
      </w:r>
      <w:r w:rsidR="00F978CE" w:rsidRPr="00E235D0">
        <w:t xml:space="preserve">  </w:t>
      </w:r>
      <w:r w:rsidR="00BE2B4D">
        <w:t>E</w:t>
      </w:r>
      <w:r w:rsidR="00F978CE" w:rsidRPr="00E235D0">
        <w:t>ntities</w:t>
      </w:r>
      <w:proofErr w:type="gramEnd"/>
      <w:r w:rsidR="00F978CE" w:rsidRPr="00E235D0">
        <w:t xml:space="preserve"> that may choose to use the simplified accounting method</w:t>
      </w:r>
      <w:bookmarkEnd w:id="23"/>
    </w:p>
    <w:p w14:paraId="2379476C" w14:textId="49569684" w:rsidR="00F978CE" w:rsidRPr="00E235D0" w:rsidRDefault="00F978CE" w:rsidP="00F22FDD">
      <w:pPr>
        <w:pStyle w:val="subsection"/>
      </w:pPr>
      <w:r w:rsidRPr="00E235D0">
        <w:tab/>
      </w:r>
      <w:r w:rsidRPr="00E235D0">
        <w:tab/>
        <w:t xml:space="preserve">An entity may choose to use the simplified accounting method </w:t>
      </w:r>
      <w:r w:rsidR="00895175">
        <w:t xml:space="preserve">in section </w:t>
      </w:r>
      <w:r w:rsidR="00A2664A">
        <w:t>7</w:t>
      </w:r>
      <w:r w:rsidR="00895175">
        <w:t xml:space="preserve"> </w:t>
      </w:r>
      <w:r w:rsidR="00571C02">
        <w:t xml:space="preserve">to </w:t>
      </w:r>
      <w:r w:rsidR="00420D0D">
        <w:t xml:space="preserve">work out </w:t>
      </w:r>
      <w:r w:rsidR="00571C02">
        <w:t xml:space="preserve">its net amount </w:t>
      </w:r>
      <w:r w:rsidRPr="00E235D0">
        <w:t>for a tax period</w:t>
      </w:r>
      <w:r w:rsidR="00780AD7">
        <w:t>,</w:t>
      </w:r>
      <w:r w:rsidRPr="00E235D0">
        <w:t xml:space="preserve"> </w:t>
      </w:r>
      <w:r w:rsidR="00780AD7">
        <w:t>if</w:t>
      </w:r>
      <w:r w:rsidRPr="00E235D0">
        <w:t>:</w:t>
      </w:r>
    </w:p>
    <w:p w14:paraId="7EB5CDC7" w14:textId="3E8C3751" w:rsidR="00F978CE" w:rsidRPr="00E235D0" w:rsidRDefault="00F978CE" w:rsidP="00F22FDD">
      <w:pPr>
        <w:pStyle w:val="paragraph"/>
      </w:pPr>
      <w:r w:rsidRPr="00E235D0">
        <w:tab/>
        <w:t>(a)</w:t>
      </w:r>
      <w:r w:rsidRPr="00E235D0">
        <w:tab/>
        <w:t xml:space="preserve">the entity is registered </w:t>
      </w:r>
      <w:r w:rsidR="00E235D0" w:rsidRPr="00261EC8">
        <w:t xml:space="preserve">throughout the tax </w:t>
      </w:r>
      <w:proofErr w:type="gramStart"/>
      <w:r w:rsidR="00E235D0" w:rsidRPr="00261EC8">
        <w:t>period</w:t>
      </w:r>
      <w:r w:rsidRPr="00261EC8">
        <w:t>;</w:t>
      </w:r>
      <w:proofErr w:type="gramEnd"/>
    </w:p>
    <w:p w14:paraId="1FA43971" w14:textId="33A83E60" w:rsidR="00F978CE" w:rsidRPr="00E235D0" w:rsidRDefault="00F978CE" w:rsidP="00F22FDD">
      <w:pPr>
        <w:pStyle w:val="paragraph"/>
      </w:pPr>
      <w:r w:rsidRPr="00E235D0">
        <w:tab/>
        <w:t>(b)</w:t>
      </w:r>
      <w:r w:rsidRPr="00E235D0">
        <w:tab/>
        <w:t>during the tax period, the</w:t>
      </w:r>
      <w:r w:rsidR="000F31DC">
        <w:t xml:space="preserve"> entity </w:t>
      </w:r>
      <w:r w:rsidR="009B6A7A">
        <w:t xml:space="preserve">is </w:t>
      </w:r>
      <w:r w:rsidR="00C726BA">
        <w:t xml:space="preserve">a retailer </w:t>
      </w:r>
      <w:r w:rsidR="009B6A7A">
        <w:t xml:space="preserve">that </w:t>
      </w:r>
      <w:r w:rsidRPr="00E235D0">
        <w:t>mainly sell</w:t>
      </w:r>
      <w:r w:rsidR="009B6A7A">
        <w:t>s</w:t>
      </w:r>
      <w:r w:rsidRPr="00E235D0">
        <w:t xml:space="preserve"> a range of food and other goods commonly sold at supermarkets or convenience </w:t>
      </w:r>
      <w:proofErr w:type="gramStart"/>
      <w:r w:rsidRPr="00E235D0">
        <w:t>stores;</w:t>
      </w:r>
      <w:proofErr w:type="gramEnd"/>
    </w:p>
    <w:p w14:paraId="780DA6AD" w14:textId="50E1AF3E" w:rsidR="00F978CE" w:rsidRPr="00E235D0" w:rsidRDefault="00F978CE" w:rsidP="00F22FDD">
      <w:pPr>
        <w:pStyle w:val="paragraph"/>
      </w:pPr>
      <w:r w:rsidRPr="00E235D0">
        <w:tab/>
        <w:t>(c)</w:t>
      </w:r>
      <w:r w:rsidRPr="00E235D0">
        <w:tab/>
        <w:t xml:space="preserve">less than 5% of the total consideration </w:t>
      </w:r>
      <w:r w:rsidR="00B85035">
        <w:t xml:space="preserve">received </w:t>
      </w:r>
      <w:r w:rsidRPr="00E235D0">
        <w:t>for goods</w:t>
      </w:r>
      <w:r w:rsidR="00B85035">
        <w:t xml:space="preserve"> sold</w:t>
      </w:r>
      <w:r w:rsidRPr="00E235D0">
        <w:t xml:space="preserve"> during the tax period is for goods</w:t>
      </w:r>
      <w:r w:rsidR="00C726BA">
        <w:t xml:space="preserve"> that</w:t>
      </w:r>
      <w:r w:rsidRPr="00E235D0">
        <w:t>:</w:t>
      </w:r>
    </w:p>
    <w:p w14:paraId="3EC04025" w14:textId="0494C6D0" w:rsidR="00F978CE" w:rsidRPr="00E235D0" w:rsidRDefault="00F978CE" w:rsidP="00F22FDD">
      <w:pPr>
        <w:pStyle w:val="paragraphsub"/>
      </w:pPr>
      <w:r w:rsidRPr="00E235D0">
        <w:tab/>
        <w:t>(</w:t>
      </w:r>
      <w:proofErr w:type="spellStart"/>
      <w:r w:rsidRPr="00E235D0">
        <w:t>i</w:t>
      </w:r>
      <w:proofErr w:type="spellEnd"/>
      <w:r w:rsidRPr="00E235D0">
        <w:t>)</w:t>
      </w:r>
      <w:r w:rsidRPr="00E235D0">
        <w:tab/>
      </w:r>
      <w:r w:rsidR="000600CF">
        <w:t>are</w:t>
      </w:r>
      <w:r w:rsidRPr="00E235D0">
        <w:t xml:space="preserve"> sold as a taxable supply; and</w:t>
      </w:r>
    </w:p>
    <w:p w14:paraId="7069AAAC" w14:textId="2DC84265" w:rsidR="00F978CE" w:rsidRPr="00E235D0" w:rsidRDefault="00F978CE" w:rsidP="00F22FDD">
      <w:pPr>
        <w:pStyle w:val="paragraphsub"/>
      </w:pPr>
      <w:r w:rsidRPr="00E235D0">
        <w:tab/>
        <w:t>(ii)</w:t>
      </w:r>
      <w:r w:rsidRPr="00E235D0">
        <w:tab/>
        <w:t>consist of</w:t>
      </w:r>
      <w:r w:rsidR="0075427C">
        <w:t>,</w:t>
      </w:r>
      <w:r w:rsidRPr="00E235D0">
        <w:t xml:space="preserve"> or </w:t>
      </w:r>
      <w:proofErr w:type="gramStart"/>
      <w:r w:rsidRPr="00E235D0">
        <w:t>include</w:t>
      </w:r>
      <w:r w:rsidR="0075427C">
        <w:t>,</w:t>
      </w:r>
      <w:proofErr w:type="gramEnd"/>
      <w:r w:rsidRPr="00E235D0">
        <w:t xml:space="preserve"> goods that </w:t>
      </w:r>
      <w:r w:rsidR="00F22FDD">
        <w:t>we</w:t>
      </w:r>
      <w:r w:rsidRPr="00E235D0">
        <w:t xml:space="preserve">re </w:t>
      </w:r>
      <w:r w:rsidR="00F22FDD">
        <w:t xml:space="preserve">sold to the entity </w:t>
      </w:r>
      <w:r w:rsidR="00AB3FAA">
        <w:t xml:space="preserve">as a </w:t>
      </w:r>
      <w:r w:rsidRPr="00E235D0">
        <w:t>GST</w:t>
      </w:r>
      <w:r w:rsidR="004607EB">
        <w:t>-</w:t>
      </w:r>
      <w:r w:rsidRPr="00E235D0">
        <w:t>free</w:t>
      </w:r>
      <w:r w:rsidR="00AB3FAA">
        <w:t xml:space="preserve"> </w:t>
      </w:r>
      <w:proofErr w:type="gramStart"/>
      <w:r w:rsidR="00AB3FAA">
        <w:t>supply</w:t>
      </w:r>
      <w:r w:rsidRPr="00E235D0">
        <w:t>;</w:t>
      </w:r>
      <w:proofErr w:type="gramEnd"/>
    </w:p>
    <w:p w14:paraId="545342AF" w14:textId="7AE67FCE" w:rsidR="00F978CE" w:rsidRPr="00E235D0" w:rsidRDefault="00F978CE" w:rsidP="00F22FDD">
      <w:pPr>
        <w:pStyle w:val="paragraph"/>
      </w:pPr>
      <w:r w:rsidRPr="00E235D0">
        <w:tab/>
        <w:t>(d)</w:t>
      </w:r>
      <w:r w:rsidRPr="00E235D0">
        <w:tab/>
        <w:t xml:space="preserve">the entity’s </w:t>
      </w:r>
      <w:r w:rsidR="006A45A9">
        <w:t>GST</w:t>
      </w:r>
      <w:r w:rsidRPr="00E235D0">
        <w:t xml:space="preserve"> turnover does not exceed $2 </w:t>
      </w:r>
      <w:proofErr w:type="gramStart"/>
      <w:r w:rsidRPr="00E235D0">
        <w:t>million;</w:t>
      </w:r>
      <w:proofErr w:type="gramEnd"/>
    </w:p>
    <w:p w14:paraId="3A4698E0" w14:textId="0210BC22" w:rsidR="0004397B" w:rsidRDefault="00F978CE" w:rsidP="00706972">
      <w:pPr>
        <w:pStyle w:val="paragraph"/>
      </w:pPr>
      <w:r w:rsidRPr="00E235D0">
        <w:tab/>
        <w:t>(e)</w:t>
      </w:r>
      <w:r w:rsidRPr="00E235D0">
        <w:tab/>
        <w:t>the entity possesses adequate point-of-sale equipment</w:t>
      </w:r>
      <w:r w:rsidR="00C726BA">
        <w:t xml:space="preserve"> </w:t>
      </w:r>
      <w:r w:rsidR="00C726BA" w:rsidRPr="00E235D0">
        <w:t>throughout the tax period</w:t>
      </w:r>
      <w:r w:rsidR="0004397B">
        <w:t>; and</w:t>
      </w:r>
    </w:p>
    <w:p w14:paraId="63760FD3" w14:textId="7092CE4B" w:rsidR="00382091" w:rsidRDefault="0004397B">
      <w:pPr>
        <w:pStyle w:val="paragraph"/>
      </w:pPr>
      <w:r w:rsidRPr="00E235D0">
        <w:tab/>
        <w:t>(</w:t>
      </w:r>
      <w:r>
        <w:t>f</w:t>
      </w:r>
      <w:r w:rsidRPr="00E235D0">
        <w:t>)</w:t>
      </w:r>
      <w:r w:rsidRPr="00E235D0">
        <w:tab/>
      </w:r>
      <w:r>
        <w:t xml:space="preserve">the entity </w:t>
      </w:r>
      <w:r w:rsidR="00780AD7">
        <w:t>is not a retailer</w:t>
      </w:r>
      <w:r w:rsidR="0075427C">
        <w:t xml:space="preserve"> that </w:t>
      </w:r>
      <w:r w:rsidR="00CD4177">
        <w:t>mainly</w:t>
      </w:r>
      <w:r w:rsidR="0075427C">
        <w:t xml:space="preserve"> sells </w:t>
      </w:r>
      <w:r w:rsidR="00780AD7">
        <w:t>fuel</w:t>
      </w:r>
      <w:r>
        <w:t>.</w:t>
      </w:r>
    </w:p>
    <w:p w14:paraId="0F176F4F" w14:textId="7AF42BB3" w:rsidR="00E235D0" w:rsidRPr="00FB6A00" w:rsidRDefault="00A2664A" w:rsidP="00F22FDD">
      <w:pPr>
        <w:pStyle w:val="ActHead5"/>
      </w:pPr>
      <w:bookmarkStart w:id="24" w:name="_Toc205539723"/>
      <w:proofErr w:type="gramStart"/>
      <w:r>
        <w:t>7</w:t>
      </w:r>
      <w:r w:rsidR="00E235D0" w:rsidRPr="00E235D0">
        <w:t xml:space="preserve">  Simplified</w:t>
      </w:r>
      <w:proofErr w:type="gramEnd"/>
      <w:r w:rsidR="00E235D0" w:rsidRPr="00E235D0">
        <w:t xml:space="preserve"> Accounting Method</w:t>
      </w:r>
      <w:bookmarkEnd w:id="24"/>
    </w:p>
    <w:p w14:paraId="1115E1E6" w14:textId="2E5793D4" w:rsidR="00E235D0" w:rsidRDefault="00DA57CE" w:rsidP="000E3F7C">
      <w:pPr>
        <w:pStyle w:val="subsection"/>
      </w:pPr>
      <w:r w:rsidRPr="00E235D0">
        <w:tab/>
      </w:r>
      <w:r w:rsidR="007226E8">
        <w:t>(1)</w:t>
      </w:r>
      <w:r w:rsidRPr="00E235D0">
        <w:tab/>
      </w:r>
      <w:r w:rsidR="00C34350">
        <w:t>Where</w:t>
      </w:r>
      <w:r w:rsidR="00F24AAE">
        <w:t xml:space="preserve"> an entity chooses to use a </w:t>
      </w:r>
      <w:r w:rsidR="00F24AAE" w:rsidRPr="00E235D0">
        <w:t>simplified accounting method</w:t>
      </w:r>
      <w:r w:rsidR="00F24AAE">
        <w:t xml:space="preserve"> for a tax period under section 6,</w:t>
      </w:r>
      <w:r w:rsidR="00755627">
        <w:t xml:space="preserve"> </w:t>
      </w:r>
      <w:r w:rsidR="00571C02">
        <w:t>the net amount</w:t>
      </w:r>
      <w:r w:rsidR="00E235D0" w:rsidRPr="00E235D0">
        <w:t xml:space="preserve"> </w:t>
      </w:r>
      <w:r w:rsidR="00755627">
        <w:t xml:space="preserve">for </w:t>
      </w:r>
      <w:r w:rsidR="00F24AAE">
        <w:t>the</w:t>
      </w:r>
      <w:r w:rsidR="00755627">
        <w:t xml:space="preserve"> tax period </w:t>
      </w:r>
      <w:r w:rsidR="00F24AAE">
        <w:t>must be</w:t>
      </w:r>
      <w:r w:rsidR="00604059">
        <w:t xml:space="preserve"> </w:t>
      </w:r>
      <w:r w:rsidR="00755627">
        <w:t xml:space="preserve">worked out </w:t>
      </w:r>
      <w:r w:rsidR="008A1F1E">
        <w:t>using the</w:t>
      </w:r>
      <w:r w:rsidR="00604059">
        <w:t xml:space="preserve"> follow</w:t>
      </w:r>
      <w:r w:rsidR="008A1F1E">
        <w:t>ing formula</w:t>
      </w:r>
      <w:r w:rsidR="00E235D0" w:rsidRPr="00E235D0">
        <w:t>:</w:t>
      </w:r>
    </w:p>
    <w:p w14:paraId="226E561E" w14:textId="64391334" w:rsidR="00571C02" w:rsidRDefault="00DA57CE" w:rsidP="000E3F7C">
      <w:pPr>
        <w:pStyle w:val="subsection"/>
      </w:pPr>
      <w:r>
        <w:tab/>
      </w:r>
      <w:r>
        <w:tab/>
      </w:r>
      <w:r w:rsidR="00571C02">
        <w:t xml:space="preserve">GST </w:t>
      </w:r>
      <w:r w:rsidR="000E3F7C">
        <w:t>minus</w:t>
      </w:r>
      <w:r w:rsidR="00571C02">
        <w:t xml:space="preserve"> Input tax credits</w:t>
      </w:r>
    </w:p>
    <w:p w14:paraId="162743D1" w14:textId="37C82186" w:rsidR="00571C02" w:rsidRDefault="00DA57CE" w:rsidP="000E3F7C">
      <w:pPr>
        <w:pStyle w:val="subsection"/>
      </w:pPr>
      <w:r>
        <w:tab/>
      </w:r>
      <w:r>
        <w:tab/>
      </w:r>
      <w:r w:rsidR="00755627">
        <w:t>w</w:t>
      </w:r>
      <w:r w:rsidR="00571C02">
        <w:t>here:</w:t>
      </w:r>
    </w:p>
    <w:p w14:paraId="195B698E" w14:textId="75D1D81E" w:rsidR="00571C02" w:rsidRDefault="00F61203" w:rsidP="000E3F7C">
      <w:pPr>
        <w:pStyle w:val="subsection"/>
      </w:pPr>
      <w:r>
        <w:tab/>
      </w:r>
      <w:r>
        <w:tab/>
      </w:r>
      <w:r w:rsidR="00571C02" w:rsidRPr="000E3F7C">
        <w:rPr>
          <w:b/>
          <w:bCs/>
          <w:i/>
          <w:iCs/>
        </w:rPr>
        <w:t>GST</w:t>
      </w:r>
      <w:r w:rsidR="00571C02">
        <w:t xml:space="preserve"> is the sum</w:t>
      </w:r>
      <w:r w:rsidR="00E25AC9">
        <w:t xml:space="preserve"> of </w:t>
      </w:r>
      <w:proofErr w:type="gramStart"/>
      <w:r w:rsidR="00E25AC9">
        <w:t>all of</w:t>
      </w:r>
      <w:proofErr w:type="gramEnd"/>
      <w:r w:rsidR="00E25AC9">
        <w:t xml:space="preserve"> the GST for which </w:t>
      </w:r>
      <w:r w:rsidR="004A2B46">
        <w:t>the entity is</w:t>
      </w:r>
      <w:r w:rsidR="00E25AC9">
        <w:t xml:space="preserve"> liable on the taxable supplies that are attributable to the tax period.</w:t>
      </w:r>
    </w:p>
    <w:p w14:paraId="06BC018E" w14:textId="6432BD67" w:rsidR="00571C02" w:rsidRDefault="00F61203" w:rsidP="000E3F7C">
      <w:pPr>
        <w:pStyle w:val="subsection"/>
      </w:pPr>
      <w:r>
        <w:tab/>
      </w:r>
      <w:r>
        <w:tab/>
      </w:r>
      <w:r w:rsidR="0066270C">
        <w:rPr>
          <w:b/>
          <w:bCs/>
          <w:i/>
          <w:iCs/>
        </w:rPr>
        <w:t>I</w:t>
      </w:r>
      <w:r w:rsidR="00E25AC9" w:rsidRPr="0066270C">
        <w:rPr>
          <w:b/>
          <w:bCs/>
          <w:i/>
          <w:iCs/>
        </w:rPr>
        <w:t>nput tax credits</w:t>
      </w:r>
      <w:r w:rsidR="004A2B46">
        <w:t xml:space="preserve"> is </w:t>
      </w:r>
      <w:r w:rsidR="00E11BF6">
        <w:t xml:space="preserve">the amount worked out </w:t>
      </w:r>
      <w:r w:rsidR="004A2B46">
        <w:t xml:space="preserve">using the following </w:t>
      </w:r>
      <w:r w:rsidR="0066270C">
        <w:t>method statement</w:t>
      </w:r>
      <w:r w:rsidR="00E11BF6">
        <w:t>:</w:t>
      </w:r>
    </w:p>
    <w:p w14:paraId="0F87F0E0" w14:textId="185BC1FD" w:rsidR="00E235D0" w:rsidRPr="00E235D0" w:rsidRDefault="00E235D0" w:rsidP="006B5863">
      <w:pPr>
        <w:pStyle w:val="paragraph"/>
        <w:jc w:val="both"/>
      </w:pPr>
      <w:r w:rsidRPr="00E235D0">
        <w:tab/>
      </w:r>
      <w:r w:rsidRPr="00E235D0">
        <w:tab/>
      </w:r>
      <w:r w:rsidR="00C53413">
        <w:t xml:space="preserve">Step 1 - </w:t>
      </w:r>
      <w:r w:rsidRPr="00C53413">
        <w:t>If the entity accou</w:t>
      </w:r>
      <w:r w:rsidRPr="00E235D0">
        <w:t>nts on:</w:t>
      </w:r>
    </w:p>
    <w:p w14:paraId="6D307D51" w14:textId="7B9C8C00" w:rsidR="00E235D0" w:rsidRPr="00E235D0" w:rsidRDefault="00E235D0" w:rsidP="0075427C">
      <w:pPr>
        <w:pStyle w:val="paragraphsub"/>
      </w:pPr>
      <w:r w:rsidRPr="00E235D0">
        <w:tab/>
        <w:t>(</w:t>
      </w:r>
      <w:proofErr w:type="spellStart"/>
      <w:r w:rsidRPr="00E235D0">
        <w:t>i</w:t>
      </w:r>
      <w:proofErr w:type="spellEnd"/>
      <w:r w:rsidRPr="00E235D0">
        <w:t>)</w:t>
      </w:r>
      <w:r w:rsidRPr="00E235D0">
        <w:tab/>
        <w:t>a cash basis</w:t>
      </w:r>
      <w:r w:rsidR="00A43254">
        <w:t xml:space="preserve"> </w:t>
      </w:r>
      <w:r w:rsidR="00514596">
        <w:t>–</w:t>
      </w:r>
      <w:r w:rsidR="00A43254">
        <w:t xml:space="preserve"> </w:t>
      </w:r>
      <w:r w:rsidR="00514596">
        <w:t>work o</w:t>
      </w:r>
      <w:r w:rsidR="00514596" w:rsidRPr="008477EF">
        <w:t>ut</w:t>
      </w:r>
      <w:r w:rsidR="0075427C" w:rsidRPr="007F39BC">
        <w:t xml:space="preserve"> </w:t>
      </w:r>
      <w:r w:rsidRPr="008477EF">
        <w:t xml:space="preserve">the </w:t>
      </w:r>
      <w:r w:rsidRPr="00E235D0">
        <w:t>total consideration the entity provide</w:t>
      </w:r>
      <w:r w:rsidR="005D3338">
        <w:t>d</w:t>
      </w:r>
      <w:r w:rsidRPr="00E235D0">
        <w:t xml:space="preserve"> during the tax period for the goods they purchase</w:t>
      </w:r>
      <w:r w:rsidR="005D3338">
        <w:t>d</w:t>
      </w:r>
      <w:r w:rsidRPr="00E235D0">
        <w:t>; or</w:t>
      </w:r>
    </w:p>
    <w:p w14:paraId="78447240" w14:textId="770EAA57" w:rsidR="00E235D0" w:rsidRPr="00E235D0" w:rsidRDefault="00E235D0" w:rsidP="000E3F7C">
      <w:pPr>
        <w:pStyle w:val="paragraphsub"/>
      </w:pPr>
      <w:r w:rsidRPr="00E235D0">
        <w:lastRenderedPageBreak/>
        <w:tab/>
        <w:t>(ii)</w:t>
      </w:r>
      <w:r w:rsidRPr="00E235D0">
        <w:tab/>
        <w:t>a non-cash basis</w:t>
      </w:r>
      <w:r w:rsidR="00A43254">
        <w:t xml:space="preserve"> </w:t>
      </w:r>
      <w:r w:rsidR="00514596">
        <w:t>–</w:t>
      </w:r>
      <w:r w:rsidR="00A43254">
        <w:t xml:space="preserve"> </w:t>
      </w:r>
      <w:r w:rsidR="00514596">
        <w:t>work out</w:t>
      </w:r>
      <w:r w:rsidRPr="00E235D0">
        <w:t xml:space="preserve"> the total consideration for those goods the entity purchase</w:t>
      </w:r>
      <w:r w:rsidR="00847152">
        <w:t>d</w:t>
      </w:r>
      <w:r w:rsidRPr="00E235D0">
        <w:t xml:space="preserve"> for which an invoice was issued, or any part of the consideration was provided, during the tax period</w:t>
      </w:r>
      <w:r w:rsidR="0054001E">
        <w:t>.</w:t>
      </w:r>
    </w:p>
    <w:p w14:paraId="74DFFBC1" w14:textId="3C01BA4B" w:rsidR="00E235D0" w:rsidRPr="00E235D0" w:rsidRDefault="00E235D0" w:rsidP="000E3F7C">
      <w:pPr>
        <w:pStyle w:val="paragraph"/>
      </w:pPr>
      <w:r w:rsidRPr="00E235D0">
        <w:tab/>
      </w:r>
      <w:r w:rsidRPr="00E235D0">
        <w:tab/>
      </w:r>
      <w:r w:rsidR="00305665">
        <w:t>Step 2 – Work out</w:t>
      </w:r>
      <w:r w:rsidR="00305665" w:rsidRPr="00E235D0">
        <w:t xml:space="preserve"> </w:t>
      </w:r>
      <w:r w:rsidRPr="00E235D0">
        <w:t>the total consideration</w:t>
      </w:r>
      <w:r w:rsidR="00F32510">
        <w:t xml:space="preserve"> </w:t>
      </w:r>
      <w:r w:rsidR="00B3572E">
        <w:t xml:space="preserve">received </w:t>
      </w:r>
      <w:r w:rsidRPr="00E235D0">
        <w:t xml:space="preserve">for goods the entity </w:t>
      </w:r>
      <w:r w:rsidR="00305665">
        <w:t>sells</w:t>
      </w:r>
      <w:r w:rsidR="00F32510">
        <w:t xml:space="preserve"> </w:t>
      </w:r>
      <w:r w:rsidRPr="00E235D0">
        <w:t>during the tax period that are GST-free supplies</w:t>
      </w:r>
      <w:r w:rsidR="0054001E">
        <w:t>.</w:t>
      </w:r>
    </w:p>
    <w:p w14:paraId="4FCA1AB7" w14:textId="75F7A8C5" w:rsidR="00E235D0" w:rsidRPr="00E235D0" w:rsidRDefault="00E235D0" w:rsidP="000E3F7C">
      <w:pPr>
        <w:pStyle w:val="paragraph"/>
      </w:pPr>
      <w:r w:rsidRPr="00E235D0">
        <w:tab/>
      </w:r>
      <w:r w:rsidRPr="00E235D0">
        <w:tab/>
      </w:r>
      <w:bookmarkStart w:id="25" w:name="_Hlk191299679"/>
      <w:r w:rsidR="00305665">
        <w:t xml:space="preserve">Step 3 – </w:t>
      </w:r>
      <w:bookmarkEnd w:id="25"/>
      <w:r w:rsidR="00305665">
        <w:t>Work out</w:t>
      </w:r>
      <w:r w:rsidRPr="00E235D0">
        <w:t xml:space="preserve"> the total consideration </w:t>
      </w:r>
      <w:r w:rsidR="006F5A90">
        <w:t>received</w:t>
      </w:r>
      <w:r w:rsidR="00F448D9">
        <w:t xml:space="preserve"> </w:t>
      </w:r>
      <w:r w:rsidRPr="00E235D0">
        <w:t xml:space="preserve">for all goods the entity </w:t>
      </w:r>
      <w:r w:rsidR="00F448D9">
        <w:t>sells</w:t>
      </w:r>
      <w:r w:rsidR="00F448D9" w:rsidRPr="00E235D0">
        <w:t xml:space="preserve"> </w:t>
      </w:r>
      <w:r w:rsidR="00B3572E">
        <w:t xml:space="preserve">(taxable and GST-free) </w:t>
      </w:r>
      <w:r w:rsidRPr="00E235D0">
        <w:t>during the tax period</w:t>
      </w:r>
      <w:r w:rsidR="0054001E">
        <w:t>.</w:t>
      </w:r>
    </w:p>
    <w:p w14:paraId="176FC536" w14:textId="100D0D3D" w:rsidR="00E235D0" w:rsidRPr="00E235D0" w:rsidRDefault="00E235D0" w:rsidP="000E3F7C">
      <w:pPr>
        <w:pStyle w:val="paragraph"/>
      </w:pPr>
      <w:r w:rsidRPr="00E235D0">
        <w:tab/>
      </w:r>
      <w:r w:rsidRPr="00E235D0">
        <w:tab/>
      </w:r>
      <w:r w:rsidR="00F448D9">
        <w:t xml:space="preserve">Step 4 – </w:t>
      </w:r>
      <w:r w:rsidRPr="00E235D0">
        <w:t xml:space="preserve">Divide the </w:t>
      </w:r>
      <w:r w:rsidR="00F448D9">
        <w:t>step 2 result</w:t>
      </w:r>
      <w:r w:rsidRPr="00E235D0">
        <w:t xml:space="preserve"> by the </w:t>
      </w:r>
      <w:r w:rsidR="00F448D9">
        <w:t>step 3 result</w:t>
      </w:r>
      <w:r w:rsidR="0054001E">
        <w:t>.</w:t>
      </w:r>
    </w:p>
    <w:p w14:paraId="35ED5D38" w14:textId="45AE76EA" w:rsidR="00E235D0" w:rsidRPr="00E235D0" w:rsidRDefault="00E235D0" w:rsidP="000E3F7C">
      <w:pPr>
        <w:pStyle w:val="paragraph"/>
      </w:pPr>
      <w:r w:rsidRPr="00E235D0">
        <w:tab/>
      </w:r>
      <w:r w:rsidRPr="00E235D0">
        <w:tab/>
      </w:r>
      <w:r w:rsidR="00F448D9">
        <w:t xml:space="preserve">Step 5 – </w:t>
      </w:r>
      <w:r w:rsidRPr="00E235D0">
        <w:t xml:space="preserve">Multiply </w:t>
      </w:r>
      <w:r w:rsidR="006B5863">
        <w:t>the step 4 result</w:t>
      </w:r>
      <w:r w:rsidRPr="00E235D0">
        <w:t xml:space="preserve"> by the </w:t>
      </w:r>
      <w:r w:rsidR="006B5863">
        <w:t>step 1 result</w:t>
      </w:r>
      <w:r w:rsidR="0054001E">
        <w:t>.</w:t>
      </w:r>
    </w:p>
    <w:p w14:paraId="6E1DF473" w14:textId="0095C5F4" w:rsidR="00E235D0" w:rsidRPr="00E235D0" w:rsidRDefault="00E235D0" w:rsidP="000E3F7C">
      <w:pPr>
        <w:pStyle w:val="paragraph"/>
      </w:pPr>
      <w:r w:rsidRPr="00E235D0">
        <w:tab/>
      </w:r>
      <w:r w:rsidRPr="00E235D0">
        <w:tab/>
      </w:r>
      <w:r w:rsidR="00F448D9">
        <w:t xml:space="preserve">Step 6 – </w:t>
      </w:r>
      <w:r w:rsidRPr="00E235D0">
        <w:t xml:space="preserve">Subtract </w:t>
      </w:r>
      <w:r w:rsidR="006B5863">
        <w:t>the step 5 result</w:t>
      </w:r>
      <w:r w:rsidRPr="00E235D0">
        <w:t xml:space="preserve"> from </w:t>
      </w:r>
      <w:r w:rsidR="006B5863">
        <w:t>the step 1 result</w:t>
      </w:r>
      <w:r w:rsidR="0054001E">
        <w:t>.</w:t>
      </w:r>
    </w:p>
    <w:p w14:paraId="0E37C815" w14:textId="20C54A76" w:rsidR="00E235D0" w:rsidRDefault="00E235D0" w:rsidP="000E3F7C">
      <w:pPr>
        <w:pStyle w:val="paragraph"/>
      </w:pPr>
      <w:r w:rsidRPr="00E235D0">
        <w:tab/>
      </w:r>
      <w:r w:rsidRPr="00E235D0">
        <w:tab/>
      </w:r>
      <w:r w:rsidR="00F448D9">
        <w:t xml:space="preserve">Step 7 – </w:t>
      </w:r>
      <w:r w:rsidRPr="00E235D0">
        <w:t xml:space="preserve">Multiply </w:t>
      </w:r>
      <w:r w:rsidR="006B5863">
        <w:t>the step 6 result</w:t>
      </w:r>
      <w:r w:rsidRPr="00E235D0">
        <w:t xml:space="preserve"> by </w:t>
      </w:r>
      <w:r w:rsidR="008477EF">
        <w:t>one-</w:t>
      </w:r>
      <w:r w:rsidR="008477EF" w:rsidRPr="0054001E">
        <w:t>eleventh</w:t>
      </w:r>
      <w:r w:rsidRPr="0054001E">
        <w:t>.</w:t>
      </w:r>
    </w:p>
    <w:p w14:paraId="12A68581" w14:textId="595DDCBB" w:rsidR="00F74FF2" w:rsidRDefault="00F74FF2">
      <w:pPr>
        <w:pStyle w:val="paragraph"/>
      </w:pPr>
      <w:r>
        <w:tab/>
      </w:r>
      <w:r>
        <w:tab/>
      </w:r>
      <w:r w:rsidR="00F448D9">
        <w:t xml:space="preserve">Step 8 – </w:t>
      </w:r>
      <w:r w:rsidR="006B5863">
        <w:t>Work</w:t>
      </w:r>
      <w:r w:rsidR="00BE2B4D">
        <w:t xml:space="preserve"> </w:t>
      </w:r>
      <w:r w:rsidR="006B5863">
        <w:t>out</w:t>
      </w:r>
      <w:r w:rsidRPr="00AF35E8">
        <w:t xml:space="preserve"> the </w:t>
      </w:r>
      <w:r w:rsidR="00B96546">
        <w:t>total</w:t>
      </w:r>
      <w:r w:rsidRPr="00AF35E8">
        <w:t xml:space="preserve"> input tax credits for </w:t>
      </w:r>
      <w:r w:rsidR="00EC69DD" w:rsidRPr="00AF35E8">
        <w:t xml:space="preserve">all other creditable </w:t>
      </w:r>
      <w:r w:rsidRPr="00AF35E8">
        <w:t xml:space="preserve">acquisitions </w:t>
      </w:r>
      <w:r w:rsidR="00DF2C58">
        <w:t>and</w:t>
      </w:r>
      <w:r w:rsidR="00EC69DD" w:rsidRPr="00AF35E8">
        <w:t xml:space="preserve"> creditable importations </w:t>
      </w:r>
      <w:r w:rsidR="00D57EE1" w:rsidRPr="00AF35E8">
        <w:t>the entity ma</w:t>
      </w:r>
      <w:r w:rsidR="00C53413">
        <w:t>kes</w:t>
      </w:r>
      <w:r w:rsidR="0067105E">
        <w:t xml:space="preserve"> </w:t>
      </w:r>
      <w:r w:rsidR="00EC69DD" w:rsidRPr="00AF35E8">
        <w:t xml:space="preserve">that </w:t>
      </w:r>
      <w:r w:rsidR="00C53413">
        <w:t>a</w:t>
      </w:r>
      <w:r w:rsidR="006F5A90">
        <w:t>re</w:t>
      </w:r>
      <w:r w:rsidRPr="00AF35E8">
        <w:t xml:space="preserve"> attributable </w:t>
      </w:r>
      <w:r w:rsidR="00EC69DD" w:rsidRPr="00AF35E8">
        <w:t>under section</w:t>
      </w:r>
      <w:r w:rsidR="00CB5F2A">
        <w:t>s</w:t>
      </w:r>
      <w:r w:rsidR="00EC69DD" w:rsidRPr="00AF35E8">
        <w:t xml:space="preserve"> 29-10 </w:t>
      </w:r>
      <w:r w:rsidR="00CB5F2A">
        <w:t xml:space="preserve">and 29-15 </w:t>
      </w:r>
      <w:r w:rsidR="00EC69DD" w:rsidRPr="00AF35E8">
        <w:t xml:space="preserve">of the Act </w:t>
      </w:r>
      <w:r w:rsidRPr="00AF35E8">
        <w:t xml:space="preserve">to the tax </w:t>
      </w:r>
      <w:r w:rsidRPr="0054001E">
        <w:t>period.</w:t>
      </w:r>
    </w:p>
    <w:p w14:paraId="44AE70E9" w14:textId="70BD6AF0" w:rsidR="006B5863" w:rsidRDefault="006B5863" w:rsidP="00C53413">
      <w:pPr>
        <w:pStyle w:val="paragraph"/>
      </w:pPr>
      <w:r>
        <w:tab/>
      </w:r>
      <w:r>
        <w:tab/>
        <w:t xml:space="preserve">Step </w:t>
      </w:r>
      <w:r w:rsidR="00DF2C58">
        <w:t>9</w:t>
      </w:r>
      <w:r>
        <w:t xml:space="preserve"> –</w:t>
      </w:r>
      <w:r w:rsidR="00DF2C58">
        <w:t xml:space="preserve"> Add the step 8 result to the step 7 result.</w:t>
      </w:r>
    </w:p>
    <w:p w14:paraId="05575896" w14:textId="557DF2DB" w:rsidR="00F9288F" w:rsidRDefault="00755627" w:rsidP="00A227A3">
      <w:pPr>
        <w:pStyle w:val="subsection"/>
      </w:pPr>
      <w:r w:rsidRPr="00E235D0">
        <w:tab/>
        <w:t>(2)</w:t>
      </w:r>
      <w:r w:rsidRPr="00E235D0">
        <w:tab/>
      </w:r>
      <w:r w:rsidR="007E69A9" w:rsidDel="007226E8">
        <w:t>However, the net amount for the tax period may be increased or decreased if the entity has any adjustments for</w:t>
      </w:r>
      <w:r w:rsidR="00FC1837">
        <w:t>:</w:t>
      </w:r>
    </w:p>
    <w:p w14:paraId="4CEA3122" w14:textId="19D16229" w:rsidR="00F9288F" w:rsidRDefault="00F9288F" w:rsidP="00F9288F">
      <w:pPr>
        <w:pStyle w:val="paragraph"/>
      </w:pPr>
      <w:r>
        <w:tab/>
        <w:t>(a)</w:t>
      </w:r>
      <w:r>
        <w:tab/>
      </w:r>
      <w:r w:rsidR="007E69A9" w:rsidRPr="00261EC8">
        <w:t>supplies</w:t>
      </w:r>
      <w:r w:rsidR="00261EC8">
        <w:t>;</w:t>
      </w:r>
      <w:r w:rsidR="007E69A9" w:rsidRPr="00261EC8" w:rsidDel="007226E8">
        <w:t xml:space="preserve"> </w:t>
      </w:r>
      <w:r w:rsidRPr="00261EC8">
        <w:t>and</w:t>
      </w:r>
    </w:p>
    <w:p w14:paraId="428D6756" w14:textId="5334ABA0" w:rsidR="007E69A9" w:rsidRPr="00E235D0" w:rsidDel="007226E8" w:rsidRDefault="00F9288F" w:rsidP="00A227A3">
      <w:pPr>
        <w:pStyle w:val="paragraph"/>
      </w:pPr>
      <w:r>
        <w:tab/>
        <w:t>(b)</w:t>
      </w:r>
      <w:r>
        <w:tab/>
      </w:r>
      <w:r w:rsidR="00E70A52" w:rsidDel="007226E8">
        <w:t>acquisitions</w:t>
      </w:r>
      <w:r w:rsidR="00353BA5">
        <w:t xml:space="preserve"> or importations</w:t>
      </w:r>
      <w:r w:rsidR="00E70A52" w:rsidDel="007226E8">
        <w:t xml:space="preserve"> </w:t>
      </w:r>
      <w:r w:rsidR="00621998">
        <w:t>included</w:t>
      </w:r>
      <w:r w:rsidR="00BE2B4D">
        <w:t xml:space="preserve"> </w:t>
      </w:r>
      <w:r w:rsidR="00E70A52" w:rsidDel="007226E8">
        <w:t xml:space="preserve">in </w:t>
      </w:r>
      <w:r w:rsidR="00DF2C58">
        <w:t>step 8</w:t>
      </w:r>
      <w:r w:rsidR="00BE440A">
        <w:t xml:space="preserve"> of the input tax credits method statement</w:t>
      </w:r>
      <w:r w:rsidR="00E70A52">
        <w:t xml:space="preserve"> </w:t>
      </w:r>
      <w:r w:rsidR="007E69A9" w:rsidDel="007226E8">
        <w:t>for th</w:t>
      </w:r>
      <w:r w:rsidR="00BE2B4D">
        <w:t xml:space="preserve">at </w:t>
      </w:r>
      <w:r w:rsidR="007E69A9" w:rsidDel="007226E8">
        <w:t>period.</w:t>
      </w:r>
    </w:p>
    <w:p w14:paraId="5E7BA8D7" w14:textId="3A5ABB92" w:rsidR="00E235D0" w:rsidRPr="00E235D0" w:rsidRDefault="00E235D0" w:rsidP="008E69F4">
      <w:pPr>
        <w:pStyle w:val="subsection"/>
        <w:jc w:val="both"/>
      </w:pPr>
      <w:r w:rsidRPr="00E235D0">
        <w:tab/>
        <w:t>(</w:t>
      </w:r>
      <w:r w:rsidR="00755627">
        <w:t>3</w:t>
      </w:r>
      <w:r w:rsidRPr="00E235D0">
        <w:t>)</w:t>
      </w:r>
      <w:r w:rsidRPr="00E235D0">
        <w:tab/>
      </w:r>
      <w:r w:rsidR="008E69F4">
        <w:t xml:space="preserve">The </w:t>
      </w:r>
      <w:r w:rsidR="00353BA5">
        <w:t>following goods must not be included</w:t>
      </w:r>
      <w:r w:rsidR="00B96546">
        <w:t xml:space="preserve"> or </w:t>
      </w:r>
      <w:proofErr w:type="gramStart"/>
      <w:r w:rsidR="00B96546">
        <w:t>taken into account</w:t>
      </w:r>
      <w:proofErr w:type="gramEnd"/>
      <w:r w:rsidR="00353BA5">
        <w:t xml:space="preserve"> in the calculations</w:t>
      </w:r>
      <w:r w:rsidR="008E69F4">
        <w:t xml:space="preserve"> </w:t>
      </w:r>
      <w:r w:rsidR="000B2FB0">
        <w:t>at</w:t>
      </w:r>
      <w:r w:rsidR="00353BA5">
        <w:t xml:space="preserve"> steps 1 to 7 </w:t>
      </w:r>
      <w:r w:rsidR="000B2FB0">
        <w:t xml:space="preserve">of the </w:t>
      </w:r>
      <w:bookmarkStart w:id="26" w:name="_Hlk199499536"/>
      <w:r w:rsidR="000B2FB0" w:rsidRPr="00261EC8">
        <w:t>input tax credits method statement</w:t>
      </w:r>
      <w:bookmarkEnd w:id="26"/>
      <w:r w:rsidR="000B2FB0" w:rsidRPr="00261EC8">
        <w:t>,</w:t>
      </w:r>
      <w:r w:rsidR="000B2FB0">
        <w:t xml:space="preserve"> </w:t>
      </w:r>
      <w:r w:rsidR="00353BA5">
        <w:t xml:space="preserve">but should be included </w:t>
      </w:r>
      <w:r w:rsidR="000B2FB0">
        <w:t xml:space="preserve">or </w:t>
      </w:r>
      <w:proofErr w:type="gramStart"/>
      <w:r w:rsidR="000B2FB0">
        <w:t>taken into account</w:t>
      </w:r>
      <w:proofErr w:type="gramEnd"/>
      <w:r w:rsidR="000B2FB0">
        <w:t xml:space="preserve"> at</w:t>
      </w:r>
      <w:r w:rsidR="00353BA5">
        <w:t xml:space="preserve"> step 8</w:t>
      </w:r>
      <w:r w:rsidR="000B2FB0">
        <w:t xml:space="preserve"> of that statement</w:t>
      </w:r>
      <w:r w:rsidRPr="00E235D0">
        <w:t>:</w:t>
      </w:r>
    </w:p>
    <w:p w14:paraId="4909184C" w14:textId="24DB457C" w:rsidR="00E235D0" w:rsidRPr="00E235D0" w:rsidRDefault="00E235D0" w:rsidP="00902F46">
      <w:pPr>
        <w:pStyle w:val="paragraph"/>
      </w:pPr>
      <w:r w:rsidRPr="00E235D0">
        <w:tab/>
        <w:t>(a)</w:t>
      </w:r>
      <w:r w:rsidRPr="00E235D0">
        <w:tab/>
      </w:r>
      <w:r w:rsidR="008E69F4">
        <w:t xml:space="preserve">goods </w:t>
      </w:r>
      <w:r w:rsidRPr="00E235D0">
        <w:t xml:space="preserve">not held by the entity for the purposes of sale or exchange in the ordinary course of </w:t>
      </w:r>
      <w:proofErr w:type="gramStart"/>
      <w:r w:rsidRPr="00E235D0">
        <w:t>business</w:t>
      </w:r>
      <w:r w:rsidR="008E69F4">
        <w:t>;</w:t>
      </w:r>
      <w:proofErr w:type="gramEnd"/>
    </w:p>
    <w:p w14:paraId="7CF5ED6D" w14:textId="33EA291E" w:rsidR="00E235D0" w:rsidRDefault="00E235D0" w:rsidP="00902F46">
      <w:pPr>
        <w:pStyle w:val="paragraph"/>
      </w:pPr>
      <w:r w:rsidRPr="00E235D0">
        <w:tab/>
        <w:t>(b)</w:t>
      </w:r>
      <w:r w:rsidRPr="00E235D0">
        <w:tab/>
      </w:r>
      <w:r w:rsidR="008E69F4">
        <w:t xml:space="preserve">goods </w:t>
      </w:r>
      <w:r w:rsidRPr="00E235D0">
        <w:t xml:space="preserve">not part of the range of food and domestic goods commonly sold at supermarkets or convenience </w:t>
      </w:r>
      <w:proofErr w:type="gramStart"/>
      <w:r w:rsidRPr="00E235D0">
        <w:t>stores</w:t>
      </w:r>
      <w:r w:rsidR="008E69F4">
        <w:t>;</w:t>
      </w:r>
      <w:proofErr w:type="gramEnd"/>
    </w:p>
    <w:p w14:paraId="6953ADF0" w14:textId="570DD088" w:rsidR="00A2664A" w:rsidRPr="00E235D0" w:rsidRDefault="00A2664A" w:rsidP="00902F46">
      <w:pPr>
        <w:pStyle w:val="paragraph"/>
      </w:pPr>
      <w:r>
        <w:tab/>
        <w:t>(c)</w:t>
      </w:r>
      <w:r>
        <w:tab/>
      </w:r>
      <w:r w:rsidR="008E69F4">
        <w:t xml:space="preserve">goods </w:t>
      </w:r>
      <w:r>
        <w:t>held by the entity in substantially greater quantity or variety than is common for supermarkets or convenience stores</w:t>
      </w:r>
      <w:r w:rsidR="008E69F4">
        <w:t>;</w:t>
      </w:r>
      <w:r>
        <w:t xml:space="preserve"> or</w:t>
      </w:r>
    </w:p>
    <w:p w14:paraId="01A27C4B" w14:textId="15BA9A3C" w:rsidR="00E235D0" w:rsidRPr="00E235D0" w:rsidRDefault="00E235D0" w:rsidP="004262BA">
      <w:pPr>
        <w:pStyle w:val="paragraph"/>
      </w:pPr>
      <w:r w:rsidRPr="00E235D0">
        <w:tab/>
        <w:t>(</w:t>
      </w:r>
      <w:r w:rsidR="00A2664A">
        <w:t>d</w:t>
      </w:r>
      <w:r w:rsidRPr="00E235D0">
        <w:t>)</w:t>
      </w:r>
      <w:r w:rsidRPr="00E235D0">
        <w:tab/>
        <w:t>alcoholic beverages</w:t>
      </w:r>
      <w:r w:rsidR="00A2664A">
        <w:t>.</w:t>
      </w:r>
    </w:p>
    <w:p w14:paraId="1102A0BB" w14:textId="158F2EAD" w:rsidR="00E235D0" w:rsidRDefault="00E235D0" w:rsidP="00B3572E">
      <w:pPr>
        <w:pStyle w:val="subsection"/>
      </w:pPr>
      <w:r w:rsidRPr="00E235D0">
        <w:tab/>
        <w:t>(</w:t>
      </w:r>
      <w:r w:rsidR="00755627">
        <w:t>4</w:t>
      </w:r>
      <w:r w:rsidRPr="00E235D0">
        <w:t>)</w:t>
      </w:r>
      <w:r w:rsidRPr="00E235D0">
        <w:tab/>
        <w:t>If the entity’s GST return for a tax period</w:t>
      </w:r>
      <w:r w:rsidR="00F24AAE">
        <w:t>,</w:t>
      </w:r>
      <w:r w:rsidRPr="00E235D0">
        <w:t xml:space="preserve"> for which</w:t>
      </w:r>
      <w:r w:rsidR="00A2664A">
        <w:t xml:space="preserve"> </w:t>
      </w:r>
      <w:r w:rsidRPr="00E235D0">
        <w:t xml:space="preserve">a choice to use this </w:t>
      </w:r>
      <w:r w:rsidR="00796774" w:rsidRPr="00E235D0">
        <w:t xml:space="preserve">simplified accounting </w:t>
      </w:r>
      <w:r w:rsidRPr="00E235D0">
        <w:t>method is</w:t>
      </w:r>
      <w:r w:rsidR="00A2664A">
        <w:t xml:space="preserve"> </w:t>
      </w:r>
      <w:r w:rsidRPr="00E235D0">
        <w:t>not in effect</w:t>
      </w:r>
      <w:r w:rsidR="00E66A4F">
        <w:t>,</w:t>
      </w:r>
      <w:r w:rsidRPr="00E235D0">
        <w:t xml:space="preserve"> </w:t>
      </w:r>
      <w:proofErr w:type="gramStart"/>
      <w:r w:rsidRPr="00E235D0">
        <w:t>takes into account</w:t>
      </w:r>
      <w:proofErr w:type="gramEnd"/>
      <w:r w:rsidRPr="00E235D0">
        <w:t xml:space="preserve"> an input tax credit for a purchase for an earlier tax period</w:t>
      </w:r>
      <w:r w:rsidR="00796774">
        <w:t xml:space="preserve"> where the choice was in effect</w:t>
      </w:r>
      <w:r w:rsidRPr="00E235D0">
        <w:t xml:space="preserve">, </w:t>
      </w:r>
      <w:r>
        <w:t>the entity’s</w:t>
      </w:r>
      <w:r w:rsidRPr="00E235D0">
        <w:t xml:space="preserve"> net amount for that earlier tax period </w:t>
      </w:r>
      <w:r w:rsidR="00796774">
        <w:t>must be</w:t>
      </w:r>
      <w:r w:rsidRPr="00E235D0">
        <w:t xml:space="preserve"> increased by the amount of that credit.</w:t>
      </w:r>
    </w:p>
    <w:p w14:paraId="2F447BDE" w14:textId="77777777" w:rsidR="00554826" w:rsidRDefault="00554826" w:rsidP="00706972">
      <w:pPr>
        <w:spacing w:line="240" w:lineRule="auto"/>
        <w:rPr>
          <w:rFonts w:eastAsia="Times New Roman" w:cs="Times New Roman"/>
          <w:lang w:eastAsia="en-AU"/>
        </w:rPr>
      </w:pPr>
      <w:r>
        <w:br w:type="page"/>
      </w:r>
    </w:p>
    <w:p w14:paraId="7150B5F5" w14:textId="77777777" w:rsidR="00D6537E" w:rsidRPr="004E1307" w:rsidRDefault="004E1307" w:rsidP="00706972">
      <w:pPr>
        <w:pStyle w:val="ActHead6"/>
      </w:pPr>
      <w:bookmarkStart w:id="27" w:name="_Toc205539724"/>
      <w:r>
        <w:lastRenderedPageBreak/>
        <w:t xml:space="preserve">Schedule </w:t>
      </w:r>
      <w:r w:rsidR="00D6537E" w:rsidRPr="004E1307">
        <w:t>1—Repeals</w:t>
      </w:r>
      <w:bookmarkEnd w:id="27"/>
    </w:p>
    <w:p w14:paraId="40616EB1" w14:textId="6B2CB128" w:rsidR="00D6537E" w:rsidRPr="00D6537E" w:rsidRDefault="00E235D0" w:rsidP="00706972">
      <w:pPr>
        <w:pStyle w:val="ActHead9"/>
        <w:ind w:left="0" w:firstLine="0"/>
      </w:pPr>
      <w:bookmarkStart w:id="28" w:name="_Toc205539725"/>
      <w:r w:rsidRPr="00E235D0">
        <w:t>A New Tax System (Goods and Services Tax) Act 1999 Simplified GST Accounting Method</w:t>
      </w:r>
      <w:r w:rsidR="008477EF">
        <w:t>s</w:t>
      </w:r>
      <w:r w:rsidRPr="00E235D0">
        <w:t xml:space="preserve"> Determination (No. 29) 2015</w:t>
      </w:r>
      <w:bookmarkEnd w:id="28"/>
    </w:p>
    <w:p w14:paraId="74E04B59" w14:textId="77777777" w:rsidR="00D6537E" w:rsidRDefault="00D6537E" w:rsidP="00706972">
      <w:pPr>
        <w:pStyle w:val="ItemHead"/>
      </w:pPr>
      <w:proofErr w:type="gramStart"/>
      <w:r w:rsidRPr="00B1728A">
        <w:t xml:space="preserve">1  </w:t>
      </w:r>
      <w:r w:rsidR="00BB1533">
        <w:t>The</w:t>
      </w:r>
      <w:proofErr w:type="gramEnd"/>
      <w:r w:rsidR="00BB1533">
        <w:t xml:space="preserve"> w</w:t>
      </w:r>
      <w:r>
        <w:t>hole of the instrument</w:t>
      </w:r>
    </w:p>
    <w:p w14:paraId="5BB7875F" w14:textId="77777777" w:rsidR="004E1307" w:rsidRDefault="00D6537E" w:rsidP="00706972">
      <w:pPr>
        <w:pStyle w:val="Item"/>
      </w:pPr>
      <w:r>
        <w:t>Repeal the instrument</w:t>
      </w:r>
    </w:p>
    <w:sectPr w:rsidR="004E1307" w:rsidSect="008C2EAC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98FC4" w14:textId="77777777" w:rsidR="006E54F3" w:rsidRDefault="006E54F3" w:rsidP="00715914">
      <w:pPr>
        <w:spacing w:line="240" w:lineRule="auto"/>
      </w:pPr>
      <w:r>
        <w:separator/>
      </w:r>
    </w:p>
  </w:endnote>
  <w:endnote w:type="continuationSeparator" w:id="0">
    <w:p w14:paraId="527FF1F2" w14:textId="77777777" w:rsidR="006E54F3" w:rsidRDefault="006E54F3" w:rsidP="00715914">
      <w:pPr>
        <w:spacing w:line="240" w:lineRule="auto"/>
      </w:pPr>
      <w:r>
        <w:continuationSeparator/>
      </w:r>
    </w:p>
  </w:endnote>
  <w:endnote w:type="continuationNotice" w:id="1">
    <w:p w14:paraId="52684BFF" w14:textId="77777777" w:rsidR="006E54F3" w:rsidRDefault="006E54F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701DD" w14:textId="3EA681F2" w:rsidR="00B03F09" w:rsidRPr="00E33C1C" w:rsidRDefault="00B03F09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03F09" w14:paraId="138E8264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7EF5414" w14:textId="77777777" w:rsidR="00B03F09" w:rsidRDefault="00B03F09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379401C" w14:textId="5177B6E5" w:rsidR="00B03F09" w:rsidRPr="004E1307" w:rsidRDefault="00B03F09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A45613">
            <w:rPr>
              <w:i/>
              <w:noProof/>
              <w:sz w:val="18"/>
            </w:rPr>
            <w:t>A New Tax System (Goods and Services Tax) (Simplified Accounting Methods - Supermarket and Convenience Stores)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D9D3887" w14:textId="77777777" w:rsidR="00B03F09" w:rsidRDefault="00B03F09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B03F09" w14:paraId="1E9F5AAF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D2CE6CE" w14:textId="77777777" w:rsidR="00B03F09" w:rsidRDefault="00B03F09" w:rsidP="00A369E3">
          <w:pPr>
            <w:jc w:val="right"/>
            <w:rPr>
              <w:sz w:val="18"/>
            </w:rPr>
          </w:pPr>
        </w:p>
      </w:tc>
    </w:tr>
  </w:tbl>
  <w:p w14:paraId="6266A9FD" w14:textId="77777777" w:rsidR="00B03F09" w:rsidRPr="00ED79B6" w:rsidRDefault="00B03F09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F6B1F" w14:textId="100C3052" w:rsidR="00B03F09" w:rsidRPr="00E33C1C" w:rsidRDefault="00B03F09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B03F09" w14:paraId="58A9B711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3AD3C76" w14:textId="77777777" w:rsidR="00B03F09" w:rsidRDefault="00B03F09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7F53730" w14:textId="1CAC9811" w:rsidR="00B03F09" w:rsidRDefault="00B03F09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A45613">
            <w:rPr>
              <w:i/>
              <w:noProof/>
              <w:sz w:val="18"/>
            </w:rPr>
            <w:t>A New Tax System (Goods and Services Tax) (Simplified Accounting Methods - Supermarket and Convenience Stores)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552E862" w14:textId="77777777" w:rsidR="00B03F09" w:rsidRDefault="00B03F09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03F09" w14:paraId="2A47D216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1E0DB40" w14:textId="77777777" w:rsidR="00B03F09" w:rsidRDefault="00B03F09" w:rsidP="00A369E3">
          <w:pPr>
            <w:rPr>
              <w:sz w:val="18"/>
            </w:rPr>
          </w:pPr>
        </w:p>
      </w:tc>
    </w:tr>
  </w:tbl>
  <w:p w14:paraId="20535370" w14:textId="77777777" w:rsidR="00B03F09" w:rsidRPr="00ED79B6" w:rsidRDefault="00B03F09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6A3FF" w14:textId="57526C28" w:rsidR="00B03F09" w:rsidRPr="00E33C1C" w:rsidRDefault="00B03F09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B03F09" w14:paraId="4733DB44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BFE21EF" w14:textId="77777777" w:rsidR="00B03F09" w:rsidRDefault="00B03F09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F68C5CA" w14:textId="77777777" w:rsidR="00B03F09" w:rsidRDefault="00B03F09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1788284" w14:textId="77777777" w:rsidR="00B03F09" w:rsidRDefault="00B03F09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2B6FAD53" w14:textId="77777777" w:rsidR="00B03F09" w:rsidRPr="00ED79B6" w:rsidRDefault="00B03F09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36FCD" w14:textId="4F0D9678" w:rsidR="00B03F09" w:rsidRPr="002B0EA5" w:rsidRDefault="00B03F09" w:rsidP="00B03F0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03F09" w14:paraId="5BB3AC64" w14:textId="77777777" w:rsidTr="00B03F09">
      <w:tc>
        <w:tcPr>
          <w:tcW w:w="365" w:type="pct"/>
        </w:tcPr>
        <w:p w14:paraId="51C4D5E0" w14:textId="77777777" w:rsidR="00B03F09" w:rsidRDefault="00B03F09" w:rsidP="00B03F0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074DDA61" w14:textId="0AE791CB" w:rsidR="00B03F09" w:rsidRDefault="00B03F09" w:rsidP="00B03F0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A45613">
            <w:rPr>
              <w:i/>
              <w:noProof/>
              <w:sz w:val="18"/>
            </w:rPr>
            <w:t>A New Tax System (Goods and Services Tax) (Simplified Accounting Methods - Supermarket and Convenience Stores)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50BF7336" w14:textId="77777777" w:rsidR="00B03F09" w:rsidRDefault="00B03F09" w:rsidP="00B03F09">
          <w:pPr>
            <w:spacing w:line="0" w:lineRule="atLeast"/>
            <w:jc w:val="right"/>
            <w:rPr>
              <w:sz w:val="18"/>
            </w:rPr>
          </w:pPr>
        </w:p>
      </w:tc>
    </w:tr>
    <w:tr w:rsidR="00B03F09" w14:paraId="13212958" w14:textId="77777777" w:rsidTr="00B03F09">
      <w:tc>
        <w:tcPr>
          <w:tcW w:w="5000" w:type="pct"/>
          <w:gridSpan w:val="3"/>
        </w:tcPr>
        <w:p w14:paraId="16E96700" w14:textId="77777777" w:rsidR="00B03F09" w:rsidRDefault="00B03F09" w:rsidP="00B03F09">
          <w:pPr>
            <w:jc w:val="right"/>
            <w:rPr>
              <w:sz w:val="18"/>
            </w:rPr>
          </w:pPr>
        </w:p>
      </w:tc>
    </w:tr>
  </w:tbl>
  <w:p w14:paraId="7A3BCD3D" w14:textId="77777777" w:rsidR="00B03F09" w:rsidRPr="00ED79B6" w:rsidRDefault="00B03F09" w:rsidP="00B03F09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99189" w14:textId="30F8ACE5" w:rsidR="00B03F09" w:rsidRPr="002B0EA5" w:rsidRDefault="00B03F09" w:rsidP="00B03F0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03F09" w14:paraId="7C31F400" w14:textId="77777777" w:rsidTr="00B03F09">
      <w:tc>
        <w:tcPr>
          <w:tcW w:w="947" w:type="pct"/>
        </w:tcPr>
        <w:p w14:paraId="4F01028B" w14:textId="77777777" w:rsidR="00B03F09" w:rsidRDefault="00B03F09" w:rsidP="00B03F09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74CB7D2A" w14:textId="7D249A0F" w:rsidR="00B03F09" w:rsidRDefault="00B03F09" w:rsidP="00B03F0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150E9D">
            <w:rPr>
              <w:i/>
              <w:noProof/>
              <w:sz w:val="18"/>
            </w:rPr>
            <w:t>A New Tax System (Goods and Services Tax) (Simplified Accounting Methods – Supermarket and Convenience Stores)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3D8D98F6" w14:textId="77777777" w:rsidR="00B03F09" w:rsidRDefault="00B03F09" w:rsidP="00B03F0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03F09" w14:paraId="49C8F7A4" w14:textId="77777777" w:rsidTr="00B03F09">
      <w:tc>
        <w:tcPr>
          <w:tcW w:w="5000" w:type="pct"/>
          <w:gridSpan w:val="3"/>
        </w:tcPr>
        <w:p w14:paraId="236A8DA7" w14:textId="77777777" w:rsidR="00B03F09" w:rsidRDefault="00B03F09" w:rsidP="00B03F09">
          <w:pPr>
            <w:rPr>
              <w:sz w:val="18"/>
            </w:rPr>
          </w:pPr>
        </w:p>
      </w:tc>
    </w:tr>
  </w:tbl>
  <w:p w14:paraId="3DD11C5B" w14:textId="77777777" w:rsidR="00B03F09" w:rsidRPr="00ED79B6" w:rsidRDefault="00B03F09" w:rsidP="00B03F09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9FC25" w14:textId="36D8A9D9" w:rsidR="00B248EF" w:rsidRDefault="00B248EF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42B96" w14:textId="751B6402" w:rsidR="00B03F09" w:rsidRPr="002B0EA5" w:rsidRDefault="00B03F09" w:rsidP="00B03F0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03F09" w14:paraId="2FBFD802" w14:textId="77777777" w:rsidTr="00B03F09">
      <w:tc>
        <w:tcPr>
          <w:tcW w:w="365" w:type="pct"/>
        </w:tcPr>
        <w:p w14:paraId="7CA8F93F" w14:textId="77777777" w:rsidR="00B03F09" w:rsidRDefault="00B03F09" w:rsidP="00B03F0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796EEB7B" w14:textId="01C0E605" w:rsidR="00B03F09" w:rsidRDefault="00B03F09" w:rsidP="00B03F0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150E9D">
            <w:rPr>
              <w:i/>
              <w:noProof/>
              <w:sz w:val="18"/>
            </w:rPr>
            <w:t>A New Tax System (Goods and Services Tax) (Simplified Accounting Methods – Supermarket and Convenience Stores)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2F4CC8CB" w14:textId="77777777" w:rsidR="00B03F09" w:rsidRDefault="00B03F09" w:rsidP="00B03F09">
          <w:pPr>
            <w:spacing w:line="0" w:lineRule="atLeast"/>
            <w:jc w:val="right"/>
            <w:rPr>
              <w:sz w:val="18"/>
            </w:rPr>
          </w:pPr>
        </w:p>
      </w:tc>
    </w:tr>
    <w:tr w:rsidR="00B03F09" w14:paraId="27A0B523" w14:textId="77777777" w:rsidTr="00B03F09">
      <w:tc>
        <w:tcPr>
          <w:tcW w:w="5000" w:type="pct"/>
          <w:gridSpan w:val="3"/>
        </w:tcPr>
        <w:p w14:paraId="6DCE8A68" w14:textId="77777777" w:rsidR="00B03F09" w:rsidRDefault="00B03F09" w:rsidP="00B03F09">
          <w:pPr>
            <w:jc w:val="right"/>
            <w:rPr>
              <w:sz w:val="18"/>
            </w:rPr>
          </w:pPr>
        </w:p>
      </w:tc>
    </w:tr>
  </w:tbl>
  <w:p w14:paraId="5B51D535" w14:textId="77777777" w:rsidR="00B03F09" w:rsidRPr="00ED79B6" w:rsidRDefault="00B03F09" w:rsidP="00B03F09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435B6" w14:textId="4338CCF3" w:rsidR="00B03F09" w:rsidRPr="002B0EA5" w:rsidRDefault="00B03F09" w:rsidP="00B03F0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03F09" w14:paraId="66F36E5B" w14:textId="77777777" w:rsidTr="00B03F09">
      <w:tc>
        <w:tcPr>
          <w:tcW w:w="947" w:type="pct"/>
        </w:tcPr>
        <w:p w14:paraId="497D3FB0" w14:textId="77777777" w:rsidR="00B03F09" w:rsidRDefault="00B03F09" w:rsidP="00B03F09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65012218" w14:textId="07A3AEBA" w:rsidR="00B03F09" w:rsidRDefault="00B03F09" w:rsidP="00B03F0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150E9D">
            <w:rPr>
              <w:i/>
              <w:noProof/>
              <w:sz w:val="18"/>
            </w:rPr>
            <w:t>A New Tax System (Goods and Services Tax) (Simplified Accounting Methods – Supermarket and Convenience Stores)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7785E6C8" w14:textId="77777777" w:rsidR="00B03F09" w:rsidRDefault="00B03F09" w:rsidP="00B03F0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03F09" w14:paraId="03CC995E" w14:textId="77777777" w:rsidTr="00B03F09">
      <w:tc>
        <w:tcPr>
          <w:tcW w:w="5000" w:type="pct"/>
          <w:gridSpan w:val="3"/>
        </w:tcPr>
        <w:p w14:paraId="23DD81E3" w14:textId="77777777" w:rsidR="00B03F09" w:rsidRDefault="00B03F09" w:rsidP="00B03F09">
          <w:pPr>
            <w:rPr>
              <w:sz w:val="18"/>
            </w:rPr>
          </w:pPr>
        </w:p>
      </w:tc>
    </w:tr>
  </w:tbl>
  <w:p w14:paraId="5B244B97" w14:textId="77777777" w:rsidR="00B03F09" w:rsidRPr="00ED79B6" w:rsidRDefault="00B03F09" w:rsidP="00B03F09">
    <w:pPr>
      <w:rPr>
        <w:i/>
        <w:sz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38915" w14:textId="3FEB5C18" w:rsidR="00B248EF" w:rsidRDefault="00B248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4382C" w14:textId="77777777" w:rsidR="006E54F3" w:rsidRDefault="006E54F3" w:rsidP="00715914">
      <w:pPr>
        <w:spacing w:line="240" w:lineRule="auto"/>
      </w:pPr>
      <w:r>
        <w:separator/>
      </w:r>
    </w:p>
  </w:footnote>
  <w:footnote w:type="continuationSeparator" w:id="0">
    <w:p w14:paraId="2A274EFD" w14:textId="77777777" w:rsidR="006E54F3" w:rsidRDefault="006E54F3" w:rsidP="00715914">
      <w:pPr>
        <w:spacing w:line="240" w:lineRule="auto"/>
      </w:pPr>
      <w:r>
        <w:continuationSeparator/>
      </w:r>
    </w:p>
  </w:footnote>
  <w:footnote w:type="continuationNotice" w:id="1">
    <w:p w14:paraId="53695EA8" w14:textId="77777777" w:rsidR="006E54F3" w:rsidRDefault="006E54F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930A8" w14:textId="192F6FC3" w:rsidR="00B03F09" w:rsidRPr="005F1388" w:rsidRDefault="00B03F09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971B4" w14:textId="4BDF45C2" w:rsidR="00B03F09" w:rsidRPr="005F1388" w:rsidRDefault="00B03F09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04C1B" w14:textId="5002DEF0" w:rsidR="00795A2B" w:rsidRDefault="00795A2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1ED25" w14:textId="17F2A312" w:rsidR="00B03F09" w:rsidRPr="00ED79B6" w:rsidRDefault="00B03F09" w:rsidP="00B03F09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88F77" w14:textId="5266B19F" w:rsidR="00B03F09" w:rsidRPr="00ED79B6" w:rsidRDefault="00B03F09" w:rsidP="00B03F09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0AF7D" w14:textId="4F840CFA" w:rsidR="00B03F09" w:rsidRPr="00ED79B6" w:rsidRDefault="00B03F09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1E8A5" w14:textId="79F188F2" w:rsidR="00B03F09" w:rsidRDefault="00B03F09" w:rsidP="00715914">
    <w:pPr>
      <w:rPr>
        <w:sz w:val="20"/>
      </w:rPr>
    </w:pPr>
  </w:p>
  <w:p w14:paraId="4D16E020" w14:textId="77777777" w:rsidR="00B03F09" w:rsidRDefault="00B03F09" w:rsidP="00715914">
    <w:pPr>
      <w:rPr>
        <w:sz w:val="20"/>
      </w:rPr>
    </w:pPr>
  </w:p>
  <w:p w14:paraId="01A111D5" w14:textId="77777777" w:rsidR="00B03F09" w:rsidRPr="007A1328" w:rsidRDefault="00B03F09" w:rsidP="00715914">
    <w:pPr>
      <w:rPr>
        <w:sz w:val="20"/>
      </w:rPr>
    </w:pPr>
  </w:p>
  <w:p w14:paraId="1B35C291" w14:textId="77777777" w:rsidR="00B03F09" w:rsidRPr="007A1328" w:rsidRDefault="00B03F09" w:rsidP="00715914">
    <w:pPr>
      <w:rPr>
        <w:b/>
        <w:sz w:val="24"/>
      </w:rPr>
    </w:pPr>
  </w:p>
  <w:p w14:paraId="7875F244" w14:textId="77777777" w:rsidR="00B03F09" w:rsidRPr="007A1328" w:rsidRDefault="00B03F09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0B200" w14:textId="421F9470" w:rsidR="00B03F09" w:rsidRPr="007A1328" w:rsidRDefault="00B03F09" w:rsidP="00715914">
    <w:pPr>
      <w:jc w:val="right"/>
      <w:rPr>
        <w:sz w:val="20"/>
      </w:rPr>
    </w:pPr>
  </w:p>
  <w:p w14:paraId="567955C2" w14:textId="77777777" w:rsidR="00B03F09" w:rsidRPr="007A1328" w:rsidRDefault="00B03F09" w:rsidP="00715914">
    <w:pPr>
      <w:jc w:val="right"/>
      <w:rPr>
        <w:sz w:val="20"/>
      </w:rPr>
    </w:pPr>
  </w:p>
  <w:p w14:paraId="07DBD051" w14:textId="77777777" w:rsidR="00B03F09" w:rsidRPr="007A1328" w:rsidRDefault="00B03F09" w:rsidP="00715914">
    <w:pPr>
      <w:jc w:val="right"/>
      <w:rPr>
        <w:sz w:val="20"/>
      </w:rPr>
    </w:pPr>
  </w:p>
  <w:p w14:paraId="16D368ED" w14:textId="77777777" w:rsidR="00B03F09" w:rsidRPr="007A1328" w:rsidRDefault="00B03F09" w:rsidP="00715914">
    <w:pPr>
      <w:jc w:val="right"/>
      <w:rPr>
        <w:b/>
        <w:sz w:val="24"/>
      </w:rPr>
    </w:pPr>
  </w:p>
  <w:p w14:paraId="476D1A19" w14:textId="77777777" w:rsidR="00B03F09" w:rsidRPr="007A1328" w:rsidRDefault="00B03F09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87681" w14:textId="48B8F08F" w:rsidR="00B248EF" w:rsidRDefault="00B248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3040B8"/>
    <w:multiLevelType w:val="hybridMultilevel"/>
    <w:tmpl w:val="05BE9AD0"/>
    <w:lvl w:ilvl="0" w:tplc="AD3C5788">
      <w:start w:val="1"/>
      <w:numFmt w:val="decimal"/>
      <w:lvlText w:val="%1."/>
      <w:lvlJc w:val="left"/>
      <w:pPr>
        <w:ind w:left="720" w:hanging="360"/>
      </w:pPr>
    </w:lvl>
    <w:lvl w:ilvl="1" w:tplc="7E423E18">
      <w:start w:val="1"/>
      <w:numFmt w:val="decimal"/>
      <w:lvlText w:val="%2."/>
      <w:lvlJc w:val="left"/>
      <w:pPr>
        <w:ind w:left="720" w:hanging="360"/>
      </w:pPr>
    </w:lvl>
    <w:lvl w:ilvl="2" w:tplc="848EDDF4">
      <w:start w:val="1"/>
      <w:numFmt w:val="decimal"/>
      <w:lvlText w:val="%3."/>
      <w:lvlJc w:val="left"/>
      <w:pPr>
        <w:ind w:left="720" w:hanging="360"/>
      </w:pPr>
    </w:lvl>
    <w:lvl w:ilvl="3" w:tplc="80945584">
      <w:start w:val="1"/>
      <w:numFmt w:val="decimal"/>
      <w:lvlText w:val="%4."/>
      <w:lvlJc w:val="left"/>
      <w:pPr>
        <w:ind w:left="720" w:hanging="360"/>
      </w:pPr>
    </w:lvl>
    <w:lvl w:ilvl="4" w:tplc="FC4484B2">
      <w:start w:val="1"/>
      <w:numFmt w:val="decimal"/>
      <w:lvlText w:val="%5."/>
      <w:lvlJc w:val="left"/>
      <w:pPr>
        <w:ind w:left="720" w:hanging="360"/>
      </w:pPr>
    </w:lvl>
    <w:lvl w:ilvl="5" w:tplc="46BAB24E">
      <w:start w:val="1"/>
      <w:numFmt w:val="decimal"/>
      <w:lvlText w:val="%6."/>
      <w:lvlJc w:val="left"/>
      <w:pPr>
        <w:ind w:left="720" w:hanging="360"/>
      </w:pPr>
    </w:lvl>
    <w:lvl w:ilvl="6" w:tplc="09427664">
      <w:start w:val="1"/>
      <w:numFmt w:val="decimal"/>
      <w:lvlText w:val="%7."/>
      <w:lvlJc w:val="left"/>
      <w:pPr>
        <w:ind w:left="720" w:hanging="360"/>
      </w:pPr>
    </w:lvl>
    <w:lvl w:ilvl="7" w:tplc="3C38AA28">
      <w:start w:val="1"/>
      <w:numFmt w:val="decimal"/>
      <w:lvlText w:val="%8."/>
      <w:lvlJc w:val="left"/>
      <w:pPr>
        <w:ind w:left="720" w:hanging="360"/>
      </w:pPr>
    </w:lvl>
    <w:lvl w:ilvl="8" w:tplc="74206FA2">
      <w:start w:val="1"/>
      <w:numFmt w:val="decimal"/>
      <w:lvlText w:val="%9."/>
      <w:lvlJc w:val="left"/>
      <w:pPr>
        <w:ind w:left="720" w:hanging="360"/>
      </w:p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D096784"/>
    <w:multiLevelType w:val="hybridMultilevel"/>
    <w:tmpl w:val="26B208E6"/>
    <w:lvl w:ilvl="0" w:tplc="FA38C168">
      <w:start w:val="1"/>
      <w:numFmt w:val="decimal"/>
      <w:lvlText w:val="(%1)"/>
      <w:lvlJc w:val="left"/>
      <w:pPr>
        <w:ind w:left="1411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01" w:hanging="360"/>
      </w:pPr>
    </w:lvl>
    <w:lvl w:ilvl="2" w:tplc="0C09001B" w:tentative="1">
      <w:start w:val="1"/>
      <w:numFmt w:val="lowerRoman"/>
      <w:lvlText w:val="%3."/>
      <w:lvlJc w:val="right"/>
      <w:pPr>
        <w:ind w:left="2821" w:hanging="180"/>
      </w:pPr>
    </w:lvl>
    <w:lvl w:ilvl="3" w:tplc="0C09000F" w:tentative="1">
      <w:start w:val="1"/>
      <w:numFmt w:val="decimal"/>
      <w:lvlText w:val="%4."/>
      <w:lvlJc w:val="left"/>
      <w:pPr>
        <w:ind w:left="3541" w:hanging="360"/>
      </w:pPr>
    </w:lvl>
    <w:lvl w:ilvl="4" w:tplc="0C090019" w:tentative="1">
      <w:start w:val="1"/>
      <w:numFmt w:val="lowerLetter"/>
      <w:lvlText w:val="%5."/>
      <w:lvlJc w:val="left"/>
      <w:pPr>
        <w:ind w:left="4261" w:hanging="360"/>
      </w:pPr>
    </w:lvl>
    <w:lvl w:ilvl="5" w:tplc="0C09001B" w:tentative="1">
      <w:start w:val="1"/>
      <w:numFmt w:val="lowerRoman"/>
      <w:lvlText w:val="%6."/>
      <w:lvlJc w:val="right"/>
      <w:pPr>
        <w:ind w:left="4981" w:hanging="180"/>
      </w:pPr>
    </w:lvl>
    <w:lvl w:ilvl="6" w:tplc="0C09000F" w:tentative="1">
      <w:start w:val="1"/>
      <w:numFmt w:val="decimal"/>
      <w:lvlText w:val="%7."/>
      <w:lvlJc w:val="left"/>
      <w:pPr>
        <w:ind w:left="5701" w:hanging="360"/>
      </w:pPr>
    </w:lvl>
    <w:lvl w:ilvl="7" w:tplc="0C090019" w:tentative="1">
      <w:start w:val="1"/>
      <w:numFmt w:val="lowerLetter"/>
      <w:lvlText w:val="%8."/>
      <w:lvlJc w:val="left"/>
      <w:pPr>
        <w:ind w:left="6421" w:hanging="360"/>
      </w:pPr>
    </w:lvl>
    <w:lvl w:ilvl="8" w:tplc="0C0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402812A1"/>
    <w:multiLevelType w:val="hybridMultilevel"/>
    <w:tmpl w:val="03D44848"/>
    <w:lvl w:ilvl="0" w:tplc="91C24C9A">
      <w:start w:val="1"/>
      <w:numFmt w:val="lowerLetter"/>
      <w:lvlText w:val="(%1)"/>
      <w:lvlJc w:val="left"/>
      <w:pPr>
        <w:ind w:left="17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14" w:hanging="360"/>
      </w:pPr>
    </w:lvl>
    <w:lvl w:ilvl="2" w:tplc="0C09001B" w:tentative="1">
      <w:start w:val="1"/>
      <w:numFmt w:val="lowerRoman"/>
      <w:lvlText w:val="%3."/>
      <w:lvlJc w:val="right"/>
      <w:pPr>
        <w:ind w:left="3234" w:hanging="180"/>
      </w:pPr>
    </w:lvl>
    <w:lvl w:ilvl="3" w:tplc="0C09000F" w:tentative="1">
      <w:start w:val="1"/>
      <w:numFmt w:val="decimal"/>
      <w:lvlText w:val="%4."/>
      <w:lvlJc w:val="left"/>
      <w:pPr>
        <w:ind w:left="3954" w:hanging="360"/>
      </w:pPr>
    </w:lvl>
    <w:lvl w:ilvl="4" w:tplc="0C090019" w:tentative="1">
      <w:start w:val="1"/>
      <w:numFmt w:val="lowerLetter"/>
      <w:lvlText w:val="%5."/>
      <w:lvlJc w:val="left"/>
      <w:pPr>
        <w:ind w:left="4674" w:hanging="360"/>
      </w:pPr>
    </w:lvl>
    <w:lvl w:ilvl="5" w:tplc="0C09001B" w:tentative="1">
      <w:start w:val="1"/>
      <w:numFmt w:val="lowerRoman"/>
      <w:lvlText w:val="%6."/>
      <w:lvlJc w:val="right"/>
      <w:pPr>
        <w:ind w:left="5394" w:hanging="180"/>
      </w:pPr>
    </w:lvl>
    <w:lvl w:ilvl="6" w:tplc="0C09000F" w:tentative="1">
      <w:start w:val="1"/>
      <w:numFmt w:val="decimal"/>
      <w:lvlText w:val="%7."/>
      <w:lvlJc w:val="left"/>
      <w:pPr>
        <w:ind w:left="6114" w:hanging="360"/>
      </w:pPr>
    </w:lvl>
    <w:lvl w:ilvl="7" w:tplc="0C090019" w:tentative="1">
      <w:start w:val="1"/>
      <w:numFmt w:val="lowerLetter"/>
      <w:lvlText w:val="%8."/>
      <w:lvlJc w:val="left"/>
      <w:pPr>
        <w:ind w:left="6834" w:hanging="360"/>
      </w:pPr>
    </w:lvl>
    <w:lvl w:ilvl="8" w:tplc="0C09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16" w15:restartNumberingAfterBreak="0">
    <w:nsid w:val="4B0D7557"/>
    <w:multiLevelType w:val="hybridMultilevel"/>
    <w:tmpl w:val="6632FE20"/>
    <w:lvl w:ilvl="0" w:tplc="6396ED34">
      <w:start w:val="1"/>
      <w:numFmt w:val="lowerLetter"/>
      <w:lvlText w:val="(%1)"/>
      <w:lvlJc w:val="left"/>
      <w:pPr>
        <w:ind w:left="17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14" w:hanging="360"/>
      </w:pPr>
    </w:lvl>
    <w:lvl w:ilvl="2" w:tplc="0C09001B" w:tentative="1">
      <w:start w:val="1"/>
      <w:numFmt w:val="lowerRoman"/>
      <w:lvlText w:val="%3."/>
      <w:lvlJc w:val="right"/>
      <w:pPr>
        <w:ind w:left="3234" w:hanging="180"/>
      </w:pPr>
    </w:lvl>
    <w:lvl w:ilvl="3" w:tplc="0C09000F" w:tentative="1">
      <w:start w:val="1"/>
      <w:numFmt w:val="decimal"/>
      <w:lvlText w:val="%4."/>
      <w:lvlJc w:val="left"/>
      <w:pPr>
        <w:ind w:left="3954" w:hanging="360"/>
      </w:pPr>
    </w:lvl>
    <w:lvl w:ilvl="4" w:tplc="0C090019" w:tentative="1">
      <w:start w:val="1"/>
      <w:numFmt w:val="lowerLetter"/>
      <w:lvlText w:val="%5."/>
      <w:lvlJc w:val="left"/>
      <w:pPr>
        <w:ind w:left="4674" w:hanging="360"/>
      </w:pPr>
    </w:lvl>
    <w:lvl w:ilvl="5" w:tplc="0C09001B" w:tentative="1">
      <w:start w:val="1"/>
      <w:numFmt w:val="lowerRoman"/>
      <w:lvlText w:val="%6."/>
      <w:lvlJc w:val="right"/>
      <w:pPr>
        <w:ind w:left="5394" w:hanging="180"/>
      </w:pPr>
    </w:lvl>
    <w:lvl w:ilvl="6" w:tplc="0C09000F" w:tentative="1">
      <w:start w:val="1"/>
      <w:numFmt w:val="decimal"/>
      <w:lvlText w:val="%7."/>
      <w:lvlJc w:val="left"/>
      <w:pPr>
        <w:ind w:left="6114" w:hanging="360"/>
      </w:pPr>
    </w:lvl>
    <w:lvl w:ilvl="7" w:tplc="0C090019" w:tentative="1">
      <w:start w:val="1"/>
      <w:numFmt w:val="lowerLetter"/>
      <w:lvlText w:val="%8."/>
      <w:lvlJc w:val="left"/>
      <w:pPr>
        <w:ind w:left="6834" w:hanging="360"/>
      </w:pPr>
    </w:lvl>
    <w:lvl w:ilvl="8" w:tplc="0C09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17" w15:restartNumberingAfterBreak="0">
    <w:nsid w:val="4E960CA6"/>
    <w:multiLevelType w:val="hybridMultilevel"/>
    <w:tmpl w:val="6E901D62"/>
    <w:lvl w:ilvl="0" w:tplc="AE42BB14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55904965">
    <w:abstractNumId w:val="9"/>
  </w:num>
  <w:num w:numId="2" w16cid:durableId="1238907273">
    <w:abstractNumId w:val="7"/>
  </w:num>
  <w:num w:numId="3" w16cid:durableId="1338727643">
    <w:abstractNumId w:val="6"/>
  </w:num>
  <w:num w:numId="4" w16cid:durableId="116416749">
    <w:abstractNumId w:val="5"/>
  </w:num>
  <w:num w:numId="5" w16cid:durableId="243491630">
    <w:abstractNumId w:val="4"/>
  </w:num>
  <w:num w:numId="6" w16cid:durableId="554588371">
    <w:abstractNumId w:val="8"/>
  </w:num>
  <w:num w:numId="7" w16cid:durableId="1763455880">
    <w:abstractNumId w:val="3"/>
  </w:num>
  <w:num w:numId="8" w16cid:durableId="219218837">
    <w:abstractNumId w:val="2"/>
  </w:num>
  <w:num w:numId="9" w16cid:durableId="290401187">
    <w:abstractNumId w:val="1"/>
  </w:num>
  <w:num w:numId="10" w16cid:durableId="145634513">
    <w:abstractNumId w:val="0"/>
  </w:num>
  <w:num w:numId="11" w16cid:durableId="270821162">
    <w:abstractNumId w:val="14"/>
  </w:num>
  <w:num w:numId="12" w16cid:durableId="1497963122">
    <w:abstractNumId w:val="10"/>
  </w:num>
  <w:num w:numId="13" w16cid:durableId="1932009599">
    <w:abstractNumId w:val="12"/>
  </w:num>
  <w:num w:numId="14" w16cid:durableId="307320365">
    <w:abstractNumId w:val="17"/>
  </w:num>
  <w:num w:numId="15" w16cid:durableId="602342774">
    <w:abstractNumId w:val="16"/>
  </w:num>
  <w:num w:numId="16" w16cid:durableId="1962346951">
    <w:abstractNumId w:val="15"/>
  </w:num>
  <w:num w:numId="17" w16cid:durableId="239025358">
    <w:abstractNumId w:val="13"/>
  </w:num>
  <w:num w:numId="18" w16cid:durableId="1037695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B9F"/>
    <w:rsid w:val="000003F8"/>
    <w:rsid w:val="00004174"/>
    <w:rsid w:val="00004470"/>
    <w:rsid w:val="000136AF"/>
    <w:rsid w:val="00014EE1"/>
    <w:rsid w:val="000258B1"/>
    <w:rsid w:val="00040A22"/>
    <w:rsid w:val="00040A89"/>
    <w:rsid w:val="000437C1"/>
    <w:rsid w:val="0004397B"/>
    <w:rsid w:val="0004455A"/>
    <w:rsid w:val="000445D4"/>
    <w:rsid w:val="0005365D"/>
    <w:rsid w:val="00054F9C"/>
    <w:rsid w:val="00056567"/>
    <w:rsid w:val="00056670"/>
    <w:rsid w:val="000600CF"/>
    <w:rsid w:val="00061391"/>
    <w:rsid w:val="000614BF"/>
    <w:rsid w:val="00061D99"/>
    <w:rsid w:val="00063F2F"/>
    <w:rsid w:val="0006709C"/>
    <w:rsid w:val="00067291"/>
    <w:rsid w:val="00070F3C"/>
    <w:rsid w:val="00074376"/>
    <w:rsid w:val="00085F04"/>
    <w:rsid w:val="00090544"/>
    <w:rsid w:val="000978F5"/>
    <w:rsid w:val="00097939"/>
    <w:rsid w:val="000A6268"/>
    <w:rsid w:val="000A6CA6"/>
    <w:rsid w:val="000A6FFD"/>
    <w:rsid w:val="000A7D6B"/>
    <w:rsid w:val="000B15CD"/>
    <w:rsid w:val="000B2FB0"/>
    <w:rsid w:val="000B35EB"/>
    <w:rsid w:val="000B380C"/>
    <w:rsid w:val="000B62DD"/>
    <w:rsid w:val="000C2277"/>
    <w:rsid w:val="000D05EF"/>
    <w:rsid w:val="000E2261"/>
    <w:rsid w:val="000E3F7C"/>
    <w:rsid w:val="000E544B"/>
    <w:rsid w:val="000E78B7"/>
    <w:rsid w:val="000F21C1"/>
    <w:rsid w:val="000F31DC"/>
    <w:rsid w:val="0010745C"/>
    <w:rsid w:val="00112DEF"/>
    <w:rsid w:val="00115EA4"/>
    <w:rsid w:val="00117AA9"/>
    <w:rsid w:val="0012144D"/>
    <w:rsid w:val="00132CEB"/>
    <w:rsid w:val="001339B0"/>
    <w:rsid w:val="00134512"/>
    <w:rsid w:val="00136614"/>
    <w:rsid w:val="00137E7F"/>
    <w:rsid w:val="00140742"/>
    <w:rsid w:val="00142B62"/>
    <w:rsid w:val="001441B7"/>
    <w:rsid w:val="00145A4C"/>
    <w:rsid w:val="0015014D"/>
    <w:rsid w:val="001506CE"/>
    <w:rsid w:val="00150E9D"/>
    <w:rsid w:val="001516CB"/>
    <w:rsid w:val="00152336"/>
    <w:rsid w:val="00157B8B"/>
    <w:rsid w:val="0016062E"/>
    <w:rsid w:val="00163892"/>
    <w:rsid w:val="00166C2F"/>
    <w:rsid w:val="001809D7"/>
    <w:rsid w:val="001939E1"/>
    <w:rsid w:val="00194C3E"/>
    <w:rsid w:val="00195382"/>
    <w:rsid w:val="001B2CB6"/>
    <w:rsid w:val="001C61C5"/>
    <w:rsid w:val="001C69C4"/>
    <w:rsid w:val="001D37EF"/>
    <w:rsid w:val="001D65CB"/>
    <w:rsid w:val="001E1D8E"/>
    <w:rsid w:val="001E3590"/>
    <w:rsid w:val="001E7407"/>
    <w:rsid w:val="001F4AC1"/>
    <w:rsid w:val="001F5D5E"/>
    <w:rsid w:val="001F6219"/>
    <w:rsid w:val="001F6CD4"/>
    <w:rsid w:val="00203E4D"/>
    <w:rsid w:val="00206C4D"/>
    <w:rsid w:val="0021522D"/>
    <w:rsid w:val="00215AF1"/>
    <w:rsid w:val="002321E8"/>
    <w:rsid w:val="00232984"/>
    <w:rsid w:val="0024010F"/>
    <w:rsid w:val="00240749"/>
    <w:rsid w:val="00243018"/>
    <w:rsid w:val="002454D6"/>
    <w:rsid w:val="00255289"/>
    <w:rsid w:val="002564A4"/>
    <w:rsid w:val="00261EC8"/>
    <w:rsid w:val="002638C1"/>
    <w:rsid w:val="00266D50"/>
    <w:rsid w:val="0026736C"/>
    <w:rsid w:val="00275CEF"/>
    <w:rsid w:val="00281308"/>
    <w:rsid w:val="00284719"/>
    <w:rsid w:val="0028500A"/>
    <w:rsid w:val="00297ECB"/>
    <w:rsid w:val="002A5987"/>
    <w:rsid w:val="002A7BCF"/>
    <w:rsid w:val="002C1F5B"/>
    <w:rsid w:val="002C3FD1"/>
    <w:rsid w:val="002C63AF"/>
    <w:rsid w:val="002D043A"/>
    <w:rsid w:val="002D266B"/>
    <w:rsid w:val="002D3687"/>
    <w:rsid w:val="002D6224"/>
    <w:rsid w:val="002E08DE"/>
    <w:rsid w:val="002E4DB8"/>
    <w:rsid w:val="002F6244"/>
    <w:rsid w:val="0030399E"/>
    <w:rsid w:val="00304F8B"/>
    <w:rsid w:val="00305665"/>
    <w:rsid w:val="00335BC6"/>
    <w:rsid w:val="0033705C"/>
    <w:rsid w:val="003415D3"/>
    <w:rsid w:val="0034416C"/>
    <w:rsid w:val="00344338"/>
    <w:rsid w:val="00344701"/>
    <w:rsid w:val="003523CE"/>
    <w:rsid w:val="00352B0F"/>
    <w:rsid w:val="00353BA5"/>
    <w:rsid w:val="00353D67"/>
    <w:rsid w:val="0035441E"/>
    <w:rsid w:val="003546B8"/>
    <w:rsid w:val="00360459"/>
    <w:rsid w:val="003767E2"/>
    <w:rsid w:val="0038049F"/>
    <w:rsid w:val="00382091"/>
    <w:rsid w:val="00394087"/>
    <w:rsid w:val="00394BBB"/>
    <w:rsid w:val="0039558A"/>
    <w:rsid w:val="003968BF"/>
    <w:rsid w:val="003A6760"/>
    <w:rsid w:val="003B0E68"/>
    <w:rsid w:val="003B2474"/>
    <w:rsid w:val="003B4349"/>
    <w:rsid w:val="003C6231"/>
    <w:rsid w:val="003D0BFE"/>
    <w:rsid w:val="003D5700"/>
    <w:rsid w:val="003E341B"/>
    <w:rsid w:val="003E4D00"/>
    <w:rsid w:val="003F0DBB"/>
    <w:rsid w:val="003F7BAD"/>
    <w:rsid w:val="004060B4"/>
    <w:rsid w:val="0040627B"/>
    <w:rsid w:val="004116CD"/>
    <w:rsid w:val="0041674F"/>
    <w:rsid w:val="00417EB9"/>
    <w:rsid w:val="00420D0D"/>
    <w:rsid w:val="00420E3B"/>
    <w:rsid w:val="00420FAB"/>
    <w:rsid w:val="00424CA9"/>
    <w:rsid w:val="004262BA"/>
    <w:rsid w:val="004276DF"/>
    <w:rsid w:val="00431614"/>
    <w:rsid w:val="00431E9B"/>
    <w:rsid w:val="004379E3"/>
    <w:rsid w:val="0044015E"/>
    <w:rsid w:val="0044291A"/>
    <w:rsid w:val="00454420"/>
    <w:rsid w:val="00456237"/>
    <w:rsid w:val="004607EB"/>
    <w:rsid w:val="004632EF"/>
    <w:rsid w:val="004655BE"/>
    <w:rsid w:val="00467661"/>
    <w:rsid w:val="00472DBE"/>
    <w:rsid w:val="00474A19"/>
    <w:rsid w:val="00476F60"/>
    <w:rsid w:val="00477830"/>
    <w:rsid w:val="004812D0"/>
    <w:rsid w:val="00485CB7"/>
    <w:rsid w:val="00487764"/>
    <w:rsid w:val="004912A7"/>
    <w:rsid w:val="00494171"/>
    <w:rsid w:val="00496F97"/>
    <w:rsid w:val="004A1634"/>
    <w:rsid w:val="004A2B46"/>
    <w:rsid w:val="004A7D53"/>
    <w:rsid w:val="004B201D"/>
    <w:rsid w:val="004B4F14"/>
    <w:rsid w:val="004B6C48"/>
    <w:rsid w:val="004C4E59"/>
    <w:rsid w:val="004C6809"/>
    <w:rsid w:val="004E063A"/>
    <w:rsid w:val="004E1307"/>
    <w:rsid w:val="004E18DF"/>
    <w:rsid w:val="004E7BEC"/>
    <w:rsid w:val="00501636"/>
    <w:rsid w:val="00505D3D"/>
    <w:rsid w:val="00506AF6"/>
    <w:rsid w:val="00514596"/>
    <w:rsid w:val="00516B8D"/>
    <w:rsid w:val="005303C8"/>
    <w:rsid w:val="0053176D"/>
    <w:rsid w:val="00537FBC"/>
    <w:rsid w:val="0054001E"/>
    <w:rsid w:val="0054648F"/>
    <w:rsid w:val="00551BF1"/>
    <w:rsid w:val="00553B9F"/>
    <w:rsid w:val="005540D9"/>
    <w:rsid w:val="00554826"/>
    <w:rsid w:val="00555E3E"/>
    <w:rsid w:val="00557C3A"/>
    <w:rsid w:val="00562877"/>
    <w:rsid w:val="005662E5"/>
    <w:rsid w:val="005716BB"/>
    <w:rsid w:val="00571C02"/>
    <w:rsid w:val="00584811"/>
    <w:rsid w:val="00585315"/>
    <w:rsid w:val="00585784"/>
    <w:rsid w:val="00590445"/>
    <w:rsid w:val="00593AA6"/>
    <w:rsid w:val="00594161"/>
    <w:rsid w:val="00594749"/>
    <w:rsid w:val="00596D68"/>
    <w:rsid w:val="005A2628"/>
    <w:rsid w:val="005A5A5A"/>
    <w:rsid w:val="005A65D5"/>
    <w:rsid w:val="005B4067"/>
    <w:rsid w:val="005C3F41"/>
    <w:rsid w:val="005D1D92"/>
    <w:rsid w:val="005D2D09"/>
    <w:rsid w:val="005D3338"/>
    <w:rsid w:val="00600219"/>
    <w:rsid w:val="006003C5"/>
    <w:rsid w:val="00602307"/>
    <w:rsid w:val="00604059"/>
    <w:rsid w:val="00604F2A"/>
    <w:rsid w:val="006105EA"/>
    <w:rsid w:val="00620076"/>
    <w:rsid w:val="00621998"/>
    <w:rsid w:val="0062315B"/>
    <w:rsid w:val="00627E0A"/>
    <w:rsid w:val="00630BD1"/>
    <w:rsid w:val="00646D36"/>
    <w:rsid w:val="006536B4"/>
    <w:rsid w:val="0065488B"/>
    <w:rsid w:val="00657270"/>
    <w:rsid w:val="0066148E"/>
    <w:rsid w:val="0066270C"/>
    <w:rsid w:val="00666D8F"/>
    <w:rsid w:val="00670EA1"/>
    <w:rsid w:val="0067105E"/>
    <w:rsid w:val="006761E5"/>
    <w:rsid w:val="00677CC2"/>
    <w:rsid w:val="0068744B"/>
    <w:rsid w:val="006905DE"/>
    <w:rsid w:val="0069207B"/>
    <w:rsid w:val="00694822"/>
    <w:rsid w:val="006A154F"/>
    <w:rsid w:val="006A23A3"/>
    <w:rsid w:val="006A437B"/>
    <w:rsid w:val="006A45A9"/>
    <w:rsid w:val="006A461F"/>
    <w:rsid w:val="006B5789"/>
    <w:rsid w:val="006B5863"/>
    <w:rsid w:val="006C0F5D"/>
    <w:rsid w:val="006C3060"/>
    <w:rsid w:val="006C30C5"/>
    <w:rsid w:val="006C7F8C"/>
    <w:rsid w:val="006D3F6A"/>
    <w:rsid w:val="006D642D"/>
    <w:rsid w:val="006E2E1C"/>
    <w:rsid w:val="006E54F3"/>
    <w:rsid w:val="006E6246"/>
    <w:rsid w:val="006E69C2"/>
    <w:rsid w:val="006E6DCC"/>
    <w:rsid w:val="006F318F"/>
    <w:rsid w:val="006F436A"/>
    <w:rsid w:val="006F5196"/>
    <w:rsid w:val="006F5A90"/>
    <w:rsid w:val="0070017E"/>
    <w:rsid w:val="00700B2C"/>
    <w:rsid w:val="007050A2"/>
    <w:rsid w:val="00706972"/>
    <w:rsid w:val="00713084"/>
    <w:rsid w:val="00714F20"/>
    <w:rsid w:val="0071590F"/>
    <w:rsid w:val="00715914"/>
    <w:rsid w:val="0072147A"/>
    <w:rsid w:val="007226E8"/>
    <w:rsid w:val="00723791"/>
    <w:rsid w:val="00727EFD"/>
    <w:rsid w:val="00731E00"/>
    <w:rsid w:val="00733497"/>
    <w:rsid w:val="007440B7"/>
    <w:rsid w:val="0074767D"/>
    <w:rsid w:val="007500C8"/>
    <w:rsid w:val="00753C86"/>
    <w:rsid w:val="0075427C"/>
    <w:rsid w:val="00755627"/>
    <w:rsid w:val="00756272"/>
    <w:rsid w:val="00760562"/>
    <w:rsid w:val="00762D38"/>
    <w:rsid w:val="007715C9"/>
    <w:rsid w:val="00771613"/>
    <w:rsid w:val="00774EDD"/>
    <w:rsid w:val="007757EC"/>
    <w:rsid w:val="00780AD7"/>
    <w:rsid w:val="00783E89"/>
    <w:rsid w:val="00786367"/>
    <w:rsid w:val="00793915"/>
    <w:rsid w:val="00793B7C"/>
    <w:rsid w:val="00795A2B"/>
    <w:rsid w:val="00796774"/>
    <w:rsid w:val="007A44E7"/>
    <w:rsid w:val="007A4669"/>
    <w:rsid w:val="007B6B54"/>
    <w:rsid w:val="007C2253"/>
    <w:rsid w:val="007C42F4"/>
    <w:rsid w:val="007D5EEA"/>
    <w:rsid w:val="007D7911"/>
    <w:rsid w:val="007E163D"/>
    <w:rsid w:val="007E24DB"/>
    <w:rsid w:val="007E64AD"/>
    <w:rsid w:val="007E667A"/>
    <w:rsid w:val="007E69A9"/>
    <w:rsid w:val="007F28C9"/>
    <w:rsid w:val="007F328E"/>
    <w:rsid w:val="007F39BC"/>
    <w:rsid w:val="007F51B2"/>
    <w:rsid w:val="00801E4B"/>
    <w:rsid w:val="00803A2B"/>
    <w:rsid w:val="00803D9C"/>
    <w:rsid w:val="008040DD"/>
    <w:rsid w:val="008117E9"/>
    <w:rsid w:val="00824498"/>
    <w:rsid w:val="00826BD1"/>
    <w:rsid w:val="00826FDC"/>
    <w:rsid w:val="008276E4"/>
    <w:rsid w:val="00847152"/>
    <w:rsid w:val="008477EF"/>
    <w:rsid w:val="00854D0B"/>
    <w:rsid w:val="008553A5"/>
    <w:rsid w:val="00856A31"/>
    <w:rsid w:val="00860B4E"/>
    <w:rsid w:val="00867B37"/>
    <w:rsid w:val="008740E1"/>
    <w:rsid w:val="0087480C"/>
    <w:rsid w:val="008754D0"/>
    <w:rsid w:val="00875D13"/>
    <w:rsid w:val="008855C9"/>
    <w:rsid w:val="00886117"/>
    <w:rsid w:val="00886456"/>
    <w:rsid w:val="0089155A"/>
    <w:rsid w:val="00895175"/>
    <w:rsid w:val="00896176"/>
    <w:rsid w:val="008A1F1E"/>
    <w:rsid w:val="008A46E1"/>
    <w:rsid w:val="008A4F43"/>
    <w:rsid w:val="008B2706"/>
    <w:rsid w:val="008B4391"/>
    <w:rsid w:val="008C2EAC"/>
    <w:rsid w:val="008C3F79"/>
    <w:rsid w:val="008D0EE0"/>
    <w:rsid w:val="008E0027"/>
    <w:rsid w:val="008E6067"/>
    <w:rsid w:val="008E69F4"/>
    <w:rsid w:val="008F3B2A"/>
    <w:rsid w:val="008F54E7"/>
    <w:rsid w:val="00902F46"/>
    <w:rsid w:val="00903422"/>
    <w:rsid w:val="00903B8B"/>
    <w:rsid w:val="00904250"/>
    <w:rsid w:val="009109E3"/>
    <w:rsid w:val="009254C3"/>
    <w:rsid w:val="00930718"/>
    <w:rsid w:val="00931C78"/>
    <w:rsid w:val="00932377"/>
    <w:rsid w:val="00941236"/>
    <w:rsid w:val="00943FD5"/>
    <w:rsid w:val="00947D5A"/>
    <w:rsid w:val="00950E44"/>
    <w:rsid w:val="009523A2"/>
    <w:rsid w:val="009532A5"/>
    <w:rsid w:val="009545BD"/>
    <w:rsid w:val="00964CF0"/>
    <w:rsid w:val="00971165"/>
    <w:rsid w:val="00977806"/>
    <w:rsid w:val="00982242"/>
    <w:rsid w:val="009829F5"/>
    <w:rsid w:val="00984ED8"/>
    <w:rsid w:val="009868E9"/>
    <w:rsid w:val="009900A3"/>
    <w:rsid w:val="00994886"/>
    <w:rsid w:val="0099618E"/>
    <w:rsid w:val="00996E2E"/>
    <w:rsid w:val="009B3E57"/>
    <w:rsid w:val="009B6A7A"/>
    <w:rsid w:val="009C3413"/>
    <w:rsid w:val="009D4192"/>
    <w:rsid w:val="009E76F6"/>
    <w:rsid w:val="00A022D3"/>
    <w:rsid w:val="00A02454"/>
    <w:rsid w:val="00A029ED"/>
    <w:rsid w:val="00A0441E"/>
    <w:rsid w:val="00A12128"/>
    <w:rsid w:val="00A227A3"/>
    <w:rsid w:val="00A22C98"/>
    <w:rsid w:val="00A231E2"/>
    <w:rsid w:val="00A2565B"/>
    <w:rsid w:val="00A2664A"/>
    <w:rsid w:val="00A35A47"/>
    <w:rsid w:val="00A369E3"/>
    <w:rsid w:val="00A43254"/>
    <w:rsid w:val="00A45613"/>
    <w:rsid w:val="00A51AD4"/>
    <w:rsid w:val="00A57600"/>
    <w:rsid w:val="00A64912"/>
    <w:rsid w:val="00A652A3"/>
    <w:rsid w:val="00A67F40"/>
    <w:rsid w:val="00A70A74"/>
    <w:rsid w:val="00A74FA5"/>
    <w:rsid w:val="00A75FE9"/>
    <w:rsid w:val="00A8306A"/>
    <w:rsid w:val="00A90AD8"/>
    <w:rsid w:val="00AA0993"/>
    <w:rsid w:val="00AA4704"/>
    <w:rsid w:val="00AA49B0"/>
    <w:rsid w:val="00AA7E5A"/>
    <w:rsid w:val="00AB3FAA"/>
    <w:rsid w:val="00AC48C7"/>
    <w:rsid w:val="00AD0B5D"/>
    <w:rsid w:val="00AD2273"/>
    <w:rsid w:val="00AD53CC"/>
    <w:rsid w:val="00AD5641"/>
    <w:rsid w:val="00AF06CF"/>
    <w:rsid w:val="00AF35E8"/>
    <w:rsid w:val="00AF58DB"/>
    <w:rsid w:val="00B024EC"/>
    <w:rsid w:val="00B03F09"/>
    <w:rsid w:val="00B07CDB"/>
    <w:rsid w:val="00B16A31"/>
    <w:rsid w:val="00B17DFD"/>
    <w:rsid w:val="00B248EF"/>
    <w:rsid w:val="00B25306"/>
    <w:rsid w:val="00B27831"/>
    <w:rsid w:val="00B308FE"/>
    <w:rsid w:val="00B33709"/>
    <w:rsid w:val="00B33B3C"/>
    <w:rsid w:val="00B3572E"/>
    <w:rsid w:val="00B36392"/>
    <w:rsid w:val="00B418CB"/>
    <w:rsid w:val="00B47444"/>
    <w:rsid w:val="00B50ADC"/>
    <w:rsid w:val="00B52932"/>
    <w:rsid w:val="00B566B1"/>
    <w:rsid w:val="00B57970"/>
    <w:rsid w:val="00B63834"/>
    <w:rsid w:val="00B80199"/>
    <w:rsid w:val="00B8221E"/>
    <w:rsid w:val="00B8248E"/>
    <w:rsid w:val="00B83204"/>
    <w:rsid w:val="00B85035"/>
    <w:rsid w:val="00B856E7"/>
    <w:rsid w:val="00B919B4"/>
    <w:rsid w:val="00B96546"/>
    <w:rsid w:val="00BA220B"/>
    <w:rsid w:val="00BA3A57"/>
    <w:rsid w:val="00BB1533"/>
    <w:rsid w:val="00BB4E1A"/>
    <w:rsid w:val="00BC015E"/>
    <w:rsid w:val="00BC5D2E"/>
    <w:rsid w:val="00BC5D77"/>
    <w:rsid w:val="00BC76AC"/>
    <w:rsid w:val="00BD0ECB"/>
    <w:rsid w:val="00BD60BA"/>
    <w:rsid w:val="00BE1CDB"/>
    <w:rsid w:val="00BE2155"/>
    <w:rsid w:val="00BE2B4D"/>
    <w:rsid w:val="00BE315D"/>
    <w:rsid w:val="00BE440A"/>
    <w:rsid w:val="00BE719A"/>
    <w:rsid w:val="00BE720A"/>
    <w:rsid w:val="00BF0D73"/>
    <w:rsid w:val="00BF2465"/>
    <w:rsid w:val="00C11B83"/>
    <w:rsid w:val="00C14457"/>
    <w:rsid w:val="00C16619"/>
    <w:rsid w:val="00C2088C"/>
    <w:rsid w:val="00C25E7F"/>
    <w:rsid w:val="00C26B6B"/>
    <w:rsid w:val="00C2746F"/>
    <w:rsid w:val="00C323D6"/>
    <w:rsid w:val="00C324A0"/>
    <w:rsid w:val="00C34350"/>
    <w:rsid w:val="00C35E3D"/>
    <w:rsid w:val="00C42BF8"/>
    <w:rsid w:val="00C477DA"/>
    <w:rsid w:val="00C50043"/>
    <w:rsid w:val="00C519A6"/>
    <w:rsid w:val="00C53413"/>
    <w:rsid w:val="00C61487"/>
    <w:rsid w:val="00C61837"/>
    <w:rsid w:val="00C726BA"/>
    <w:rsid w:val="00C7573B"/>
    <w:rsid w:val="00C95B65"/>
    <w:rsid w:val="00C9661E"/>
    <w:rsid w:val="00C97A54"/>
    <w:rsid w:val="00CA3FD6"/>
    <w:rsid w:val="00CA5B23"/>
    <w:rsid w:val="00CB190A"/>
    <w:rsid w:val="00CB3796"/>
    <w:rsid w:val="00CB5F2A"/>
    <w:rsid w:val="00CB602E"/>
    <w:rsid w:val="00CB7E90"/>
    <w:rsid w:val="00CC2206"/>
    <w:rsid w:val="00CD13C9"/>
    <w:rsid w:val="00CD4177"/>
    <w:rsid w:val="00CE051D"/>
    <w:rsid w:val="00CE1335"/>
    <w:rsid w:val="00CE3452"/>
    <w:rsid w:val="00CE493D"/>
    <w:rsid w:val="00CF07FA"/>
    <w:rsid w:val="00CF0BB2"/>
    <w:rsid w:val="00CF3EE8"/>
    <w:rsid w:val="00D02DB9"/>
    <w:rsid w:val="00D13441"/>
    <w:rsid w:val="00D13B73"/>
    <w:rsid w:val="00D150E7"/>
    <w:rsid w:val="00D1513A"/>
    <w:rsid w:val="00D419B8"/>
    <w:rsid w:val="00D52DC2"/>
    <w:rsid w:val="00D53BCC"/>
    <w:rsid w:val="00D54C9E"/>
    <w:rsid w:val="00D567C3"/>
    <w:rsid w:val="00D575C5"/>
    <w:rsid w:val="00D57EE1"/>
    <w:rsid w:val="00D62F86"/>
    <w:rsid w:val="00D632CD"/>
    <w:rsid w:val="00D6537E"/>
    <w:rsid w:val="00D653B9"/>
    <w:rsid w:val="00D70B23"/>
    <w:rsid w:val="00D70DFB"/>
    <w:rsid w:val="00D766DF"/>
    <w:rsid w:val="00D8206C"/>
    <w:rsid w:val="00D8543E"/>
    <w:rsid w:val="00D91F10"/>
    <w:rsid w:val="00D9247C"/>
    <w:rsid w:val="00D956ED"/>
    <w:rsid w:val="00D96C8C"/>
    <w:rsid w:val="00DA186E"/>
    <w:rsid w:val="00DA4116"/>
    <w:rsid w:val="00DA57CE"/>
    <w:rsid w:val="00DB0E62"/>
    <w:rsid w:val="00DB251C"/>
    <w:rsid w:val="00DB4630"/>
    <w:rsid w:val="00DC4F88"/>
    <w:rsid w:val="00DD57E4"/>
    <w:rsid w:val="00DE107C"/>
    <w:rsid w:val="00DE269D"/>
    <w:rsid w:val="00DF1C73"/>
    <w:rsid w:val="00DF2388"/>
    <w:rsid w:val="00DF27D8"/>
    <w:rsid w:val="00DF2C58"/>
    <w:rsid w:val="00DF65A6"/>
    <w:rsid w:val="00E05704"/>
    <w:rsid w:val="00E11BF6"/>
    <w:rsid w:val="00E13EBC"/>
    <w:rsid w:val="00E1428C"/>
    <w:rsid w:val="00E235D0"/>
    <w:rsid w:val="00E25AC9"/>
    <w:rsid w:val="00E30202"/>
    <w:rsid w:val="00E338EF"/>
    <w:rsid w:val="00E44EE0"/>
    <w:rsid w:val="00E544BB"/>
    <w:rsid w:val="00E61721"/>
    <w:rsid w:val="00E66A4F"/>
    <w:rsid w:val="00E70A52"/>
    <w:rsid w:val="00E74DC7"/>
    <w:rsid w:val="00E8075A"/>
    <w:rsid w:val="00E8402F"/>
    <w:rsid w:val="00E852F5"/>
    <w:rsid w:val="00E85CDC"/>
    <w:rsid w:val="00E90746"/>
    <w:rsid w:val="00E940D8"/>
    <w:rsid w:val="00E94D5E"/>
    <w:rsid w:val="00E95F10"/>
    <w:rsid w:val="00EA50FC"/>
    <w:rsid w:val="00EA7100"/>
    <w:rsid w:val="00EA7F9F"/>
    <w:rsid w:val="00EB1274"/>
    <w:rsid w:val="00EC69DD"/>
    <w:rsid w:val="00EC707A"/>
    <w:rsid w:val="00ED06A5"/>
    <w:rsid w:val="00ED2BB6"/>
    <w:rsid w:val="00ED34E1"/>
    <w:rsid w:val="00ED3B8D"/>
    <w:rsid w:val="00ED4163"/>
    <w:rsid w:val="00EE5E36"/>
    <w:rsid w:val="00EE6132"/>
    <w:rsid w:val="00EF2E3A"/>
    <w:rsid w:val="00F02C7C"/>
    <w:rsid w:val="00F072A7"/>
    <w:rsid w:val="00F078DC"/>
    <w:rsid w:val="00F22FDD"/>
    <w:rsid w:val="00F24AAE"/>
    <w:rsid w:val="00F32510"/>
    <w:rsid w:val="00F32539"/>
    <w:rsid w:val="00F32BA8"/>
    <w:rsid w:val="00F32EE0"/>
    <w:rsid w:val="00F349F1"/>
    <w:rsid w:val="00F358EA"/>
    <w:rsid w:val="00F4350D"/>
    <w:rsid w:val="00F448D9"/>
    <w:rsid w:val="00F479C4"/>
    <w:rsid w:val="00F567F7"/>
    <w:rsid w:val="00F61203"/>
    <w:rsid w:val="00F61899"/>
    <w:rsid w:val="00F61AC7"/>
    <w:rsid w:val="00F6541D"/>
    <w:rsid w:val="00F6696E"/>
    <w:rsid w:val="00F66EC4"/>
    <w:rsid w:val="00F679F5"/>
    <w:rsid w:val="00F73BD6"/>
    <w:rsid w:val="00F74FF2"/>
    <w:rsid w:val="00F83989"/>
    <w:rsid w:val="00F85099"/>
    <w:rsid w:val="00F9288F"/>
    <w:rsid w:val="00F9379C"/>
    <w:rsid w:val="00F957CB"/>
    <w:rsid w:val="00F9632C"/>
    <w:rsid w:val="00F978CE"/>
    <w:rsid w:val="00FA0CFA"/>
    <w:rsid w:val="00FA1E52"/>
    <w:rsid w:val="00FB5A08"/>
    <w:rsid w:val="00FB5BEB"/>
    <w:rsid w:val="00FB6A00"/>
    <w:rsid w:val="00FC0682"/>
    <w:rsid w:val="00FC1837"/>
    <w:rsid w:val="00FC6A80"/>
    <w:rsid w:val="00FE0E1B"/>
    <w:rsid w:val="00FE1241"/>
    <w:rsid w:val="00FE4688"/>
    <w:rsid w:val="00FF1B8F"/>
    <w:rsid w:val="00FF468C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823F99"/>
  <w15:docId w15:val="{17E787B7-E9AE-4956-B855-48D51B368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7E64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64A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64A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4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64AD"/>
    <w:rPr>
      <w:b/>
      <w:bCs/>
    </w:rPr>
  </w:style>
  <w:style w:type="character" w:styleId="Hyperlink">
    <w:name w:val="Hyperlink"/>
    <w:basedOn w:val="DefaultParagraphFont"/>
    <w:uiPriority w:val="99"/>
    <w:unhideWhenUsed/>
    <w:rsid w:val="001638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389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95A2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3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5A569-9F84-4416-92C9-E3FD6C16F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1013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Willis</dc:creator>
  <cp:keywords/>
  <dc:description/>
  <cp:lastModifiedBy>Peter Giasoumi</cp:lastModifiedBy>
  <cp:revision>4</cp:revision>
  <cp:lastPrinted>2025-03-27T04:39:00Z</cp:lastPrinted>
  <dcterms:created xsi:type="dcterms:W3CDTF">2025-08-08T00:21:00Z</dcterms:created>
  <dcterms:modified xsi:type="dcterms:W3CDTF">2025-09-04T23:12:00Z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0x0101006381614D443F4E45AD23A8BD133FEC9F00635C18BB39FA7C429D78CB442A1DCFA8</vt:lpwstr>
  </property>
  <property fmtid="{D5CDD505-2E9C-101B-9397-08002B2CF9AE}" pid="3" name="_dlc_DocIdItemGuid">
    <vt:lpwstr>2e7287c2-835c-437c-bfc8-e693ae277eb1</vt:lpwstr>
  </property>
  <property fmtid="{D5CDD505-2E9C-101B-9397-08002B2CF9AE}" pid="4" name="Security Classification">
    <vt:lpwstr>1;#OFFICIAL|5d128361-bbb7-4b9a-ac60-b26612a0ec1b</vt:lpwstr>
  </property>
  <property fmtid="{D5CDD505-2E9C-101B-9397-08002B2CF9AE}" pid="5" name="IsABRSLetter">
    <vt:bool>false</vt:bool>
  </property>
  <property fmtid="{D5CDD505-2E9C-101B-9397-08002B2CF9AE}" pid="6" name="Security_x0020_Classification">
    <vt:lpwstr>1;#OFFICIAL|5d128361-bbb7-4b9a-ac60-b26612a0ec1b</vt:lpwstr>
  </property>
  <property fmtid="{D5CDD505-2E9C-101B-9397-08002B2CF9AE}" pid="7" name="MediaServiceImageTags">
    <vt:lpwstr/>
  </property>
  <property fmtid="{D5CDD505-2E9C-101B-9397-08002B2CF9AE}" pid="8" name="MSIP_Label_1ff77f88-0a92-4c4a-b92a-f7fdfe5127c7_Enabled">
    <vt:lpwstr>true</vt:lpwstr>
  </property>
  <property fmtid="{D5CDD505-2E9C-101B-9397-08002B2CF9AE}" pid="9" name="MSIP_Label_1ff77f88-0a92-4c4a-b92a-f7fdfe5127c7_SetDate">
    <vt:lpwstr>2025-06-10T22:33:56Z</vt:lpwstr>
  </property>
  <property fmtid="{D5CDD505-2E9C-101B-9397-08002B2CF9AE}" pid="10" name="MSIP_Label_1ff77f88-0a92-4c4a-b92a-f7fdfe5127c7_Method">
    <vt:lpwstr>Privileged</vt:lpwstr>
  </property>
  <property fmtid="{D5CDD505-2E9C-101B-9397-08002B2CF9AE}" pid="11" name="MSIP_Label_1ff77f88-0a92-4c4a-b92a-f7fdfe5127c7_Name">
    <vt:lpwstr>OFFICIAL - Letterhead</vt:lpwstr>
  </property>
  <property fmtid="{D5CDD505-2E9C-101B-9397-08002B2CF9AE}" pid="12" name="MSIP_Label_1ff77f88-0a92-4c4a-b92a-f7fdfe5127c7_SiteId">
    <vt:lpwstr>8e823e99-cbcb-430f-a0f6-af1365c21e22</vt:lpwstr>
  </property>
  <property fmtid="{D5CDD505-2E9C-101B-9397-08002B2CF9AE}" pid="13" name="MSIP_Label_1ff77f88-0a92-4c4a-b92a-f7fdfe5127c7_ActionId">
    <vt:lpwstr>66620e2d-04f5-456c-8487-3892acfff7f1</vt:lpwstr>
  </property>
  <property fmtid="{D5CDD505-2E9C-101B-9397-08002B2CF9AE}" pid="14" name="MSIP_Label_1ff77f88-0a92-4c4a-b92a-f7fdfe5127c7_ContentBits">
    <vt:lpwstr>0</vt:lpwstr>
  </property>
</Properties>
</file>