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DCC9" w14:textId="3BA7E5F8" w:rsidR="00670C8D" w:rsidRPr="007B381B" w:rsidRDefault="008C5885" w:rsidP="00BF74BE">
      <w:pPr>
        <w:pStyle w:val="Heading1"/>
        <w:spacing w:before="0" w:after="0" w:line="240" w:lineRule="auto"/>
        <w:contextualSpacing/>
        <w:jc w:val="center"/>
        <w:rPr>
          <w:rFonts w:ascii="Times New Roman" w:hAnsi="Times New Roman"/>
          <w:b/>
          <w:sz w:val="22"/>
          <w:szCs w:val="22"/>
          <w:u w:val="single"/>
        </w:rPr>
      </w:pPr>
      <w:r w:rsidRPr="007B381B">
        <w:rPr>
          <w:rFonts w:ascii="Times New Roman" w:hAnsi="Times New Roman"/>
          <w:b/>
          <w:sz w:val="22"/>
          <w:szCs w:val="22"/>
          <w:u w:val="single"/>
        </w:rPr>
        <w:t>Administrative review Tribubal (consequential and transitional provisions no.</w:t>
      </w:r>
      <w:r w:rsidR="00F51466">
        <w:rPr>
          <w:rFonts w:ascii="Times New Roman" w:hAnsi="Times New Roman"/>
          <w:b/>
          <w:sz w:val="22"/>
          <w:szCs w:val="22"/>
          <w:u w:val="single"/>
        </w:rPr>
        <w:t xml:space="preserve"> </w:t>
      </w:r>
      <w:r w:rsidRPr="007B381B">
        <w:rPr>
          <w:rFonts w:ascii="Times New Roman" w:hAnsi="Times New Roman"/>
          <w:b/>
          <w:sz w:val="22"/>
          <w:szCs w:val="22"/>
          <w:u w:val="single"/>
        </w:rPr>
        <w:t xml:space="preserve">1) amendment rules </w:t>
      </w:r>
      <w:r w:rsidR="00CE550A" w:rsidRPr="007B381B">
        <w:rPr>
          <w:rFonts w:ascii="Times New Roman" w:hAnsi="Times New Roman"/>
          <w:b/>
          <w:sz w:val="22"/>
          <w:szCs w:val="22"/>
          <w:u w:val="single"/>
        </w:rPr>
        <w:t>(No.</w:t>
      </w:r>
      <w:r w:rsidR="00F51466">
        <w:rPr>
          <w:rFonts w:ascii="Times New Roman" w:hAnsi="Times New Roman"/>
          <w:b/>
          <w:sz w:val="22"/>
          <w:szCs w:val="22"/>
          <w:u w:val="single"/>
        </w:rPr>
        <w:t xml:space="preserve"> </w:t>
      </w:r>
      <w:r w:rsidR="00CE550A" w:rsidRPr="007B381B">
        <w:rPr>
          <w:rFonts w:ascii="Times New Roman" w:hAnsi="Times New Roman"/>
          <w:b/>
          <w:sz w:val="22"/>
          <w:szCs w:val="22"/>
          <w:u w:val="single"/>
        </w:rPr>
        <w:t>2) 2025</w:t>
      </w:r>
    </w:p>
    <w:p w14:paraId="09BFDCCA" w14:textId="77777777" w:rsidR="00670C8D" w:rsidRPr="007B381B" w:rsidRDefault="00670C8D" w:rsidP="00BF74BE">
      <w:pPr>
        <w:contextualSpacing/>
        <w:rPr>
          <w:rFonts w:ascii="Times New Roman" w:hAnsi="Times New Roman" w:cs="Times New Roman"/>
        </w:rPr>
      </w:pPr>
    </w:p>
    <w:p w14:paraId="09BFDCCB" w14:textId="77777777" w:rsidR="00670C8D" w:rsidRPr="007B381B" w:rsidRDefault="00670C8D" w:rsidP="00BF74BE">
      <w:pPr>
        <w:pStyle w:val="Heading1"/>
        <w:spacing w:before="0" w:after="0" w:line="240" w:lineRule="auto"/>
        <w:contextualSpacing/>
        <w:jc w:val="center"/>
        <w:rPr>
          <w:rFonts w:ascii="Times New Roman" w:hAnsi="Times New Roman"/>
          <w:b/>
          <w:sz w:val="22"/>
          <w:szCs w:val="22"/>
          <w:u w:val="single"/>
        </w:rPr>
      </w:pPr>
    </w:p>
    <w:p w14:paraId="146FF33D" w14:textId="46338480" w:rsidR="00012AD6" w:rsidRPr="007B381B" w:rsidRDefault="797FDF2D" w:rsidP="00BF74BE">
      <w:pPr>
        <w:pStyle w:val="Heading1"/>
        <w:spacing w:before="0" w:after="0" w:line="240" w:lineRule="auto"/>
        <w:contextualSpacing/>
        <w:jc w:val="center"/>
        <w:rPr>
          <w:rFonts w:ascii="Times New Roman" w:hAnsi="Times New Roman"/>
          <w:caps w:val="0"/>
          <w:sz w:val="22"/>
          <w:szCs w:val="22"/>
        </w:rPr>
      </w:pPr>
      <w:r w:rsidRPr="007B381B">
        <w:rPr>
          <w:rFonts w:ascii="Times New Roman" w:hAnsi="Times New Roman"/>
          <w:b/>
          <w:sz w:val="22"/>
          <w:szCs w:val="22"/>
          <w:u w:val="single"/>
        </w:rPr>
        <w:t xml:space="preserve">EXPLANATORY STATEMENT </w:t>
      </w:r>
      <w:r w:rsidR="002B361E" w:rsidRPr="007B381B">
        <w:rPr>
          <w:rFonts w:ascii="Times New Roman" w:hAnsi="Times New Roman"/>
          <w:sz w:val="22"/>
          <w:szCs w:val="22"/>
        </w:rPr>
        <w:br/>
      </w:r>
    </w:p>
    <w:p w14:paraId="09BFDCCE" w14:textId="6E8A7A61" w:rsidR="002B361E" w:rsidRPr="007B381B" w:rsidRDefault="002B361E" w:rsidP="00BF74BE">
      <w:pPr>
        <w:spacing w:line="360" w:lineRule="auto"/>
        <w:contextualSpacing/>
        <w:rPr>
          <w:rFonts w:ascii="Times New Roman" w:hAnsi="Times New Roman" w:cs="Times New Roman"/>
          <w:b/>
          <w:u w:val="single"/>
        </w:rPr>
      </w:pPr>
    </w:p>
    <w:p w14:paraId="5185DFEF" w14:textId="77777777" w:rsidR="00A023D9" w:rsidRPr="007B381B" w:rsidRDefault="00A023D9" w:rsidP="00BF74BE">
      <w:pPr>
        <w:spacing w:line="360" w:lineRule="auto"/>
        <w:contextualSpacing/>
        <w:rPr>
          <w:rFonts w:ascii="Times New Roman" w:hAnsi="Times New Roman" w:cs="Times New Roman"/>
          <w:b/>
          <w:u w:val="single"/>
        </w:rPr>
      </w:pPr>
    </w:p>
    <w:p w14:paraId="09BFDCCF" w14:textId="786663E3" w:rsidR="005D194A" w:rsidRPr="007B381B" w:rsidRDefault="797FDF2D" w:rsidP="00BF74BE">
      <w:pPr>
        <w:spacing w:line="360" w:lineRule="auto"/>
        <w:contextualSpacing/>
        <w:jc w:val="center"/>
        <w:rPr>
          <w:rFonts w:ascii="Times New Roman" w:hAnsi="Times New Roman" w:cs="Times New Roman"/>
        </w:rPr>
      </w:pPr>
      <w:r w:rsidRPr="007B381B">
        <w:rPr>
          <w:rFonts w:ascii="Times New Roman" w:hAnsi="Times New Roman" w:cs="Times New Roman"/>
        </w:rPr>
        <w:t xml:space="preserve">Issued by authority of the Attorney-General </w:t>
      </w:r>
    </w:p>
    <w:p w14:paraId="0B12F8F9" w14:textId="77777777" w:rsidR="008746EE" w:rsidRPr="007B381B" w:rsidRDefault="008746EE" w:rsidP="00BF74BE">
      <w:pPr>
        <w:spacing w:line="360" w:lineRule="auto"/>
        <w:contextualSpacing/>
        <w:jc w:val="center"/>
        <w:rPr>
          <w:rFonts w:ascii="Times New Roman" w:hAnsi="Times New Roman" w:cs="Times New Roman"/>
        </w:rPr>
      </w:pPr>
    </w:p>
    <w:p w14:paraId="4BA5E0AE" w14:textId="311369B3" w:rsidR="008746EE" w:rsidRPr="007B381B" w:rsidRDefault="797FDF2D" w:rsidP="008746EE">
      <w:pPr>
        <w:spacing w:line="360" w:lineRule="auto"/>
        <w:contextualSpacing/>
        <w:jc w:val="center"/>
        <w:rPr>
          <w:rFonts w:ascii="Times New Roman" w:hAnsi="Times New Roman" w:cs="Times New Roman"/>
          <w:i/>
          <w:iCs/>
        </w:rPr>
      </w:pPr>
      <w:r w:rsidRPr="007B381B">
        <w:rPr>
          <w:rFonts w:ascii="Times New Roman" w:hAnsi="Times New Roman" w:cs="Times New Roman"/>
        </w:rPr>
        <w:t xml:space="preserve">in compliance with section 15J of the </w:t>
      </w:r>
      <w:r w:rsidRPr="007B381B">
        <w:rPr>
          <w:rFonts w:ascii="Times New Roman" w:hAnsi="Times New Roman" w:cs="Times New Roman"/>
          <w:i/>
          <w:iCs/>
        </w:rPr>
        <w:t xml:space="preserve">Legislation Act 2003 </w:t>
      </w:r>
    </w:p>
    <w:p w14:paraId="6FED29B8" w14:textId="77777777" w:rsidR="008746EE" w:rsidRPr="007B381B" w:rsidRDefault="008746EE" w:rsidP="00BF74BE">
      <w:pPr>
        <w:spacing w:line="360" w:lineRule="auto"/>
        <w:contextualSpacing/>
        <w:jc w:val="center"/>
        <w:rPr>
          <w:rFonts w:ascii="Times New Roman" w:hAnsi="Times New Roman" w:cs="Times New Roman"/>
          <w:i/>
          <w:iCs/>
        </w:rPr>
      </w:pPr>
    </w:p>
    <w:p w14:paraId="71C2F6E7" w14:textId="77777777" w:rsidR="00A023D9" w:rsidRPr="007B381B" w:rsidRDefault="00A023D9" w:rsidP="00BF74BE">
      <w:pPr>
        <w:spacing w:line="360" w:lineRule="auto"/>
        <w:contextualSpacing/>
        <w:jc w:val="center"/>
        <w:rPr>
          <w:rFonts w:ascii="Times New Roman" w:hAnsi="Times New Roman" w:cs="Times New Roman"/>
          <w:i/>
          <w:iCs/>
        </w:rPr>
      </w:pPr>
    </w:p>
    <w:p w14:paraId="09BFDCD5" w14:textId="77777777" w:rsidR="0026109C" w:rsidRPr="007B381B" w:rsidRDefault="797FDF2D" w:rsidP="00FA3E0D">
      <w:pPr>
        <w:spacing w:before="200" w:line="360" w:lineRule="auto"/>
        <w:rPr>
          <w:rFonts w:ascii="Times New Roman" w:hAnsi="Times New Roman" w:cs="Times New Roman"/>
          <w:b/>
          <w:bCs/>
        </w:rPr>
      </w:pPr>
      <w:r w:rsidRPr="007B381B">
        <w:rPr>
          <w:rFonts w:ascii="Times New Roman" w:hAnsi="Times New Roman" w:cs="Times New Roman"/>
          <w:b/>
          <w:bCs/>
          <w:caps/>
        </w:rPr>
        <w:t>Purpose and operation of the Instrument</w:t>
      </w:r>
    </w:p>
    <w:p w14:paraId="5714EA4B" w14:textId="0B16D003" w:rsidR="00C11403" w:rsidRPr="007B381B" w:rsidRDefault="00F42982" w:rsidP="00A023D9">
      <w:pPr>
        <w:spacing w:before="200" w:line="360" w:lineRule="auto"/>
        <w:rPr>
          <w:rFonts w:ascii="Times New Roman" w:hAnsi="Times New Roman" w:cs="Times New Roman"/>
        </w:rPr>
      </w:pPr>
      <w:r w:rsidRPr="007B381B">
        <w:rPr>
          <w:rFonts w:ascii="Times New Roman" w:hAnsi="Times New Roman" w:cs="Times New Roman"/>
        </w:rPr>
        <w:t xml:space="preserve">The </w:t>
      </w:r>
      <w:r w:rsidRPr="007B381B">
        <w:rPr>
          <w:rFonts w:ascii="Times New Roman" w:hAnsi="Times New Roman" w:cs="Times New Roman"/>
          <w:i/>
        </w:rPr>
        <w:t>Administrative Review Tribunal (Consequential and Transitional Provisions No.</w:t>
      </w:r>
      <w:r w:rsidR="00F51466">
        <w:rPr>
          <w:rFonts w:ascii="Times New Roman" w:hAnsi="Times New Roman" w:cs="Times New Roman"/>
          <w:i/>
        </w:rPr>
        <w:t xml:space="preserve"> </w:t>
      </w:r>
      <w:r w:rsidRPr="007B381B">
        <w:rPr>
          <w:rFonts w:ascii="Times New Roman" w:hAnsi="Times New Roman" w:cs="Times New Roman"/>
          <w:i/>
        </w:rPr>
        <w:t xml:space="preserve">1) </w:t>
      </w:r>
      <w:r w:rsidR="00C11403" w:rsidRPr="007B381B">
        <w:rPr>
          <w:rFonts w:ascii="Times New Roman" w:hAnsi="Times New Roman" w:cs="Times New Roman"/>
          <w:i/>
        </w:rPr>
        <w:t xml:space="preserve">Rules </w:t>
      </w:r>
      <w:r w:rsidRPr="007B381B">
        <w:rPr>
          <w:rFonts w:ascii="Times New Roman" w:hAnsi="Times New Roman" w:cs="Times New Roman"/>
          <w:i/>
        </w:rPr>
        <w:t xml:space="preserve">2024 </w:t>
      </w:r>
      <w:r w:rsidR="00C11403" w:rsidRPr="007B381B">
        <w:rPr>
          <w:rFonts w:ascii="Times New Roman" w:hAnsi="Times New Roman" w:cs="Times New Roman"/>
        </w:rPr>
        <w:t>(Transitional Rules</w:t>
      </w:r>
      <w:r w:rsidRPr="007B381B">
        <w:rPr>
          <w:rFonts w:ascii="Times New Roman" w:hAnsi="Times New Roman" w:cs="Times New Roman"/>
        </w:rPr>
        <w:t xml:space="preserve">) </w:t>
      </w:r>
      <w:r w:rsidR="00C11403" w:rsidRPr="007B381B">
        <w:rPr>
          <w:rFonts w:ascii="Times New Roman" w:hAnsi="Times New Roman" w:cs="Times New Roman"/>
        </w:rPr>
        <w:t xml:space="preserve">complement the transitional provisions in Schedule 16 to the </w:t>
      </w:r>
      <w:r w:rsidR="00C11403" w:rsidRPr="007B381B">
        <w:rPr>
          <w:rFonts w:ascii="Times New Roman" w:hAnsi="Times New Roman" w:cs="Times New Roman"/>
          <w:i/>
        </w:rPr>
        <w:t>Administrative Review Tribunal (Consequential and Transitional Provisions No.</w:t>
      </w:r>
      <w:r w:rsidR="00F51466">
        <w:rPr>
          <w:rFonts w:ascii="Times New Roman" w:hAnsi="Times New Roman" w:cs="Times New Roman"/>
          <w:i/>
        </w:rPr>
        <w:t xml:space="preserve"> </w:t>
      </w:r>
      <w:r w:rsidR="00C11403" w:rsidRPr="007B381B">
        <w:rPr>
          <w:rFonts w:ascii="Times New Roman" w:hAnsi="Times New Roman" w:cs="Times New Roman"/>
          <w:i/>
        </w:rPr>
        <w:t>1) Act 2024</w:t>
      </w:r>
      <w:r w:rsidR="00C11403" w:rsidRPr="007B381B">
        <w:rPr>
          <w:rFonts w:ascii="Times New Roman" w:hAnsi="Times New Roman" w:cs="Times New Roman"/>
        </w:rPr>
        <w:t xml:space="preserve"> (Consequential and Transitional </w:t>
      </w:r>
      <w:r w:rsidR="007875CA" w:rsidRPr="007B381B">
        <w:rPr>
          <w:rFonts w:ascii="Times New Roman" w:hAnsi="Times New Roman" w:cs="Times New Roman"/>
        </w:rPr>
        <w:t xml:space="preserve">1 </w:t>
      </w:r>
      <w:r w:rsidR="00C11403" w:rsidRPr="007B381B">
        <w:rPr>
          <w:rFonts w:ascii="Times New Roman" w:hAnsi="Times New Roman" w:cs="Times New Roman"/>
        </w:rPr>
        <w:t>Act) to ensure a smooth transition from the former Administrative Appeals Tribunal (AAT) to the Administrative Review Tribunal (ART). The ART commenced operations on 14</w:t>
      </w:r>
      <w:r w:rsidR="00AB4ED9">
        <w:rPr>
          <w:rFonts w:ascii="Times New Roman" w:hAnsi="Times New Roman" w:cs="Times New Roman"/>
        </w:rPr>
        <w:t> </w:t>
      </w:r>
      <w:r w:rsidR="00C11403" w:rsidRPr="007B381B">
        <w:rPr>
          <w:rFonts w:ascii="Times New Roman" w:hAnsi="Times New Roman" w:cs="Times New Roman"/>
        </w:rPr>
        <w:t xml:space="preserve">October 2024. </w:t>
      </w:r>
    </w:p>
    <w:p w14:paraId="04B2208C" w14:textId="7C304288" w:rsidR="00BF74BE" w:rsidRPr="007B381B" w:rsidDel="00AB4ED9" w:rsidRDefault="00054D59" w:rsidP="000F455B">
      <w:pPr>
        <w:spacing w:before="200" w:line="360" w:lineRule="auto"/>
        <w:rPr>
          <w:rFonts w:ascii="Times New Roman" w:hAnsi="Times New Roman" w:cs="Times New Roman"/>
        </w:rPr>
      </w:pPr>
      <w:r>
        <w:rPr>
          <w:rFonts w:ascii="Times New Roman" w:hAnsi="Times New Roman" w:cs="Times New Roman"/>
        </w:rPr>
        <w:t>The Transitional Rules are made under i</w:t>
      </w:r>
      <w:r w:rsidR="00BF74BE" w:rsidRPr="007B381B" w:rsidDel="00AB4ED9">
        <w:rPr>
          <w:rFonts w:ascii="Times New Roman" w:hAnsi="Times New Roman" w:cs="Times New Roman"/>
        </w:rPr>
        <w:t xml:space="preserve">tem 51 of Schedule 16 </w:t>
      </w:r>
      <w:r w:rsidR="00A51542" w:rsidRPr="007B381B" w:rsidDel="00AB4ED9">
        <w:rPr>
          <w:rFonts w:ascii="Times New Roman" w:hAnsi="Times New Roman" w:cs="Times New Roman"/>
        </w:rPr>
        <w:t>to the Consequential and Transitional</w:t>
      </w:r>
      <w:r>
        <w:rPr>
          <w:rFonts w:ascii="Times New Roman" w:hAnsi="Times New Roman" w:cs="Times New Roman"/>
        </w:rPr>
        <w:t> </w:t>
      </w:r>
      <w:r w:rsidR="00A51542" w:rsidRPr="007B381B" w:rsidDel="00AB4ED9">
        <w:rPr>
          <w:rFonts w:ascii="Times New Roman" w:hAnsi="Times New Roman" w:cs="Times New Roman"/>
        </w:rPr>
        <w:t>1 Act</w:t>
      </w:r>
      <w:r>
        <w:rPr>
          <w:rFonts w:ascii="Times New Roman" w:hAnsi="Times New Roman" w:cs="Times New Roman"/>
        </w:rPr>
        <w:t>, which</w:t>
      </w:r>
      <w:r w:rsidR="00A51542" w:rsidRPr="007B381B" w:rsidDel="00AB4ED9">
        <w:rPr>
          <w:rFonts w:ascii="Times New Roman" w:hAnsi="Times New Roman" w:cs="Times New Roman"/>
        </w:rPr>
        <w:t xml:space="preserve"> </w:t>
      </w:r>
      <w:r w:rsidR="00BF74BE" w:rsidRPr="007B381B" w:rsidDel="00AB4ED9">
        <w:rPr>
          <w:rFonts w:ascii="Times New Roman" w:hAnsi="Times New Roman" w:cs="Times New Roman"/>
        </w:rPr>
        <w:t>enables the Minister to make rules prescribing matters required or permitted by the Act to be prescribed by the rules, or necessary or convenient to be prescribed for carrying out or giving effect to the Act. The rules may prescribe matters of a transitional nature relating to amendments or repeals made by the Act</w:t>
      </w:r>
      <w:r w:rsidR="00F716EF" w:rsidRPr="007B381B" w:rsidDel="00AB4ED9">
        <w:rPr>
          <w:rFonts w:ascii="Times New Roman" w:hAnsi="Times New Roman" w:cs="Times New Roman"/>
        </w:rPr>
        <w:t xml:space="preserve"> or the enactment of the </w:t>
      </w:r>
      <w:r w:rsidR="00534A65" w:rsidRPr="00534A65" w:rsidDel="00AB4ED9">
        <w:rPr>
          <w:rFonts w:ascii="Times New Roman" w:hAnsi="Times New Roman" w:cs="Times New Roman"/>
          <w:i/>
        </w:rPr>
        <w:t>Administrative Review Tribunal Act</w:t>
      </w:r>
      <w:r w:rsidR="00534A65" w:rsidDel="00AB4ED9">
        <w:rPr>
          <w:rFonts w:ascii="Times New Roman" w:hAnsi="Times New Roman" w:cs="Times New Roman"/>
          <w:i/>
        </w:rPr>
        <w:t xml:space="preserve"> 2024</w:t>
      </w:r>
      <w:r w:rsidR="00534A65" w:rsidDel="00AB4ED9">
        <w:rPr>
          <w:rFonts w:ascii="Times New Roman" w:hAnsi="Times New Roman" w:cs="Times New Roman"/>
        </w:rPr>
        <w:t xml:space="preserve"> (ART Act)</w:t>
      </w:r>
      <w:r w:rsidR="00BF74BE" w:rsidRPr="007B381B" w:rsidDel="00AB4ED9">
        <w:rPr>
          <w:rFonts w:ascii="Times New Roman" w:hAnsi="Times New Roman" w:cs="Times New Roman"/>
        </w:rPr>
        <w:t>.</w:t>
      </w:r>
      <w:r w:rsidR="00F716EF" w:rsidRPr="007B381B" w:rsidDel="00AB4ED9">
        <w:rPr>
          <w:rFonts w:ascii="Times New Roman" w:hAnsi="Times New Roman" w:cs="Times New Roman"/>
        </w:rPr>
        <w:t xml:space="preserve"> Transitional rules may be made with retrospective effect.</w:t>
      </w:r>
    </w:p>
    <w:p w14:paraId="28ACC66A" w14:textId="6EE871B1" w:rsidR="00FF0742" w:rsidRDefault="00C11403" w:rsidP="00A023D9">
      <w:pPr>
        <w:spacing w:before="200" w:line="360" w:lineRule="auto"/>
        <w:rPr>
          <w:rFonts w:ascii="Times New Roman" w:hAnsi="Times New Roman" w:cs="Times New Roman"/>
        </w:rPr>
      </w:pPr>
      <w:r w:rsidRPr="007B381B">
        <w:rPr>
          <w:rFonts w:ascii="Times New Roman" w:hAnsi="Times New Roman" w:cs="Times New Roman"/>
        </w:rPr>
        <w:t xml:space="preserve">The </w:t>
      </w:r>
      <w:r w:rsidRPr="007B381B">
        <w:rPr>
          <w:rFonts w:ascii="Times New Roman" w:hAnsi="Times New Roman" w:cs="Times New Roman"/>
          <w:i/>
        </w:rPr>
        <w:t>Amendment Review Tribunal (Consequential and Transitional Provisions No.</w:t>
      </w:r>
      <w:r w:rsidR="00F51466">
        <w:rPr>
          <w:rFonts w:ascii="Times New Roman" w:hAnsi="Times New Roman" w:cs="Times New Roman"/>
          <w:i/>
        </w:rPr>
        <w:t xml:space="preserve"> </w:t>
      </w:r>
      <w:r w:rsidRPr="007B381B">
        <w:rPr>
          <w:rFonts w:ascii="Times New Roman" w:hAnsi="Times New Roman" w:cs="Times New Roman"/>
          <w:i/>
        </w:rPr>
        <w:t>1) Amendment Rules (No</w:t>
      </w:r>
      <w:r w:rsidR="00F51466">
        <w:rPr>
          <w:rFonts w:ascii="Times New Roman" w:hAnsi="Times New Roman" w:cs="Times New Roman"/>
          <w:i/>
        </w:rPr>
        <w:t xml:space="preserve">. </w:t>
      </w:r>
      <w:r w:rsidRPr="007B381B">
        <w:rPr>
          <w:rFonts w:ascii="Times New Roman" w:hAnsi="Times New Roman" w:cs="Times New Roman"/>
          <w:i/>
        </w:rPr>
        <w:t xml:space="preserve">2) 2025 </w:t>
      </w:r>
      <w:r w:rsidRPr="007B381B">
        <w:rPr>
          <w:rFonts w:ascii="Times New Roman" w:hAnsi="Times New Roman" w:cs="Times New Roman"/>
        </w:rPr>
        <w:t>(</w:t>
      </w:r>
      <w:r w:rsidR="00AB4ED9">
        <w:rPr>
          <w:rFonts w:ascii="Times New Roman" w:hAnsi="Times New Roman" w:cs="Times New Roman"/>
        </w:rPr>
        <w:t xml:space="preserve">Amendment </w:t>
      </w:r>
      <w:r w:rsidRPr="007B381B">
        <w:rPr>
          <w:rFonts w:ascii="Times New Roman" w:hAnsi="Times New Roman" w:cs="Times New Roman"/>
        </w:rPr>
        <w:t>Rules) amend the Transitional Rules</w:t>
      </w:r>
      <w:r w:rsidR="00A51542" w:rsidRPr="007B381B">
        <w:rPr>
          <w:rFonts w:ascii="Times New Roman" w:hAnsi="Times New Roman" w:cs="Times New Roman"/>
        </w:rPr>
        <w:t xml:space="preserve"> to</w:t>
      </w:r>
      <w:r w:rsidR="00AB4ED9">
        <w:rPr>
          <w:rFonts w:ascii="Times New Roman" w:hAnsi="Times New Roman" w:cs="Times New Roman"/>
        </w:rPr>
        <w:t xml:space="preserve"> </w:t>
      </w:r>
      <w:r w:rsidR="00054D59">
        <w:rPr>
          <w:rFonts w:ascii="Times New Roman" w:hAnsi="Times New Roman" w:cs="Times New Roman"/>
        </w:rPr>
        <w:t xml:space="preserve">provide certainty about </w:t>
      </w:r>
      <w:r w:rsidR="00285466">
        <w:rPr>
          <w:rFonts w:ascii="Times New Roman" w:hAnsi="Times New Roman" w:cs="Times New Roman"/>
        </w:rPr>
        <w:t xml:space="preserve">the appropriate salary to be used as a reference point </w:t>
      </w:r>
      <w:r w:rsidR="00054D59">
        <w:rPr>
          <w:rFonts w:ascii="Times New Roman" w:hAnsi="Times New Roman" w:cs="Times New Roman"/>
        </w:rPr>
        <w:t xml:space="preserve">for the calculation of pensions payable under the </w:t>
      </w:r>
      <w:r w:rsidR="00054D59" w:rsidRPr="00345FE4">
        <w:rPr>
          <w:rFonts w:ascii="Times New Roman" w:hAnsi="Times New Roman" w:cs="Times New Roman"/>
          <w:i/>
        </w:rPr>
        <w:t xml:space="preserve">Judges’ Pensions Act </w:t>
      </w:r>
      <w:r w:rsidR="00345FE4" w:rsidRPr="00345FE4">
        <w:rPr>
          <w:rFonts w:ascii="Times New Roman" w:hAnsi="Times New Roman" w:cs="Times New Roman"/>
          <w:i/>
        </w:rPr>
        <w:t>1968</w:t>
      </w:r>
      <w:r w:rsidR="00345FE4">
        <w:rPr>
          <w:rFonts w:ascii="Times New Roman" w:hAnsi="Times New Roman" w:cs="Times New Roman"/>
        </w:rPr>
        <w:t xml:space="preserve"> </w:t>
      </w:r>
      <w:r w:rsidR="00054D59">
        <w:rPr>
          <w:rFonts w:ascii="Times New Roman" w:hAnsi="Times New Roman" w:cs="Times New Roman"/>
        </w:rPr>
        <w:t>to a cohort of individuals entitled to pensions because they were non</w:t>
      </w:r>
      <w:r w:rsidR="00054D59">
        <w:rPr>
          <w:rFonts w:ascii="Times New Roman" w:hAnsi="Times New Roman" w:cs="Times New Roman"/>
        </w:rPr>
        <w:noBreakHyphen/>
        <w:t>judicial Deputy Presidents of the AAT prior to 2005</w:t>
      </w:r>
      <w:r w:rsidR="00FF0742">
        <w:rPr>
          <w:rFonts w:ascii="Times New Roman" w:hAnsi="Times New Roman" w:cs="Times New Roman"/>
        </w:rPr>
        <w:t xml:space="preserve">. </w:t>
      </w:r>
      <w:r w:rsidR="007A56DE">
        <w:rPr>
          <w:rFonts w:ascii="Times New Roman" w:hAnsi="Times New Roman" w:cs="Times New Roman"/>
        </w:rPr>
        <w:t>To reflect that the AAT has been abolished</w:t>
      </w:r>
      <w:r w:rsidR="00752D5D">
        <w:rPr>
          <w:rFonts w:ascii="Times New Roman" w:hAnsi="Times New Roman" w:cs="Times New Roman"/>
        </w:rPr>
        <w:t xml:space="preserve"> and salaries are no longer set for AAT members</w:t>
      </w:r>
      <w:r w:rsidR="007A56DE">
        <w:rPr>
          <w:rFonts w:ascii="Times New Roman" w:hAnsi="Times New Roman" w:cs="Times New Roman"/>
        </w:rPr>
        <w:t xml:space="preserve">, the Amendment Rules inserts a provision into the Transitional Rules which has the effect that </w:t>
      </w:r>
      <w:r w:rsidR="00752D5D">
        <w:rPr>
          <w:rFonts w:ascii="Times New Roman" w:hAnsi="Times New Roman" w:cs="Times New Roman"/>
        </w:rPr>
        <w:t>the pensions are to be calculated by reference to the salaries for non-judicial Deputy Presidents of the ART, being the</w:t>
      </w:r>
      <w:r w:rsidR="004939F9">
        <w:rPr>
          <w:rFonts w:ascii="Times New Roman" w:hAnsi="Times New Roman" w:cs="Times New Roman"/>
        </w:rPr>
        <w:t xml:space="preserve"> closest</w:t>
      </w:r>
      <w:r w:rsidR="00752D5D">
        <w:rPr>
          <w:rFonts w:ascii="Times New Roman" w:hAnsi="Times New Roman" w:cs="Times New Roman"/>
        </w:rPr>
        <w:t xml:space="preserve"> equivalent position in the ART.</w:t>
      </w:r>
      <w:r w:rsidR="00D35943">
        <w:rPr>
          <w:rFonts w:ascii="Times New Roman" w:hAnsi="Times New Roman" w:cs="Times New Roman"/>
        </w:rPr>
        <w:t xml:space="preserve"> </w:t>
      </w:r>
    </w:p>
    <w:p w14:paraId="79F21BE1" w14:textId="46CF4E64" w:rsidR="00C51EEA" w:rsidRDefault="00C51EEA" w:rsidP="00BF74BE">
      <w:pPr>
        <w:spacing w:line="360" w:lineRule="auto"/>
        <w:contextualSpacing/>
        <w:rPr>
          <w:rFonts w:ascii="Times New Roman" w:hAnsi="Times New Roman" w:cs="Times New Roman"/>
        </w:rPr>
      </w:pPr>
      <w:r w:rsidRPr="007B381B">
        <w:rPr>
          <w:rFonts w:ascii="Times New Roman" w:hAnsi="Times New Roman" w:cs="Times New Roman"/>
        </w:rPr>
        <w:t xml:space="preserve"> </w:t>
      </w:r>
    </w:p>
    <w:p w14:paraId="28B902C0" w14:textId="77777777" w:rsidR="00AB4ED9" w:rsidRPr="007B381B" w:rsidRDefault="00AB4ED9" w:rsidP="00BF74BE">
      <w:pPr>
        <w:spacing w:line="360" w:lineRule="auto"/>
        <w:contextualSpacing/>
        <w:rPr>
          <w:rFonts w:ascii="Times New Roman" w:hAnsi="Times New Roman" w:cs="Times New Roman"/>
        </w:rPr>
      </w:pPr>
    </w:p>
    <w:p w14:paraId="0B70C7DA" w14:textId="77777777" w:rsidR="00C51EEA" w:rsidRPr="007B381B" w:rsidRDefault="00C51EEA" w:rsidP="00BF74BE">
      <w:pPr>
        <w:spacing w:line="360" w:lineRule="auto"/>
        <w:contextualSpacing/>
        <w:rPr>
          <w:rFonts w:ascii="Times New Roman" w:hAnsi="Times New Roman" w:cs="Times New Roman"/>
          <w:b/>
          <w:bCs/>
          <w:caps/>
        </w:rPr>
      </w:pPr>
    </w:p>
    <w:p w14:paraId="09BFDCE0" w14:textId="582480DF" w:rsidR="0026109C" w:rsidRPr="007B381B" w:rsidRDefault="797FDF2D" w:rsidP="00BF74BE">
      <w:pPr>
        <w:spacing w:line="360" w:lineRule="auto"/>
        <w:contextualSpacing/>
        <w:rPr>
          <w:rFonts w:ascii="Times New Roman" w:hAnsi="Times New Roman" w:cs="Times New Roman"/>
          <w:b/>
          <w:bCs/>
          <w:caps/>
        </w:rPr>
      </w:pPr>
      <w:r w:rsidRPr="007B381B">
        <w:rPr>
          <w:rFonts w:ascii="Times New Roman" w:hAnsi="Times New Roman" w:cs="Times New Roman"/>
          <w:b/>
          <w:bCs/>
          <w:caps/>
        </w:rPr>
        <w:t>Consultation</w:t>
      </w:r>
    </w:p>
    <w:p w14:paraId="09BFDCE3" w14:textId="19FF1C0F" w:rsidR="00AF0C63" w:rsidRPr="007B381B" w:rsidRDefault="00A619E3" w:rsidP="00A023D9">
      <w:pPr>
        <w:spacing w:line="360" w:lineRule="auto"/>
        <w:rPr>
          <w:rFonts w:ascii="Times New Roman" w:hAnsi="Times New Roman" w:cs="Times New Roman"/>
        </w:rPr>
      </w:pPr>
      <w:r w:rsidRPr="007B381B">
        <w:rPr>
          <w:rFonts w:ascii="Times New Roman" w:hAnsi="Times New Roman" w:cs="Times New Roman"/>
        </w:rPr>
        <w:t>The Attorney-General’s Department consulted the Department of Finance in</w:t>
      </w:r>
      <w:r w:rsidR="002804E0" w:rsidRPr="007B381B">
        <w:rPr>
          <w:rFonts w:ascii="Times New Roman" w:hAnsi="Times New Roman" w:cs="Times New Roman"/>
        </w:rPr>
        <w:t xml:space="preserve"> drafting the Rules. </w:t>
      </w:r>
      <w:r w:rsidR="00C96FDE" w:rsidRPr="007B381B">
        <w:rPr>
          <w:rFonts w:ascii="Times New Roman" w:hAnsi="Times New Roman" w:cs="Times New Roman"/>
        </w:rPr>
        <w:t xml:space="preserve">As the instrument is technical in nature, </w:t>
      </w:r>
      <w:r w:rsidR="00345FE4">
        <w:rPr>
          <w:rFonts w:ascii="Times New Roman" w:hAnsi="Times New Roman" w:cs="Times New Roman"/>
        </w:rPr>
        <w:t>further</w:t>
      </w:r>
      <w:r w:rsidR="00C96FDE" w:rsidRPr="007B381B">
        <w:rPr>
          <w:rFonts w:ascii="Times New Roman" w:hAnsi="Times New Roman" w:cs="Times New Roman"/>
        </w:rPr>
        <w:t xml:space="preserve"> consultation was not required. </w:t>
      </w:r>
      <w:r w:rsidR="0042660A" w:rsidRPr="007B381B">
        <w:rPr>
          <w:rFonts w:ascii="Times New Roman" w:hAnsi="Times New Roman" w:cs="Times New Roman"/>
        </w:rPr>
        <w:t xml:space="preserve"> </w:t>
      </w:r>
      <w:r w:rsidR="00EF4EA8" w:rsidRPr="007B381B">
        <w:rPr>
          <w:rFonts w:ascii="Times New Roman" w:hAnsi="Times New Roman" w:cs="Times New Roman"/>
        </w:rPr>
        <w:t xml:space="preserve"> </w:t>
      </w:r>
    </w:p>
    <w:p w14:paraId="7AB13D45" w14:textId="2B66A002" w:rsidR="00E43B53" w:rsidRPr="00E43B53" w:rsidRDefault="00E43B53" w:rsidP="00E43B53">
      <w:pPr>
        <w:spacing w:line="360" w:lineRule="auto"/>
        <w:rPr>
          <w:rFonts w:ascii="Times New Roman" w:hAnsi="Times New Roman" w:cs="Times New Roman"/>
          <w:b/>
          <w:bCs/>
          <w:caps/>
        </w:rPr>
      </w:pPr>
      <w:r>
        <w:rPr>
          <w:rFonts w:ascii="Times New Roman" w:hAnsi="Times New Roman" w:cs="Times New Roman"/>
          <w:b/>
          <w:bCs/>
          <w:caps/>
        </w:rPr>
        <w:t>Statement of Compatibility with Human Rights</w:t>
      </w:r>
    </w:p>
    <w:p w14:paraId="7C88763A" w14:textId="77777777" w:rsidR="00E43B53" w:rsidRDefault="00E43B53" w:rsidP="00E43B53">
      <w:pPr>
        <w:spacing w:line="360" w:lineRule="auto"/>
        <w:rPr>
          <w:rFonts w:ascii="Times New Roman" w:hAnsi="Times New Roman" w:cs="Times New Roman"/>
          <w:i/>
          <w:iCs/>
        </w:rPr>
      </w:pPr>
      <w:r>
        <w:rPr>
          <w:rFonts w:ascii="Times New Roman" w:hAnsi="Times New Roman" w:cs="Times New Roman"/>
          <w:i/>
          <w:iCs/>
        </w:rPr>
        <w:t>Prepared in accordance with Part 3 of the Human Rights (Parliamentary Scrutiny) Act 2011</w:t>
      </w:r>
    </w:p>
    <w:p w14:paraId="1A2C7A25" w14:textId="77777777" w:rsidR="00E43B53" w:rsidRDefault="00E43B53" w:rsidP="00E43B53">
      <w:pPr>
        <w:pStyle w:val="Default"/>
        <w:spacing w:after="200" w:line="360" w:lineRule="auto"/>
        <w:contextualSpacing/>
        <w:rPr>
          <w:b/>
          <w:bCs/>
          <w:color w:val="auto"/>
          <w:sz w:val="22"/>
          <w:szCs w:val="22"/>
        </w:rPr>
      </w:pPr>
      <w:r>
        <w:rPr>
          <w:b/>
          <w:bCs/>
          <w:color w:val="auto"/>
          <w:sz w:val="22"/>
          <w:szCs w:val="22"/>
        </w:rPr>
        <w:t>Overview of the Rules</w:t>
      </w:r>
    </w:p>
    <w:p w14:paraId="3756A6A6" w14:textId="61C96797" w:rsidR="00E43B53" w:rsidRDefault="00A36437" w:rsidP="00E43B53">
      <w:pPr>
        <w:spacing w:line="360" w:lineRule="auto"/>
        <w:rPr>
          <w:rFonts w:ascii="Times New Roman" w:hAnsi="Times New Roman" w:cs="Times New Roman"/>
        </w:rPr>
      </w:pPr>
      <w:r w:rsidRPr="007B381B">
        <w:rPr>
          <w:rFonts w:ascii="Times New Roman" w:hAnsi="Times New Roman" w:cs="Times New Roman"/>
        </w:rPr>
        <w:t xml:space="preserve">The </w:t>
      </w:r>
      <w:r w:rsidRPr="007B381B">
        <w:rPr>
          <w:rFonts w:ascii="Times New Roman" w:hAnsi="Times New Roman" w:cs="Times New Roman"/>
          <w:i/>
        </w:rPr>
        <w:t xml:space="preserve">Amendment Review Tribunal (Consequential and Transitional Provisions No.1) Amendment Rules (No.2) 2025 </w:t>
      </w:r>
      <w:r w:rsidRPr="007B381B">
        <w:rPr>
          <w:rFonts w:ascii="Times New Roman" w:hAnsi="Times New Roman" w:cs="Times New Roman"/>
        </w:rPr>
        <w:t>(</w:t>
      </w:r>
      <w:r>
        <w:rPr>
          <w:rFonts w:ascii="Times New Roman" w:hAnsi="Times New Roman" w:cs="Times New Roman"/>
        </w:rPr>
        <w:t xml:space="preserve">Amendment </w:t>
      </w:r>
      <w:r w:rsidRPr="007B381B">
        <w:rPr>
          <w:rFonts w:ascii="Times New Roman" w:hAnsi="Times New Roman" w:cs="Times New Roman"/>
        </w:rPr>
        <w:t xml:space="preserve">Rules) amend the </w:t>
      </w:r>
      <w:r w:rsidRPr="007B381B">
        <w:rPr>
          <w:rFonts w:ascii="Times New Roman" w:hAnsi="Times New Roman" w:cs="Times New Roman"/>
          <w:i/>
        </w:rPr>
        <w:t xml:space="preserve">Administrative Review Tribunal (Consequential and Transitional Provisions No.1) Rules 2024 </w:t>
      </w:r>
      <w:r w:rsidRPr="007B381B">
        <w:rPr>
          <w:rFonts w:ascii="Times New Roman" w:hAnsi="Times New Roman" w:cs="Times New Roman"/>
        </w:rPr>
        <w:t>(Transitional Rules) to</w:t>
      </w:r>
      <w:r>
        <w:rPr>
          <w:rFonts w:ascii="Times New Roman" w:hAnsi="Times New Roman" w:cs="Times New Roman"/>
        </w:rPr>
        <w:t xml:space="preserve"> provide certainty about the appropriate salary to be used as a reference point for the calculation of pensions payable under the </w:t>
      </w:r>
      <w:r w:rsidRPr="00345FE4">
        <w:rPr>
          <w:rFonts w:ascii="Times New Roman" w:hAnsi="Times New Roman" w:cs="Times New Roman"/>
          <w:i/>
        </w:rPr>
        <w:t>Judges’ Pensions Act 1968</w:t>
      </w:r>
      <w:r>
        <w:rPr>
          <w:rFonts w:ascii="Times New Roman" w:hAnsi="Times New Roman" w:cs="Times New Roman"/>
        </w:rPr>
        <w:t xml:space="preserve"> (Pensions Act) to a cohort of individuals entitled to pensions because they were non</w:t>
      </w:r>
      <w:r>
        <w:rPr>
          <w:rFonts w:ascii="Times New Roman" w:hAnsi="Times New Roman" w:cs="Times New Roman"/>
        </w:rPr>
        <w:noBreakHyphen/>
        <w:t xml:space="preserve">judicial Deputy Presidents of the </w:t>
      </w:r>
      <w:r w:rsidR="00D35943">
        <w:rPr>
          <w:rFonts w:ascii="Times New Roman" w:hAnsi="Times New Roman" w:cs="Times New Roman"/>
        </w:rPr>
        <w:t>Administrative Appeals Tribunal (</w:t>
      </w:r>
      <w:r>
        <w:rPr>
          <w:rFonts w:ascii="Times New Roman" w:hAnsi="Times New Roman" w:cs="Times New Roman"/>
        </w:rPr>
        <w:t>AAT</w:t>
      </w:r>
      <w:r w:rsidR="00D35943">
        <w:rPr>
          <w:rFonts w:ascii="Times New Roman" w:hAnsi="Times New Roman" w:cs="Times New Roman"/>
        </w:rPr>
        <w:t>)</w:t>
      </w:r>
      <w:r>
        <w:rPr>
          <w:rFonts w:ascii="Times New Roman" w:hAnsi="Times New Roman" w:cs="Times New Roman"/>
        </w:rPr>
        <w:t xml:space="preserve"> prior to 2005.</w:t>
      </w:r>
      <w:r w:rsidR="00D35943">
        <w:rPr>
          <w:rFonts w:ascii="Times New Roman" w:hAnsi="Times New Roman" w:cs="Times New Roman"/>
        </w:rPr>
        <w:t xml:space="preserve"> </w:t>
      </w:r>
      <w:r w:rsidR="00D35943" w:rsidRPr="00D35943">
        <w:rPr>
          <w:rFonts w:ascii="Times New Roman" w:hAnsi="Times New Roman" w:cs="Times New Roman"/>
        </w:rPr>
        <w:t xml:space="preserve">To reflect that the AAT </w:t>
      </w:r>
      <w:r w:rsidR="00DA0553">
        <w:rPr>
          <w:rFonts w:ascii="Times New Roman" w:hAnsi="Times New Roman" w:cs="Times New Roman"/>
        </w:rPr>
        <w:t>was abolished on 14 October 2024</w:t>
      </w:r>
      <w:r w:rsidR="00D35943" w:rsidRPr="00D35943">
        <w:rPr>
          <w:rFonts w:ascii="Times New Roman" w:hAnsi="Times New Roman" w:cs="Times New Roman"/>
        </w:rPr>
        <w:t xml:space="preserve"> and salaries are no longer set for AAT members, the Amendment Rules inserts a provision into the Transitional Rules which has the effect that the pensions are to be calculated by reference to the salaries for non-judicial Deputy Presidents of the A</w:t>
      </w:r>
      <w:r w:rsidR="00DA0553">
        <w:rPr>
          <w:rFonts w:ascii="Times New Roman" w:hAnsi="Times New Roman" w:cs="Times New Roman"/>
        </w:rPr>
        <w:t>dministrative Review Tribunal (ART)</w:t>
      </w:r>
      <w:r w:rsidR="00D35943" w:rsidRPr="00D35943">
        <w:rPr>
          <w:rFonts w:ascii="Times New Roman" w:hAnsi="Times New Roman" w:cs="Times New Roman"/>
        </w:rPr>
        <w:t xml:space="preserve">, being the </w:t>
      </w:r>
      <w:r w:rsidR="004939F9">
        <w:rPr>
          <w:rFonts w:ascii="Times New Roman" w:hAnsi="Times New Roman" w:cs="Times New Roman"/>
        </w:rPr>
        <w:t xml:space="preserve">closest </w:t>
      </w:r>
      <w:r w:rsidR="00D35943" w:rsidRPr="00D35943">
        <w:rPr>
          <w:rFonts w:ascii="Times New Roman" w:hAnsi="Times New Roman" w:cs="Times New Roman"/>
        </w:rPr>
        <w:t>equivalent position in the ART</w:t>
      </w:r>
      <w:r w:rsidR="00BB0C2D">
        <w:rPr>
          <w:rFonts w:ascii="Times New Roman" w:hAnsi="Times New Roman" w:cs="Times New Roman"/>
        </w:rPr>
        <w:t>.</w:t>
      </w:r>
      <w:r w:rsidR="00D35943">
        <w:rPr>
          <w:rFonts w:ascii="Times New Roman" w:hAnsi="Times New Roman" w:cs="Times New Roman"/>
        </w:rPr>
        <w:t xml:space="preserve"> </w:t>
      </w:r>
    </w:p>
    <w:p w14:paraId="036B5E2F" w14:textId="06E7E085" w:rsidR="00BB0C2D" w:rsidRPr="00BB0C2D" w:rsidRDefault="00BB0C2D" w:rsidP="00E43B53">
      <w:pPr>
        <w:spacing w:line="360" w:lineRule="auto"/>
        <w:rPr>
          <w:rFonts w:ascii="Times New Roman" w:hAnsi="Times New Roman" w:cs="Times New Roman"/>
        </w:rPr>
      </w:pPr>
      <w:r>
        <w:rPr>
          <w:rFonts w:ascii="Times New Roman" w:hAnsi="Times New Roman" w:cs="Times New Roman"/>
          <w:b/>
        </w:rPr>
        <w:t>Human Rights Implications</w:t>
      </w:r>
    </w:p>
    <w:p w14:paraId="597E7D6E" w14:textId="29735040" w:rsidR="00E43B53" w:rsidRDefault="00804715" w:rsidP="00E43B53">
      <w:pPr>
        <w:spacing w:line="360" w:lineRule="auto"/>
        <w:rPr>
          <w:rFonts w:ascii="Times New Roman" w:hAnsi="Times New Roman" w:cs="Times New Roman"/>
        </w:rPr>
      </w:pPr>
      <w:r w:rsidRPr="00804715">
        <w:rPr>
          <w:rFonts w:ascii="Times New Roman" w:hAnsi="Times New Roman" w:cs="Times New Roman"/>
        </w:rPr>
        <w:t xml:space="preserve">The Rules do not engage any of the applicable rights or freedoms as they are technical in nature and </w:t>
      </w:r>
      <w:r w:rsidR="00932C7D">
        <w:rPr>
          <w:rFonts w:ascii="Times New Roman" w:hAnsi="Times New Roman" w:cs="Times New Roman"/>
        </w:rPr>
        <w:t>provide certainty and continuity regarding the payment of certain pensions.</w:t>
      </w:r>
    </w:p>
    <w:p w14:paraId="649ECBFC" w14:textId="77777777" w:rsidR="00E43B53" w:rsidRDefault="00E43B53" w:rsidP="00E43B53">
      <w:pPr>
        <w:pStyle w:val="Default"/>
        <w:spacing w:after="200" w:line="360" w:lineRule="auto"/>
        <w:contextualSpacing/>
        <w:rPr>
          <w:b/>
          <w:bCs/>
          <w:color w:val="auto"/>
          <w:sz w:val="22"/>
          <w:szCs w:val="22"/>
        </w:rPr>
      </w:pPr>
      <w:r>
        <w:rPr>
          <w:b/>
          <w:bCs/>
          <w:color w:val="auto"/>
          <w:sz w:val="22"/>
          <w:szCs w:val="22"/>
        </w:rPr>
        <w:t>Conclusion</w:t>
      </w:r>
    </w:p>
    <w:p w14:paraId="3B047962" w14:textId="363D543F" w:rsidR="00E43B53" w:rsidRDefault="00E43B53" w:rsidP="00E43B53">
      <w:pPr>
        <w:spacing w:line="360" w:lineRule="auto"/>
        <w:rPr>
          <w:rFonts w:ascii="Times New Roman" w:hAnsi="Times New Roman" w:cs="Times New Roman"/>
        </w:rPr>
      </w:pPr>
      <w:r>
        <w:rPr>
          <w:rFonts w:ascii="Times New Roman" w:hAnsi="Times New Roman" w:cs="Times New Roman"/>
        </w:rPr>
        <w:t xml:space="preserve">The Rules are compatible with the human rights </w:t>
      </w:r>
      <w:r w:rsidR="00932C7D">
        <w:rPr>
          <w:rFonts w:ascii="Times New Roman" w:hAnsi="Times New Roman" w:cs="Times New Roman"/>
        </w:rPr>
        <w:t>as they do not raise any human rights issues</w:t>
      </w:r>
      <w:r>
        <w:rPr>
          <w:rFonts w:ascii="Times New Roman" w:hAnsi="Times New Roman" w:cs="Times New Roman"/>
        </w:rPr>
        <w:t xml:space="preserve">. </w:t>
      </w:r>
    </w:p>
    <w:p w14:paraId="06236D94" w14:textId="77777777" w:rsidR="004C2DA9" w:rsidRPr="007B381B" w:rsidRDefault="004C2DA9">
      <w:pPr>
        <w:spacing w:line="360" w:lineRule="auto"/>
        <w:rPr>
          <w:rFonts w:ascii="Times New Roman" w:hAnsi="Times New Roman" w:cs="Times New Roman"/>
        </w:rPr>
      </w:pPr>
    </w:p>
    <w:p w14:paraId="33691B56" w14:textId="54FFD3DA" w:rsidR="00B8670D" w:rsidRPr="007B381B" w:rsidRDefault="00B8670D" w:rsidP="00A023D9">
      <w:pPr>
        <w:spacing w:line="360" w:lineRule="auto"/>
        <w:contextualSpacing/>
        <w:jc w:val="center"/>
        <w:rPr>
          <w:rFonts w:ascii="Times New Roman" w:hAnsi="Times New Roman" w:cs="Times New Roman"/>
          <w:b/>
          <w:bCs/>
        </w:rPr>
      </w:pPr>
    </w:p>
    <w:p w14:paraId="121F2E18" w14:textId="79D87E3E" w:rsidR="009C0BE2" w:rsidRPr="007B381B" w:rsidRDefault="009C0BE2" w:rsidP="00A023D9">
      <w:pPr>
        <w:spacing w:line="360" w:lineRule="auto"/>
        <w:contextualSpacing/>
        <w:jc w:val="center"/>
        <w:rPr>
          <w:rFonts w:ascii="Times New Roman" w:hAnsi="Times New Roman" w:cs="Times New Roman"/>
          <w:b/>
          <w:bCs/>
        </w:rPr>
      </w:pPr>
    </w:p>
    <w:p w14:paraId="54B41E50" w14:textId="77777777" w:rsidR="000F455B" w:rsidRPr="007B381B" w:rsidRDefault="000F455B">
      <w:pPr>
        <w:rPr>
          <w:rFonts w:ascii="Times New Roman" w:hAnsi="Times New Roman" w:cs="Times New Roman"/>
          <w:b/>
          <w:bCs/>
        </w:rPr>
      </w:pPr>
      <w:r w:rsidRPr="007B381B">
        <w:rPr>
          <w:rFonts w:ascii="Times New Roman" w:hAnsi="Times New Roman" w:cs="Times New Roman"/>
          <w:b/>
          <w:bCs/>
        </w:rPr>
        <w:br w:type="page"/>
      </w:r>
    </w:p>
    <w:p w14:paraId="09BFDCED" w14:textId="12F4CEF4" w:rsidR="00186EFA" w:rsidRPr="007B381B" w:rsidRDefault="797FDF2D" w:rsidP="00BF74BE">
      <w:pPr>
        <w:spacing w:line="360" w:lineRule="auto"/>
        <w:contextualSpacing/>
        <w:rPr>
          <w:rFonts w:ascii="Times New Roman" w:hAnsi="Times New Roman" w:cs="Times New Roman"/>
          <w:b/>
          <w:bCs/>
        </w:rPr>
      </w:pPr>
      <w:r w:rsidRPr="007B381B">
        <w:rPr>
          <w:rFonts w:ascii="Times New Roman" w:hAnsi="Times New Roman" w:cs="Times New Roman"/>
          <w:b/>
          <w:bCs/>
        </w:rPr>
        <w:lastRenderedPageBreak/>
        <w:t>NOTES ON SECTIONS</w:t>
      </w:r>
    </w:p>
    <w:p w14:paraId="0032D546" w14:textId="77777777" w:rsidR="00043840" w:rsidRPr="007B381B" w:rsidRDefault="797FDF2D" w:rsidP="00BF74BE">
      <w:pPr>
        <w:spacing w:line="360" w:lineRule="auto"/>
        <w:contextualSpacing/>
        <w:rPr>
          <w:rFonts w:ascii="Times New Roman" w:hAnsi="Times New Roman" w:cs="Times New Roman"/>
          <w:b/>
          <w:bCs/>
        </w:rPr>
      </w:pPr>
      <w:r w:rsidRPr="007B381B">
        <w:rPr>
          <w:rFonts w:ascii="Times New Roman" w:hAnsi="Times New Roman" w:cs="Times New Roman"/>
          <w:b/>
          <w:bCs/>
        </w:rPr>
        <w:t>Section 1 – Name</w:t>
      </w:r>
    </w:p>
    <w:p w14:paraId="4AB22170" w14:textId="5505B0EB" w:rsidR="00043840" w:rsidRPr="007B381B" w:rsidRDefault="00FC6E0E" w:rsidP="00A023D9">
      <w:pPr>
        <w:spacing w:line="360" w:lineRule="auto"/>
        <w:rPr>
          <w:rFonts w:ascii="Times New Roman" w:hAnsi="Times New Roman" w:cs="Times New Roman"/>
        </w:rPr>
      </w:pPr>
      <w:r w:rsidRPr="007B381B">
        <w:rPr>
          <w:rFonts w:ascii="Times New Roman" w:hAnsi="Times New Roman" w:cs="Times New Roman"/>
        </w:rPr>
        <w:t>This section</w:t>
      </w:r>
      <w:r w:rsidR="797FDF2D" w:rsidRPr="007B381B">
        <w:rPr>
          <w:rFonts w:ascii="Times New Roman" w:hAnsi="Times New Roman" w:cs="Times New Roman"/>
        </w:rPr>
        <w:t xml:space="preserve"> provides that the title of the</w:t>
      </w:r>
      <w:r w:rsidR="00787F9C" w:rsidRPr="007B381B">
        <w:rPr>
          <w:rFonts w:ascii="Times New Roman" w:hAnsi="Times New Roman" w:cs="Times New Roman"/>
        </w:rPr>
        <w:t xml:space="preserve"> </w:t>
      </w:r>
      <w:r w:rsidR="00973044">
        <w:rPr>
          <w:rFonts w:ascii="Times New Roman" w:hAnsi="Times New Roman" w:cs="Times New Roman"/>
        </w:rPr>
        <w:t>instrument</w:t>
      </w:r>
      <w:r w:rsidR="00973044" w:rsidRPr="007B381B">
        <w:rPr>
          <w:rFonts w:ascii="Times New Roman" w:hAnsi="Times New Roman" w:cs="Times New Roman"/>
        </w:rPr>
        <w:t xml:space="preserve"> </w:t>
      </w:r>
      <w:r w:rsidR="797FDF2D" w:rsidRPr="007B381B">
        <w:rPr>
          <w:rFonts w:ascii="Times New Roman" w:hAnsi="Times New Roman" w:cs="Times New Roman"/>
        </w:rPr>
        <w:t xml:space="preserve">is the </w:t>
      </w:r>
      <w:r w:rsidR="00034CA1" w:rsidRPr="007B381B">
        <w:rPr>
          <w:rFonts w:ascii="Times New Roman" w:hAnsi="Times New Roman" w:cs="Times New Roman"/>
          <w:i/>
        </w:rPr>
        <w:t>Administrative Review Tribunal (Consequential and Transitional Provisions No.</w:t>
      </w:r>
      <w:r w:rsidR="00F51466">
        <w:rPr>
          <w:rFonts w:ascii="Times New Roman" w:hAnsi="Times New Roman" w:cs="Times New Roman"/>
          <w:i/>
        </w:rPr>
        <w:t xml:space="preserve"> </w:t>
      </w:r>
      <w:r w:rsidR="00034CA1" w:rsidRPr="007B381B">
        <w:rPr>
          <w:rFonts w:ascii="Times New Roman" w:hAnsi="Times New Roman" w:cs="Times New Roman"/>
          <w:i/>
        </w:rPr>
        <w:t>1) Amendment Rules (No.</w:t>
      </w:r>
      <w:r w:rsidR="00F51466">
        <w:rPr>
          <w:rFonts w:ascii="Times New Roman" w:hAnsi="Times New Roman" w:cs="Times New Roman"/>
          <w:i/>
        </w:rPr>
        <w:t xml:space="preserve"> </w:t>
      </w:r>
      <w:r w:rsidR="00034CA1" w:rsidRPr="007B381B">
        <w:rPr>
          <w:rFonts w:ascii="Times New Roman" w:hAnsi="Times New Roman" w:cs="Times New Roman"/>
          <w:i/>
        </w:rPr>
        <w:t>2) 2025</w:t>
      </w:r>
      <w:r w:rsidR="797FDF2D" w:rsidRPr="007B381B">
        <w:rPr>
          <w:rFonts w:ascii="Times New Roman" w:hAnsi="Times New Roman" w:cs="Times New Roman"/>
          <w:i/>
        </w:rPr>
        <w:t>.</w:t>
      </w:r>
      <w:r w:rsidR="797FDF2D" w:rsidRPr="007B381B">
        <w:rPr>
          <w:rFonts w:ascii="Times New Roman" w:hAnsi="Times New Roman" w:cs="Times New Roman"/>
        </w:rPr>
        <w:t xml:space="preserve"> </w:t>
      </w:r>
    </w:p>
    <w:p w14:paraId="0CF8DC30" w14:textId="77777777" w:rsidR="00043840" w:rsidRPr="007B381B" w:rsidRDefault="797FDF2D" w:rsidP="00BF74BE">
      <w:pPr>
        <w:spacing w:line="360" w:lineRule="auto"/>
        <w:contextualSpacing/>
        <w:rPr>
          <w:rFonts w:ascii="Times New Roman" w:hAnsi="Times New Roman" w:cs="Times New Roman"/>
          <w:b/>
          <w:bCs/>
        </w:rPr>
      </w:pPr>
      <w:r w:rsidRPr="007B381B">
        <w:rPr>
          <w:rFonts w:ascii="Times New Roman" w:hAnsi="Times New Roman" w:cs="Times New Roman"/>
          <w:b/>
          <w:bCs/>
        </w:rPr>
        <w:t>Section 2 – Commencement</w:t>
      </w:r>
    </w:p>
    <w:p w14:paraId="09BFDCFC" w14:textId="42BCE085" w:rsidR="00C16B35" w:rsidRPr="007B381B" w:rsidRDefault="00FC6E0E" w:rsidP="00A023D9">
      <w:pPr>
        <w:spacing w:line="360" w:lineRule="auto"/>
        <w:rPr>
          <w:rFonts w:ascii="Times New Roman" w:hAnsi="Times New Roman" w:cs="Times New Roman"/>
        </w:rPr>
      </w:pPr>
      <w:r w:rsidRPr="007B381B">
        <w:rPr>
          <w:rFonts w:ascii="Times New Roman" w:hAnsi="Times New Roman" w:cs="Times New Roman"/>
        </w:rPr>
        <w:t>This section provides that t</w:t>
      </w:r>
      <w:r w:rsidR="797FDF2D" w:rsidRPr="007B381B">
        <w:rPr>
          <w:rFonts w:ascii="Times New Roman" w:hAnsi="Times New Roman" w:cs="Times New Roman"/>
        </w:rPr>
        <w:t>he</w:t>
      </w:r>
      <w:r w:rsidR="00787F9C" w:rsidRPr="007B381B">
        <w:rPr>
          <w:rFonts w:ascii="Times New Roman" w:hAnsi="Times New Roman" w:cs="Times New Roman"/>
        </w:rPr>
        <w:t xml:space="preserve"> Rules</w:t>
      </w:r>
      <w:r w:rsidR="797FDF2D" w:rsidRPr="007B381B">
        <w:rPr>
          <w:rFonts w:ascii="Times New Roman" w:hAnsi="Times New Roman" w:cs="Times New Roman"/>
        </w:rPr>
        <w:t xml:space="preserve"> commence on the day after the instrument is registered</w:t>
      </w:r>
      <w:r w:rsidR="00B8670D" w:rsidRPr="007B381B">
        <w:rPr>
          <w:rFonts w:ascii="Times New Roman" w:hAnsi="Times New Roman" w:cs="Times New Roman"/>
        </w:rPr>
        <w:t>.</w:t>
      </w:r>
    </w:p>
    <w:p w14:paraId="7BF290D1" w14:textId="5D566518" w:rsidR="009133B4" w:rsidRPr="007B381B" w:rsidRDefault="009133B4" w:rsidP="00BF74BE">
      <w:pPr>
        <w:keepNext/>
        <w:spacing w:line="360" w:lineRule="auto"/>
        <w:contextualSpacing/>
        <w:rPr>
          <w:rFonts w:ascii="Times New Roman" w:hAnsi="Times New Roman" w:cs="Times New Roman"/>
          <w:b/>
          <w:bCs/>
        </w:rPr>
      </w:pPr>
      <w:r w:rsidRPr="007B381B">
        <w:rPr>
          <w:rFonts w:ascii="Times New Roman" w:hAnsi="Times New Roman" w:cs="Times New Roman"/>
          <w:b/>
          <w:bCs/>
        </w:rPr>
        <w:t>Section 3 – Authority</w:t>
      </w:r>
    </w:p>
    <w:p w14:paraId="56713564" w14:textId="6A673A31" w:rsidR="00A86B69" w:rsidRPr="007B381B" w:rsidRDefault="00FC6E0E" w:rsidP="00A023D9">
      <w:pPr>
        <w:spacing w:line="360" w:lineRule="auto"/>
        <w:rPr>
          <w:rFonts w:ascii="Times New Roman" w:hAnsi="Times New Roman" w:cs="Times New Roman"/>
        </w:rPr>
      </w:pPr>
      <w:r w:rsidRPr="007B381B">
        <w:rPr>
          <w:rFonts w:ascii="Times New Roman" w:hAnsi="Times New Roman" w:cs="Times New Roman"/>
        </w:rPr>
        <w:t xml:space="preserve">This section provides that the Rules are </w:t>
      </w:r>
      <w:r w:rsidR="00A86B69" w:rsidRPr="007B381B">
        <w:rPr>
          <w:rFonts w:ascii="Times New Roman" w:hAnsi="Times New Roman" w:cs="Times New Roman"/>
        </w:rPr>
        <w:t>made</w:t>
      </w:r>
      <w:r w:rsidRPr="007B381B">
        <w:rPr>
          <w:rFonts w:ascii="Times New Roman" w:hAnsi="Times New Roman" w:cs="Times New Roman"/>
        </w:rPr>
        <w:t xml:space="preserve"> and given authority</w:t>
      </w:r>
      <w:r w:rsidR="00A86B69" w:rsidRPr="007B381B">
        <w:rPr>
          <w:rFonts w:ascii="Times New Roman" w:hAnsi="Times New Roman" w:cs="Times New Roman"/>
        </w:rPr>
        <w:t xml:space="preserve"> under </w:t>
      </w:r>
      <w:r w:rsidR="00973044">
        <w:rPr>
          <w:rFonts w:ascii="Times New Roman" w:hAnsi="Times New Roman" w:cs="Times New Roman"/>
        </w:rPr>
        <w:t>i</w:t>
      </w:r>
      <w:r w:rsidR="00A86B69" w:rsidRPr="007B381B">
        <w:rPr>
          <w:rFonts w:ascii="Times New Roman" w:hAnsi="Times New Roman" w:cs="Times New Roman"/>
        </w:rPr>
        <w:t xml:space="preserve">tem 51 of Schedule 16 to the </w:t>
      </w:r>
      <w:r w:rsidR="00A86B69" w:rsidRPr="007B381B">
        <w:rPr>
          <w:rFonts w:ascii="Times New Roman" w:hAnsi="Times New Roman" w:cs="Times New Roman"/>
          <w:i/>
        </w:rPr>
        <w:t>Administrative Review Tribunal (Consequential and Transitional Provisions No.</w:t>
      </w:r>
      <w:r w:rsidR="00F51466">
        <w:rPr>
          <w:rFonts w:ascii="Times New Roman" w:hAnsi="Times New Roman" w:cs="Times New Roman"/>
          <w:i/>
        </w:rPr>
        <w:t xml:space="preserve"> </w:t>
      </w:r>
      <w:r w:rsidR="00A86B69" w:rsidRPr="007B381B">
        <w:rPr>
          <w:rFonts w:ascii="Times New Roman" w:hAnsi="Times New Roman" w:cs="Times New Roman"/>
          <w:i/>
        </w:rPr>
        <w:t>1) Act 2024.</w:t>
      </w:r>
    </w:p>
    <w:p w14:paraId="6379A4FA" w14:textId="62AEE3D4" w:rsidR="009133B4" w:rsidRPr="007B381B" w:rsidRDefault="009133B4" w:rsidP="00BF74BE">
      <w:pPr>
        <w:keepNext/>
        <w:spacing w:line="360" w:lineRule="auto"/>
        <w:contextualSpacing/>
        <w:rPr>
          <w:rFonts w:ascii="Times New Roman" w:hAnsi="Times New Roman" w:cs="Times New Roman"/>
          <w:b/>
          <w:bCs/>
        </w:rPr>
      </w:pPr>
      <w:r w:rsidRPr="007B381B">
        <w:rPr>
          <w:rFonts w:ascii="Times New Roman" w:hAnsi="Times New Roman" w:cs="Times New Roman"/>
          <w:b/>
          <w:bCs/>
        </w:rPr>
        <w:t xml:space="preserve">Section 4 – Schedules </w:t>
      </w:r>
      <w:r w:rsidR="00F51466">
        <w:rPr>
          <w:rFonts w:ascii="Times New Roman" w:hAnsi="Times New Roman" w:cs="Times New Roman"/>
          <w:b/>
          <w:bCs/>
        </w:rPr>
        <w:t xml:space="preserve">  </w:t>
      </w:r>
    </w:p>
    <w:p w14:paraId="0CCE332E" w14:textId="06D164A6" w:rsidR="00B8670D" w:rsidRPr="007B381B" w:rsidRDefault="00FC6E0E" w:rsidP="00A023D9">
      <w:pPr>
        <w:spacing w:line="360" w:lineRule="auto"/>
        <w:rPr>
          <w:rFonts w:ascii="Times New Roman" w:hAnsi="Times New Roman" w:cs="Times New Roman"/>
          <w:b/>
          <w:bCs/>
          <w:u w:val="single"/>
        </w:rPr>
      </w:pPr>
      <w:r w:rsidRPr="007B381B">
        <w:rPr>
          <w:rFonts w:ascii="Times New Roman" w:hAnsi="Times New Roman" w:cs="Times New Roman"/>
        </w:rPr>
        <w:t xml:space="preserve">This section clarifies the interaction of amendments to instruments within the Schedules to the </w:t>
      </w:r>
      <w:r w:rsidR="00973044">
        <w:rPr>
          <w:rFonts w:ascii="Times New Roman" w:hAnsi="Times New Roman" w:cs="Times New Roman"/>
        </w:rPr>
        <w:t>instrument</w:t>
      </w:r>
      <w:r w:rsidRPr="007B381B">
        <w:rPr>
          <w:rFonts w:ascii="Times New Roman" w:hAnsi="Times New Roman" w:cs="Times New Roman"/>
        </w:rPr>
        <w:t>. Where an instrument is amended in a Schedule in this instrument, that amendment  have effect as is contained in the Schedule. Any other item in a Schedule has effect according to its terms.</w:t>
      </w:r>
      <w:r w:rsidR="00C96FDE" w:rsidRPr="007B381B">
        <w:rPr>
          <w:rFonts w:ascii="Times New Roman" w:hAnsi="Times New Roman" w:cs="Times New Roman"/>
        </w:rPr>
        <w:t xml:space="preserve"> </w:t>
      </w:r>
      <w:r w:rsidR="00B8670D" w:rsidRPr="007B381B">
        <w:rPr>
          <w:rFonts w:ascii="Times New Roman" w:hAnsi="Times New Roman" w:cs="Times New Roman"/>
          <w:b/>
          <w:bCs/>
          <w:u w:val="single"/>
        </w:rPr>
        <w:br w:type="page"/>
      </w:r>
    </w:p>
    <w:p w14:paraId="09BFDCFF" w14:textId="5CF06136" w:rsidR="00F33269" w:rsidRPr="007B381B" w:rsidRDefault="797FDF2D" w:rsidP="00BF74BE">
      <w:pPr>
        <w:keepNext/>
        <w:spacing w:line="360" w:lineRule="auto"/>
        <w:contextualSpacing/>
        <w:rPr>
          <w:rFonts w:ascii="Times New Roman" w:hAnsi="Times New Roman" w:cs="Times New Roman"/>
          <w:b/>
          <w:bCs/>
          <w:u w:val="single"/>
        </w:rPr>
      </w:pPr>
      <w:r w:rsidRPr="007B381B">
        <w:rPr>
          <w:rFonts w:ascii="Times New Roman" w:hAnsi="Times New Roman" w:cs="Times New Roman"/>
          <w:b/>
          <w:bCs/>
          <w:u w:val="single"/>
        </w:rPr>
        <w:lastRenderedPageBreak/>
        <w:t>SCHEDULE 1 – Amendments</w:t>
      </w:r>
    </w:p>
    <w:p w14:paraId="56EF75FB" w14:textId="15306583" w:rsidR="009133B4" w:rsidRDefault="009133B4" w:rsidP="00BF74BE">
      <w:pPr>
        <w:spacing w:line="360" w:lineRule="auto"/>
        <w:contextualSpacing/>
        <w:rPr>
          <w:rFonts w:ascii="Times New Roman" w:hAnsi="Times New Roman" w:cs="Times New Roman"/>
        </w:rPr>
      </w:pPr>
      <w:r w:rsidRPr="007B381B">
        <w:rPr>
          <w:rFonts w:ascii="Times New Roman" w:hAnsi="Times New Roman" w:cs="Times New Roman"/>
          <w:i/>
        </w:rPr>
        <w:t>Administrative Review Tribunal (Consequential and Transitional Provisions No.</w:t>
      </w:r>
      <w:r w:rsidR="00F51466">
        <w:rPr>
          <w:rFonts w:ascii="Times New Roman" w:hAnsi="Times New Roman" w:cs="Times New Roman"/>
          <w:i/>
        </w:rPr>
        <w:t xml:space="preserve"> </w:t>
      </w:r>
      <w:r w:rsidRPr="007B381B">
        <w:rPr>
          <w:rFonts w:ascii="Times New Roman" w:hAnsi="Times New Roman" w:cs="Times New Roman"/>
          <w:i/>
        </w:rPr>
        <w:t>1) Rules 2024</w:t>
      </w:r>
      <w:r w:rsidRPr="007B381B">
        <w:rPr>
          <w:rFonts w:ascii="Times New Roman" w:hAnsi="Times New Roman" w:cs="Times New Roman"/>
        </w:rPr>
        <w:t xml:space="preserve"> </w:t>
      </w:r>
    </w:p>
    <w:p w14:paraId="4AB0FC0B" w14:textId="77777777" w:rsidR="00A0612E" w:rsidRPr="007B381B" w:rsidRDefault="00A0612E" w:rsidP="00BF74BE">
      <w:pPr>
        <w:spacing w:line="360" w:lineRule="auto"/>
        <w:contextualSpacing/>
        <w:rPr>
          <w:rFonts w:ascii="Times New Roman" w:hAnsi="Times New Roman" w:cs="Times New Roman"/>
        </w:rPr>
      </w:pPr>
    </w:p>
    <w:p w14:paraId="740DF7FC" w14:textId="1C1D3C5A" w:rsidR="009133B4" w:rsidRPr="007B381B" w:rsidRDefault="009133B4" w:rsidP="00BF74BE">
      <w:pPr>
        <w:keepNext/>
        <w:spacing w:line="360" w:lineRule="auto"/>
        <w:contextualSpacing/>
        <w:rPr>
          <w:rFonts w:ascii="Times New Roman" w:hAnsi="Times New Roman" w:cs="Times New Roman"/>
          <w:b/>
          <w:bCs/>
        </w:rPr>
      </w:pPr>
      <w:r w:rsidRPr="007B381B">
        <w:rPr>
          <w:rFonts w:ascii="Times New Roman" w:hAnsi="Times New Roman" w:cs="Times New Roman"/>
          <w:b/>
          <w:bCs/>
        </w:rPr>
        <w:t xml:space="preserve">Item 1 – </w:t>
      </w:r>
      <w:r w:rsidR="000D7411" w:rsidRPr="007B381B">
        <w:rPr>
          <w:rFonts w:ascii="Times New Roman" w:hAnsi="Times New Roman" w:cs="Times New Roman"/>
          <w:b/>
          <w:bCs/>
        </w:rPr>
        <w:t xml:space="preserve">Calculating pensions for certain former presidential members of the AAT </w:t>
      </w:r>
    </w:p>
    <w:p w14:paraId="7F9CC56E" w14:textId="7CB301CB" w:rsidR="00D445A5" w:rsidRPr="007B381B" w:rsidRDefault="00FC6E0E" w:rsidP="00AF5CB8">
      <w:pPr>
        <w:spacing w:line="360" w:lineRule="auto"/>
        <w:rPr>
          <w:rFonts w:ascii="Times New Roman" w:hAnsi="Times New Roman" w:cs="Times New Roman"/>
        </w:rPr>
      </w:pPr>
      <w:r w:rsidRPr="007B381B">
        <w:rPr>
          <w:rFonts w:ascii="Times New Roman" w:hAnsi="Times New Roman" w:cs="Times New Roman"/>
        </w:rPr>
        <w:t>This item inserts</w:t>
      </w:r>
      <w:r w:rsidR="00455B60">
        <w:rPr>
          <w:rFonts w:ascii="Times New Roman" w:hAnsi="Times New Roman" w:cs="Times New Roman"/>
        </w:rPr>
        <w:t xml:space="preserve"> new section </w:t>
      </w:r>
      <w:r w:rsidR="00D44D51">
        <w:rPr>
          <w:rFonts w:ascii="Times New Roman" w:hAnsi="Times New Roman" w:cs="Times New Roman"/>
        </w:rPr>
        <w:t>13</w:t>
      </w:r>
      <w:r w:rsidRPr="007B381B">
        <w:rPr>
          <w:rFonts w:ascii="Times New Roman" w:hAnsi="Times New Roman" w:cs="Times New Roman"/>
        </w:rPr>
        <w:t xml:space="preserve"> </w:t>
      </w:r>
      <w:r w:rsidR="00973044">
        <w:rPr>
          <w:rFonts w:ascii="Times New Roman" w:hAnsi="Times New Roman" w:cs="Times New Roman"/>
        </w:rPr>
        <w:t xml:space="preserve">into the </w:t>
      </w:r>
      <w:r w:rsidR="00973044" w:rsidRPr="00973044">
        <w:rPr>
          <w:rFonts w:ascii="Times New Roman" w:hAnsi="Times New Roman" w:cs="Times New Roman"/>
          <w:i/>
        </w:rPr>
        <w:t>Administrative Review Tribunal (Consequential and Transitional Provisions No.</w:t>
      </w:r>
      <w:r w:rsidR="00F51466">
        <w:rPr>
          <w:rFonts w:ascii="Times New Roman" w:hAnsi="Times New Roman" w:cs="Times New Roman"/>
          <w:i/>
        </w:rPr>
        <w:t xml:space="preserve"> </w:t>
      </w:r>
      <w:r w:rsidR="00973044" w:rsidRPr="00973044">
        <w:rPr>
          <w:rFonts w:ascii="Times New Roman" w:hAnsi="Times New Roman" w:cs="Times New Roman"/>
          <w:i/>
        </w:rPr>
        <w:t>1) Rules 2024</w:t>
      </w:r>
      <w:r w:rsidR="00973044" w:rsidRPr="00973044">
        <w:rPr>
          <w:rFonts w:ascii="Times New Roman" w:hAnsi="Times New Roman" w:cs="Times New Roman"/>
        </w:rPr>
        <w:t xml:space="preserve"> </w:t>
      </w:r>
      <w:r w:rsidR="00973044">
        <w:rPr>
          <w:rFonts w:ascii="Times New Roman" w:hAnsi="Times New Roman" w:cs="Times New Roman"/>
        </w:rPr>
        <w:t>(Transitional Rules)</w:t>
      </w:r>
      <w:r w:rsidR="00D44D51">
        <w:rPr>
          <w:rFonts w:ascii="Times New Roman" w:hAnsi="Times New Roman" w:cs="Times New Roman"/>
        </w:rPr>
        <w:t>.</w:t>
      </w:r>
      <w:r w:rsidR="00973044">
        <w:rPr>
          <w:rFonts w:ascii="Times New Roman" w:hAnsi="Times New Roman" w:cs="Times New Roman"/>
        </w:rPr>
        <w:t xml:space="preserve"> </w:t>
      </w:r>
      <w:r w:rsidR="00D44D51">
        <w:rPr>
          <w:rFonts w:ascii="Times New Roman" w:hAnsi="Times New Roman" w:cs="Times New Roman"/>
        </w:rPr>
        <w:t xml:space="preserve">Section 13 deals with </w:t>
      </w:r>
      <w:r w:rsidR="00973044">
        <w:rPr>
          <w:rFonts w:ascii="Times New Roman" w:hAnsi="Times New Roman" w:cs="Times New Roman"/>
        </w:rPr>
        <w:t>transitional arrangements relating to the calculation of certain pensions payable to former non-judicial Deputy Presidents of the A</w:t>
      </w:r>
      <w:r w:rsidR="0015169D">
        <w:rPr>
          <w:rFonts w:ascii="Times New Roman" w:hAnsi="Times New Roman" w:cs="Times New Roman"/>
        </w:rPr>
        <w:t>dministrative Appeals Tribunal (AAT)</w:t>
      </w:r>
      <w:r w:rsidR="00D44D51">
        <w:rPr>
          <w:rFonts w:ascii="Times New Roman" w:hAnsi="Times New Roman" w:cs="Times New Roman"/>
        </w:rPr>
        <w:t>.</w:t>
      </w:r>
    </w:p>
    <w:p w14:paraId="374B5E5E" w14:textId="460663F0" w:rsidR="00CC2FC5" w:rsidRPr="003F66A2" w:rsidRDefault="00983588" w:rsidP="00CC2FC5">
      <w:pPr>
        <w:spacing w:line="360" w:lineRule="auto"/>
        <w:rPr>
          <w:rFonts w:ascii="Times New Roman" w:hAnsi="Times New Roman" w:cs="Times New Roman"/>
        </w:rPr>
      </w:pPr>
      <w:r>
        <w:rPr>
          <w:rFonts w:ascii="Times New Roman" w:hAnsi="Times New Roman" w:cs="Times New Roman"/>
        </w:rPr>
        <w:t xml:space="preserve">Until </w:t>
      </w:r>
      <w:r w:rsidR="00950657">
        <w:rPr>
          <w:rFonts w:ascii="Times New Roman" w:hAnsi="Times New Roman" w:cs="Times New Roman"/>
        </w:rPr>
        <w:t xml:space="preserve">16 May </w:t>
      </w:r>
      <w:r>
        <w:rPr>
          <w:rFonts w:ascii="Times New Roman" w:hAnsi="Times New Roman" w:cs="Times New Roman"/>
        </w:rPr>
        <w:t>2005, p</w:t>
      </w:r>
      <w:r w:rsidR="00CC2FC5" w:rsidRPr="007B381B">
        <w:rPr>
          <w:rFonts w:ascii="Times New Roman" w:hAnsi="Times New Roman" w:cs="Times New Roman"/>
        </w:rPr>
        <w:t xml:space="preserve">ursuant to section 16 of the </w:t>
      </w:r>
      <w:r w:rsidR="00D44D51" w:rsidRPr="005B577A">
        <w:rPr>
          <w:rFonts w:ascii="Times New Roman" w:hAnsi="Times New Roman" w:cs="Times New Roman"/>
          <w:i/>
        </w:rPr>
        <w:t>Administrative Appeals Tribunal Act 1975</w:t>
      </w:r>
      <w:r w:rsidR="00D44D51">
        <w:rPr>
          <w:rFonts w:ascii="Times New Roman" w:hAnsi="Times New Roman" w:cs="Times New Roman"/>
        </w:rPr>
        <w:t xml:space="preserve"> (</w:t>
      </w:r>
      <w:r w:rsidR="00CC2FC5" w:rsidRPr="007B381B">
        <w:rPr>
          <w:rFonts w:ascii="Times New Roman" w:hAnsi="Times New Roman" w:cs="Times New Roman"/>
        </w:rPr>
        <w:t>AAT</w:t>
      </w:r>
      <w:r w:rsidR="00950657">
        <w:rPr>
          <w:rFonts w:ascii="Times New Roman" w:hAnsi="Times New Roman" w:cs="Times New Roman"/>
        </w:rPr>
        <w:t> </w:t>
      </w:r>
      <w:r w:rsidR="00CC2FC5" w:rsidRPr="007B381B">
        <w:rPr>
          <w:rFonts w:ascii="Times New Roman" w:hAnsi="Times New Roman" w:cs="Times New Roman"/>
        </w:rPr>
        <w:t>Act</w:t>
      </w:r>
      <w:r w:rsidR="00D44D51">
        <w:rPr>
          <w:rFonts w:ascii="Times New Roman" w:hAnsi="Times New Roman" w:cs="Times New Roman"/>
        </w:rPr>
        <w:t>)</w:t>
      </w:r>
      <w:r w:rsidR="00CC2FC5" w:rsidRPr="007B381B">
        <w:rPr>
          <w:rFonts w:ascii="Times New Roman" w:hAnsi="Times New Roman" w:cs="Times New Roman"/>
        </w:rPr>
        <w:t xml:space="preserve">, </w:t>
      </w:r>
      <w:r w:rsidR="00D44D51">
        <w:rPr>
          <w:rFonts w:ascii="Times New Roman" w:hAnsi="Times New Roman" w:cs="Times New Roman"/>
        </w:rPr>
        <w:t xml:space="preserve">certain </w:t>
      </w:r>
      <w:r w:rsidR="00CC2FC5" w:rsidRPr="007B381B">
        <w:rPr>
          <w:rFonts w:ascii="Times New Roman" w:hAnsi="Times New Roman" w:cs="Times New Roman"/>
        </w:rPr>
        <w:t xml:space="preserve">non-judicial presidential members of the AAT were treated as judges for the purposes of </w:t>
      </w:r>
      <w:r w:rsidR="005B577A">
        <w:rPr>
          <w:rFonts w:ascii="Times New Roman" w:hAnsi="Times New Roman" w:cs="Times New Roman"/>
        </w:rPr>
        <w:t xml:space="preserve">the </w:t>
      </w:r>
      <w:r w:rsidR="005B577A" w:rsidRPr="005B577A">
        <w:rPr>
          <w:rFonts w:ascii="Times New Roman" w:hAnsi="Times New Roman" w:cs="Times New Roman"/>
          <w:i/>
        </w:rPr>
        <w:t>Judges’ Pensions Act 1968</w:t>
      </w:r>
      <w:r w:rsidR="005B577A">
        <w:rPr>
          <w:rFonts w:ascii="Times New Roman" w:hAnsi="Times New Roman" w:cs="Times New Roman"/>
        </w:rPr>
        <w:t xml:space="preserve"> (</w:t>
      </w:r>
      <w:r w:rsidR="00ED670E">
        <w:rPr>
          <w:rFonts w:ascii="Times New Roman" w:hAnsi="Times New Roman" w:cs="Times New Roman"/>
        </w:rPr>
        <w:t>Pensions</w:t>
      </w:r>
      <w:r w:rsidR="005B577A">
        <w:rPr>
          <w:rFonts w:ascii="Times New Roman" w:hAnsi="Times New Roman" w:cs="Times New Roman"/>
        </w:rPr>
        <w:t xml:space="preserve"> Act) and thereby entitled to benefits under that Act.</w:t>
      </w:r>
      <w:r w:rsidR="00CC2FC5" w:rsidRPr="007B381B">
        <w:rPr>
          <w:rFonts w:ascii="Times New Roman" w:hAnsi="Times New Roman" w:cs="Times New Roman"/>
        </w:rPr>
        <w:t xml:space="preserve"> Section 16</w:t>
      </w:r>
      <w:r w:rsidR="005B577A">
        <w:rPr>
          <w:rFonts w:ascii="Times New Roman" w:hAnsi="Times New Roman" w:cs="Times New Roman"/>
        </w:rPr>
        <w:t xml:space="preserve"> of the AAT Act</w:t>
      </w:r>
      <w:r w:rsidR="00CC2FC5" w:rsidRPr="007B381B">
        <w:rPr>
          <w:rFonts w:ascii="Times New Roman" w:hAnsi="Times New Roman" w:cs="Times New Roman"/>
        </w:rPr>
        <w:t xml:space="preserve"> was repealed by the </w:t>
      </w:r>
      <w:r w:rsidR="00CC2FC5" w:rsidRPr="003F66A2">
        <w:rPr>
          <w:rFonts w:ascii="Times New Roman" w:hAnsi="Times New Roman" w:cs="Times New Roman"/>
          <w:i/>
        </w:rPr>
        <w:t>Administrative Appeals Tribunal Amendment Act 2005</w:t>
      </w:r>
      <w:r w:rsidR="00CC2FC5" w:rsidRPr="003F66A2">
        <w:rPr>
          <w:rFonts w:ascii="Times New Roman" w:hAnsi="Times New Roman" w:cs="Times New Roman"/>
        </w:rPr>
        <w:t xml:space="preserve"> (AATAA)</w:t>
      </w:r>
      <w:r w:rsidR="00624F36">
        <w:rPr>
          <w:rFonts w:ascii="Times New Roman" w:hAnsi="Times New Roman" w:cs="Times New Roman"/>
        </w:rPr>
        <w:t xml:space="preserve"> on</w:t>
      </w:r>
      <w:r w:rsidR="00624F36" w:rsidRPr="003F66A2">
        <w:rPr>
          <w:rFonts w:ascii="Times New Roman" w:hAnsi="Times New Roman" w:cs="Times New Roman"/>
        </w:rPr>
        <w:t xml:space="preserve"> </w:t>
      </w:r>
      <w:r w:rsidR="00624F36">
        <w:rPr>
          <w:rFonts w:ascii="Times New Roman" w:hAnsi="Times New Roman" w:cs="Times New Roman"/>
        </w:rPr>
        <w:t>16 May 2005</w:t>
      </w:r>
      <w:r w:rsidR="00CC2FC5" w:rsidRPr="003F66A2">
        <w:rPr>
          <w:rFonts w:ascii="Times New Roman" w:hAnsi="Times New Roman" w:cs="Times New Roman"/>
        </w:rPr>
        <w:t xml:space="preserve">, but its effect was preserved by a transitional provision (section 34 of Schedule 1 to the AATAA) </w:t>
      </w:r>
      <w:r w:rsidR="00FF7AA9">
        <w:rPr>
          <w:rFonts w:ascii="Times New Roman" w:hAnsi="Times New Roman" w:cs="Times New Roman"/>
        </w:rPr>
        <w:t>which had the effect that</w:t>
      </w:r>
      <w:r w:rsidR="00CC2FC5" w:rsidRPr="003F66A2">
        <w:rPr>
          <w:rFonts w:ascii="Times New Roman" w:hAnsi="Times New Roman" w:cs="Times New Roman"/>
        </w:rPr>
        <w:t xml:space="preserve"> </w:t>
      </w:r>
      <w:r w:rsidR="00B17807" w:rsidRPr="007B381B">
        <w:rPr>
          <w:rFonts w:ascii="Times New Roman" w:hAnsi="Times New Roman" w:cs="Times New Roman"/>
        </w:rPr>
        <w:t>members</w:t>
      </w:r>
      <w:r w:rsidR="00624F36">
        <w:rPr>
          <w:rFonts w:ascii="Times New Roman" w:hAnsi="Times New Roman" w:cs="Times New Roman"/>
        </w:rPr>
        <w:t xml:space="preserve"> appointed prior to the repeal of section 16</w:t>
      </w:r>
      <w:r w:rsidR="00CC2FC5" w:rsidRPr="003F66A2">
        <w:rPr>
          <w:rFonts w:ascii="Times New Roman" w:hAnsi="Times New Roman" w:cs="Times New Roman"/>
        </w:rPr>
        <w:t xml:space="preserve"> who were entitled to </w:t>
      </w:r>
      <w:r w:rsidR="00624F36">
        <w:rPr>
          <w:rFonts w:ascii="Times New Roman" w:hAnsi="Times New Roman" w:cs="Times New Roman"/>
        </w:rPr>
        <w:t xml:space="preserve">receive a </w:t>
      </w:r>
      <w:r w:rsidR="00CC2FC5" w:rsidRPr="003F66A2">
        <w:rPr>
          <w:rFonts w:ascii="Times New Roman" w:hAnsi="Times New Roman" w:cs="Times New Roman"/>
        </w:rPr>
        <w:t>pension</w:t>
      </w:r>
      <w:r w:rsidR="008132B0" w:rsidRPr="007B381B">
        <w:rPr>
          <w:rFonts w:ascii="Times New Roman" w:hAnsi="Times New Roman" w:cs="Times New Roman"/>
        </w:rPr>
        <w:t xml:space="preserve"> </w:t>
      </w:r>
      <w:r w:rsidR="00EF602E" w:rsidRPr="003F66A2">
        <w:rPr>
          <w:rFonts w:ascii="Times New Roman" w:hAnsi="Times New Roman" w:cs="Times New Roman"/>
        </w:rPr>
        <w:t xml:space="preserve">under the </w:t>
      </w:r>
      <w:r w:rsidR="00EF602E">
        <w:rPr>
          <w:rFonts w:ascii="Times New Roman" w:hAnsi="Times New Roman" w:cs="Times New Roman"/>
        </w:rPr>
        <w:t>Pensions</w:t>
      </w:r>
      <w:r w:rsidR="00EF602E" w:rsidRPr="003F66A2">
        <w:rPr>
          <w:rFonts w:ascii="Times New Roman" w:hAnsi="Times New Roman" w:cs="Times New Roman"/>
        </w:rPr>
        <w:t xml:space="preserve"> Act</w:t>
      </w:r>
      <w:r w:rsidR="00EF602E">
        <w:rPr>
          <w:rFonts w:ascii="Times New Roman" w:hAnsi="Times New Roman" w:cs="Times New Roman"/>
        </w:rPr>
        <w:t xml:space="preserve"> conti</w:t>
      </w:r>
      <w:r w:rsidR="00CC2FC5" w:rsidRPr="003F66A2">
        <w:rPr>
          <w:rFonts w:ascii="Times New Roman" w:hAnsi="Times New Roman" w:cs="Times New Roman"/>
        </w:rPr>
        <w:t>nue to receive</w:t>
      </w:r>
      <w:r w:rsidR="00624F36">
        <w:rPr>
          <w:rFonts w:ascii="Times New Roman" w:hAnsi="Times New Roman" w:cs="Times New Roman"/>
        </w:rPr>
        <w:t xml:space="preserve"> that</w:t>
      </w:r>
      <w:r w:rsidR="00CC2FC5" w:rsidRPr="003F66A2">
        <w:rPr>
          <w:rFonts w:ascii="Times New Roman" w:hAnsi="Times New Roman" w:cs="Times New Roman"/>
        </w:rPr>
        <w:t xml:space="preserve"> pension.</w:t>
      </w:r>
    </w:p>
    <w:p w14:paraId="1AA3922B" w14:textId="22813343" w:rsidR="00365994" w:rsidRDefault="00ED670E" w:rsidP="00CC2FC5">
      <w:pPr>
        <w:spacing w:line="360" w:lineRule="auto"/>
        <w:rPr>
          <w:rFonts w:ascii="Times New Roman" w:hAnsi="Times New Roman" w:cs="Times New Roman"/>
        </w:rPr>
      </w:pPr>
      <w:r>
        <w:rPr>
          <w:rFonts w:ascii="Times New Roman" w:hAnsi="Times New Roman" w:cs="Times New Roman"/>
        </w:rPr>
        <w:t>Subs</w:t>
      </w:r>
      <w:r w:rsidR="00F30A85" w:rsidRPr="00F30A85">
        <w:rPr>
          <w:rFonts w:ascii="Times New Roman" w:hAnsi="Times New Roman" w:cs="Times New Roman"/>
        </w:rPr>
        <w:t xml:space="preserve">ection 6A(2) </w:t>
      </w:r>
      <w:r w:rsidR="00F30A85">
        <w:rPr>
          <w:rFonts w:ascii="Times New Roman" w:hAnsi="Times New Roman" w:cs="Times New Roman"/>
        </w:rPr>
        <w:t>of the Pensions Act provides that a judge</w:t>
      </w:r>
      <w:r>
        <w:rPr>
          <w:rFonts w:ascii="Times New Roman" w:hAnsi="Times New Roman" w:cs="Times New Roman"/>
        </w:rPr>
        <w:t>’</w:t>
      </w:r>
      <w:r w:rsidR="00F30A85">
        <w:rPr>
          <w:rFonts w:ascii="Times New Roman" w:hAnsi="Times New Roman" w:cs="Times New Roman"/>
        </w:rPr>
        <w:t xml:space="preserve">s </w:t>
      </w:r>
      <w:r w:rsidR="00CC2FC5" w:rsidRPr="007B381B">
        <w:rPr>
          <w:rFonts w:ascii="Times New Roman" w:hAnsi="Times New Roman" w:cs="Times New Roman"/>
        </w:rPr>
        <w:t>pension</w:t>
      </w:r>
      <w:r w:rsidR="00F30A85">
        <w:rPr>
          <w:rFonts w:ascii="Times New Roman" w:hAnsi="Times New Roman" w:cs="Times New Roman"/>
        </w:rPr>
        <w:t xml:space="preserve"> is to be</w:t>
      </w:r>
      <w:r w:rsidR="00CC2FC5" w:rsidRPr="007B381B">
        <w:rPr>
          <w:rFonts w:ascii="Times New Roman" w:hAnsi="Times New Roman" w:cs="Times New Roman"/>
        </w:rPr>
        <w:t xml:space="preserve"> calculated </w:t>
      </w:r>
      <w:r w:rsidR="00AE7D3A">
        <w:rPr>
          <w:rFonts w:ascii="Times New Roman" w:hAnsi="Times New Roman" w:cs="Times New Roman"/>
        </w:rPr>
        <w:t>by</w:t>
      </w:r>
      <w:r w:rsidR="00CC2FC5" w:rsidRPr="007B381B">
        <w:rPr>
          <w:rFonts w:ascii="Times New Roman" w:hAnsi="Times New Roman" w:cs="Times New Roman"/>
        </w:rPr>
        <w:t xml:space="preserve"> reference to </w:t>
      </w:r>
      <w:r w:rsidR="00AE7D3A">
        <w:rPr>
          <w:rFonts w:ascii="Times New Roman" w:hAnsi="Times New Roman" w:cs="Times New Roman"/>
        </w:rPr>
        <w:t>the</w:t>
      </w:r>
      <w:r w:rsidR="00CC2FC5" w:rsidRPr="007B381B">
        <w:rPr>
          <w:rFonts w:ascii="Times New Roman" w:hAnsi="Times New Roman" w:cs="Times New Roman"/>
        </w:rPr>
        <w:t xml:space="preserve"> ‘appropriate current judicial salary’.</w:t>
      </w:r>
      <w:r w:rsidR="008132B0" w:rsidRPr="007B381B">
        <w:rPr>
          <w:rFonts w:ascii="Times New Roman" w:hAnsi="Times New Roman" w:cs="Times New Roman"/>
        </w:rPr>
        <w:t xml:space="preserve"> </w:t>
      </w:r>
      <w:r w:rsidR="00AE7D3A" w:rsidRPr="00AE7D3A">
        <w:rPr>
          <w:rFonts w:ascii="Times New Roman" w:hAnsi="Times New Roman" w:cs="Times New Roman"/>
        </w:rPr>
        <w:t xml:space="preserve">This is defined in </w:t>
      </w:r>
      <w:r w:rsidR="003F66A2">
        <w:rPr>
          <w:rFonts w:ascii="Times New Roman" w:hAnsi="Times New Roman" w:cs="Times New Roman"/>
        </w:rPr>
        <w:t xml:space="preserve">section 4 of </w:t>
      </w:r>
      <w:r w:rsidR="00E43B53">
        <w:rPr>
          <w:rFonts w:ascii="Times New Roman" w:hAnsi="Times New Roman" w:cs="Times New Roman"/>
        </w:rPr>
        <w:t>that Act</w:t>
      </w:r>
      <w:r w:rsidR="00AE7D3A" w:rsidRPr="00AE7D3A">
        <w:rPr>
          <w:rFonts w:ascii="Times New Roman" w:hAnsi="Times New Roman" w:cs="Times New Roman"/>
        </w:rPr>
        <w:t xml:space="preserve"> as the ‘salary…</w:t>
      </w:r>
      <w:r w:rsidR="00B44071">
        <w:rPr>
          <w:rFonts w:ascii="Times New Roman" w:hAnsi="Times New Roman" w:cs="Times New Roman"/>
        </w:rPr>
        <w:t xml:space="preserve"> </w:t>
      </w:r>
      <w:r w:rsidR="00AE7D3A" w:rsidRPr="00AE7D3A">
        <w:rPr>
          <w:rFonts w:ascii="Times New Roman" w:hAnsi="Times New Roman" w:cs="Times New Roman"/>
        </w:rPr>
        <w:t xml:space="preserve">that would be payable to a judge if he or she had not retired or died’. </w:t>
      </w:r>
      <w:r w:rsidR="00CC2FC5" w:rsidRPr="003F66A2">
        <w:rPr>
          <w:rFonts w:ascii="Times New Roman" w:hAnsi="Times New Roman" w:cs="Times New Roman"/>
        </w:rPr>
        <w:t xml:space="preserve">Until the abolition of the AAT, the ‘appropriate current judicial salary’ </w:t>
      </w:r>
      <w:r w:rsidR="00365994">
        <w:rPr>
          <w:rFonts w:ascii="Times New Roman" w:hAnsi="Times New Roman" w:cs="Times New Roman"/>
        </w:rPr>
        <w:t>for this cohort was identifiable by</w:t>
      </w:r>
      <w:r w:rsidR="00F30A85">
        <w:rPr>
          <w:rFonts w:ascii="Times New Roman" w:hAnsi="Times New Roman" w:cs="Times New Roman"/>
        </w:rPr>
        <w:t xml:space="preserve"> reference to the</w:t>
      </w:r>
      <w:r w:rsidR="00CC2FC5" w:rsidRPr="003F66A2">
        <w:rPr>
          <w:rFonts w:ascii="Times New Roman" w:hAnsi="Times New Roman" w:cs="Times New Roman"/>
        </w:rPr>
        <w:t xml:space="preserve"> salaries of non-judicial presidential members of the AAT</w:t>
      </w:r>
      <w:r w:rsidR="00F30A85">
        <w:rPr>
          <w:rFonts w:ascii="Times New Roman" w:hAnsi="Times New Roman" w:cs="Times New Roman"/>
        </w:rPr>
        <w:t xml:space="preserve"> as determined by the Remuneration Tribunal from time to time</w:t>
      </w:r>
      <w:r w:rsidR="00CC2FC5" w:rsidRPr="003F66A2">
        <w:rPr>
          <w:rFonts w:ascii="Times New Roman" w:hAnsi="Times New Roman" w:cs="Times New Roman"/>
        </w:rPr>
        <w:t xml:space="preserve">. </w:t>
      </w:r>
    </w:p>
    <w:p w14:paraId="05B5B08A" w14:textId="3271A652" w:rsidR="003F66A2" w:rsidRPr="007B381B" w:rsidRDefault="00365994" w:rsidP="00AF5CB8">
      <w:pPr>
        <w:spacing w:line="360" w:lineRule="auto"/>
        <w:rPr>
          <w:rFonts w:ascii="Times New Roman" w:hAnsi="Times New Roman" w:cs="Times New Roman"/>
        </w:rPr>
      </w:pPr>
      <w:r>
        <w:rPr>
          <w:rFonts w:ascii="Times New Roman" w:hAnsi="Times New Roman" w:cs="Times New Roman"/>
        </w:rPr>
        <w:t>A consequence</w:t>
      </w:r>
      <w:r w:rsidR="00F51466">
        <w:rPr>
          <w:rFonts w:ascii="Times New Roman" w:hAnsi="Times New Roman" w:cs="Times New Roman"/>
        </w:rPr>
        <w:t xml:space="preserve"> of</w:t>
      </w:r>
      <w:r>
        <w:rPr>
          <w:rFonts w:ascii="Times New Roman" w:hAnsi="Times New Roman" w:cs="Times New Roman"/>
        </w:rPr>
        <w:t xml:space="preserve"> the </w:t>
      </w:r>
      <w:r w:rsidR="003F66A2">
        <w:rPr>
          <w:rFonts w:ascii="Times New Roman" w:hAnsi="Times New Roman" w:cs="Times New Roman"/>
        </w:rPr>
        <w:t>repeal of the AAT</w:t>
      </w:r>
      <w:r w:rsidR="00E43B53">
        <w:rPr>
          <w:rFonts w:ascii="Times New Roman" w:hAnsi="Times New Roman" w:cs="Times New Roman"/>
        </w:rPr>
        <w:t xml:space="preserve"> Act</w:t>
      </w:r>
      <w:r w:rsidR="00CC2FC5" w:rsidRPr="003F66A2">
        <w:rPr>
          <w:rFonts w:ascii="Times New Roman" w:hAnsi="Times New Roman" w:cs="Times New Roman"/>
        </w:rPr>
        <w:t xml:space="preserve"> </w:t>
      </w:r>
      <w:r>
        <w:rPr>
          <w:rFonts w:ascii="Times New Roman" w:hAnsi="Times New Roman" w:cs="Times New Roman"/>
        </w:rPr>
        <w:t xml:space="preserve">is that </w:t>
      </w:r>
      <w:r w:rsidR="00F30A85">
        <w:rPr>
          <w:rFonts w:ascii="Times New Roman" w:hAnsi="Times New Roman" w:cs="Times New Roman"/>
        </w:rPr>
        <w:t>there is no longer a reference point</w:t>
      </w:r>
      <w:r w:rsidR="003F66A2">
        <w:rPr>
          <w:rFonts w:ascii="Times New Roman" w:hAnsi="Times New Roman" w:cs="Times New Roman"/>
        </w:rPr>
        <w:t xml:space="preserve"> which </w:t>
      </w:r>
      <w:r w:rsidR="00E43B53">
        <w:rPr>
          <w:rFonts w:ascii="Times New Roman" w:hAnsi="Times New Roman" w:cs="Times New Roman"/>
        </w:rPr>
        <w:t>can be</w:t>
      </w:r>
      <w:r w:rsidR="003F66A2">
        <w:rPr>
          <w:rFonts w:ascii="Times New Roman" w:hAnsi="Times New Roman" w:cs="Times New Roman"/>
        </w:rPr>
        <w:t xml:space="preserve"> used to calculate the pensions</w:t>
      </w:r>
      <w:r>
        <w:rPr>
          <w:rFonts w:ascii="Times New Roman" w:hAnsi="Times New Roman" w:cs="Times New Roman"/>
        </w:rPr>
        <w:t>,</w:t>
      </w:r>
      <w:r w:rsidR="003F66A2">
        <w:rPr>
          <w:rFonts w:ascii="Times New Roman" w:hAnsi="Times New Roman" w:cs="Times New Roman"/>
        </w:rPr>
        <w:t xml:space="preserve"> </w:t>
      </w:r>
      <w:r w:rsidR="00F30A85">
        <w:rPr>
          <w:rFonts w:ascii="Times New Roman" w:hAnsi="Times New Roman" w:cs="Times New Roman"/>
        </w:rPr>
        <w:t>as th</w:t>
      </w:r>
      <w:r w:rsidR="00E43B53">
        <w:rPr>
          <w:rFonts w:ascii="Times New Roman" w:hAnsi="Times New Roman" w:cs="Times New Roman"/>
        </w:rPr>
        <w:t>ose AAT</w:t>
      </w:r>
      <w:r w:rsidR="00F30A85">
        <w:rPr>
          <w:rFonts w:ascii="Times New Roman" w:hAnsi="Times New Roman" w:cs="Times New Roman"/>
        </w:rPr>
        <w:t xml:space="preserve"> positions </w:t>
      </w:r>
      <w:r w:rsidR="00CC2FC5" w:rsidRPr="003F66A2">
        <w:rPr>
          <w:rFonts w:ascii="Times New Roman" w:hAnsi="Times New Roman" w:cs="Times New Roman"/>
        </w:rPr>
        <w:t>no longer</w:t>
      </w:r>
      <w:r w:rsidR="00F30A85">
        <w:rPr>
          <w:rFonts w:ascii="Times New Roman" w:hAnsi="Times New Roman" w:cs="Times New Roman"/>
        </w:rPr>
        <w:t xml:space="preserve"> exist</w:t>
      </w:r>
      <w:r w:rsidR="00CC2FC5" w:rsidRPr="003F66A2">
        <w:rPr>
          <w:rFonts w:ascii="Times New Roman" w:hAnsi="Times New Roman" w:cs="Times New Roman"/>
        </w:rPr>
        <w:t xml:space="preserve">. </w:t>
      </w:r>
      <w:r>
        <w:rPr>
          <w:rFonts w:ascii="Times New Roman" w:hAnsi="Times New Roman" w:cs="Times New Roman"/>
        </w:rPr>
        <w:t>New se</w:t>
      </w:r>
      <w:r w:rsidR="00FA1922" w:rsidRPr="007B381B">
        <w:rPr>
          <w:rFonts w:ascii="Times New Roman" w:hAnsi="Times New Roman" w:cs="Times New Roman"/>
        </w:rPr>
        <w:t xml:space="preserve">ction 13 </w:t>
      </w:r>
      <w:r w:rsidR="004A40F6">
        <w:rPr>
          <w:rFonts w:ascii="Times New Roman" w:hAnsi="Times New Roman" w:cs="Times New Roman"/>
        </w:rPr>
        <w:t>sets out transitional arrangements to address this practical gap and provide certainty about how pensions for this cohort are to be calculated.</w:t>
      </w:r>
    </w:p>
    <w:p w14:paraId="31C55F5C" w14:textId="0E257605" w:rsidR="00D445A5" w:rsidRDefault="00D445A5" w:rsidP="00AF5CB8">
      <w:pPr>
        <w:spacing w:line="360" w:lineRule="auto"/>
        <w:rPr>
          <w:rFonts w:ascii="Times New Roman" w:hAnsi="Times New Roman" w:cs="Times New Roman"/>
        </w:rPr>
      </w:pPr>
      <w:r w:rsidRPr="007B381B">
        <w:rPr>
          <w:rFonts w:ascii="Times New Roman" w:hAnsi="Times New Roman" w:cs="Times New Roman"/>
        </w:rPr>
        <w:t>S</w:t>
      </w:r>
      <w:r w:rsidR="00950657">
        <w:rPr>
          <w:rFonts w:ascii="Times New Roman" w:hAnsi="Times New Roman" w:cs="Times New Roman"/>
        </w:rPr>
        <w:t>ubs</w:t>
      </w:r>
      <w:r w:rsidRPr="007B381B">
        <w:rPr>
          <w:rFonts w:ascii="Times New Roman" w:hAnsi="Times New Roman" w:cs="Times New Roman"/>
        </w:rPr>
        <w:t xml:space="preserve">ection 13(1) provides that this section </w:t>
      </w:r>
      <w:r w:rsidR="004A40F6">
        <w:rPr>
          <w:rFonts w:ascii="Times New Roman" w:hAnsi="Times New Roman" w:cs="Times New Roman"/>
        </w:rPr>
        <w:t>is</w:t>
      </w:r>
      <w:r w:rsidRPr="007B381B">
        <w:rPr>
          <w:rFonts w:ascii="Times New Roman" w:hAnsi="Times New Roman" w:cs="Times New Roman"/>
        </w:rPr>
        <w:t xml:space="preserve"> made for the purposes of subitem 51(2) of </w:t>
      </w:r>
      <w:r w:rsidRPr="004A40F6">
        <w:rPr>
          <w:rFonts w:ascii="Times New Roman" w:hAnsi="Times New Roman" w:cs="Times New Roman"/>
          <w:i/>
        </w:rPr>
        <w:t>Schedule 16 to Consequential and Transitional Provisions No.</w:t>
      </w:r>
      <w:r w:rsidR="004A40F6" w:rsidRPr="004A40F6">
        <w:rPr>
          <w:rFonts w:ascii="Times New Roman" w:hAnsi="Times New Roman" w:cs="Times New Roman"/>
          <w:i/>
        </w:rPr>
        <w:t xml:space="preserve"> </w:t>
      </w:r>
      <w:r w:rsidRPr="004A40F6">
        <w:rPr>
          <w:rFonts w:ascii="Times New Roman" w:hAnsi="Times New Roman" w:cs="Times New Roman"/>
          <w:i/>
        </w:rPr>
        <w:t>1 Act</w:t>
      </w:r>
      <w:r w:rsidRPr="007B381B">
        <w:rPr>
          <w:rFonts w:ascii="Times New Roman" w:hAnsi="Times New Roman" w:cs="Times New Roman"/>
        </w:rPr>
        <w:t xml:space="preserve">. </w:t>
      </w:r>
      <w:r w:rsidR="009C714C" w:rsidRPr="007B381B">
        <w:rPr>
          <w:rFonts w:ascii="Times New Roman" w:hAnsi="Times New Roman" w:cs="Times New Roman"/>
        </w:rPr>
        <w:t xml:space="preserve">Subitem 51(2) allow for rules to prescribe matters of a transitional nature. </w:t>
      </w:r>
    </w:p>
    <w:p w14:paraId="5CB0D6C3" w14:textId="3FD148F5" w:rsidR="00950657" w:rsidRDefault="00F51466" w:rsidP="00AF5CB8">
      <w:pPr>
        <w:spacing w:line="360" w:lineRule="auto"/>
        <w:rPr>
          <w:rFonts w:ascii="Times New Roman" w:hAnsi="Times New Roman" w:cs="Times New Roman"/>
        </w:rPr>
      </w:pPr>
      <w:r>
        <w:rPr>
          <w:rFonts w:ascii="Times New Roman" w:hAnsi="Times New Roman" w:cs="Times New Roman"/>
        </w:rPr>
        <w:t>S</w:t>
      </w:r>
      <w:r w:rsidR="00950657">
        <w:rPr>
          <w:rFonts w:ascii="Times New Roman" w:hAnsi="Times New Roman" w:cs="Times New Roman"/>
        </w:rPr>
        <w:t>ubsection 13(2) identifies the circumstances in which the transitional arrangements provided by this section apply. This section applies in relation to a person if:</w:t>
      </w:r>
    </w:p>
    <w:p w14:paraId="07255036" w14:textId="23ABC17A" w:rsidR="00950657" w:rsidRDefault="00950657" w:rsidP="00950657">
      <w:pPr>
        <w:pStyle w:val="ListParagraph"/>
        <w:numPr>
          <w:ilvl w:val="0"/>
          <w:numId w:val="20"/>
        </w:numPr>
        <w:spacing w:line="360" w:lineRule="auto"/>
        <w:rPr>
          <w:rFonts w:ascii="Times New Roman" w:hAnsi="Times New Roman" w:cs="Times New Roman"/>
        </w:rPr>
      </w:pPr>
      <w:r w:rsidRPr="00950657">
        <w:rPr>
          <w:rFonts w:ascii="Times New Roman" w:hAnsi="Times New Roman" w:cs="Times New Roman"/>
        </w:rPr>
        <w:t xml:space="preserve">the person was, before 16 May 2005, appointed under the </w:t>
      </w:r>
      <w:r w:rsidR="00935035">
        <w:rPr>
          <w:rFonts w:ascii="Times New Roman" w:hAnsi="Times New Roman" w:cs="Times New Roman"/>
        </w:rPr>
        <w:t>AAT Act</w:t>
      </w:r>
      <w:r w:rsidRPr="00950657">
        <w:rPr>
          <w:rFonts w:ascii="Times New Roman" w:hAnsi="Times New Roman" w:cs="Times New Roman"/>
        </w:rPr>
        <w:t xml:space="preserve"> </w:t>
      </w:r>
      <w:r w:rsidR="00ED25F8">
        <w:rPr>
          <w:rFonts w:ascii="Times New Roman" w:hAnsi="Times New Roman" w:cs="Times New Roman"/>
        </w:rPr>
        <w:t xml:space="preserve">as </w:t>
      </w:r>
      <w:r w:rsidRPr="00950657">
        <w:rPr>
          <w:rFonts w:ascii="Times New Roman" w:hAnsi="Times New Roman" w:cs="Times New Roman"/>
        </w:rPr>
        <w:t>a presidential member of the AAT</w:t>
      </w:r>
      <w:r w:rsidR="00F51466">
        <w:rPr>
          <w:rFonts w:ascii="Times New Roman" w:hAnsi="Times New Roman" w:cs="Times New Roman"/>
        </w:rPr>
        <w:t>,</w:t>
      </w:r>
    </w:p>
    <w:p w14:paraId="0DBA1756" w14:textId="09F81893" w:rsidR="00950657" w:rsidRDefault="00950657" w:rsidP="00950657">
      <w:pPr>
        <w:pStyle w:val="ListParagraph"/>
        <w:numPr>
          <w:ilvl w:val="0"/>
          <w:numId w:val="20"/>
        </w:numPr>
        <w:spacing w:line="360" w:lineRule="auto"/>
        <w:rPr>
          <w:rFonts w:ascii="Times New Roman" w:hAnsi="Times New Roman" w:cs="Times New Roman"/>
        </w:rPr>
      </w:pPr>
      <w:r w:rsidRPr="00950657">
        <w:rPr>
          <w:rFonts w:ascii="Times New Roman" w:hAnsi="Times New Roman" w:cs="Times New Roman"/>
        </w:rPr>
        <w:lastRenderedPageBreak/>
        <w:t>at the time of that appointment, the person was not a Judge within the meaning of the Pensions Act</w:t>
      </w:r>
      <w:r w:rsidR="00935035">
        <w:rPr>
          <w:rFonts w:ascii="Times New Roman" w:hAnsi="Times New Roman" w:cs="Times New Roman"/>
        </w:rPr>
        <w:t>, and</w:t>
      </w:r>
    </w:p>
    <w:p w14:paraId="7F441B3B" w14:textId="0BAE6338" w:rsidR="00950657" w:rsidRDefault="00950657" w:rsidP="00950657">
      <w:pPr>
        <w:pStyle w:val="ListParagraph"/>
        <w:numPr>
          <w:ilvl w:val="0"/>
          <w:numId w:val="20"/>
        </w:numPr>
        <w:spacing w:line="360" w:lineRule="auto"/>
        <w:rPr>
          <w:rFonts w:ascii="Times New Roman" w:hAnsi="Times New Roman" w:cs="Times New Roman"/>
        </w:rPr>
      </w:pPr>
      <w:r w:rsidRPr="00950657">
        <w:rPr>
          <w:rFonts w:ascii="Times New Roman" w:hAnsi="Times New Roman" w:cs="Times New Roman"/>
        </w:rPr>
        <w:t xml:space="preserve">subsection 16(1) of the </w:t>
      </w:r>
      <w:r w:rsidR="00935035">
        <w:rPr>
          <w:rFonts w:ascii="Times New Roman" w:hAnsi="Times New Roman" w:cs="Times New Roman"/>
        </w:rPr>
        <w:t>AAT</w:t>
      </w:r>
      <w:r w:rsidRPr="00950657">
        <w:rPr>
          <w:rFonts w:ascii="Times New Roman" w:hAnsi="Times New Roman" w:cs="Times New Roman"/>
        </w:rPr>
        <w:t xml:space="preserve">, as in force immediately before the start of 16 May 2005, continued to apply in relation to the person on and after that day under item 34 of Schedule 1 to the </w:t>
      </w:r>
      <w:r w:rsidR="00935035">
        <w:rPr>
          <w:rFonts w:ascii="Times New Roman" w:hAnsi="Times New Roman" w:cs="Times New Roman"/>
        </w:rPr>
        <w:t>AATAA</w:t>
      </w:r>
      <w:r>
        <w:rPr>
          <w:rFonts w:ascii="Times New Roman" w:hAnsi="Times New Roman" w:cs="Times New Roman"/>
        </w:rPr>
        <w:t>.</w:t>
      </w:r>
    </w:p>
    <w:p w14:paraId="7A41BB30" w14:textId="3B4CCD94" w:rsidR="00950657" w:rsidRDefault="00950657" w:rsidP="00950657">
      <w:pPr>
        <w:spacing w:line="360" w:lineRule="auto"/>
        <w:rPr>
          <w:rFonts w:ascii="Times New Roman" w:hAnsi="Times New Roman" w:cs="Times New Roman"/>
        </w:rPr>
      </w:pPr>
      <w:r>
        <w:rPr>
          <w:rFonts w:ascii="Times New Roman" w:hAnsi="Times New Roman" w:cs="Times New Roman"/>
        </w:rPr>
        <w:t>This captures the cohort of individuals who remain entitled to a pension under the Pensions Act because they were non-judicial Deputy Presidents before 16 May 2005.</w:t>
      </w:r>
    </w:p>
    <w:p w14:paraId="0C776E40" w14:textId="2E7FEC32" w:rsidR="00C46472" w:rsidRDefault="00C46472" w:rsidP="00950657">
      <w:pPr>
        <w:spacing w:line="360" w:lineRule="auto"/>
        <w:rPr>
          <w:rFonts w:ascii="Times New Roman" w:hAnsi="Times New Roman" w:cs="Times New Roman"/>
        </w:rPr>
      </w:pPr>
      <w:r>
        <w:rPr>
          <w:rFonts w:ascii="Times New Roman" w:hAnsi="Times New Roman" w:cs="Times New Roman"/>
        </w:rPr>
        <w:t xml:space="preserve">Subsection 13(3) </w:t>
      </w:r>
      <w:r w:rsidR="00935035">
        <w:rPr>
          <w:rFonts w:ascii="Times New Roman" w:hAnsi="Times New Roman" w:cs="Times New Roman"/>
        </w:rPr>
        <w:t>has the effect that</w:t>
      </w:r>
      <w:r w:rsidR="00E04226">
        <w:rPr>
          <w:rFonts w:ascii="Times New Roman" w:hAnsi="Times New Roman" w:cs="Times New Roman"/>
        </w:rPr>
        <w:t xml:space="preserve"> </w:t>
      </w:r>
      <w:r w:rsidR="00400556">
        <w:rPr>
          <w:rFonts w:ascii="Times New Roman" w:hAnsi="Times New Roman" w:cs="Times New Roman"/>
        </w:rPr>
        <w:t xml:space="preserve">the ‘appropriate current judicial salary’ for the purposes of calculating pensions under the Pensions Act </w:t>
      </w:r>
      <w:r w:rsidR="00E04226">
        <w:rPr>
          <w:rFonts w:ascii="Times New Roman" w:hAnsi="Times New Roman" w:cs="Times New Roman"/>
        </w:rPr>
        <w:t xml:space="preserve">for these individuals </w:t>
      </w:r>
      <w:r w:rsidR="00400556">
        <w:rPr>
          <w:rFonts w:ascii="Times New Roman" w:hAnsi="Times New Roman" w:cs="Times New Roman"/>
        </w:rPr>
        <w:t xml:space="preserve">is the salary for the time being payable to a </w:t>
      </w:r>
      <w:r w:rsidR="00D66EB9">
        <w:rPr>
          <w:rFonts w:ascii="Times New Roman" w:hAnsi="Times New Roman" w:cs="Times New Roman"/>
        </w:rPr>
        <w:t>n</w:t>
      </w:r>
      <w:r w:rsidR="00400556">
        <w:rPr>
          <w:rFonts w:ascii="Times New Roman" w:hAnsi="Times New Roman" w:cs="Times New Roman"/>
        </w:rPr>
        <w:t>on-</w:t>
      </w:r>
      <w:r w:rsidR="00D66EB9">
        <w:rPr>
          <w:rFonts w:ascii="Times New Roman" w:hAnsi="Times New Roman" w:cs="Times New Roman"/>
        </w:rPr>
        <w:t>j</w:t>
      </w:r>
      <w:r w:rsidR="00400556">
        <w:rPr>
          <w:rFonts w:ascii="Times New Roman" w:hAnsi="Times New Roman" w:cs="Times New Roman"/>
        </w:rPr>
        <w:t>udicial Deputy President of the ART.</w:t>
      </w:r>
      <w:r w:rsidR="00BA57D7">
        <w:rPr>
          <w:rFonts w:ascii="Times New Roman" w:hAnsi="Times New Roman" w:cs="Times New Roman"/>
        </w:rPr>
        <w:t xml:space="preserve"> </w:t>
      </w:r>
      <w:r w:rsidR="00D66EB9">
        <w:rPr>
          <w:rFonts w:ascii="Times New Roman" w:hAnsi="Times New Roman" w:cs="Times New Roman"/>
        </w:rPr>
        <w:t>This is appropriate because the role of non-judicial Deputy President of the ART is the closest equivalent role to those held by individuals who were non-judicial Deputy Presidents of the AAT.</w:t>
      </w:r>
    </w:p>
    <w:p w14:paraId="4886973B" w14:textId="765ABED2" w:rsidR="00400556" w:rsidRPr="00950657" w:rsidRDefault="007F5976" w:rsidP="00950657">
      <w:pPr>
        <w:spacing w:line="360" w:lineRule="auto"/>
        <w:rPr>
          <w:rFonts w:ascii="Times New Roman" w:hAnsi="Times New Roman" w:cs="Times New Roman"/>
        </w:rPr>
      </w:pPr>
      <w:r>
        <w:rPr>
          <w:rFonts w:ascii="Times New Roman" w:hAnsi="Times New Roman" w:cs="Times New Roman"/>
        </w:rPr>
        <w:t>Subsection 13(3) has the effect th</w:t>
      </w:r>
      <w:r w:rsidR="00E85879">
        <w:rPr>
          <w:rFonts w:ascii="Times New Roman" w:hAnsi="Times New Roman" w:cs="Times New Roman"/>
        </w:rPr>
        <w:t xml:space="preserve">at this </w:t>
      </w:r>
      <w:r w:rsidR="00944C53">
        <w:rPr>
          <w:rFonts w:ascii="Times New Roman" w:hAnsi="Times New Roman" w:cs="Times New Roman"/>
        </w:rPr>
        <w:t xml:space="preserve">arrangement </w:t>
      </w:r>
      <w:r w:rsidR="00E85879">
        <w:rPr>
          <w:rFonts w:ascii="Times New Roman" w:hAnsi="Times New Roman" w:cs="Times New Roman"/>
        </w:rPr>
        <w:t xml:space="preserve">applies for the purposes of calculating pensions from </w:t>
      </w:r>
      <w:r w:rsidR="006A16FB">
        <w:rPr>
          <w:rFonts w:ascii="Times New Roman" w:hAnsi="Times New Roman" w:cs="Times New Roman"/>
        </w:rPr>
        <w:t xml:space="preserve">14 October 2024. This is appropriate because it ensures there is certainty about how pensions are to be calculated after the abolition of the AAT on that date. </w:t>
      </w:r>
    </w:p>
    <w:p w14:paraId="1E0F966B" w14:textId="09F43D7A" w:rsidR="009C714C" w:rsidRPr="007B381B" w:rsidRDefault="00FA1922" w:rsidP="00AF5CB8">
      <w:pPr>
        <w:spacing w:line="360" w:lineRule="auto"/>
        <w:rPr>
          <w:rFonts w:ascii="Times New Roman" w:hAnsi="Times New Roman" w:cs="Times New Roman"/>
        </w:rPr>
      </w:pPr>
      <w:r w:rsidRPr="007B381B">
        <w:rPr>
          <w:rFonts w:ascii="Times New Roman" w:hAnsi="Times New Roman" w:cs="Times New Roman"/>
        </w:rPr>
        <w:t xml:space="preserve"> </w:t>
      </w:r>
    </w:p>
    <w:p w14:paraId="4D92ECE2" w14:textId="625D456B" w:rsidR="009C714C" w:rsidRPr="007B381B" w:rsidRDefault="009C714C" w:rsidP="00BF74BE">
      <w:pPr>
        <w:keepNext/>
        <w:spacing w:line="360" w:lineRule="auto"/>
        <w:contextualSpacing/>
        <w:rPr>
          <w:rFonts w:ascii="Times New Roman" w:hAnsi="Times New Roman" w:cs="Times New Roman"/>
          <w:bCs/>
        </w:rPr>
      </w:pPr>
    </w:p>
    <w:sectPr w:rsidR="009C714C" w:rsidRPr="007B381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0C20" w14:textId="77777777" w:rsidR="006319B7" w:rsidRDefault="006319B7" w:rsidP="0002636A">
      <w:pPr>
        <w:spacing w:after="0" w:line="240" w:lineRule="auto"/>
      </w:pPr>
      <w:r>
        <w:separator/>
      </w:r>
    </w:p>
  </w:endnote>
  <w:endnote w:type="continuationSeparator" w:id="0">
    <w:p w14:paraId="79A0824A" w14:textId="77777777" w:rsidR="006319B7" w:rsidRDefault="006319B7"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314554"/>
      <w:docPartObj>
        <w:docPartGallery w:val="Page Numbers (Bottom of Page)"/>
        <w:docPartUnique/>
      </w:docPartObj>
    </w:sdtPr>
    <w:sdtEndPr>
      <w:rPr>
        <w:noProof/>
      </w:rPr>
    </w:sdtEndPr>
    <w:sdtContent>
      <w:p w14:paraId="09BFDD04" w14:textId="48D601F0" w:rsidR="0002636A" w:rsidRDefault="0002636A">
        <w:pPr>
          <w:pStyle w:val="Footer"/>
          <w:jc w:val="right"/>
        </w:pPr>
        <w:r>
          <w:fldChar w:fldCharType="begin"/>
        </w:r>
        <w:r>
          <w:instrText xml:space="preserve"> PAGE   \* MERGEFORMAT </w:instrText>
        </w:r>
        <w:r>
          <w:fldChar w:fldCharType="separate"/>
        </w:r>
        <w:r w:rsidR="005E2C79">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6BEF" w14:textId="77777777" w:rsidR="006319B7" w:rsidRDefault="006319B7" w:rsidP="0002636A">
      <w:pPr>
        <w:spacing w:after="0" w:line="240" w:lineRule="auto"/>
      </w:pPr>
      <w:r>
        <w:separator/>
      </w:r>
    </w:p>
  </w:footnote>
  <w:footnote w:type="continuationSeparator" w:id="0">
    <w:p w14:paraId="3F4AF04D" w14:textId="77777777" w:rsidR="006319B7" w:rsidRDefault="006319B7"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3D1C05"/>
    <w:multiLevelType w:val="hybridMultilevel"/>
    <w:tmpl w:val="3EEE7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C12DC7"/>
    <w:multiLevelType w:val="hybridMultilevel"/>
    <w:tmpl w:val="E93C5ABC"/>
    <w:lvl w:ilvl="0" w:tplc="370E850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825F0F"/>
    <w:multiLevelType w:val="hybridMultilevel"/>
    <w:tmpl w:val="394C8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8D5C0D"/>
    <w:multiLevelType w:val="hybridMultilevel"/>
    <w:tmpl w:val="894A66EE"/>
    <w:lvl w:ilvl="0" w:tplc="96F6F1F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C00B60"/>
    <w:multiLevelType w:val="hybridMultilevel"/>
    <w:tmpl w:val="39561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3EB08F8"/>
    <w:multiLevelType w:val="hybridMultilevel"/>
    <w:tmpl w:val="DF8A6E22"/>
    <w:lvl w:ilvl="0" w:tplc="95ECE73E">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AF38DB"/>
    <w:multiLevelType w:val="hybridMultilevel"/>
    <w:tmpl w:val="BC92C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5751584">
    <w:abstractNumId w:val="8"/>
  </w:num>
  <w:num w:numId="2" w16cid:durableId="1208491675">
    <w:abstractNumId w:val="1"/>
  </w:num>
  <w:num w:numId="3" w16cid:durableId="1151675556">
    <w:abstractNumId w:val="11"/>
  </w:num>
  <w:num w:numId="4" w16cid:durableId="375468798">
    <w:abstractNumId w:val="18"/>
  </w:num>
  <w:num w:numId="5" w16cid:durableId="309407774">
    <w:abstractNumId w:val="2"/>
  </w:num>
  <w:num w:numId="6" w16cid:durableId="271061384">
    <w:abstractNumId w:val="19"/>
  </w:num>
  <w:num w:numId="7" w16cid:durableId="568227386">
    <w:abstractNumId w:val="0"/>
  </w:num>
  <w:num w:numId="8" w16cid:durableId="570970927">
    <w:abstractNumId w:val="9"/>
  </w:num>
  <w:num w:numId="9" w16cid:durableId="338821525">
    <w:abstractNumId w:val="3"/>
  </w:num>
  <w:num w:numId="10" w16cid:durableId="246308292">
    <w:abstractNumId w:val="17"/>
  </w:num>
  <w:num w:numId="11" w16cid:durableId="1844978903">
    <w:abstractNumId w:val="13"/>
  </w:num>
  <w:num w:numId="12" w16cid:durableId="121000434">
    <w:abstractNumId w:val="12"/>
  </w:num>
  <w:num w:numId="13" w16cid:durableId="1192959208">
    <w:abstractNumId w:val="5"/>
  </w:num>
  <w:num w:numId="14" w16cid:durableId="1146897987">
    <w:abstractNumId w:val="16"/>
  </w:num>
  <w:num w:numId="15" w16cid:durableId="1082025391">
    <w:abstractNumId w:val="6"/>
  </w:num>
  <w:num w:numId="16" w16cid:durableId="1338145323">
    <w:abstractNumId w:val="15"/>
  </w:num>
  <w:num w:numId="17" w16cid:durableId="560336149">
    <w:abstractNumId w:val="4"/>
  </w:num>
  <w:num w:numId="18" w16cid:durableId="668868976">
    <w:abstractNumId w:val="14"/>
  </w:num>
  <w:num w:numId="19" w16cid:durableId="1812748155">
    <w:abstractNumId w:val="10"/>
  </w:num>
  <w:num w:numId="20" w16cid:durableId="1110853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2D01"/>
    <w:rsid w:val="0000767D"/>
    <w:rsid w:val="00012AD6"/>
    <w:rsid w:val="0002514E"/>
    <w:rsid w:val="0002636A"/>
    <w:rsid w:val="00034CA1"/>
    <w:rsid w:val="000415BA"/>
    <w:rsid w:val="00043840"/>
    <w:rsid w:val="000438EC"/>
    <w:rsid w:val="00054D59"/>
    <w:rsid w:val="00086E40"/>
    <w:rsid w:val="00092565"/>
    <w:rsid w:val="000A66BD"/>
    <w:rsid w:val="000C0854"/>
    <w:rsid w:val="000C2858"/>
    <w:rsid w:val="000D2A88"/>
    <w:rsid w:val="000D5678"/>
    <w:rsid w:val="000D7411"/>
    <w:rsid w:val="000E1EA1"/>
    <w:rsid w:val="000E2C80"/>
    <w:rsid w:val="000F0FB1"/>
    <w:rsid w:val="000F455B"/>
    <w:rsid w:val="0010364C"/>
    <w:rsid w:val="00106CBA"/>
    <w:rsid w:val="001227F9"/>
    <w:rsid w:val="00132863"/>
    <w:rsid w:val="001469C7"/>
    <w:rsid w:val="0015169D"/>
    <w:rsid w:val="00151AF2"/>
    <w:rsid w:val="0017632E"/>
    <w:rsid w:val="001832CE"/>
    <w:rsid w:val="00184DF4"/>
    <w:rsid w:val="00186EFA"/>
    <w:rsid w:val="00195A18"/>
    <w:rsid w:val="001A56F2"/>
    <w:rsid w:val="001C3921"/>
    <w:rsid w:val="001C4696"/>
    <w:rsid w:val="001D217A"/>
    <w:rsid w:val="001D3031"/>
    <w:rsid w:val="001D68C6"/>
    <w:rsid w:val="001F6E9D"/>
    <w:rsid w:val="00201C78"/>
    <w:rsid w:val="00202534"/>
    <w:rsid w:val="00205B95"/>
    <w:rsid w:val="002562BF"/>
    <w:rsid w:val="0026109C"/>
    <w:rsid w:val="00262B9E"/>
    <w:rsid w:val="0027108B"/>
    <w:rsid w:val="002804E0"/>
    <w:rsid w:val="00285466"/>
    <w:rsid w:val="00290BD8"/>
    <w:rsid w:val="002A2EE8"/>
    <w:rsid w:val="002A65A0"/>
    <w:rsid w:val="002B24D2"/>
    <w:rsid w:val="002B361E"/>
    <w:rsid w:val="002C5969"/>
    <w:rsid w:val="002C5B76"/>
    <w:rsid w:val="002E1EAF"/>
    <w:rsid w:val="002E2783"/>
    <w:rsid w:val="002E583E"/>
    <w:rsid w:val="0030207F"/>
    <w:rsid w:val="0032590F"/>
    <w:rsid w:val="00345FE4"/>
    <w:rsid w:val="003516FD"/>
    <w:rsid w:val="0036437C"/>
    <w:rsid w:val="00365994"/>
    <w:rsid w:val="00367685"/>
    <w:rsid w:val="0037763D"/>
    <w:rsid w:val="00381AEC"/>
    <w:rsid w:val="003A3CC6"/>
    <w:rsid w:val="003B6050"/>
    <w:rsid w:val="003C6789"/>
    <w:rsid w:val="003F66A2"/>
    <w:rsid w:val="00400556"/>
    <w:rsid w:val="00400A00"/>
    <w:rsid w:val="00401B74"/>
    <w:rsid w:val="00404694"/>
    <w:rsid w:val="00407293"/>
    <w:rsid w:val="0042660A"/>
    <w:rsid w:val="00431C5B"/>
    <w:rsid w:val="00441E4D"/>
    <w:rsid w:val="004518A4"/>
    <w:rsid w:val="00452F25"/>
    <w:rsid w:val="00455B60"/>
    <w:rsid w:val="004709FE"/>
    <w:rsid w:val="00471816"/>
    <w:rsid w:val="0049094A"/>
    <w:rsid w:val="004939F9"/>
    <w:rsid w:val="004946B6"/>
    <w:rsid w:val="004A0438"/>
    <w:rsid w:val="004A2E1A"/>
    <w:rsid w:val="004A4086"/>
    <w:rsid w:val="004A40F6"/>
    <w:rsid w:val="004A79BB"/>
    <w:rsid w:val="004B3C03"/>
    <w:rsid w:val="004C2DA9"/>
    <w:rsid w:val="004C313D"/>
    <w:rsid w:val="004C5655"/>
    <w:rsid w:val="004D127A"/>
    <w:rsid w:val="004D51F4"/>
    <w:rsid w:val="004F427B"/>
    <w:rsid w:val="004F430F"/>
    <w:rsid w:val="004F5218"/>
    <w:rsid w:val="00500CC4"/>
    <w:rsid w:val="0050398F"/>
    <w:rsid w:val="00521029"/>
    <w:rsid w:val="00534A65"/>
    <w:rsid w:val="00545F54"/>
    <w:rsid w:val="00566C9B"/>
    <w:rsid w:val="00580A79"/>
    <w:rsid w:val="005835BE"/>
    <w:rsid w:val="00583699"/>
    <w:rsid w:val="005A6023"/>
    <w:rsid w:val="005B2CF3"/>
    <w:rsid w:val="005B577A"/>
    <w:rsid w:val="005D194A"/>
    <w:rsid w:val="005D2610"/>
    <w:rsid w:val="005E2C79"/>
    <w:rsid w:val="005F511A"/>
    <w:rsid w:val="00606147"/>
    <w:rsid w:val="00623A89"/>
    <w:rsid w:val="0062449E"/>
    <w:rsid w:val="00624F36"/>
    <w:rsid w:val="006319B7"/>
    <w:rsid w:val="006320BB"/>
    <w:rsid w:val="0063239B"/>
    <w:rsid w:val="00634AE9"/>
    <w:rsid w:val="00635C6A"/>
    <w:rsid w:val="00653336"/>
    <w:rsid w:val="006559DE"/>
    <w:rsid w:val="00661566"/>
    <w:rsid w:val="00670C8D"/>
    <w:rsid w:val="00674543"/>
    <w:rsid w:val="00681E03"/>
    <w:rsid w:val="006A16FB"/>
    <w:rsid w:val="006A5740"/>
    <w:rsid w:val="006A6AB5"/>
    <w:rsid w:val="006B4BD8"/>
    <w:rsid w:val="006D0BEE"/>
    <w:rsid w:val="006E02BB"/>
    <w:rsid w:val="007062A9"/>
    <w:rsid w:val="00713ED4"/>
    <w:rsid w:val="00736749"/>
    <w:rsid w:val="007464F3"/>
    <w:rsid w:val="00751164"/>
    <w:rsid w:val="00752D5D"/>
    <w:rsid w:val="00767451"/>
    <w:rsid w:val="00780A10"/>
    <w:rsid w:val="007829E8"/>
    <w:rsid w:val="007875CA"/>
    <w:rsid w:val="00787F9C"/>
    <w:rsid w:val="007A56DE"/>
    <w:rsid w:val="007B2986"/>
    <w:rsid w:val="007B381B"/>
    <w:rsid w:val="007B7195"/>
    <w:rsid w:val="007B7A59"/>
    <w:rsid w:val="007C094A"/>
    <w:rsid w:val="007D0C89"/>
    <w:rsid w:val="007F093A"/>
    <w:rsid w:val="007F1D53"/>
    <w:rsid w:val="007F5976"/>
    <w:rsid w:val="007F6ED9"/>
    <w:rsid w:val="00804715"/>
    <w:rsid w:val="008132B0"/>
    <w:rsid w:val="00853298"/>
    <w:rsid w:val="008635D8"/>
    <w:rsid w:val="008659B0"/>
    <w:rsid w:val="00872B27"/>
    <w:rsid w:val="008746EE"/>
    <w:rsid w:val="00875B9A"/>
    <w:rsid w:val="00894D9D"/>
    <w:rsid w:val="008955F0"/>
    <w:rsid w:val="008969E9"/>
    <w:rsid w:val="008B2955"/>
    <w:rsid w:val="008B6799"/>
    <w:rsid w:val="008C5885"/>
    <w:rsid w:val="008F69AB"/>
    <w:rsid w:val="00902F3D"/>
    <w:rsid w:val="00911332"/>
    <w:rsid w:val="00912630"/>
    <w:rsid w:val="009133B4"/>
    <w:rsid w:val="00913871"/>
    <w:rsid w:val="009227B6"/>
    <w:rsid w:val="00932C7D"/>
    <w:rsid w:val="00935035"/>
    <w:rsid w:val="00944C53"/>
    <w:rsid w:val="00950657"/>
    <w:rsid w:val="00954846"/>
    <w:rsid w:val="00957401"/>
    <w:rsid w:val="009601BB"/>
    <w:rsid w:val="00962F56"/>
    <w:rsid w:val="00973044"/>
    <w:rsid w:val="00983588"/>
    <w:rsid w:val="00984A02"/>
    <w:rsid w:val="0098681F"/>
    <w:rsid w:val="009A2739"/>
    <w:rsid w:val="009A5433"/>
    <w:rsid w:val="009B1F88"/>
    <w:rsid w:val="009B5A26"/>
    <w:rsid w:val="009B6322"/>
    <w:rsid w:val="009C0BE2"/>
    <w:rsid w:val="009C714C"/>
    <w:rsid w:val="009D2B82"/>
    <w:rsid w:val="009F0456"/>
    <w:rsid w:val="009F4D11"/>
    <w:rsid w:val="00A023D9"/>
    <w:rsid w:val="00A052DC"/>
    <w:rsid w:val="00A0612E"/>
    <w:rsid w:val="00A07488"/>
    <w:rsid w:val="00A233F4"/>
    <w:rsid w:val="00A36437"/>
    <w:rsid w:val="00A42F5D"/>
    <w:rsid w:val="00A511E9"/>
    <w:rsid w:val="00A51542"/>
    <w:rsid w:val="00A619E3"/>
    <w:rsid w:val="00A844CC"/>
    <w:rsid w:val="00A85B85"/>
    <w:rsid w:val="00A86B69"/>
    <w:rsid w:val="00AB3F89"/>
    <w:rsid w:val="00AB4ED9"/>
    <w:rsid w:val="00AC39E5"/>
    <w:rsid w:val="00AC6254"/>
    <w:rsid w:val="00AD49D6"/>
    <w:rsid w:val="00AE7D3A"/>
    <w:rsid w:val="00AF0C63"/>
    <w:rsid w:val="00AF2820"/>
    <w:rsid w:val="00AF4876"/>
    <w:rsid w:val="00AF5CB8"/>
    <w:rsid w:val="00AF673F"/>
    <w:rsid w:val="00B150BE"/>
    <w:rsid w:val="00B17807"/>
    <w:rsid w:val="00B20B17"/>
    <w:rsid w:val="00B273E1"/>
    <w:rsid w:val="00B27EDD"/>
    <w:rsid w:val="00B3325F"/>
    <w:rsid w:val="00B37461"/>
    <w:rsid w:val="00B427D5"/>
    <w:rsid w:val="00B44071"/>
    <w:rsid w:val="00B57503"/>
    <w:rsid w:val="00B62DD4"/>
    <w:rsid w:val="00B828BC"/>
    <w:rsid w:val="00B85054"/>
    <w:rsid w:val="00B85DAD"/>
    <w:rsid w:val="00B8670D"/>
    <w:rsid w:val="00B87DE0"/>
    <w:rsid w:val="00B93B2C"/>
    <w:rsid w:val="00B9596A"/>
    <w:rsid w:val="00BA3F3C"/>
    <w:rsid w:val="00BA57D7"/>
    <w:rsid w:val="00BB0C2D"/>
    <w:rsid w:val="00BC1AE8"/>
    <w:rsid w:val="00BD0F27"/>
    <w:rsid w:val="00BD4783"/>
    <w:rsid w:val="00BF74BE"/>
    <w:rsid w:val="00C11403"/>
    <w:rsid w:val="00C11BC9"/>
    <w:rsid w:val="00C159AE"/>
    <w:rsid w:val="00C16B35"/>
    <w:rsid w:val="00C24824"/>
    <w:rsid w:val="00C2544F"/>
    <w:rsid w:val="00C46472"/>
    <w:rsid w:val="00C51EEA"/>
    <w:rsid w:val="00C63552"/>
    <w:rsid w:val="00C8542E"/>
    <w:rsid w:val="00C858F4"/>
    <w:rsid w:val="00C85FDE"/>
    <w:rsid w:val="00C86BAF"/>
    <w:rsid w:val="00C96FDE"/>
    <w:rsid w:val="00CA49B3"/>
    <w:rsid w:val="00CC2FC5"/>
    <w:rsid w:val="00CD1A6C"/>
    <w:rsid w:val="00CD5C97"/>
    <w:rsid w:val="00CE550A"/>
    <w:rsid w:val="00CE6485"/>
    <w:rsid w:val="00CF14E3"/>
    <w:rsid w:val="00CF7AF7"/>
    <w:rsid w:val="00D06341"/>
    <w:rsid w:val="00D21067"/>
    <w:rsid w:val="00D344C2"/>
    <w:rsid w:val="00D35943"/>
    <w:rsid w:val="00D35A5E"/>
    <w:rsid w:val="00D42670"/>
    <w:rsid w:val="00D4354A"/>
    <w:rsid w:val="00D445A5"/>
    <w:rsid w:val="00D44D51"/>
    <w:rsid w:val="00D51A2A"/>
    <w:rsid w:val="00D604BE"/>
    <w:rsid w:val="00D61EEA"/>
    <w:rsid w:val="00D66159"/>
    <w:rsid w:val="00D66EB9"/>
    <w:rsid w:val="00D801E1"/>
    <w:rsid w:val="00DA0553"/>
    <w:rsid w:val="00DA0EFC"/>
    <w:rsid w:val="00DA178D"/>
    <w:rsid w:val="00DB2DA6"/>
    <w:rsid w:val="00DB54AF"/>
    <w:rsid w:val="00DC2D16"/>
    <w:rsid w:val="00DC3A4A"/>
    <w:rsid w:val="00DD4A01"/>
    <w:rsid w:val="00DD67EC"/>
    <w:rsid w:val="00DF44B8"/>
    <w:rsid w:val="00E04226"/>
    <w:rsid w:val="00E04D5C"/>
    <w:rsid w:val="00E053EA"/>
    <w:rsid w:val="00E17D39"/>
    <w:rsid w:val="00E23B2F"/>
    <w:rsid w:val="00E4129B"/>
    <w:rsid w:val="00E43B53"/>
    <w:rsid w:val="00E44073"/>
    <w:rsid w:val="00E51CF5"/>
    <w:rsid w:val="00E81349"/>
    <w:rsid w:val="00E85879"/>
    <w:rsid w:val="00EB29A4"/>
    <w:rsid w:val="00EB4603"/>
    <w:rsid w:val="00EB5F9B"/>
    <w:rsid w:val="00EC063B"/>
    <w:rsid w:val="00ED25F8"/>
    <w:rsid w:val="00ED357E"/>
    <w:rsid w:val="00ED670E"/>
    <w:rsid w:val="00EE383B"/>
    <w:rsid w:val="00EF2067"/>
    <w:rsid w:val="00EF2BFC"/>
    <w:rsid w:val="00EF4EA8"/>
    <w:rsid w:val="00EF602E"/>
    <w:rsid w:val="00F009AA"/>
    <w:rsid w:val="00F10A91"/>
    <w:rsid w:val="00F113A9"/>
    <w:rsid w:val="00F11561"/>
    <w:rsid w:val="00F26896"/>
    <w:rsid w:val="00F30A85"/>
    <w:rsid w:val="00F32719"/>
    <w:rsid w:val="00F33269"/>
    <w:rsid w:val="00F42982"/>
    <w:rsid w:val="00F51466"/>
    <w:rsid w:val="00F600F5"/>
    <w:rsid w:val="00F716EF"/>
    <w:rsid w:val="00F769DC"/>
    <w:rsid w:val="00F81DAA"/>
    <w:rsid w:val="00F81DC8"/>
    <w:rsid w:val="00FA1922"/>
    <w:rsid w:val="00FA3E0D"/>
    <w:rsid w:val="00FB10D0"/>
    <w:rsid w:val="00FB64D1"/>
    <w:rsid w:val="00FB7720"/>
    <w:rsid w:val="00FC6917"/>
    <w:rsid w:val="00FC6E0E"/>
    <w:rsid w:val="00FC783D"/>
    <w:rsid w:val="00FF0742"/>
    <w:rsid w:val="00FF7AA9"/>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3B4"/>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EF60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styleId="UnresolvedMention">
    <w:name w:val="Unresolved Mention"/>
    <w:basedOn w:val="DefaultParagraphFont"/>
    <w:uiPriority w:val="99"/>
    <w:semiHidden/>
    <w:unhideWhenUsed/>
    <w:rsid w:val="001A56F2"/>
    <w:rPr>
      <w:color w:val="605E5C"/>
      <w:shd w:val="clear" w:color="auto" w:fill="E1DFDD"/>
    </w:rPr>
  </w:style>
  <w:style w:type="paragraph" w:styleId="Revision">
    <w:name w:val="Revision"/>
    <w:hidden/>
    <w:uiPriority w:val="99"/>
    <w:semiHidden/>
    <w:rsid w:val="00C63552"/>
    <w:pPr>
      <w:spacing w:after="0" w:line="240" w:lineRule="auto"/>
    </w:pPr>
  </w:style>
  <w:style w:type="character" w:customStyle="1" w:styleId="Heading3Char">
    <w:name w:val="Heading 3 Char"/>
    <w:basedOn w:val="DefaultParagraphFont"/>
    <w:link w:val="Heading3"/>
    <w:uiPriority w:val="9"/>
    <w:semiHidden/>
    <w:rsid w:val="00EF602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74914">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699746683">
      <w:bodyDiv w:val="1"/>
      <w:marLeft w:val="0"/>
      <w:marRight w:val="0"/>
      <w:marTop w:val="0"/>
      <w:marBottom w:val="0"/>
      <w:divBdr>
        <w:top w:val="none" w:sz="0" w:space="0" w:color="auto"/>
        <w:left w:val="none" w:sz="0" w:space="0" w:color="auto"/>
        <w:bottom w:val="none" w:sz="0" w:space="0" w:color="auto"/>
        <w:right w:val="none" w:sz="0" w:space="0" w:color="auto"/>
      </w:divBdr>
    </w:div>
    <w:div w:id="808935751">
      <w:bodyDiv w:val="1"/>
      <w:marLeft w:val="0"/>
      <w:marRight w:val="0"/>
      <w:marTop w:val="0"/>
      <w:marBottom w:val="0"/>
      <w:divBdr>
        <w:top w:val="none" w:sz="0" w:space="0" w:color="auto"/>
        <w:left w:val="none" w:sz="0" w:space="0" w:color="auto"/>
        <w:bottom w:val="none" w:sz="0" w:space="0" w:color="auto"/>
        <w:right w:val="none" w:sz="0" w:space="0" w:color="auto"/>
      </w:divBdr>
    </w:div>
    <w:div w:id="867647607">
      <w:bodyDiv w:val="1"/>
      <w:marLeft w:val="0"/>
      <w:marRight w:val="0"/>
      <w:marTop w:val="0"/>
      <w:marBottom w:val="0"/>
      <w:divBdr>
        <w:top w:val="none" w:sz="0" w:space="0" w:color="auto"/>
        <w:left w:val="none" w:sz="0" w:space="0" w:color="auto"/>
        <w:bottom w:val="none" w:sz="0" w:space="0" w:color="auto"/>
        <w:right w:val="none" w:sz="0" w:space="0" w:color="auto"/>
      </w:divBdr>
    </w:div>
    <w:div w:id="1053310654">
      <w:bodyDiv w:val="1"/>
      <w:marLeft w:val="0"/>
      <w:marRight w:val="0"/>
      <w:marTop w:val="0"/>
      <w:marBottom w:val="0"/>
      <w:divBdr>
        <w:top w:val="none" w:sz="0" w:space="0" w:color="auto"/>
        <w:left w:val="none" w:sz="0" w:space="0" w:color="auto"/>
        <w:bottom w:val="none" w:sz="0" w:space="0" w:color="auto"/>
        <w:right w:val="none" w:sz="0" w:space="0" w:color="auto"/>
      </w:divBdr>
    </w:div>
    <w:div w:id="1108819245">
      <w:bodyDiv w:val="1"/>
      <w:marLeft w:val="0"/>
      <w:marRight w:val="0"/>
      <w:marTop w:val="0"/>
      <w:marBottom w:val="0"/>
      <w:divBdr>
        <w:top w:val="none" w:sz="0" w:space="0" w:color="auto"/>
        <w:left w:val="none" w:sz="0" w:space="0" w:color="auto"/>
        <w:bottom w:val="none" w:sz="0" w:space="0" w:color="auto"/>
        <w:right w:val="none" w:sz="0" w:space="0" w:color="auto"/>
      </w:divBdr>
    </w:div>
    <w:div w:id="1493374486">
      <w:bodyDiv w:val="1"/>
      <w:marLeft w:val="0"/>
      <w:marRight w:val="0"/>
      <w:marTop w:val="0"/>
      <w:marBottom w:val="0"/>
      <w:divBdr>
        <w:top w:val="none" w:sz="0" w:space="0" w:color="auto"/>
        <w:left w:val="none" w:sz="0" w:space="0" w:color="auto"/>
        <w:bottom w:val="none" w:sz="0" w:space="0" w:color="auto"/>
        <w:right w:val="none" w:sz="0" w:space="0" w:color="auto"/>
      </w:divBdr>
    </w:div>
    <w:div w:id="15912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BEEBE82C80FE541BB55EE5DE0309425" ma:contentTypeVersion="" ma:contentTypeDescription="PDMS Document Site Content Type" ma:contentTypeScope="" ma:versionID="58ba11d17506e53a5deabab68f924263">
  <xsd:schema xmlns:xsd="http://www.w3.org/2001/XMLSchema" xmlns:xs="http://www.w3.org/2001/XMLSchema" xmlns:p="http://schemas.microsoft.com/office/2006/metadata/properties" xmlns:ns2="6B87F6D6-53FF-4A55-8888-7860963834C5" targetNamespace="http://schemas.microsoft.com/office/2006/metadata/properties" ma:root="true" ma:fieldsID="bb11579f59953479bbaa87985441e623" ns2:_="">
    <xsd:import namespace="6B87F6D6-53FF-4A55-8888-7860963834C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7F6D6-53FF-4A55-8888-7860963834C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B87F6D6-53FF-4A55-8888-7860963834C5" xsi:nil="true"/>
  </documentManagement>
</p:properties>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4BF633B1-EFC5-45F2-9B37-A872257A4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7F6D6-53FF-4A55-8888-78609638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19DBD-CA0C-4217-9270-DAD403A6C0FA}">
  <ds:schemaRefs>
    <ds:schemaRef ds:uri="http://schemas.openxmlformats.org/officeDocument/2006/bibliography"/>
  </ds:schemaRefs>
</ds:datastoreItem>
</file>

<file path=customXml/itemProps4.xml><?xml version="1.0" encoding="utf-8"?>
<ds:datastoreItem xmlns:ds="http://schemas.openxmlformats.org/officeDocument/2006/customXml" ds:itemID="{9D74A69D-22E8-43A8-BB0F-D8E8F3411D3E}">
  <ds:schemaRef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6B87F6D6-53FF-4A55-8888-7860963834C5"/>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1278</Words>
  <Characters>7108</Characters>
  <Application>Microsoft Office Word</Application>
  <DocSecurity>0</DocSecurity>
  <Lines>148</Lines>
  <Paragraphs>84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Still, Stephen</cp:lastModifiedBy>
  <cp:revision>52</cp:revision>
  <dcterms:created xsi:type="dcterms:W3CDTF">2025-08-25T08:29:00Z</dcterms:created>
  <dcterms:modified xsi:type="dcterms:W3CDTF">2025-08-28T04:41:00Z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0x010100266966F133664895A6EE3632470D45F5003BEEBE82C80FE541BB55EE5DE0309425</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