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DD554" w14:textId="604CABEA" w:rsidR="00892394" w:rsidRPr="00E175A8" w:rsidRDefault="00892394" w:rsidP="00892394">
      <w:pPr>
        <w:jc w:val="center"/>
        <w:rPr>
          <w:rFonts w:ascii="Times New Roman" w:hAnsi="Times New Roman" w:cs="Times New Roman"/>
          <w:b/>
          <w:strike/>
          <w:sz w:val="24"/>
          <w:szCs w:val="24"/>
        </w:rPr>
      </w:pPr>
      <w:bookmarkStart w:id="0" w:name="_GoBack"/>
      <w:bookmarkEnd w:id="0"/>
      <w:r w:rsidRPr="00C52125">
        <w:rPr>
          <w:rFonts w:ascii="Times New Roman" w:hAnsi="Times New Roman" w:cs="Times New Roman"/>
          <w:b/>
          <w:sz w:val="24"/>
          <w:szCs w:val="24"/>
        </w:rPr>
        <w:t>Explanatory Statement</w:t>
      </w:r>
    </w:p>
    <w:p w14:paraId="4FADAFB6" w14:textId="69AAF686" w:rsidR="00892394" w:rsidRPr="00C52125" w:rsidRDefault="00892394" w:rsidP="00892394">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w:t>
      </w:r>
      <w:r w:rsidR="00E35BEA">
        <w:rPr>
          <w:rFonts w:ascii="Times New Roman" w:hAnsi="Times New Roman" w:cs="Times New Roman"/>
          <w:sz w:val="24"/>
          <w:szCs w:val="24"/>
        </w:rPr>
        <w:t>a</w:t>
      </w:r>
      <w:r w:rsidRPr="00C52125">
        <w:rPr>
          <w:rFonts w:ascii="Times New Roman" w:hAnsi="Times New Roman" w:cs="Times New Roman"/>
          <w:sz w:val="24"/>
          <w:szCs w:val="24"/>
        </w:rPr>
        <w:t xml:space="preserve">uthority of </w:t>
      </w:r>
      <w:r>
        <w:rPr>
          <w:rFonts w:ascii="Times New Roman" w:hAnsi="Times New Roman" w:cs="Times New Roman"/>
          <w:sz w:val="24"/>
          <w:szCs w:val="24"/>
        </w:rPr>
        <w:t xml:space="preserve">the </w:t>
      </w:r>
      <w:r w:rsidR="00845774">
        <w:rPr>
          <w:rFonts w:ascii="Times New Roman" w:hAnsi="Times New Roman" w:cs="Times New Roman"/>
          <w:sz w:val="24"/>
          <w:szCs w:val="24"/>
        </w:rPr>
        <w:t xml:space="preserve">Delegate of the </w:t>
      </w:r>
      <w:r w:rsidR="00ED641B">
        <w:rPr>
          <w:rFonts w:ascii="Times New Roman" w:hAnsi="Times New Roman" w:cs="Times New Roman"/>
          <w:sz w:val="24"/>
          <w:szCs w:val="24"/>
        </w:rPr>
        <w:t xml:space="preserve">Minister for </w:t>
      </w:r>
      <w:r w:rsidR="00D435DD" w:rsidRPr="00D435DD">
        <w:rPr>
          <w:rFonts w:ascii="Times New Roman" w:hAnsi="Times New Roman" w:cs="Times New Roman"/>
          <w:sz w:val="24"/>
          <w:szCs w:val="24"/>
        </w:rPr>
        <w:t>Infrastructure, Transport, Regional Development and Local Government</w:t>
      </w:r>
    </w:p>
    <w:p w14:paraId="553ABBCC" w14:textId="77777777" w:rsidR="00892394" w:rsidRPr="00C52125" w:rsidRDefault="00D435DD" w:rsidP="00892394">
      <w:pPr>
        <w:jc w:val="center"/>
        <w:rPr>
          <w:rFonts w:ascii="Times New Roman" w:hAnsi="Times New Roman" w:cs="Times New Roman"/>
          <w:i/>
          <w:sz w:val="24"/>
          <w:szCs w:val="24"/>
        </w:rPr>
      </w:pPr>
      <w:r w:rsidRPr="00D435DD">
        <w:rPr>
          <w:rFonts w:ascii="Times New Roman" w:hAnsi="Times New Roman" w:cs="Times New Roman"/>
          <w:i/>
          <w:sz w:val="24"/>
          <w:szCs w:val="24"/>
        </w:rPr>
        <w:t>National Land Transport Act 2014</w:t>
      </w:r>
    </w:p>
    <w:p w14:paraId="29DD16E5" w14:textId="627629DD" w:rsidR="00F66B94" w:rsidRPr="00E500D4" w:rsidRDefault="00F66B94" w:rsidP="00F66B94">
      <w:pPr>
        <w:pStyle w:val="ShortT"/>
      </w:pPr>
      <w:bookmarkStart w:id="1" w:name="_Hlk160637380"/>
      <w:r w:rsidRPr="00F66B94">
        <w:rPr>
          <w:sz w:val="24"/>
          <w:szCs w:val="24"/>
        </w:rPr>
        <w:t xml:space="preserve">National Land Transport (Roads to Recovery List) Variation Instrument </w:t>
      </w:r>
      <w:r w:rsidR="003729EE">
        <w:rPr>
          <w:sz w:val="24"/>
          <w:szCs w:val="24"/>
        </w:rPr>
        <w:t xml:space="preserve">(No. </w:t>
      </w:r>
      <w:r w:rsidR="004D1A90">
        <w:rPr>
          <w:sz w:val="24"/>
          <w:szCs w:val="24"/>
        </w:rPr>
        <w:t>2</w:t>
      </w:r>
      <w:r w:rsidR="003729EE">
        <w:rPr>
          <w:sz w:val="24"/>
          <w:szCs w:val="24"/>
        </w:rPr>
        <w:t xml:space="preserve">) </w:t>
      </w:r>
      <w:r w:rsidRPr="00F66B94">
        <w:rPr>
          <w:sz w:val="24"/>
          <w:szCs w:val="24"/>
        </w:rPr>
        <w:t>2025</w:t>
      </w:r>
    </w:p>
    <w:p w14:paraId="46EF8804" w14:textId="77777777" w:rsidR="00EE77EC" w:rsidRDefault="00EE77EC" w:rsidP="00ED641B">
      <w:pPr>
        <w:rPr>
          <w:rFonts w:ascii="Times New Roman" w:hAnsi="Times New Roman" w:cs="Times New Roman"/>
          <w:b/>
          <w:sz w:val="24"/>
          <w:szCs w:val="24"/>
        </w:rPr>
      </w:pPr>
      <w:bookmarkStart w:id="2" w:name="_Hlk172721988"/>
      <w:bookmarkEnd w:id="1"/>
    </w:p>
    <w:p w14:paraId="36C21B45" w14:textId="762A1188" w:rsidR="00845774" w:rsidRDefault="00845774" w:rsidP="00ED641B">
      <w:pPr>
        <w:rPr>
          <w:rFonts w:ascii="Times New Roman" w:hAnsi="Times New Roman" w:cs="Times New Roman"/>
          <w:b/>
          <w:sz w:val="24"/>
          <w:szCs w:val="24"/>
        </w:rPr>
      </w:pPr>
      <w:r w:rsidRPr="001E326A">
        <w:rPr>
          <w:rFonts w:ascii="Times New Roman" w:hAnsi="Times New Roman" w:cs="Times New Roman"/>
          <w:b/>
          <w:sz w:val="24"/>
          <w:szCs w:val="24"/>
        </w:rPr>
        <w:t>Authority</w:t>
      </w:r>
    </w:p>
    <w:p w14:paraId="14EABD78" w14:textId="7F235219" w:rsidR="00E35BEA" w:rsidRPr="00B21200" w:rsidRDefault="00E35BEA" w:rsidP="00ED641B">
      <w:pPr>
        <w:rPr>
          <w:rFonts w:ascii="Times New Roman" w:hAnsi="Times New Roman" w:cs="Times New Roman"/>
          <w:sz w:val="24"/>
          <w:szCs w:val="24"/>
        </w:rPr>
      </w:pPr>
      <w:r>
        <w:rPr>
          <w:rFonts w:ascii="Times New Roman" w:hAnsi="Times New Roman" w:cs="Times New Roman"/>
          <w:sz w:val="24"/>
          <w:szCs w:val="24"/>
        </w:rPr>
        <w:t xml:space="preserve">The </w:t>
      </w:r>
      <w:r w:rsidR="004B5466" w:rsidRPr="004B5466">
        <w:rPr>
          <w:rFonts w:ascii="Times New Roman" w:hAnsi="Times New Roman" w:cs="Times New Roman"/>
          <w:i/>
          <w:sz w:val="24"/>
          <w:szCs w:val="24"/>
        </w:rPr>
        <w:t xml:space="preserve">National Land </w:t>
      </w:r>
      <w:r w:rsidR="004B5466" w:rsidRPr="00B21200">
        <w:rPr>
          <w:rFonts w:ascii="Times New Roman" w:hAnsi="Times New Roman" w:cs="Times New Roman"/>
          <w:i/>
          <w:sz w:val="24"/>
          <w:szCs w:val="24"/>
        </w:rPr>
        <w:t>Transport (Roads to Recovery List) Variation Instrument (No. 2) 2025</w:t>
      </w:r>
      <w:r w:rsidR="004B5466" w:rsidRPr="00B21200">
        <w:rPr>
          <w:rFonts w:ascii="Times New Roman" w:hAnsi="Times New Roman" w:cs="Times New Roman"/>
          <w:sz w:val="24"/>
          <w:szCs w:val="24"/>
        </w:rPr>
        <w:t xml:space="preserve"> (the </w:t>
      </w:r>
      <w:r w:rsidRPr="00B21200">
        <w:rPr>
          <w:rFonts w:ascii="Times New Roman" w:hAnsi="Times New Roman" w:cs="Times New Roman"/>
          <w:sz w:val="24"/>
          <w:szCs w:val="24"/>
        </w:rPr>
        <w:t>Instrument</w:t>
      </w:r>
      <w:r w:rsidR="004B5466" w:rsidRPr="00B21200">
        <w:rPr>
          <w:rFonts w:ascii="Times New Roman" w:hAnsi="Times New Roman" w:cs="Times New Roman"/>
          <w:sz w:val="24"/>
          <w:szCs w:val="24"/>
        </w:rPr>
        <w:t>)</w:t>
      </w:r>
      <w:r w:rsidRPr="00B21200">
        <w:rPr>
          <w:rFonts w:ascii="Times New Roman" w:hAnsi="Times New Roman" w:cs="Times New Roman"/>
          <w:sz w:val="24"/>
          <w:szCs w:val="24"/>
        </w:rPr>
        <w:t xml:space="preserve"> is made under s</w:t>
      </w:r>
      <w:r w:rsidR="004B5466" w:rsidRPr="00B21200">
        <w:rPr>
          <w:rFonts w:ascii="Times New Roman" w:hAnsi="Times New Roman" w:cs="Times New Roman"/>
          <w:sz w:val="24"/>
          <w:szCs w:val="24"/>
        </w:rPr>
        <w:t xml:space="preserve">ubsection </w:t>
      </w:r>
      <w:r w:rsidRPr="00B21200">
        <w:rPr>
          <w:rFonts w:ascii="Times New Roman" w:hAnsi="Times New Roman" w:cs="Times New Roman"/>
          <w:sz w:val="24"/>
          <w:szCs w:val="24"/>
        </w:rPr>
        <w:t xml:space="preserve">88(2) of the </w:t>
      </w:r>
      <w:r w:rsidRPr="00B21200">
        <w:rPr>
          <w:rFonts w:ascii="Times New Roman" w:hAnsi="Times New Roman" w:cs="Times New Roman"/>
          <w:i/>
          <w:sz w:val="24"/>
          <w:szCs w:val="24"/>
        </w:rPr>
        <w:t>National Land Transport Act 2014.</w:t>
      </w:r>
    </w:p>
    <w:p w14:paraId="4752BB20" w14:textId="6E065E17" w:rsidR="00E35BEA" w:rsidRPr="00B21200" w:rsidRDefault="00E35BEA" w:rsidP="00ED641B">
      <w:pPr>
        <w:rPr>
          <w:rFonts w:ascii="Times New Roman" w:hAnsi="Times New Roman" w:cs="Times New Roman"/>
          <w:b/>
          <w:sz w:val="24"/>
          <w:szCs w:val="24"/>
        </w:rPr>
      </w:pPr>
      <w:r w:rsidRPr="00B21200">
        <w:rPr>
          <w:rFonts w:ascii="Times New Roman" w:hAnsi="Times New Roman" w:cs="Times New Roman"/>
          <w:b/>
          <w:sz w:val="24"/>
          <w:szCs w:val="24"/>
        </w:rPr>
        <w:t>Purpose</w:t>
      </w:r>
    </w:p>
    <w:p w14:paraId="055495F0" w14:textId="51CF7EC9" w:rsidR="00E35BEA" w:rsidRPr="00B21200" w:rsidRDefault="00E35BEA" w:rsidP="00ED641B">
      <w:pPr>
        <w:rPr>
          <w:rFonts w:ascii="Times New Roman" w:hAnsi="Times New Roman" w:cs="Times New Roman"/>
          <w:sz w:val="24"/>
          <w:szCs w:val="24"/>
        </w:rPr>
      </w:pPr>
      <w:r w:rsidRPr="00B21200">
        <w:rPr>
          <w:rFonts w:ascii="Times New Roman" w:hAnsi="Times New Roman" w:cs="Times New Roman"/>
          <w:sz w:val="24"/>
          <w:szCs w:val="24"/>
        </w:rPr>
        <w:t xml:space="preserve">The Instrument varies the </w:t>
      </w:r>
      <w:r w:rsidRPr="00B21200">
        <w:rPr>
          <w:rFonts w:ascii="Times New Roman" w:hAnsi="Times New Roman" w:cs="Times New Roman"/>
          <w:i/>
          <w:sz w:val="24"/>
          <w:szCs w:val="24"/>
        </w:rPr>
        <w:t>National Land Transport (Roads to Recovery List) Determination 2024</w:t>
      </w:r>
      <w:r w:rsidR="004B5466" w:rsidRPr="00B21200">
        <w:rPr>
          <w:rFonts w:ascii="Times New Roman" w:hAnsi="Times New Roman" w:cs="Times New Roman"/>
          <w:i/>
          <w:sz w:val="24"/>
          <w:szCs w:val="24"/>
        </w:rPr>
        <w:t xml:space="preserve"> </w:t>
      </w:r>
      <w:r w:rsidR="004B5466" w:rsidRPr="00B21200">
        <w:rPr>
          <w:rFonts w:ascii="Times New Roman" w:hAnsi="Times New Roman" w:cs="Times New Roman"/>
          <w:sz w:val="24"/>
          <w:szCs w:val="24"/>
        </w:rPr>
        <w:t>(the Determination)</w:t>
      </w:r>
      <w:r w:rsidRPr="00B21200">
        <w:rPr>
          <w:rFonts w:ascii="Times New Roman" w:hAnsi="Times New Roman" w:cs="Times New Roman"/>
          <w:i/>
          <w:sz w:val="24"/>
          <w:szCs w:val="24"/>
        </w:rPr>
        <w:t>.</w:t>
      </w:r>
      <w:r w:rsidRPr="00B21200">
        <w:rPr>
          <w:rFonts w:ascii="Times New Roman" w:hAnsi="Times New Roman" w:cs="Times New Roman"/>
          <w:sz w:val="24"/>
          <w:szCs w:val="24"/>
        </w:rPr>
        <w:t xml:space="preserve"> </w:t>
      </w:r>
      <w:r w:rsidR="004B5466" w:rsidRPr="00B21200">
        <w:rPr>
          <w:rFonts w:ascii="Times New Roman" w:hAnsi="Times New Roman" w:cs="Times New Roman"/>
          <w:sz w:val="24"/>
          <w:szCs w:val="24"/>
        </w:rPr>
        <w:t xml:space="preserve">The </w:t>
      </w:r>
      <w:r w:rsidRPr="00B21200">
        <w:rPr>
          <w:rFonts w:ascii="Times New Roman" w:hAnsi="Times New Roman" w:cs="Times New Roman"/>
          <w:sz w:val="24"/>
          <w:szCs w:val="24"/>
        </w:rPr>
        <w:t>purpose</w:t>
      </w:r>
      <w:r w:rsidR="004B5466" w:rsidRPr="00B21200">
        <w:rPr>
          <w:rFonts w:ascii="Times New Roman" w:hAnsi="Times New Roman" w:cs="Times New Roman"/>
          <w:sz w:val="24"/>
          <w:szCs w:val="24"/>
        </w:rPr>
        <w:t xml:space="preserve"> of the Instrument</w:t>
      </w:r>
      <w:r w:rsidRPr="00B21200">
        <w:rPr>
          <w:rFonts w:ascii="Times New Roman" w:hAnsi="Times New Roman" w:cs="Times New Roman"/>
          <w:sz w:val="24"/>
          <w:szCs w:val="24"/>
        </w:rPr>
        <w:t xml:space="preserve"> is to introduce a new funding recipient on account of the de</w:t>
      </w:r>
      <w:r w:rsidRPr="00B21200">
        <w:rPr>
          <w:rFonts w:ascii="Times New Roman" w:hAnsi="Times New Roman" w:cs="Times New Roman"/>
          <w:sz w:val="24"/>
          <w:szCs w:val="24"/>
        </w:rPr>
        <w:noBreakHyphen/>
        <w:t xml:space="preserve">amalgamation of </w:t>
      </w:r>
      <w:r w:rsidR="007B0852" w:rsidRPr="00B21200">
        <w:rPr>
          <w:rFonts w:ascii="Times New Roman" w:hAnsi="Times New Roman" w:cs="Times New Roman"/>
          <w:sz w:val="24"/>
          <w:szCs w:val="24"/>
        </w:rPr>
        <w:t xml:space="preserve">the former </w:t>
      </w:r>
      <w:r w:rsidR="00953921" w:rsidRPr="00B21200">
        <w:rPr>
          <w:rFonts w:ascii="Times New Roman" w:hAnsi="Times New Roman" w:cs="Times New Roman"/>
          <w:sz w:val="24"/>
          <w:szCs w:val="24"/>
        </w:rPr>
        <w:t>East Arnhem Regional Council into the revised East Arnhem Regional Council and Groote Archipelago Regional Council.</w:t>
      </w:r>
    </w:p>
    <w:p w14:paraId="64DF723F" w14:textId="5985A0E5" w:rsidR="00953921" w:rsidRPr="00B21200" w:rsidRDefault="00953921" w:rsidP="00ED641B">
      <w:pPr>
        <w:rPr>
          <w:rFonts w:ascii="Times New Roman" w:hAnsi="Times New Roman" w:cs="Times New Roman"/>
          <w:b/>
          <w:sz w:val="24"/>
          <w:szCs w:val="24"/>
        </w:rPr>
      </w:pPr>
      <w:r w:rsidRPr="00B21200">
        <w:rPr>
          <w:rFonts w:ascii="Times New Roman" w:hAnsi="Times New Roman" w:cs="Times New Roman"/>
          <w:b/>
          <w:sz w:val="24"/>
          <w:szCs w:val="24"/>
        </w:rPr>
        <w:t>Background</w:t>
      </w:r>
    </w:p>
    <w:p w14:paraId="767A5BD0" w14:textId="6D569FF6" w:rsidR="00953921" w:rsidRPr="00B21200" w:rsidRDefault="00953921" w:rsidP="00ED641B">
      <w:pPr>
        <w:rPr>
          <w:rFonts w:ascii="Times New Roman" w:hAnsi="Times New Roman" w:cs="Times New Roman"/>
          <w:sz w:val="24"/>
          <w:szCs w:val="24"/>
        </w:rPr>
      </w:pPr>
      <w:r w:rsidRPr="00B21200">
        <w:rPr>
          <w:rFonts w:ascii="Times New Roman" w:hAnsi="Times New Roman" w:cs="Times New Roman"/>
          <w:sz w:val="24"/>
          <w:szCs w:val="24"/>
        </w:rPr>
        <w:t xml:space="preserve">The </w:t>
      </w:r>
      <w:r w:rsidRPr="00B21200">
        <w:rPr>
          <w:rFonts w:ascii="Times New Roman" w:hAnsi="Times New Roman" w:cs="Times New Roman"/>
          <w:i/>
          <w:sz w:val="24"/>
          <w:szCs w:val="24"/>
        </w:rPr>
        <w:t>National Land Transport (Roads to Recovery List) Determination 2024</w:t>
      </w:r>
      <w:r w:rsidRPr="00B21200">
        <w:rPr>
          <w:rFonts w:ascii="Times New Roman" w:hAnsi="Times New Roman" w:cs="Times New Roman"/>
          <w:sz w:val="24"/>
          <w:szCs w:val="24"/>
        </w:rPr>
        <w:t xml:space="preserve"> </w:t>
      </w:r>
      <w:r w:rsidR="006200C1" w:rsidRPr="00B21200">
        <w:rPr>
          <w:rFonts w:ascii="Times New Roman" w:hAnsi="Times New Roman" w:cs="Times New Roman"/>
          <w:sz w:val="24"/>
          <w:szCs w:val="24"/>
        </w:rPr>
        <w:t xml:space="preserve">made on 14 May 2024 </w:t>
      </w:r>
      <w:r w:rsidRPr="00B21200">
        <w:rPr>
          <w:rFonts w:ascii="Times New Roman" w:hAnsi="Times New Roman" w:cs="Times New Roman"/>
          <w:sz w:val="24"/>
          <w:szCs w:val="24"/>
        </w:rPr>
        <w:t>specifies the Commonwealth funding to be provided under the Roads to Recovery Program for the funding period of 1 July 2024 to 30 June 2029. Details of the recipients and the amounts received under the Roads to Recovery Program are contained in Schedule 1 of the Determination.</w:t>
      </w:r>
    </w:p>
    <w:p w14:paraId="2F43885E" w14:textId="4D513A3F" w:rsidR="009178BB" w:rsidRPr="00B21200" w:rsidRDefault="009178BB" w:rsidP="00ED641B">
      <w:pPr>
        <w:rPr>
          <w:rFonts w:ascii="Times New Roman" w:hAnsi="Times New Roman" w:cs="Times New Roman"/>
          <w:b/>
          <w:sz w:val="24"/>
          <w:szCs w:val="24"/>
        </w:rPr>
      </w:pPr>
      <w:r w:rsidRPr="00B21200">
        <w:rPr>
          <w:rFonts w:ascii="Times New Roman" w:hAnsi="Times New Roman" w:cs="Times New Roman"/>
          <w:b/>
          <w:sz w:val="24"/>
          <w:szCs w:val="24"/>
        </w:rPr>
        <w:t xml:space="preserve">Compliance with statutory preconditions </w:t>
      </w:r>
    </w:p>
    <w:p w14:paraId="369122CA" w14:textId="6A30FE17" w:rsidR="0055217B" w:rsidRPr="00B21200" w:rsidRDefault="0055217B" w:rsidP="0055217B">
      <w:pPr>
        <w:rPr>
          <w:rFonts w:ascii="Times New Roman" w:hAnsi="Times New Roman" w:cs="Times New Roman"/>
          <w:sz w:val="24"/>
          <w:szCs w:val="24"/>
        </w:rPr>
      </w:pPr>
      <w:r w:rsidRPr="00B21200">
        <w:rPr>
          <w:rFonts w:ascii="Times New Roman" w:hAnsi="Times New Roman" w:cs="Times New Roman"/>
          <w:sz w:val="24"/>
          <w:szCs w:val="24"/>
        </w:rPr>
        <w:t xml:space="preserve">Under s 88(2) of the </w:t>
      </w:r>
      <w:r w:rsidRPr="00B21200">
        <w:rPr>
          <w:rFonts w:ascii="Times New Roman" w:hAnsi="Times New Roman" w:cs="Times New Roman"/>
          <w:i/>
          <w:sz w:val="24"/>
          <w:szCs w:val="24"/>
        </w:rPr>
        <w:t>National Land Transport Act 2014,</w:t>
      </w:r>
      <w:r w:rsidRPr="00B21200">
        <w:rPr>
          <w:rFonts w:ascii="Times New Roman" w:hAnsi="Times New Roman" w:cs="Times New Roman"/>
          <w:sz w:val="24"/>
          <w:szCs w:val="24"/>
        </w:rPr>
        <w:t xml:space="preserve"> the Minister may vary the Determination to redirect some or all of a named recipient’s funding amount, where one or more persons or bodies takes over responsibility for all or part of a particular area for which the named recipient was responsible.</w:t>
      </w:r>
    </w:p>
    <w:p w14:paraId="78F06D28" w14:textId="026C6685" w:rsidR="0055217B" w:rsidRPr="00B21200" w:rsidRDefault="0055217B" w:rsidP="0055217B">
      <w:pPr>
        <w:rPr>
          <w:rFonts w:ascii="Times New Roman" w:hAnsi="Times New Roman" w:cs="Times New Roman"/>
          <w:color w:val="2D2D31"/>
          <w:sz w:val="24"/>
          <w:szCs w:val="24"/>
          <w:shd w:val="clear" w:color="auto" w:fill="FFFFFF"/>
        </w:rPr>
      </w:pPr>
      <w:r w:rsidRPr="00B21200">
        <w:rPr>
          <w:rFonts w:ascii="Times New Roman" w:hAnsi="Times New Roman" w:cs="Times New Roman"/>
          <w:sz w:val="24"/>
          <w:szCs w:val="24"/>
        </w:rPr>
        <w:t xml:space="preserve">The former East Arnhem Regional Council and the boundaries of the local government area under its administration was constituted (as East Arnhem Shire) by gazette on 1 July 2008. </w:t>
      </w:r>
      <w:r w:rsidR="00BE7F25" w:rsidRPr="00B21200">
        <w:rPr>
          <w:rFonts w:ascii="Times New Roman" w:hAnsi="Times New Roman" w:cs="Times New Roman"/>
          <w:sz w:val="24"/>
          <w:szCs w:val="24"/>
        </w:rPr>
        <w:t>P</w:t>
      </w:r>
      <w:r w:rsidRPr="00B21200">
        <w:rPr>
          <w:rFonts w:ascii="Times New Roman" w:hAnsi="Times New Roman" w:cs="Times New Roman"/>
          <w:color w:val="2D2D31"/>
          <w:sz w:val="24"/>
          <w:szCs w:val="24"/>
          <w:shd w:val="clear" w:color="auto" w:fill="FFFFFF"/>
        </w:rPr>
        <w:t>rovision for funding to the East Arnhem Shire Council under the Roads to Recovery Program has continued in each subsequent funding period</w:t>
      </w:r>
      <w:r w:rsidR="00BE7F25" w:rsidRPr="00B21200">
        <w:rPr>
          <w:rFonts w:ascii="Times New Roman" w:hAnsi="Times New Roman" w:cs="Times New Roman"/>
          <w:color w:val="2D2D31"/>
          <w:sz w:val="24"/>
          <w:szCs w:val="24"/>
          <w:shd w:val="clear" w:color="auto" w:fill="FFFFFF"/>
        </w:rPr>
        <w:t xml:space="preserve"> since the council was established</w:t>
      </w:r>
      <w:r w:rsidRPr="00B21200">
        <w:rPr>
          <w:rFonts w:ascii="Times New Roman" w:hAnsi="Times New Roman" w:cs="Times New Roman"/>
          <w:color w:val="2D2D31"/>
          <w:sz w:val="24"/>
          <w:szCs w:val="24"/>
          <w:shd w:val="clear" w:color="auto" w:fill="FFFFFF"/>
        </w:rPr>
        <w:t xml:space="preserve">. This satisfies the requirement under s 88(2)(a) of the </w:t>
      </w:r>
      <w:r w:rsidRPr="00B21200">
        <w:rPr>
          <w:rFonts w:ascii="Times New Roman" w:hAnsi="Times New Roman" w:cs="Times New Roman"/>
          <w:i/>
          <w:sz w:val="24"/>
          <w:szCs w:val="24"/>
        </w:rPr>
        <w:t>National Land Transport Act 2014</w:t>
      </w:r>
      <w:r w:rsidRPr="00B21200">
        <w:rPr>
          <w:rFonts w:ascii="Times New Roman" w:hAnsi="Times New Roman" w:cs="Times New Roman"/>
          <w:sz w:val="24"/>
          <w:szCs w:val="24"/>
        </w:rPr>
        <w:t>.</w:t>
      </w:r>
    </w:p>
    <w:p w14:paraId="403453BC" w14:textId="01CD949A" w:rsidR="009178BB" w:rsidRPr="00B21200" w:rsidRDefault="0055217B" w:rsidP="0055217B">
      <w:pPr>
        <w:rPr>
          <w:rFonts w:ascii="Times New Roman" w:hAnsi="Times New Roman" w:cs="Times New Roman"/>
          <w:b/>
          <w:sz w:val="24"/>
          <w:szCs w:val="24"/>
        </w:rPr>
      </w:pPr>
      <w:r w:rsidRPr="00B21200">
        <w:rPr>
          <w:rFonts w:ascii="Times New Roman" w:hAnsi="Times New Roman" w:cs="Times New Roman"/>
          <w:color w:val="2D2D31"/>
          <w:sz w:val="24"/>
          <w:szCs w:val="24"/>
          <w:shd w:val="clear" w:color="auto" w:fill="FFFFFF"/>
        </w:rPr>
        <w:t xml:space="preserve">The Groote Archipelago Regional Council and the boundaries of the local government area under its administration was constituted on 1 September 2024 by gazette, in which the boundaries of the East Arnhem Region were changed to reflect the </w:t>
      </w:r>
      <w:r w:rsidR="00BE7F25" w:rsidRPr="00B21200">
        <w:rPr>
          <w:rFonts w:ascii="Times New Roman" w:hAnsi="Times New Roman" w:cs="Times New Roman"/>
          <w:color w:val="2D2D31"/>
          <w:sz w:val="24"/>
          <w:szCs w:val="24"/>
          <w:shd w:val="clear" w:color="auto" w:fill="FFFFFF"/>
        </w:rPr>
        <w:t>removal</w:t>
      </w:r>
      <w:r w:rsidRPr="00B21200">
        <w:rPr>
          <w:rFonts w:ascii="Times New Roman" w:hAnsi="Times New Roman" w:cs="Times New Roman"/>
          <w:color w:val="2D2D31"/>
          <w:sz w:val="24"/>
          <w:szCs w:val="24"/>
          <w:shd w:val="clear" w:color="auto" w:fill="FFFFFF"/>
        </w:rPr>
        <w:t xml:space="preserve"> of the area to be administered by the Groote Archipelago Regional Council. The East Arnhem Regional Council has yet to receive any of its funding allocation under the Roads to Recovery Program (2024-29). This satisfies the requirement under 88(2)(b) of the </w:t>
      </w:r>
      <w:r w:rsidRPr="00B21200">
        <w:rPr>
          <w:rFonts w:ascii="Times New Roman" w:hAnsi="Times New Roman" w:cs="Times New Roman"/>
          <w:i/>
          <w:sz w:val="24"/>
          <w:szCs w:val="24"/>
        </w:rPr>
        <w:t>National Land Transport Act 2014</w:t>
      </w:r>
      <w:r w:rsidRPr="00B21200">
        <w:rPr>
          <w:rFonts w:ascii="Times New Roman" w:hAnsi="Times New Roman" w:cs="Times New Roman"/>
          <w:sz w:val="24"/>
          <w:szCs w:val="24"/>
        </w:rPr>
        <w:t>.</w:t>
      </w:r>
    </w:p>
    <w:p w14:paraId="2CCE2B66" w14:textId="1FD4231C" w:rsidR="00953921" w:rsidRPr="00B21200" w:rsidRDefault="00953921" w:rsidP="00B21200">
      <w:pPr>
        <w:keepNext/>
        <w:rPr>
          <w:rFonts w:ascii="Times New Roman" w:hAnsi="Times New Roman" w:cs="Times New Roman"/>
          <w:b/>
          <w:i/>
          <w:sz w:val="24"/>
          <w:szCs w:val="24"/>
        </w:rPr>
      </w:pPr>
      <w:r w:rsidRPr="00B21200">
        <w:rPr>
          <w:rFonts w:ascii="Times New Roman" w:hAnsi="Times New Roman" w:cs="Times New Roman"/>
          <w:b/>
          <w:sz w:val="24"/>
          <w:szCs w:val="24"/>
        </w:rPr>
        <w:lastRenderedPageBreak/>
        <w:t xml:space="preserve">Summary of the </w:t>
      </w:r>
      <w:r w:rsidRPr="00B21200">
        <w:rPr>
          <w:rFonts w:ascii="Times New Roman" w:hAnsi="Times New Roman" w:cs="Times New Roman"/>
          <w:b/>
          <w:i/>
          <w:sz w:val="24"/>
          <w:szCs w:val="24"/>
        </w:rPr>
        <w:t>National Land Transport (Roads to Recovery List) Variation Instrument (No. 2) 2025</w:t>
      </w:r>
    </w:p>
    <w:p w14:paraId="2853B620" w14:textId="3C5A3A4D" w:rsidR="00953921" w:rsidRPr="00B21200" w:rsidRDefault="00953921" w:rsidP="00ED641B">
      <w:pPr>
        <w:rPr>
          <w:rFonts w:ascii="Times New Roman" w:hAnsi="Times New Roman" w:cs="Times New Roman"/>
          <w:sz w:val="24"/>
          <w:szCs w:val="24"/>
        </w:rPr>
      </w:pPr>
      <w:r w:rsidRPr="00B21200">
        <w:rPr>
          <w:rFonts w:ascii="Times New Roman" w:hAnsi="Times New Roman" w:cs="Times New Roman"/>
          <w:sz w:val="24"/>
          <w:szCs w:val="24"/>
        </w:rPr>
        <w:t xml:space="preserve">The amount in item 1 </w:t>
      </w:r>
      <w:r w:rsidR="004B5466" w:rsidRPr="00B21200">
        <w:rPr>
          <w:rFonts w:ascii="Times New Roman" w:hAnsi="Times New Roman" w:cs="Times New Roman"/>
          <w:sz w:val="24"/>
          <w:szCs w:val="24"/>
        </w:rPr>
        <w:t>of the Schedule 1 to the Instrument varies the amount specified in the Determination</w:t>
      </w:r>
      <w:r w:rsidRPr="00B21200">
        <w:rPr>
          <w:rFonts w:ascii="Times New Roman" w:hAnsi="Times New Roman" w:cs="Times New Roman"/>
          <w:sz w:val="24"/>
          <w:szCs w:val="24"/>
        </w:rPr>
        <w:t xml:space="preserve"> to reflect the reduced geographical size of the </w:t>
      </w:r>
      <w:r w:rsidR="006200C1" w:rsidRPr="00B21200">
        <w:rPr>
          <w:rFonts w:ascii="Times New Roman" w:hAnsi="Times New Roman" w:cs="Times New Roman"/>
          <w:sz w:val="24"/>
          <w:szCs w:val="24"/>
        </w:rPr>
        <w:t xml:space="preserve">funding </w:t>
      </w:r>
      <w:r w:rsidRPr="00B21200">
        <w:rPr>
          <w:rFonts w:ascii="Times New Roman" w:hAnsi="Times New Roman" w:cs="Times New Roman"/>
          <w:sz w:val="24"/>
          <w:szCs w:val="24"/>
        </w:rPr>
        <w:t>recipient</w:t>
      </w:r>
      <w:r w:rsidR="004B5466" w:rsidRPr="00B21200">
        <w:rPr>
          <w:rFonts w:ascii="Times New Roman" w:hAnsi="Times New Roman" w:cs="Times New Roman"/>
          <w:sz w:val="24"/>
          <w:szCs w:val="24"/>
        </w:rPr>
        <w:t xml:space="preserve"> on account of the de-amalgamation mentioned above</w:t>
      </w:r>
      <w:r w:rsidRPr="00B21200">
        <w:rPr>
          <w:rFonts w:ascii="Times New Roman" w:hAnsi="Times New Roman" w:cs="Times New Roman"/>
          <w:sz w:val="24"/>
          <w:szCs w:val="24"/>
        </w:rPr>
        <w:t>.</w:t>
      </w:r>
    </w:p>
    <w:p w14:paraId="58E281BE" w14:textId="6C7B7C1A" w:rsidR="00953921" w:rsidRPr="00B21200" w:rsidRDefault="00953921" w:rsidP="00ED641B">
      <w:pPr>
        <w:rPr>
          <w:rFonts w:ascii="Times New Roman" w:hAnsi="Times New Roman" w:cs="Times New Roman"/>
          <w:sz w:val="24"/>
          <w:szCs w:val="24"/>
        </w:rPr>
      </w:pPr>
      <w:r w:rsidRPr="00B21200">
        <w:rPr>
          <w:rFonts w:ascii="Times New Roman" w:hAnsi="Times New Roman" w:cs="Times New Roman"/>
          <w:sz w:val="24"/>
          <w:szCs w:val="24"/>
        </w:rPr>
        <w:t xml:space="preserve">Item 2 </w:t>
      </w:r>
      <w:r w:rsidR="004B5466" w:rsidRPr="00B21200">
        <w:rPr>
          <w:rFonts w:ascii="Times New Roman" w:hAnsi="Times New Roman" w:cs="Times New Roman"/>
          <w:sz w:val="24"/>
          <w:szCs w:val="24"/>
        </w:rPr>
        <w:t xml:space="preserve">of Schedule 1 to the Instrument </w:t>
      </w:r>
      <w:r w:rsidRPr="00B21200">
        <w:rPr>
          <w:rFonts w:ascii="Times New Roman" w:hAnsi="Times New Roman" w:cs="Times New Roman"/>
          <w:sz w:val="24"/>
          <w:szCs w:val="24"/>
        </w:rPr>
        <w:t xml:space="preserve">introduces the Groote Archipelago Regional Council as a Roads to Recovery funding recipient and directs some of the funding </w:t>
      </w:r>
      <w:r w:rsidR="004B5466" w:rsidRPr="00B21200">
        <w:rPr>
          <w:rFonts w:ascii="Times New Roman" w:hAnsi="Times New Roman" w:cs="Times New Roman"/>
          <w:sz w:val="24"/>
          <w:szCs w:val="24"/>
        </w:rPr>
        <w:t xml:space="preserve">previously </w:t>
      </w:r>
      <w:r w:rsidRPr="00B21200">
        <w:rPr>
          <w:rFonts w:ascii="Times New Roman" w:hAnsi="Times New Roman" w:cs="Times New Roman"/>
          <w:sz w:val="24"/>
          <w:szCs w:val="24"/>
        </w:rPr>
        <w:t>prescribed for the East Arnhem Regional Council to it.</w:t>
      </w:r>
    </w:p>
    <w:p w14:paraId="321DB259" w14:textId="46CA85A7" w:rsidR="00953921" w:rsidRPr="00B21200" w:rsidRDefault="00953921" w:rsidP="00953921">
      <w:pPr>
        <w:rPr>
          <w:rFonts w:ascii="Times New Roman" w:hAnsi="Times New Roman" w:cs="Times New Roman"/>
          <w:sz w:val="24"/>
          <w:szCs w:val="24"/>
        </w:rPr>
      </w:pPr>
      <w:r w:rsidRPr="00B21200">
        <w:rPr>
          <w:rFonts w:ascii="Times New Roman" w:hAnsi="Times New Roman" w:cs="Times New Roman"/>
          <w:sz w:val="24"/>
          <w:szCs w:val="24"/>
        </w:rPr>
        <w:t xml:space="preserve">The </w:t>
      </w:r>
      <w:r w:rsidRPr="00B21200">
        <w:rPr>
          <w:rFonts w:ascii="Times New Roman" w:hAnsi="Times New Roman" w:cs="Times New Roman"/>
          <w:i/>
          <w:sz w:val="24"/>
          <w:szCs w:val="24"/>
        </w:rPr>
        <w:t>National Land Transport (Roads to Recovery List) Variation Instrument (No. 2) 2025</w:t>
      </w:r>
      <w:r w:rsidRPr="00B21200">
        <w:rPr>
          <w:rFonts w:ascii="Times New Roman" w:hAnsi="Times New Roman" w:cs="Times New Roman"/>
          <w:sz w:val="24"/>
          <w:szCs w:val="24"/>
        </w:rPr>
        <w:t xml:space="preserve"> is a legislative instrument for the purposes of the </w:t>
      </w:r>
      <w:r w:rsidRPr="00B21200">
        <w:rPr>
          <w:rFonts w:ascii="Times New Roman" w:hAnsi="Times New Roman" w:cs="Times New Roman"/>
          <w:i/>
          <w:sz w:val="24"/>
          <w:szCs w:val="24"/>
        </w:rPr>
        <w:t>Legislation Act 2003</w:t>
      </w:r>
      <w:r w:rsidRPr="00B21200">
        <w:rPr>
          <w:rFonts w:ascii="Times New Roman" w:hAnsi="Times New Roman" w:cs="Times New Roman"/>
          <w:sz w:val="24"/>
          <w:szCs w:val="24"/>
        </w:rPr>
        <w:t xml:space="preserve">, but is exempt from disallowance under s 88(5) of the </w:t>
      </w:r>
      <w:r w:rsidRPr="00B21200">
        <w:rPr>
          <w:rFonts w:ascii="Times New Roman" w:hAnsi="Times New Roman" w:cs="Times New Roman"/>
          <w:i/>
          <w:sz w:val="24"/>
          <w:szCs w:val="24"/>
        </w:rPr>
        <w:t>National Land Transport Act 2014</w:t>
      </w:r>
      <w:r w:rsidRPr="00B21200">
        <w:rPr>
          <w:rFonts w:ascii="Times New Roman" w:hAnsi="Times New Roman" w:cs="Times New Roman"/>
          <w:sz w:val="24"/>
          <w:szCs w:val="24"/>
        </w:rPr>
        <w:t>.</w:t>
      </w:r>
    </w:p>
    <w:p w14:paraId="749527C1" w14:textId="77777777" w:rsidR="0055217B" w:rsidRPr="0089666D" w:rsidRDefault="0055217B" w:rsidP="0055217B">
      <w:pPr>
        <w:rPr>
          <w:rFonts w:ascii="Times New Roman" w:hAnsi="Times New Roman" w:cs="Times New Roman"/>
          <w:sz w:val="24"/>
          <w:szCs w:val="24"/>
        </w:rPr>
      </w:pPr>
      <w:r w:rsidRPr="00B21200">
        <w:rPr>
          <w:rFonts w:ascii="Times New Roman" w:hAnsi="Times New Roman" w:cs="Times New Roman"/>
          <w:sz w:val="24"/>
          <w:szCs w:val="24"/>
        </w:rPr>
        <w:t>The variation of amounts payable to funding recipients due to the de-amalgamation of the former East Arnhem Regional Council is an administrative decision and affects the distribution of a fixed amount of funding amongst those recipients. The disallowance of this variation would potentially have undesirable consequences for other funding recipients. As such it is not considered appropriate for disallowance.</w:t>
      </w:r>
    </w:p>
    <w:p w14:paraId="384FD91F" w14:textId="59015974" w:rsidR="00953921" w:rsidRPr="00B11942" w:rsidRDefault="00953921" w:rsidP="00953921">
      <w:pPr>
        <w:rPr>
          <w:rFonts w:ascii="Times New Roman" w:hAnsi="Times New Roman" w:cs="Times New Roman"/>
          <w:sz w:val="24"/>
          <w:szCs w:val="24"/>
        </w:rPr>
      </w:pPr>
      <w:r w:rsidRPr="003320E8">
        <w:rPr>
          <w:rFonts w:ascii="Times New Roman" w:hAnsi="Times New Roman" w:cs="Times New Roman"/>
          <w:sz w:val="24"/>
          <w:szCs w:val="24"/>
        </w:rPr>
        <w:t xml:space="preserve">The </w:t>
      </w:r>
      <w:r w:rsidRPr="00E21115">
        <w:rPr>
          <w:rFonts w:ascii="Times New Roman" w:hAnsi="Times New Roman" w:cs="Times New Roman"/>
          <w:i/>
          <w:sz w:val="24"/>
          <w:szCs w:val="24"/>
        </w:rPr>
        <w:t xml:space="preserve">National Land Transport (Roads to Recovery List) Variation Instrument (No. </w:t>
      </w:r>
      <w:r>
        <w:rPr>
          <w:rFonts w:ascii="Times New Roman" w:hAnsi="Times New Roman" w:cs="Times New Roman"/>
          <w:i/>
          <w:sz w:val="24"/>
          <w:szCs w:val="24"/>
        </w:rPr>
        <w:t>2</w:t>
      </w:r>
      <w:r w:rsidRPr="00E21115">
        <w:rPr>
          <w:rFonts w:ascii="Times New Roman" w:hAnsi="Times New Roman" w:cs="Times New Roman"/>
          <w:i/>
          <w:sz w:val="24"/>
          <w:szCs w:val="24"/>
        </w:rPr>
        <w:t xml:space="preserve">) 2025 </w:t>
      </w:r>
      <w:r w:rsidRPr="00E21115">
        <w:rPr>
          <w:rFonts w:ascii="Times New Roman" w:hAnsi="Times New Roman" w:cs="Times New Roman"/>
          <w:sz w:val="24"/>
          <w:szCs w:val="24"/>
        </w:rPr>
        <w:t>commences the day after it is registered.</w:t>
      </w:r>
    </w:p>
    <w:p w14:paraId="0DDD5D99" w14:textId="6858AA57" w:rsidR="00A664F9" w:rsidRPr="00755E5A" w:rsidRDefault="00A664F9" w:rsidP="00ED641B">
      <w:pPr>
        <w:rPr>
          <w:rFonts w:ascii="Times New Roman" w:hAnsi="Times New Roman" w:cs="Times New Roman"/>
          <w:b/>
          <w:sz w:val="24"/>
          <w:szCs w:val="24"/>
        </w:rPr>
      </w:pPr>
      <w:r w:rsidRPr="00755E5A">
        <w:rPr>
          <w:rFonts w:ascii="Times New Roman" w:hAnsi="Times New Roman" w:cs="Times New Roman"/>
          <w:b/>
          <w:sz w:val="24"/>
          <w:szCs w:val="24"/>
        </w:rPr>
        <w:t>Consultation</w:t>
      </w:r>
    </w:p>
    <w:bookmarkEnd w:id="2"/>
    <w:p w14:paraId="415FC061" w14:textId="77777777" w:rsidR="006200C1" w:rsidRDefault="006200C1" w:rsidP="006200C1">
      <w:pPr>
        <w:rPr>
          <w:rFonts w:ascii="Times New Roman" w:hAnsi="Times New Roman" w:cs="Times New Roman"/>
          <w:sz w:val="24"/>
          <w:szCs w:val="24"/>
        </w:rPr>
      </w:pPr>
      <w:r>
        <w:rPr>
          <w:rFonts w:ascii="Times New Roman" w:hAnsi="Times New Roman" w:cs="Times New Roman"/>
          <w:sz w:val="24"/>
          <w:szCs w:val="24"/>
        </w:rPr>
        <w:t xml:space="preserve">In relation to the </w:t>
      </w:r>
      <w:r>
        <w:rPr>
          <w:rFonts w:ascii="Times New Roman" w:hAnsi="Times New Roman" w:cs="Times New Roman"/>
          <w:i/>
          <w:sz w:val="24"/>
          <w:szCs w:val="24"/>
        </w:rPr>
        <w:t>National Land Transport (Roads to Recovery List) Determination 2024</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rPr>
        <w:t>between January and May 2024, the then Department of Infrastructure, Transport, Regional Development, Communications and the Arts consulted with local government associations, State and Territory Local Government Grants Commissions, and Government departments. Comment was invited by survey, workshop, and email. The department received more than 200 responses to the survey. The majority of responses expressed support for the existing model of funding distribution. Some feedback was provided, considered and subsequently the instrument distributed funding in the same way as the prior funding period, with a positive impact on stakeholders given a universal percentage funding increase.</w:t>
      </w:r>
    </w:p>
    <w:p w14:paraId="74795804" w14:textId="58DDCC10" w:rsidR="00047912" w:rsidRDefault="006200C1">
      <w:pPr>
        <w:rPr>
          <w:rFonts w:ascii="Times New Roman" w:hAnsi="Times New Roman" w:cs="Times New Roman"/>
          <w:sz w:val="24"/>
          <w:szCs w:val="24"/>
        </w:rPr>
      </w:pPr>
      <w:r w:rsidRPr="006200C1">
        <w:rPr>
          <w:rFonts w:ascii="Times New Roman" w:hAnsi="Times New Roman" w:cs="Times New Roman"/>
          <w:sz w:val="24"/>
          <w:szCs w:val="24"/>
        </w:rPr>
        <w:t xml:space="preserve">At the time of its commencement, 551 organisations were identified to be funding recipients. Section 88(2) of the Act contains provisions for the </w:t>
      </w:r>
      <w:r>
        <w:rPr>
          <w:rFonts w:ascii="Times New Roman" w:hAnsi="Times New Roman" w:cs="Times New Roman"/>
          <w:sz w:val="24"/>
          <w:szCs w:val="24"/>
        </w:rPr>
        <w:t>i</w:t>
      </w:r>
      <w:r w:rsidRPr="006200C1">
        <w:rPr>
          <w:rFonts w:ascii="Times New Roman" w:hAnsi="Times New Roman" w:cs="Times New Roman"/>
          <w:sz w:val="24"/>
          <w:szCs w:val="24"/>
        </w:rPr>
        <w:t>nstrument to be varied in instances where a</w:t>
      </w:r>
      <w:r>
        <w:rPr>
          <w:rFonts w:ascii="Times New Roman" w:hAnsi="Times New Roman" w:cs="Times New Roman"/>
          <w:sz w:val="24"/>
          <w:szCs w:val="24"/>
        </w:rPr>
        <w:t>n amount of funding prescribed for a person or body is now the responsibility of another person or body</w:t>
      </w:r>
      <w:r w:rsidR="00047912">
        <w:rPr>
          <w:rFonts w:ascii="Times New Roman" w:hAnsi="Times New Roman" w:cs="Times New Roman"/>
          <w:sz w:val="24"/>
          <w:szCs w:val="24"/>
        </w:rPr>
        <w:t>, and allows the Minister or Delegate to redirect some or all of the funding to the other person or body</w:t>
      </w:r>
      <w:r>
        <w:rPr>
          <w:rFonts w:ascii="Times New Roman" w:hAnsi="Times New Roman" w:cs="Times New Roman"/>
          <w:sz w:val="24"/>
          <w:szCs w:val="24"/>
        </w:rPr>
        <w:t>.</w:t>
      </w:r>
    </w:p>
    <w:p w14:paraId="5FCB664A" w14:textId="63052187" w:rsidR="005101EC" w:rsidRPr="006200C1" w:rsidRDefault="005101EC" w:rsidP="005101EC">
      <w:pPr>
        <w:rPr>
          <w:rFonts w:ascii="Times New Roman" w:hAnsi="Times New Roman" w:cs="Times New Roman"/>
          <w:sz w:val="24"/>
          <w:szCs w:val="24"/>
        </w:rPr>
      </w:pPr>
      <w:r>
        <w:rPr>
          <w:rFonts w:ascii="Times New Roman" w:hAnsi="Times New Roman" w:cs="Times New Roman"/>
          <w:sz w:val="24"/>
          <w:szCs w:val="24"/>
        </w:rPr>
        <w:t xml:space="preserve">On 15 March 2025, officials were elected for the newly formed Groote Archipelago Regional Council which took on responsibility for a portion of the former East Arnhem Regional Council; necessitating arrangements to be made to </w:t>
      </w:r>
      <w:r w:rsidR="00A276F9">
        <w:rPr>
          <w:rFonts w:ascii="Times New Roman" w:hAnsi="Times New Roman" w:cs="Times New Roman"/>
          <w:sz w:val="24"/>
          <w:szCs w:val="24"/>
        </w:rPr>
        <w:t>redistribute part of East Arnhem Regional Council’s funding allocation to Groot</w:t>
      </w:r>
      <w:r w:rsidR="00432EBF">
        <w:rPr>
          <w:rFonts w:ascii="Times New Roman" w:hAnsi="Times New Roman" w:cs="Times New Roman"/>
          <w:sz w:val="24"/>
          <w:szCs w:val="24"/>
        </w:rPr>
        <w:t>e</w:t>
      </w:r>
      <w:r w:rsidR="00A276F9">
        <w:rPr>
          <w:rFonts w:ascii="Times New Roman" w:hAnsi="Times New Roman" w:cs="Times New Roman"/>
          <w:sz w:val="24"/>
          <w:szCs w:val="24"/>
        </w:rPr>
        <w:t xml:space="preserve"> Archipelago Regional Council</w:t>
      </w:r>
      <w:r>
        <w:rPr>
          <w:rFonts w:ascii="Times New Roman" w:hAnsi="Times New Roman" w:cs="Times New Roman"/>
          <w:sz w:val="24"/>
          <w:szCs w:val="24"/>
        </w:rPr>
        <w:t>.</w:t>
      </w:r>
    </w:p>
    <w:p w14:paraId="05885B4D" w14:textId="64998D4E" w:rsidR="00372AA4" w:rsidRDefault="005101EC">
      <w:pPr>
        <w:rPr>
          <w:rFonts w:ascii="Times New Roman" w:hAnsi="Times New Roman" w:cs="Times New Roman"/>
          <w:sz w:val="24"/>
          <w:szCs w:val="24"/>
        </w:rPr>
      </w:pPr>
      <w:r>
        <w:rPr>
          <w:rFonts w:ascii="Times New Roman" w:hAnsi="Times New Roman" w:cs="Times New Roman"/>
          <w:sz w:val="24"/>
          <w:szCs w:val="24"/>
        </w:rPr>
        <w:t>T</w:t>
      </w:r>
      <w:r w:rsidR="00765ABA" w:rsidRPr="00372AA4">
        <w:rPr>
          <w:rFonts w:ascii="Times New Roman" w:hAnsi="Times New Roman" w:cs="Times New Roman"/>
          <w:sz w:val="24"/>
          <w:szCs w:val="24"/>
        </w:rPr>
        <w:t xml:space="preserve">he department </w:t>
      </w:r>
      <w:r>
        <w:rPr>
          <w:rFonts w:ascii="Times New Roman" w:hAnsi="Times New Roman" w:cs="Times New Roman"/>
          <w:sz w:val="24"/>
          <w:szCs w:val="24"/>
        </w:rPr>
        <w:t>consulted</w:t>
      </w:r>
      <w:r w:rsidR="00966A30" w:rsidRPr="00372AA4">
        <w:rPr>
          <w:rFonts w:ascii="Times New Roman" w:hAnsi="Times New Roman" w:cs="Times New Roman"/>
          <w:sz w:val="24"/>
          <w:szCs w:val="24"/>
        </w:rPr>
        <w:t xml:space="preserve"> </w:t>
      </w:r>
      <w:r w:rsidR="00765ABA" w:rsidRPr="00372AA4">
        <w:rPr>
          <w:rFonts w:ascii="Times New Roman" w:hAnsi="Times New Roman" w:cs="Times New Roman"/>
          <w:sz w:val="24"/>
          <w:szCs w:val="24"/>
        </w:rPr>
        <w:t xml:space="preserve">the Northern Territory Grants Commission </w:t>
      </w:r>
      <w:r w:rsidR="00276E5A" w:rsidRPr="00372AA4">
        <w:rPr>
          <w:rFonts w:ascii="Times New Roman" w:hAnsi="Times New Roman" w:cs="Times New Roman"/>
          <w:sz w:val="24"/>
          <w:szCs w:val="24"/>
        </w:rPr>
        <w:t xml:space="preserve">regarding </w:t>
      </w:r>
      <w:r w:rsidR="00966A30" w:rsidRPr="00372AA4">
        <w:rPr>
          <w:rFonts w:ascii="Times New Roman" w:hAnsi="Times New Roman" w:cs="Times New Roman"/>
          <w:sz w:val="24"/>
          <w:szCs w:val="24"/>
        </w:rPr>
        <w:t xml:space="preserve">the </w:t>
      </w:r>
      <w:r>
        <w:rPr>
          <w:rFonts w:ascii="Times New Roman" w:hAnsi="Times New Roman" w:cs="Times New Roman"/>
          <w:sz w:val="24"/>
          <w:szCs w:val="24"/>
        </w:rPr>
        <w:t xml:space="preserve">appropriate </w:t>
      </w:r>
      <w:r w:rsidR="00765ABA" w:rsidRPr="00372AA4">
        <w:rPr>
          <w:rFonts w:ascii="Times New Roman" w:hAnsi="Times New Roman" w:cs="Times New Roman"/>
          <w:sz w:val="24"/>
          <w:szCs w:val="24"/>
        </w:rPr>
        <w:t xml:space="preserve">redistribution </w:t>
      </w:r>
      <w:r w:rsidR="00966A30" w:rsidRPr="00372AA4">
        <w:rPr>
          <w:rFonts w:ascii="Times New Roman" w:hAnsi="Times New Roman" w:cs="Times New Roman"/>
          <w:sz w:val="24"/>
          <w:szCs w:val="24"/>
        </w:rPr>
        <w:t xml:space="preserve">of the </w:t>
      </w:r>
      <w:r>
        <w:rPr>
          <w:rFonts w:ascii="Times New Roman" w:hAnsi="Times New Roman" w:cs="Times New Roman"/>
          <w:sz w:val="24"/>
          <w:szCs w:val="24"/>
        </w:rPr>
        <w:t>Roads to Recovery</w:t>
      </w:r>
      <w:r w:rsidR="00966A30" w:rsidRPr="00372AA4">
        <w:rPr>
          <w:rFonts w:ascii="Times New Roman" w:hAnsi="Times New Roman" w:cs="Times New Roman"/>
          <w:sz w:val="24"/>
          <w:szCs w:val="24"/>
        </w:rPr>
        <w:t xml:space="preserve"> </w:t>
      </w:r>
      <w:r>
        <w:rPr>
          <w:rFonts w:ascii="Times New Roman" w:hAnsi="Times New Roman" w:cs="Times New Roman"/>
          <w:sz w:val="24"/>
          <w:szCs w:val="24"/>
        </w:rPr>
        <w:t xml:space="preserve">funding </w:t>
      </w:r>
      <w:r w:rsidR="00966A30" w:rsidRPr="00372AA4">
        <w:rPr>
          <w:rFonts w:ascii="Times New Roman" w:hAnsi="Times New Roman" w:cs="Times New Roman"/>
          <w:sz w:val="24"/>
          <w:szCs w:val="24"/>
        </w:rPr>
        <w:t xml:space="preserve">allocation </w:t>
      </w:r>
      <w:r w:rsidR="00276E5A" w:rsidRPr="00372AA4">
        <w:rPr>
          <w:rFonts w:ascii="Times New Roman" w:hAnsi="Times New Roman" w:cs="Times New Roman"/>
          <w:sz w:val="24"/>
          <w:szCs w:val="24"/>
        </w:rPr>
        <w:t xml:space="preserve">between </w:t>
      </w:r>
      <w:r w:rsidR="00966A30" w:rsidRPr="00372AA4">
        <w:rPr>
          <w:rFonts w:ascii="Times New Roman" w:hAnsi="Times New Roman" w:cs="Times New Roman"/>
          <w:sz w:val="24"/>
          <w:szCs w:val="24"/>
        </w:rPr>
        <w:t xml:space="preserve">East Arnhem Regional Council </w:t>
      </w:r>
      <w:r w:rsidR="00276E5A" w:rsidRPr="00372AA4">
        <w:rPr>
          <w:rFonts w:ascii="Times New Roman" w:hAnsi="Times New Roman" w:cs="Times New Roman"/>
          <w:sz w:val="24"/>
          <w:szCs w:val="24"/>
        </w:rPr>
        <w:t xml:space="preserve">and </w:t>
      </w:r>
      <w:r w:rsidR="00966A30" w:rsidRPr="00372AA4">
        <w:rPr>
          <w:rFonts w:ascii="Times New Roman" w:hAnsi="Times New Roman" w:cs="Times New Roman"/>
          <w:sz w:val="24"/>
          <w:szCs w:val="24"/>
        </w:rPr>
        <w:t>Groote Archipelago Regional Council.</w:t>
      </w:r>
      <w:r w:rsidR="00276E5A" w:rsidRPr="00372AA4">
        <w:rPr>
          <w:rFonts w:ascii="Times New Roman" w:hAnsi="Times New Roman" w:cs="Times New Roman"/>
          <w:sz w:val="24"/>
          <w:szCs w:val="24"/>
        </w:rPr>
        <w:t xml:space="preserve"> </w:t>
      </w:r>
      <w:r>
        <w:rPr>
          <w:rFonts w:ascii="Times New Roman" w:hAnsi="Times New Roman" w:cs="Times New Roman"/>
          <w:sz w:val="24"/>
          <w:szCs w:val="24"/>
        </w:rPr>
        <w:t xml:space="preserve">This resulted in the </w:t>
      </w:r>
      <w:r w:rsidR="00CD619E">
        <w:rPr>
          <w:rFonts w:ascii="Times New Roman" w:hAnsi="Times New Roman" w:cs="Times New Roman"/>
          <w:sz w:val="24"/>
          <w:szCs w:val="24"/>
        </w:rPr>
        <w:t xml:space="preserve">funding </w:t>
      </w:r>
      <w:r>
        <w:rPr>
          <w:rFonts w:ascii="Times New Roman" w:hAnsi="Times New Roman" w:cs="Times New Roman"/>
          <w:sz w:val="24"/>
          <w:szCs w:val="24"/>
        </w:rPr>
        <w:t>redistribution being calculated based on the length of each council’s local road network</w:t>
      </w:r>
      <w:r w:rsidR="00276E5A" w:rsidRPr="00372AA4">
        <w:rPr>
          <w:rFonts w:ascii="Times New Roman" w:hAnsi="Times New Roman" w:cs="Times New Roman"/>
          <w:sz w:val="24"/>
          <w:szCs w:val="24"/>
        </w:rPr>
        <w:t>.</w:t>
      </w:r>
    </w:p>
    <w:p w14:paraId="16C864C9" w14:textId="58C8743A" w:rsidR="005F4615" w:rsidRDefault="002360B7">
      <w:pPr>
        <w:rPr>
          <w:rFonts w:ascii="Times New Roman" w:hAnsi="Times New Roman" w:cs="Times New Roman"/>
          <w:sz w:val="24"/>
          <w:szCs w:val="24"/>
        </w:rPr>
      </w:pPr>
      <w:r w:rsidRPr="002360B7">
        <w:rPr>
          <w:rFonts w:ascii="Times New Roman" w:hAnsi="Times New Roman" w:cs="Times New Roman"/>
          <w:sz w:val="24"/>
          <w:szCs w:val="24"/>
        </w:rPr>
        <w:lastRenderedPageBreak/>
        <w:t xml:space="preserve">On </w:t>
      </w:r>
      <w:r>
        <w:rPr>
          <w:rFonts w:ascii="Times New Roman" w:hAnsi="Times New Roman" w:cs="Times New Roman"/>
          <w:sz w:val="24"/>
          <w:szCs w:val="24"/>
        </w:rPr>
        <w:t xml:space="preserve">9 July 2025, the Department of Infrastructure, Transport, Regional Development, Communications, Sport and the Arts met with representatives from the East Arnhem Regional Council and the Groote Archipelago Regional Council to discuss the </w:t>
      </w:r>
      <w:r w:rsidR="008F6479">
        <w:rPr>
          <w:rFonts w:ascii="Times New Roman" w:hAnsi="Times New Roman" w:cs="Times New Roman"/>
          <w:sz w:val="24"/>
          <w:szCs w:val="24"/>
        </w:rPr>
        <w:t xml:space="preserve">proposed </w:t>
      </w:r>
      <w:r w:rsidR="00CD619E">
        <w:rPr>
          <w:rFonts w:ascii="Times New Roman" w:hAnsi="Times New Roman" w:cs="Times New Roman"/>
          <w:sz w:val="24"/>
          <w:szCs w:val="24"/>
        </w:rPr>
        <w:t xml:space="preserve">redistribution </w:t>
      </w:r>
      <w:r>
        <w:rPr>
          <w:rFonts w:ascii="Times New Roman" w:hAnsi="Times New Roman" w:cs="Times New Roman"/>
          <w:sz w:val="24"/>
          <w:szCs w:val="24"/>
        </w:rPr>
        <w:t xml:space="preserve">of allocation from </w:t>
      </w:r>
      <w:r w:rsidR="008F6479">
        <w:rPr>
          <w:rFonts w:ascii="Times New Roman" w:hAnsi="Times New Roman" w:cs="Times New Roman"/>
          <w:sz w:val="24"/>
          <w:szCs w:val="24"/>
        </w:rPr>
        <w:t xml:space="preserve">the former </w:t>
      </w:r>
      <w:r>
        <w:rPr>
          <w:rFonts w:ascii="Times New Roman" w:hAnsi="Times New Roman" w:cs="Times New Roman"/>
          <w:sz w:val="24"/>
          <w:szCs w:val="24"/>
        </w:rPr>
        <w:t>East Arnhem Regional Council</w:t>
      </w:r>
      <w:r w:rsidR="006200C1">
        <w:rPr>
          <w:rFonts w:ascii="Times New Roman" w:hAnsi="Times New Roman" w:cs="Times New Roman"/>
          <w:sz w:val="24"/>
          <w:szCs w:val="24"/>
        </w:rPr>
        <w:t>, using road length as a determining factor</w:t>
      </w:r>
      <w:r>
        <w:rPr>
          <w:rFonts w:ascii="Times New Roman" w:hAnsi="Times New Roman" w:cs="Times New Roman"/>
          <w:sz w:val="24"/>
          <w:szCs w:val="24"/>
        </w:rPr>
        <w:t xml:space="preserve">. </w:t>
      </w:r>
      <w:r w:rsidR="008173C1">
        <w:rPr>
          <w:rFonts w:ascii="Times New Roman" w:hAnsi="Times New Roman" w:cs="Times New Roman"/>
          <w:sz w:val="24"/>
          <w:szCs w:val="24"/>
        </w:rPr>
        <w:t>Both councils expressed s</w:t>
      </w:r>
      <w:r>
        <w:rPr>
          <w:rFonts w:ascii="Times New Roman" w:hAnsi="Times New Roman" w:cs="Times New Roman"/>
          <w:sz w:val="24"/>
          <w:szCs w:val="24"/>
        </w:rPr>
        <w:t>upport for th</w:t>
      </w:r>
      <w:r w:rsidR="008173C1">
        <w:rPr>
          <w:rFonts w:ascii="Times New Roman" w:hAnsi="Times New Roman" w:cs="Times New Roman"/>
          <w:sz w:val="24"/>
          <w:szCs w:val="24"/>
        </w:rPr>
        <w:t xml:space="preserve">is method of determining their share of the funding </w:t>
      </w:r>
      <w:r w:rsidR="008173C1" w:rsidRPr="00432EBF">
        <w:rPr>
          <w:rFonts w:ascii="Times New Roman" w:hAnsi="Times New Roman" w:cs="Times New Roman"/>
          <w:sz w:val="24"/>
          <w:szCs w:val="24"/>
        </w:rPr>
        <w:t>allocation.</w:t>
      </w:r>
    </w:p>
    <w:p w14:paraId="56CCDA0C" w14:textId="13A5C021" w:rsidR="008F762E" w:rsidRPr="008F762E" w:rsidRDefault="008F762E">
      <w:pPr>
        <w:rPr>
          <w:rFonts w:ascii="Times New Roman" w:hAnsi="Times New Roman" w:cs="Times New Roman"/>
          <w:sz w:val="24"/>
          <w:szCs w:val="24"/>
        </w:rPr>
      </w:pPr>
      <w:r>
        <w:rPr>
          <w:rFonts w:ascii="Times New Roman" w:hAnsi="Times New Roman" w:cs="Times New Roman"/>
          <w:sz w:val="24"/>
          <w:szCs w:val="24"/>
        </w:rPr>
        <w:t xml:space="preserve">No further consultation was held with other funding recipients in the </w:t>
      </w:r>
      <w:r w:rsidRPr="00FD1126">
        <w:rPr>
          <w:rFonts w:ascii="Times New Roman" w:hAnsi="Times New Roman" w:cs="Times New Roman"/>
          <w:i/>
          <w:sz w:val="24"/>
          <w:szCs w:val="24"/>
        </w:rPr>
        <w:t>National Land Transport (Roads to Recovery List) Determination 202</w:t>
      </w:r>
      <w:r>
        <w:rPr>
          <w:rFonts w:ascii="Times New Roman" w:hAnsi="Times New Roman" w:cs="Times New Roman"/>
          <w:i/>
          <w:sz w:val="24"/>
          <w:szCs w:val="24"/>
        </w:rPr>
        <w:t xml:space="preserve">4 </w:t>
      </w:r>
      <w:r w:rsidRPr="008F762E">
        <w:rPr>
          <w:rFonts w:ascii="Times New Roman" w:hAnsi="Times New Roman" w:cs="Times New Roman"/>
          <w:sz w:val="24"/>
          <w:szCs w:val="24"/>
        </w:rPr>
        <w:t xml:space="preserve">to discuss the </w:t>
      </w:r>
      <w:r w:rsidR="008173C1">
        <w:rPr>
          <w:rFonts w:ascii="Times New Roman" w:hAnsi="Times New Roman" w:cs="Times New Roman"/>
          <w:sz w:val="24"/>
          <w:szCs w:val="24"/>
        </w:rPr>
        <w:t xml:space="preserve">redistribution </w:t>
      </w:r>
      <w:r w:rsidRPr="008F762E">
        <w:rPr>
          <w:rFonts w:ascii="Times New Roman" w:hAnsi="Times New Roman" w:cs="Times New Roman"/>
          <w:sz w:val="24"/>
          <w:szCs w:val="24"/>
        </w:rPr>
        <w:t>of allocation resulting from the de-amalgamation of the East Arnhem Regional Council</w:t>
      </w:r>
      <w:r w:rsidR="00765ABA">
        <w:rPr>
          <w:rFonts w:ascii="Times New Roman" w:hAnsi="Times New Roman" w:cs="Times New Roman"/>
          <w:sz w:val="24"/>
          <w:szCs w:val="24"/>
        </w:rPr>
        <w:t xml:space="preserve"> as they were not affected by the change</w:t>
      </w:r>
      <w:r w:rsidRPr="008F762E">
        <w:rPr>
          <w:rFonts w:ascii="Times New Roman" w:hAnsi="Times New Roman" w:cs="Times New Roman"/>
          <w:sz w:val="24"/>
          <w:szCs w:val="24"/>
        </w:rPr>
        <w:t>.</w:t>
      </w:r>
    </w:p>
    <w:sectPr w:rsidR="008F762E" w:rsidRPr="008F762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87193" w14:textId="77777777" w:rsidR="000A144D" w:rsidRDefault="000A144D">
      <w:pPr>
        <w:spacing w:after="0" w:line="240" w:lineRule="auto"/>
      </w:pPr>
      <w:r>
        <w:separator/>
      </w:r>
    </w:p>
  </w:endnote>
  <w:endnote w:type="continuationSeparator" w:id="0">
    <w:p w14:paraId="3D049370" w14:textId="77777777" w:rsidR="000A144D" w:rsidRDefault="000A144D">
      <w:pPr>
        <w:spacing w:after="0" w:line="240" w:lineRule="auto"/>
      </w:pPr>
      <w:r>
        <w:continuationSeparator/>
      </w:r>
    </w:p>
  </w:endnote>
  <w:endnote w:type="continuationNotice" w:id="1">
    <w:p w14:paraId="4F35070E" w14:textId="77777777" w:rsidR="000A144D" w:rsidRDefault="000A1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21C62B64" w14:textId="77777777" w:rsidR="00E20C3D" w:rsidRDefault="00E20C3D">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4A7B4F2E" w14:textId="77777777" w:rsidR="00E20C3D" w:rsidRDefault="00E20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9AF52" w14:textId="77777777" w:rsidR="000A144D" w:rsidRDefault="000A144D">
      <w:pPr>
        <w:spacing w:after="0" w:line="240" w:lineRule="auto"/>
      </w:pPr>
      <w:r>
        <w:separator/>
      </w:r>
    </w:p>
  </w:footnote>
  <w:footnote w:type="continuationSeparator" w:id="0">
    <w:p w14:paraId="201A4C1D" w14:textId="77777777" w:rsidR="000A144D" w:rsidRDefault="000A144D">
      <w:pPr>
        <w:spacing w:after="0" w:line="240" w:lineRule="auto"/>
      </w:pPr>
      <w:r>
        <w:continuationSeparator/>
      </w:r>
    </w:p>
  </w:footnote>
  <w:footnote w:type="continuationNotice" w:id="1">
    <w:p w14:paraId="4CE1D494" w14:textId="77777777" w:rsidR="000A144D" w:rsidRDefault="000A14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42AD25FF"/>
    <w:multiLevelType w:val="hybridMultilevel"/>
    <w:tmpl w:val="8620F874"/>
    <w:lvl w:ilvl="0" w:tplc="563A5E3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314B41"/>
    <w:multiLevelType w:val="hybridMultilevel"/>
    <w:tmpl w:val="6814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01703"/>
    <w:rsid w:val="0000447B"/>
    <w:rsid w:val="00032375"/>
    <w:rsid w:val="00042364"/>
    <w:rsid w:val="00047912"/>
    <w:rsid w:val="00047B3D"/>
    <w:rsid w:val="000678AA"/>
    <w:rsid w:val="00096244"/>
    <w:rsid w:val="000A144D"/>
    <w:rsid w:val="000A45A5"/>
    <w:rsid w:val="000B6CF7"/>
    <w:rsid w:val="000D6EEF"/>
    <w:rsid w:val="000F03D5"/>
    <w:rsid w:val="00106956"/>
    <w:rsid w:val="0011203D"/>
    <w:rsid w:val="00143E63"/>
    <w:rsid w:val="001563E2"/>
    <w:rsid w:val="00172D85"/>
    <w:rsid w:val="001920F0"/>
    <w:rsid w:val="001A1F32"/>
    <w:rsid w:val="001C37E5"/>
    <w:rsid w:val="001E326A"/>
    <w:rsid w:val="00204B60"/>
    <w:rsid w:val="00205CD6"/>
    <w:rsid w:val="002062EF"/>
    <w:rsid w:val="00217850"/>
    <w:rsid w:val="00222A42"/>
    <w:rsid w:val="00230B89"/>
    <w:rsid w:val="002360B7"/>
    <w:rsid w:val="002660B8"/>
    <w:rsid w:val="00275778"/>
    <w:rsid w:val="00276E5A"/>
    <w:rsid w:val="0029597E"/>
    <w:rsid w:val="002B1B97"/>
    <w:rsid w:val="002C108D"/>
    <w:rsid w:val="002C6DC1"/>
    <w:rsid w:val="002E1A91"/>
    <w:rsid w:val="00303BBA"/>
    <w:rsid w:val="00312CCF"/>
    <w:rsid w:val="00334E67"/>
    <w:rsid w:val="00365F1B"/>
    <w:rsid w:val="003729EE"/>
    <w:rsid w:val="00372AA4"/>
    <w:rsid w:val="003C7D1A"/>
    <w:rsid w:val="0040437F"/>
    <w:rsid w:val="00405FD8"/>
    <w:rsid w:val="00415044"/>
    <w:rsid w:val="0042141B"/>
    <w:rsid w:val="00432EBF"/>
    <w:rsid w:val="00456659"/>
    <w:rsid w:val="004614EB"/>
    <w:rsid w:val="00462806"/>
    <w:rsid w:val="004662D2"/>
    <w:rsid w:val="00492074"/>
    <w:rsid w:val="004A0420"/>
    <w:rsid w:val="004A6E84"/>
    <w:rsid w:val="004A7447"/>
    <w:rsid w:val="004B5466"/>
    <w:rsid w:val="004C6E7B"/>
    <w:rsid w:val="004C76B5"/>
    <w:rsid w:val="004D1A90"/>
    <w:rsid w:val="00500DAB"/>
    <w:rsid w:val="005037A3"/>
    <w:rsid w:val="005101EC"/>
    <w:rsid w:val="00540CF1"/>
    <w:rsid w:val="0055217B"/>
    <w:rsid w:val="00552F34"/>
    <w:rsid w:val="005B7BB2"/>
    <w:rsid w:val="005C43B9"/>
    <w:rsid w:val="005F4615"/>
    <w:rsid w:val="00605F4B"/>
    <w:rsid w:val="006200C1"/>
    <w:rsid w:val="00620A75"/>
    <w:rsid w:val="006708D1"/>
    <w:rsid w:val="006725A3"/>
    <w:rsid w:val="006A1A59"/>
    <w:rsid w:val="006B12D1"/>
    <w:rsid w:val="006B471F"/>
    <w:rsid w:val="006B6B1C"/>
    <w:rsid w:val="006B720A"/>
    <w:rsid w:val="006D0217"/>
    <w:rsid w:val="006D4645"/>
    <w:rsid w:val="006D5901"/>
    <w:rsid w:val="006E6C07"/>
    <w:rsid w:val="006F3DFC"/>
    <w:rsid w:val="007011B0"/>
    <w:rsid w:val="00727BB5"/>
    <w:rsid w:val="00753048"/>
    <w:rsid w:val="00755E5A"/>
    <w:rsid w:val="00765ABA"/>
    <w:rsid w:val="00770C50"/>
    <w:rsid w:val="00780F96"/>
    <w:rsid w:val="0079085D"/>
    <w:rsid w:val="007A62D3"/>
    <w:rsid w:val="007B0852"/>
    <w:rsid w:val="007B17BE"/>
    <w:rsid w:val="008129A4"/>
    <w:rsid w:val="00812F24"/>
    <w:rsid w:val="00813E2E"/>
    <w:rsid w:val="0081603E"/>
    <w:rsid w:val="008173C1"/>
    <w:rsid w:val="00845774"/>
    <w:rsid w:val="0084614C"/>
    <w:rsid w:val="008657A9"/>
    <w:rsid w:val="00887CC8"/>
    <w:rsid w:val="00890D4C"/>
    <w:rsid w:val="00892394"/>
    <w:rsid w:val="008D4A53"/>
    <w:rsid w:val="008F6479"/>
    <w:rsid w:val="008F762E"/>
    <w:rsid w:val="0090436C"/>
    <w:rsid w:val="009178BB"/>
    <w:rsid w:val="009323F9"/>
    <w:rsid w:val="00933FC1"/>
    <w:rsid w:val="00953921"/>
    <w:rsid w:val="00953E79"/>
    <w:rsid w:val="00960670"/>
    <w:rsid w:val="00966A30"/>
    <w:rsid w:val="009704E3"/>
    <w:rsid w:val="009B7AD5"/>
    <w:rsid w:val="009C50F0"/>
    <w:rsid w:val="009D46A3"/>
    <w:rsid w:val="009E1D17"/>
    <w:rsid w:val="009E733D"/>
    <w:rsid w:val="00A06894"/>
    <w:rsid w:val="00A276F9"/>
    <w:rsid w:val="00A27F47"/>
    <w:rsid w:val="00A4273F"/>
    <w:rsid w:val="00A65E06"/>
    <w:rsid w:val="00A664F9"/>
    <w:rsid w:val="00A757F1"/>
    <w:rsid w:val="00A854F4"/>
    <w:rsid w:val="00AC08AB"/>
    <w:rsid w:val="00AE2013"/>
    <w:rsid w:val="00AE445F"/>
    <w:rsid w:val="00B0777E"/>
    <w:rsid w:val="00B112D9"/>
    <w:rsid w:val="00B21200"/>
    <w:rsid w:val="00B342C7"/>
    <w:rsid w:val="00B36463"/>
    <w:rsid w:val="00B96F74"/>
    <w:rsid w:val="00BD6CF6"/>
    <w:rsid w:val="00BE7341"/>
    <w:rsid w:val="00BE7F25"/>
    <w:rsid w:val="00C07E8B"/>
    <w:rsid w:val="00C13B57"/>
    <w:rsid w:val="00C17772"/>
    <w:rsid w:val="00C308A0"/>
    <w:rsid w:val="00C414FB"/>
    <w:rsid w:val="00C42C3D"/>
    <w:rsid w:val="00C45961"/>
    <w:rsid w:val="00C50F56"/>
    <w:rsid w:val="00C5332C"/>
    <w:rsid w:val="00C75A8F"/>
    <w:rsid w:val="00C91D35"/>
    <w:rsid w:val="00CD619E"/>
    <w:rsid w:val="00CE6682"/>
    <w:rsid w:val="00D07FB0"/>
    <w:rsid w:val="00D1272B"/>
    <w:rsid w:val="00D1650B"/>
    <w:rsid w:val="00D435DD"/>
    <w:rsid w:val="00D625F2"/>
    <w:rsid w:val="00D81EE9"/>
    <w:rsid w:val="00DA5543"/>
    <w:rsid w:val="00DC5A4D"/>
    <w:rsid w:val="00DE73E9"/>
    <w:rsid w:val="00E04BE4"/>
    <w:rsid w:val="00E157E8"/>
    <w:rsid w:val="00E175A8"/>
    <w:rsid w:val="00E20C3D"/>
    <w:rsid w:val="00E35BEA"/>
    <w:rsid w:val="00E45363"/>
    <w:rsid w:val="00E473A0"/>
    <w:rsid w:val="00E54586"/>
    <w:rsid w:val="00EA2610"/>
    <w:rsid w:val="00EB01B2"/>
    <w:rsid w:val="00EC192F"/>
    <w:rsid w:val="00EC36EE"/>
    <w:rsid w:val="00ED131A"/>
    <w:rsid w:val="00ED35C8"/>
    <w:rsid w:val="00ED641B"/>
    <w:rsid w:val="00EE77EC"/>
    <w:rsid w:val="00F201F3"/>
    <w:rsid w:val="00F36A93"/>
    <w:rsid w:val="00F511FE"/>
    <w:rsid w:val="00F5342C"/>
    <w:rsid w:val="00F620DC"/>
    <w:rsid w:val="00F65B09"/>
    <w:rsid w:val="00F66B94"/>
    <w:rsid w:val="00F76CD7"/>
    <w:rsid w:val="00F8218E"/>
    <w:rsid w:val="00F92E95"/>
    <w:rsid w:val="00F9312A"/>
    <w:rsid w:val="00FA1E54"/>
    <w:rsid w:val="00FA28F4"/>
    <w:rsid w:val="2F54B8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5026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character" w:styleId="UnresolvedMention">
    <w:name w:val="Unresolved Mention"/>
    <w:basedOn w:val="DefaultParagraphFont"/>
    <w:uiPriority w:val="99"/>
    <w:semiHidden/>
    <w:unhideWhenUsed/>
    <w:rsid w:val="00BE7341"/>
    <w:rPr>
      <w:color w:val="605E5C"/>
      <w:shd w:val="clear" w:color="auto" w:fill="E1DFDD"/>
    </w:rPr>
  </w:style>
  <w:style w:type="character" w:styleId="FollowedHyperlink">
    <w:name w:val="FollowedHyperlink"/>
    <w:basedOn w:val="DefaultParagraphFont"/>
    <w:uiPriority w:val="99"/>
    <w:semiHidden/>
    <w:unhideWhenUsed/>
    <w:rsid w:val="009B7AD5"/>
    <w:rPr>
      <w:color w:val="954F72" w:themeColor="followedHyperlink"/>
      <w:u w:val="single"/>
    </w:rPr>
  </w:style>
  <w:style w:type="paragraph" w:customStyle="1" w:styleId="CABTableText">
    <w:name w:val="CAB Table Text"/>
    <w:basedOn w:val="BodyText"/>
    <w:uiPriority w:val="8"/>
    <w:qFormat/>
    <w:rsid w:val="004A7447"/>
    <w:pPr>
      <w:spacing w:before="50" w:after="50" w:line="240" w:lineRule="auto"/>
    </w:pPr>
    <w:rPr>
      <w:rFonts w:ascii="Arial" w:hAnsi="Arial"/>
      <w:sz w:val="20"/>
      <w:szCs w:val="20"/>
    </w:rPr>
  </w:style>
  <w:style w:type="paragraph" w:styleId="BodyText">
    <w:name w:val="Body Text"/>
    <w:basedOn w:val="Normal"/>
    <w:link w:val="BodyTextChar"/>
    <w:uiPriority w:val="99"/>
    <w:semiHidden/>
    <w:unhideWhenUsed/>
    <w:rsid w:val="004A7447"/>
    <w:pPr>
      <w:spacing w:after="120"/>
    </w:pPr>
  </w:style>
  <w:style w:type="character" w:customStyle="1" w:styleId="BodyTextChar">
    <w:name w:val="Body Text Char"/>
    <w:basedOn w:val="DefaultParagraphFont"/>
    <w:link w:val="BodyText"/>
    <w:uiPriority w:val="99"/>
    <w:semiHidden/>
    <w:rsid w:val="004A7447"/>
  </w:style>
  <w:style w:type="paragraph" w:customStyle="1" w:styleId="ShortT">
    <w:name w:val="ShortT"/>
    <w:basedOn w:val="Normal"/>
    <w:next w:val="Normal"/>
    <w:qFormat/>
    <w:rsid w:val="00F66B94"/>
    <w:pPr>
      <w:spacing w:after="0" w:line="240" w:lineRule="auto"/>
    </w:pPr>
    <w:rPr>
      <w:rFonts w:ascii="Times New Roman" w:eastAsia="Times New Roman" w:hAnsi="Times New Roman" w:cs="Times New Roman"/>
      <w:b/>
      <w:sz w:val="40"/>
      <w:szCs w:val="20"/>
      <w:lang w:eastAsia="en-AU"/>
    </w:rPr>
  </w:style>
  <w:style w:type="paragraph" w:customStyle="1" w:styleId="paragraph">
    <w:name w:val="paragraph"/>
    <w:basedOn w:val="Normal"/>
    <w:rsid w:val="009178B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04820">
      <w:bodyDiv w:val="1"/>
      <w:marLeft w:val="0"/>
      <w:marRight w:val="0"/>
      <w:marTop w:val="0"/>
      <w:marBottom w:val="0"/>
      <w:divBdr>
        <w:top w:val="none" w:sz="0" w:space="0" w:color="auto"/>
        <w:left w:val="none" w:sz="0" w:space="0" w:color="auto"/>
        <w:bottom w:val="none" w:sz="0" w:space="0" w:color="auto"/>
        <w:right w:val="none" w:sz="0" w:space="0" w:color="auto"/>
      </w:divBdr>
    </w:div>
    <w:div w:id="653922284">
      <w:bodyDiv w:val="1"/>
      <w:marLeft w:val="0"/>
      <w:marRight w:val="0"/>
      <w:marTop w:val="0"/>
      <w:marBottom w:val="0"/>
      <w:divBdr>
        <w:top w:val="none" w:sz="0" w:space="0" w:color="auto"/>
        <w:left w:val="none" w:sz="0" w:space="0" w:color="auto"/>
        <w:bottom w:val="none" w:sz="0" w:space="0" w:color="auto"/>
        <w:right w:val="none" w:sz="0" w:space="0" w:color="auto"/>
      </w:divBdr>
    </w:div>
    <w:div w:id="857424027">
      <w:bodyDiv w:val="1"/>
      <w:marLeft w:val="0"/>
      <w:marRight w:val="0"/>
      <w:marTop w:val="0"/>
      <w:marBottom w:val="0"/>
      <w:divBdr>
        <w:top w:val="none" w:sz="0" w:space="0" w:color="auto"/>
        <w:left w:val="none" w:sz="0" w:space="0" w:color="auto"/>
        <w:bottom w:val="none" w:sz="0" w:space="0" w:color="auto"/>
        <w:right w:val="none" w:sz="0" w:space="0" w:color="auto"/>
      </w:divBdr>
    </w:div>
    <w:div w:id="187349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0DBD3B3F14F408BD24DB151985CE3" ma:contentTypeVersion="4" ma:contentTypeDescription="Create a new document." ma:contentTypeScope="" ma:versionID="fbf733ed1a10ade01e8a7ad3268381cf">
  <xsd:schema xmlns:xsd="http://www.w3.org/2001/XMLSchema" xmlns:xs="http://www.w3.org/2001/XMLSchema" xmlns:p="http://schemas.microsoft.com/office/2006/metadata/properties" xmlns:ns3="6576d91f-c9e9-4947-a3d7-a61f72220494" targetNamespace="http://schemas.microsoft.com/office/2006/metadata/properties" ma:root="true" ma:fieldsID="ce98b91070d747d7e4b5738acedb3dea" ns3:_="">
    <xsd:import namespace="6576d91f-c9e9-4947-a3d7-a61f722204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6d91f-c9e9-4947-a3d7-a61f722204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1B43-B7DD-474B-8E69-3FB335A486BC}">
  <ds:schemaRefs>
    <ds:schemaRef ds:uri="http://purl.org/dc/elements/1.1/"/>
    <ds:schemaRef ds:uri="http://schemas.microsoft.com/office/2006/metadata/properties"/>
    <ds:schemaRef ds:uri="http://purl.org/dc/terms/"/>
    <ds:schemaRef ds:uri="6576d91f-c9e9-4947-a3d7-a61f7222049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3.xml><?xml version="1.0" encoding="utf-8"?>
<ds:datastoreItem xmlns:ds="http://schemas.openxmlformats.org/officeDocument/2006/customXml" ds:itemID="{A63A38B4-0646-4967-BE0C-A114B07C9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6d91f-c9e9-4947-a3d7-a61f7222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A129F-F301-4B42-BECD-33BFC052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5521</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2025-09-01T23:26:00Z</dcterms:created>
  <dcterms:modified xsi:type="dcterms:W3CDTF">2025-09-01T23:26:00Z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0x0101002E40DBD3B3F14F408BD24DB151985CE3</vt:lpwstr>
  </property>
  <property fmtid="{D5CDD505-2E9C-101B-9397-08002B2CF9AE}" pid="3" name="_dlc_DocIdItemGuid">
    <vt:lpwstr>0bfc15ff-2125-461c-84cf-153763e47e19</vt:lpwstr>
  </property>
</Properties>
</file>