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6E6AD" w14:textId="77777777" w:rsidR="008C555B" w:rsidRPr="0021377D" w:rsidRDefault="008C555B" w:rsidP="00A27CC8">
      <w:pPr>
        <w:keepNext/>
        <w:spacing w:before="240" w:after="60" w:line="240" w:lineRule="auto"/>
        <w:outlineLvl w:val="1"/>
        <w:rPr>
          <w:rFonts w:ascii="Arial" w:eastAsia="Times New Roman" w:hAnsi="Arial" w:cs="Arial"/>
          <w:sz w:val="36"/>
          <w:szCs w:val="28"/>
        </w:rPr>
      </w:pPr>
    </w:p>
    <w:p w14:paraId="4301FB4F" w14:textId="5C276B94" w:rsidR="00A27CC8" w:rsidRPr="00A27CC8" w:rsidRDefault="00A27CC8" w:rsidP="00A27CC8">
      <w:pPr>
        <w:keepNext/>
        <w:spacing w:before="240" w:after="60" w:line="240" w:lineRule="auto"/>
        <w:outlineLvl w:val="1"/>
        <w:rPr>
          <w:rFonts w:ascii="Arial" w:eastAsia="Times New Roman" w:hAnsi="Arial" w:cs="Arial"/>
          <w:b/>
          <w:bCs/>
          <w:i/>
          <w:iCs/>
          <w:sz w:val="36"/>
          <w:szCs w:val="28"/>
        </w:rPr>
      </w:pPr>
      <w:r w:rsidRPr="00A27CC8">
        <w:rPr>
          <w:rFonts w:ascii="Arial" w:eastAsia="Times New Roman" w:hAnsi="Arial" w:cs="Arial"/>
          <w:b/>
          <w:bCs/>
          <w:i/>
          <w:iCs/>
          <w:sz w:val="36"/>
          <w:szCs w:val="28"/>
        </w:rPr>
        <w:t>Pharmaceutical Benefits Advisory Committee</w:t>
      </w:r>
    </w:p>
    <w:p w14:paraId="3E12E83B" w14:textId="77777777" w:rsidR="00A27CC8" w:rsidRPr="00A27CC8" w:rsidRDefault="00A27CC8" w:rsidP="00A27CC8">
      <w:pPr>
        <w:pBdr>
          <w:bottom w:val="thinThickLargeGap" w:sz="24" w:space="1" w:color="auto"/>
        </w:pBdr>
        <w:tabs>
          <w:tab w:val="left" w:pos="-1418"/>
        </w:tabs>
        <w:spacing w:after="0" w:line="240" w:lineRule="auto"/>
        <w:rPr>
          <w:rFonts w:eastAsia="Times New Roman"/>
          <w:sz w:val="20"/>
          <w:szCs w:val="20"/>
          <w:lang w:eastAsia="en-AU"/>
        </w:rPr>
      </w:pPr>
    </w:p>
    <w:p w14:paraId="7663F3CD" w14:textId="77777777" w:rsidR="00A27CC8" w:rsidRPr="00A27CC8" w:rsidRDefault="00A27CC8" w:rsidP="00A27CC8">
      <w:pPr>
        <w:pBdr>
          <w:bottom w:val="thinThickLargeGap" w:sz="24" w:space="1" w:color="auto"/>
        </w:pBdr>
        <w:tabs>
          <w:tab w:val="left" w:pos="-1418"/>
        </w:tabs>
        <w:spacing w:after="0" w:line="240" w:lineRule="auto"/>
        <w:rPr>
          <w:rFonts w:eastAsia="Times New Roman"/>
          <w:sz w:val="20"/>
          <w:szCs w:val="20"/>
          <w:lang w:eastAsia="en-AU"/>
        </w:rPr>
      </w:pPr>
    </w:p>
    <w:p w14:paraId="738CED8A" w14:textId="77777777" w:rsidR="00A27CC8" w:rsidRPr="00A27CC8" w:rsidRDefault="00A27CC8" w:rsidP="00A27CC8">
      <w:pPr>
        <w:tabs>
          <w:tab w:val="left" w:pos="-339"/>
        </w:tabs>
        <w:spacing w:after="0" w:line="240" w:lineRule="auto"/>
        <w:ind w:left="-1473"/>
        <w:rPr>
          <w:rFonts w:eastAsia="Times New Roman"/>
          <w:szCs w:val="20"/>
          <w:lang w:eastAsia="en-AU"/>
        </w:rPr>
      </w:pPr>
    </w:p>
    <w:p w14:paraId="0081C0E5" w14:textId="3545B1F3" w:rsidR="00A27CC8" w:rsidRPr="00A27CC8" w:rsidRDefault="00077906" w:rsidP="00A27CC8">
      <w:pPr>
        <w:tabs>
          <w:tab w:val="left" w:pos="284"/>
        </w:tabs>
        <w:spacing w:after="0" w:line="240" w:lineRule="auto"/>
        <w:ind w:left="-284" w:firstLine="284"/>
        <w:rPr>
          <w:rFonts w:ascii="Arial" w:eastAsia="Times New Roman" w:hAnsi="Arial"/>
          <w:sz w:val="18"/>
          <w:szCs w:val="20"/>
          <w:lang w:eastAsia="en-AU"/>
        </w:rPr>
      </w:pPr>
      <w:r>
        <w:rPr>
          <w:rFonts w:ascii="Arial" w:eastAsia="Times New Roman" w:hAnsi="Arial"/>
          <w:sz w:val="18"/>
          <w:szCs w:val="20"/>
          <w:lang w:eastAsia="en-AU"/>
        </w:rPr>
        <w:t xml:space="preserve">Email: </w:t>
      </w:r>
      <w:r>
        <w:rPr>
          <w:rFonts w:ascii="Arial" w:eastAsia="Times New Roman" w:hAnsi="Arial"/>
          <w:sz w:val="18"/>
          <w:szCs w:val="20"/>
          <w:lang w:eastAsia="en-AU"/>
        </w:rPr>
        <w:tab/>
        <w:t>PBAC@health.gov.au</w:t>
      </w:r>
      <w:r w:rsidR="002D59A1">
        <w:rPr>
          <w:rFonts w:ascii="Arial" w:eastAsia="Times New Roman" w:hAnsi="Arial"/>
          <w:sz w:val="18"/>
          <w:szCs w:val="20"/>
          <w:lang w:eastAsia="en-AU"/>
        </w:rPr>
        <w:t xml:space="preserve"> </w:t>
      </w:r>
      <w:r w:rsidR="00A27CC8">
        <w:rPr>
          <w:rFonts w:ascii="Arial" w:eastAsia="Times New Roman" w:hAnsi="Arial"/>
          <w:sz w:val="18"/>
          <w:szCs w:val="20"/>
          <w:lang w:eastAsia="en-AU"/>
        </w:rPr>
        <w:tab/>
      </w:r>
      <w:r w:rsidR="00A27CC8">
        <w:rPr>
          <w:rFonts w:ascii="Arial" w:eastAsia="Times New Roman" w:hAnsi="Arial"/>
          <w:sz w:val="18"/>
          <w:szCs w:val="20"/>
          <w:lang w:eastAsia="en-AU"/>
        </w:rPr>
        <w:tab/>
      </w:r>
      <w:r w:rsidR="00A27CC8">
        <w:rPr>
          <w:rFonts w:ascii="Arial" w:eastAsia="Times New Roman" w:hAnsi="Arial"/>
          <w:sz w:val="18"/>
          <w:szCs w:val="20"/>
          <w:lang w:eastAsia="en-AU"/>
        </w:rPr>
        <w:tab/>
        <w:t xml:space="preserve"> </w:t>
      </w:r>
      <w:r w:rsidR="00A27CC8">
        <w:rPr>
          <w:rFonts w:ascii="Arial" w:eastAsia="Times New Roman" w:hAnsi="Arial"/>
          <w:sz w:val="18"/>
          <w:szCs w:val="20"/>
          <w:lang w:eastAsia="en-AU"/>
        </w:rPr>
        <w:tab/>
      </w:r>
      <w:r w:rsidR="00A27CC8">
        <w:rPr>
          <w:rFonts w:ascii="Arial" w:eastAsia="Times New Roman" w:hAnsi="Arial"/>
          <w:sz w:val="18"/>
          <w:szCs w:val="20"/>
          <w:lang w:eastAsia="en-AU"/>
        </w:rPr>
        <w:tab/>
      </w:r>
      <w:r>
        <w:rPr>
          <w:rFonts w:ascii="Arial" w:eastAsia="Times New Roman" w:hAnsi="Arial"/>
          <w:sz w:val="18"/>
          <w:szCs w:val="20"/>
          <w:lang w:eastAsia="en-AU"/>
        </w:rPr>
        <w:tab/>
      </w:r>
      <w:r w:rsidR="00A27CC8" w:rsidRPr="00A27CC8">
        <w:rPr>
          <w:rFonts w:ascii="Arial" w:eastAsia="Times New Roman" w:hAnsi="Arial"/>
          <w:sz w:val="18"/>
          <w:szCs w:val="20"/>
          <w:lang w:eastAsia="en-AU"/>
        </w:rPr>
        <w:t>Address all mail to:</w:t>
      </w:r>
    </w:p>
    <w:p w14:paraId="0CD1CB1D" w14:textId="04E00F00" w:rsidR="00A27CC8" w:rsidRPr="00A27CC8" w:rsidRDefault="00A27CC8" w:rsidP="00A27CC8">
      <w:pPr>
        <w:tabs>
          <w:tab w:val="left" w:pos="284"/>
        </w:tabs>
        <w:spacing w:after="0" w:line="240" w:lineRule="auto"/>
        <w:ind w:left="-284" w:right="-331" w:firstLine="284"/>
        <w:rPr>
          <w:rFonts w:ascii="Arial" w:eastAsia="Times New Roman" w:hAnsi="Arial"/>
          <w:sz w:val="18"/>
          <w:szCs w:val="20"/>
          <w:lang w:eastAsia="en-AU"/>
        </w:rPr>
      </w:pP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sidR="00077906">
        <w:rPr>
          <w:rFonts w:ascii="Arial" w:eastAsia="Times New Roman" w:hAnsi="Arial"/>
          <w:sz w:val="18"/>
          <w:szCs w:val="20"/>
          <w:lang w:eastAsia="en-AU"/>
        </w:rPr>
        <w:tab/>
      </w:r>
      <w:r w:rsidR="00077906">
        <w:rPr>
          <w:rFonts w:ascii="Arial" w:eastAsia="Times New Roman" w:hAnsi="Arial"/>
          <w:sz w:val="18"/>
          <w:szCs w:val="20"/>
          <w:lang w:eastAsia="en-AU"/>
        </w:rPr>
        <w:tab/>
      </w:r>
      <w:r w:rsidR="00077906">
        <w:rPr>
          <w:rFonts w:ascii="Arial" w:eastAsia="Times New Roman" w:hAnsi="Arial"/>
          <w:sz w:val="18"/>
          <w:szCs w:val="20"/>
          <w:lang w:eastAsia="en-AU"/>
        </w:rPr>
        <w:tab/>
      </w:r>
      <w:r w:rsidR="00077906">
        <w:rPr>
          <w:rFonts w:ascii="Arial" w:eastAsia="Times New Roman" w:hAnsi="Arial"/>
          <w:sz w:val="18"/>
          <w:szCs w:val="20"/>
          <w:lang w:eastAsia="en-AU"/>
        </w:rPr>
        <w:tab/>
      </w:r>
      <w:r w:rsidR="00077906">
        <w:rPr>
          <w:rFonts w:ascii="Arial" w:eastAsia="Times New Roman" w:hAnsi="Arial"/>
          <w:sz w:val="18"/>
          <w:szCs w:val="20"/>
          <w:lang w:eastAsia="en-AU"/>
        </w:rPr>
        <w:tab/>
      </w:r>
      <w:r w:rsidRPr="00A27CC8">
        <w:rPr>
          <w:rFonts w:ascii="Arial" w:eastAsia="Times New Roman" w:hAnsi="Arial"/>
          <w:sz w:val="18"/>
          <w:szCs w:val="20"/>
          <w:lang w:eastAsia="en-AU"/>
        </w:rPr>
        <w:t>PBAC Secretariat</w:t>
      </w:r>
      <w:r w:rsidRPr="00A27CC8">
        <w:rPr>
          <w:rFonts w:ascii="Arial" w:eastAsia="Times New Roman" w:hAnsi="Arial"/>
          <w:sz w:val="18"/>
          <w:szCs w:val="20"/>
          <w:lang w:eastAsia="en-AU"/>
        </w:rPr>
        <w:fldChar w:fldCharType="begin"/>
      </w:r>
      <w:r w:rsidRPr="00A27CC8">
        <w:rPr>
          <w:rFonts w:ascii="Arial" w:eastAsia="Times New Roman" w:hAnsi="Arial"/>
          <w:sz w:val="18"/>
          <w:szCs w:val="20"/>
          <w:lang w:eastAsia="en-AU"/>
        </w:rPr>
        <w:instrText xml:space="preserve"> DOCPROPERTY "hfsNameAddress" \* MERGEFORMAT </w:instrText>
      </w:r>
      <w:r w:rsidRPr="00A27CC8">
        <w:rPr>
          <w:rFonts w:ascii="Arial" w:eastAsia="Times New Roman" w:hAnsi="Arial"/>
          <w:sz w:val="18"/>
          <w:szCs w:val="20"/>
          <w:lang w:eastAsia="en-AU"/>
        </w:rPr>
        <w:fldChar w:fldCharType="end"/>
      </w:r>
    </w:p>
    <w:p w14:paraId="6769DAAC" w14:textId="77777777" w:rsidR="00A27CC8" w:rsidRPr="00A27CC8" w:rsidRDefault="00A27CC8" w:rsidP="00A27CC8">
      <w:pPr>
        <w:tabs>
          <w:tab w:val="left" w:pos="284"/>
        </w:tabs>
        <w:spacing w:after="0" w:line="240" w:lineRule="auto"/>
        <w:ind w:left="-284" w:firstLine="284"/>
        <w:rPr>
          <w:rFonts w:ascii="Arial" w:eastAsia="Times New Roman" w:hAnsi="Arial"/>
          <w:sz w:val="18"/>
          <w:szCs w:val="20"/>
          <w:lang w:eastAsia="en-AU"/>
        </w:rPr>
      </w:pP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sidRPr="00A27CC8">
        <w:rPr>
          <w:rFonts w:ascii="Arial" w:eastAsia="Times New Roman" w:hAnsi="Arial"/>
          <w:sz w:val="18"/>
          <w:szCs w:val="20"/>
          <w:lang w:eastAsia="en-AU"/>
        </w:rPr>
        <w:tab/>
        <w:t>GPO Box 9848</w:t>
      </w:r>
    </w:p>
    <w:p w14:paraId="62F6D43B" w14:textId="206EB0E3" w:rsidR="00A27CC8" w:rsidRPr="00A27CC8" w:rsidRDefault="00A27CC8" w:rsidP="00A27CC8">
      <w:pPr>
        <w:tabs>
          <w:tab w:val="left" w:pos="284"/>
        </w:tabs>
        <w:spacing w:after="0" w:line="240" w:lineRule="auto"/>
        <w:ind w:left="-284" w:firstLine="284"/>
        <w:rPr>
          <w:rFonts w:ascii="Arial" w:eastAsia="Times New Roman" w:hAnsi="Arial"/>
          <w:sz w:val="18"/>
          <w:szCs w:val="20"/>
          <w:lang w:eastAsia="en-AU"/>
        </w:rPr>
      </w:pPr>
      <w:r w:rsidRPr="00A27CC8">
        <w:rPr>
          <w:rFonts w:ascii="Arial" w:eastAsia="Times New Roman" w:hAnsi="Arial"/>
          <w:sz w:val="18"/>
          <w:szCs w:val="20"/>
          <w:lang w:eastAsia="en-AU"/>
        </w:rPr>
        <w:tab/>
      </w:r>
      <w:r w:rsidRPr="00A27CC8">
        <w:rPr>
          <w:rFonts w:ascii="Arial" w:eastAsia="Times New Roman" w:hAnsi="Arial"/>
          <w:sz w:val="18"/>
          <w:szCs w:val="20"/>
          <w:lang w:eastAsia="en-AU"/>
        </w:rPr>
        <w:tab/>
      </w:r>
      <w:r w:rsidRPr="00A27CC8">
        <w:rPr>
          <w:rFonts w:ascii="Arial" w:eastAsia="Times New Roman" w:hAnsi="Arial"/>
          <w:sz w:val="18"/>
          <w:szCs w:val="20"/>
          <w:lang w:eastAsia="en-AU"/>
        </w:rPr>
        <w:tab/>
      </w:r>
      <w:r w:rsidRPr="00A27CC8">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sidRPr="00A27CC8">
        <w:rPr>
          <w:rFonts w:ascii="Arial" w:eastAsia="Times New Roman" w:hAnsi="Arial"/>
          <w:sz w:val="18"/>
          <w:szCs w:val="20"/>
          <w:lang w:eastAsia="en-AU"/>
        </w:rPr>
        <w:tab/>
      </w:r>
      <w:r w:rsidRPr="00A27CC8">
        <w:rPr>
          <w:rFonts w:ascii="Arial" w:eastAsia="Times New Roman" w:hAnsi="Arial"/>
          <w:sz w:val="18"/>
          <w:szCs w:val="20"/>
          <w:lang w:eastAsia="en-AU"/>
        </w:rPr>
        <w:tab/>
      </w:r>
      <w:r w:rsidRPr="00A27CC8">
        <w:rPr>
          <w:rFonts w:ascii="Arial" w:eastAsia="Times New Roman" w:hAnsi="Arial"/>
          <w:sz w:val="18"/>
          <w:szCs w:val="20"/>
          <w:lang w:eastAsia="en-AU"/>
        </w:rPr>
        <w:tab/>
        <w:t xml:space="preserve">Canberra  ACT </w:t>
      </w:r>
      <w:r w:rsidR="00F73C62">
        <w:rPr>
          <w:rFonts w:ascii="Arial" w:eastAsia="Times New Roman" w:hAnsi="Arial"/>
          <w:sz w:val="18"/>
          <w:szCs w:val="20"/>
          <w:lang w:eastAsia="en-AU"/>
        </w:rPr>
        <w:t xml:space="preserve"> </w:t>
      </w:r>
      <w:r w:rsidRPr="00A27CC8">
        <w:rPr>
          <w:rFonts w:ascii="Arial" w:eastAsia="Times New Roman" w:hAnsi="Arial"/>
          <w:sz w:val="18"/>
          <w:szCs w:val="20"/>
          <w:lang w:eastAsia="en-AU"/>
        </w:rPr>
        <w:t>2601</w:t>
      </w:r>
    </w:p>
    <w:p w14:paraId="3238D891" w14:textId="24A8638D" w:rsidR="00A27CC8" w:rsidRPr="00A27CC8" w:rsidRDefault="00A27CC8" w:rsidP="00A27CC8">
      <w:pPr>
        <w:spacing w:after="0" w:line="240" w:lineRule="auto"/>
        <w:jc w:val="center"/>
        <w:rPr>
          <w:rFonts w:eastAsia="Times New Roman"/>
          <w:b/>
          <w:lang w:eastAsia="en-AU"/>
        </w:rPr>
      </w:pPr>
    </w:p>
    <w:p w14:paraId="49D8F330" w14:textId="02257CA0" w:rsidR="00A27CC8" w:rsidRPr="00A27CC8" w:rsidRDefault="00A27CC8" w:rsidP="00A27CC8">
      <w:pPr>
        <w:spacing w:after="0" w:line="240" w:lineRule="auto"/>
        <w:jc w:val="center"/>
        <w:rPr>
          <w:rFonts w:eastAsia="Times New Roman"/>
          <w:b/>
          <w:lang w:eastAsia="en-AU"/>
        </w:rPr>
      </w:pPr>
      <w:r w:rsidRPr="00A27CC8">
        <w:rPr>
          <w:rFonts w:eastAsia="Times New Roman"/>
          <w:b/>
          <w:lang w:eastAsia="en-AU"/>
        </w:rPr>
        <w:br/>
        <w:t>DEL</w:t>
      </w:r>
      <w:r w:rsidR="005E36BA">
        <w:rPr>
          <w:rFonts w:eastAsia="Times New Roman"/>
          <w:b/>
          <w:lang w:eastAsia="en-AU"/>
        </w:rPr>
        <w:t>ISTING</w:t>
      </w:r>
      <w:r w:rsidRPr="00A27CC8">
        <w:rPr>
          <w:rFonts w:eastAsia="Times New Roman"/>
          <w:b/>
          <w:lang w:eastAsia="en-AU"/>
        </w:rPr>
        <w:t xml:space="preserve"> OF PHARMACEUTICAL BENEFIT ITEMS</w:t>
      </w:r>
    </w:p>
    <w:p w14:paraId="22F66157" w14:textId="33A1512B" w:rsidR="00A27CC8" w:rsidRPr="00A27CC8" w:rsidRDefault="00A27CC8" w:rsidP="00A27CC8">
      <w:pPr>
        <w:spacing w:after="0" w:line="240" w:lineRule="auto"/>
        <w:jc w:val="center"/>
        <w:rPr>
          <w:rFonts w:eastAsia="Times New Roman"/>
          <w:b/>
          <w:lang w:eastAsia="en-AU"/>
        </w:rPr>
      </w:pPr>
      <w:r w:rsidRPr="00A27CC8">
        <w:rPr>
          <w:rFonts w:eastAsia="Times New Roman"/>
          <w:b/>
          <w:lang w:eastAsia="en-AU"/>
        </w:rPr>
        <w:t xml:space="preserve">EFFECTIVE </w:t>
      </w:r>
      <w:r w:rsidR="00F3209C">
        <w:rPr>
          <w:rFonts w:eastAsia="Times New Roman"/>
          <w:b/>
          <w:lang w:eastAsia="en-AU"/>
        </w:rPr>
        <w:t>01</w:t>
      </w:r>
      <w:r w:rsidR="00D97655">
        <w:rPr>
          <w:rFonts w:eastAsia="Times New Roman"/>
          <w:b/>
          <w:lang w:eastAsia="en-AU"/>
        </w:rPr>
        <w:t xml:space="preserve"> SEPTEMBER</w:t>
      </w:r>
      <w:r w:rsidR="009740FC">
        <w:rPr>
          <w:rFonts w:eastAsia="Times New Roman"/>
          <w:b/>
          <w:lang w:eastAsia="en-AU"/>
        </w:rPr>
        <w:t xml:space="preserve"> 2025</w:t>
      </w:r>
      <w:r w:rsidRPr="00A27CC8">
        <w:rPr>
          <w:rFonts w:eastAsia="Times New Roman"/>
          <w:b/>
          <w:lang w:eastAsia="en-AU"/>
        </w:rPr>
        <w:t xml:space="preserve"> </w:t>
      </w:r>
    </w:p>
    <w:p w14:paraId="61010578" w14:textId="77777777" w:rsidR="00A27CC8" w:rsidRPr="00A27CC8" w:rsidRDefault="00A27CC8" w:rsidP="00A27CC8">
      <w:pPr>
        <w:spacing w:after="0" w:line="240" w:lineRule="auto"/>
        <w:rPr>
          <w:rFonts w:eastAsia="Times New Roman"/>
          <w:lang w:eastAsia="en-AU"/>
        </w:rPr>
      </w:pPr>
    </w:p>
    <w:p w14:paraId="7F3BB5A4" w14:textId="32D1A905" w:rsidR="00A27CC8" w:rsidRPr="00A27CC8" w:rsidRDefault="00A27CC8" w:rsidP="00A27CC8">
      <w:pPr>
        <w:spacing w:after="0" w:line="240" w:lineRule="auto"/>
        <w:rPr>
          <w:rFonts w:eastAsia="Times New Roman"/>
          <w:lang w:eastAsia="en-AU"/>
        </w:rPr>
      </w:pPr>
      <w:r w:rsidRPr="00A27CC8">
        <w:rPr>
          <w:rFonts w:eastAsia="Times New Roman"/>
          <w:lang w:eastAsia="en-AU"/>
        </w:rPr>
        <w:t>Following is the advice of the Pharmaceutical Benefits Advisory Committee</w:t>
      </w:r>
      <w:r w:rsidR="00611283">
        <w:rPr>
          <w:rFonts w:eastAsia="Times New Roman"/>
          <w:lang w:eastAsia="en-AU"/>
        </w:rPr>
        <w:t xml:space="preserve"> (PBAC)</w:t>
      </w:r>
      <w:r w:rsidRPr="00A27CC8">
        <w:rPr>
          <w:rFonts w:eastAsia="Times New Roman"/>
          <w:lang w:eastAsia="en-AU"/>
        </w:rPr>
        <w:t xml:space="preserve"> concerning the del</w:t>
      </w:r>
      <w:r w:rsidR="005950FD">
        <w:rPr>
          <w:rFonts w:eastAsia="Times New Roman"/>
          <w:lang w:eastAsia="en-AU"/>
        </w:rPr>
        <w:t>isting</w:t>
      </w:r>
      <w:r w:rsidRPr="00A27CC8">
        <w:rPr>
          <w:rFonts w:eastAsia="Times New Roman"/>
          <w:lang w:eastAsia="en-AU"/>
        </w:rPr>
        <w:t xml:space="preserve"> of items from the declaration under subsections 85(2) and 85(2A) of the </w:t>
      </w:r>
      <w:r w:rsidRPr="00A27CC8">
        <w:rPr>
          <w:rFonts w:eastAsia="Times New Roman"/>
          <w:i/>
          <w:lang w:eastAsia="en-AU"/>
        </w:rPr>
        <w:t>National Health Act</w:t>
      </w:r>
      <w:r w:rsidRPr="00A27CC8">
        <w:rPr>
          <w:rFonts w:eastAsia="Times New Roman"/>
          <w:lang w:eastAsia="en-AU"/>
        </w:rPr>
        <w:t xml:space="preserve"> </w:t>
      </w:r>
      <w:r w:rsidRPr="00A27CC8">
        <w:rPr>
          <w:rFonts w:eastAsia="Times New Roman"/>
          <w:i/>
          <w:lang w:eastAsia="en-AU"/>
        </w:rPr>
        <w:t>1953</w:t>
      </w:r>
      <w:r w:rsidRPr="00A27CC8">
        <w:rPr>
          <w:rFonts w:eastAsia="Times New Roman"/>
          <w:lang w:eastAsia="en-AU"/>
        </w:rPr>
        <w:t>, with effect from the above date.</w:t>
      </w:r>
    </w:p>
    <w:p w14:paraId="30B447BF" w14:textId="77777777" w:rsidR="00A27CC8" w:rsidRPr="00A27CC8" w:rsidRDefault="00A27CC8" w:rsidP="00A27CC8">
      <w:pPr>
        <w:spacing w:after="0" w:line="240" w:lineRule="auto"/>
        <w:rPr>
          <w:rFonts w:eastAsia="Times New Roman"/>
          <w:lang w:eastAsia="en-AU"/>
        </w:rPr>
      </w:pPr>
    </w:p>
    <w:tbl>
      <w:tblPr>
        <w:tblW w:w="9747" w:type="dxa"/>
        <w:tblInd w:w="-108" w:type="dxa"/>
        <w:tblLook w:val="01E0" w:firstRow="1" w:lastRow="1" w:firstColumn="1" w:lastColumn="1" w:noHBand="0" w:noVBand="0"/>
      </w:tblPr>
      <w:tblGrid>
        <w:gridCol w:w="3227"/>
        <w:gridCol w:w="6520"/>
      </w:tblGrid>
      <w:tr w:rsidR="00A27CC8" w:rsidRPr="00A27CC8" w14:paraId="30A3EC0E" w14:textId="77777777" w:rsidTr="00936B5A">
        <w:trPr>
          <w:trHeight w:val="84"/>
        </w:trPr>
        <w:tc>
          <w:tcPr>
            <w:tcW w:w="3227" w:type="dxa"/>
            <w:shd w:val="clear" w:color="auto" w:fill="auto"/>
          </w:tcPr>
          <w:p w14:paraId="0F3124E9" w14:textId="7AABA7E9" w:rsidR="00A27CC8" w:rsidRPr="00A27CC8" w:rsidRDefault="00A27CC8" w:rsidP="00CC18ED">
            <w:pPr>
              <w:widowControl w:val="0"/>
              <w:spacing w:after="240" w:line="240" w:lineRule="auto"/>
              <w:rPr>
                <w:rFonts w:eastAsia="Times New Roman"/>
                <w:lang w:eastAsia="en-AU"/>
              </w:rPr>
            </w:pPr>
            <w:r w:rsidRPr="00A27CC8">
              <w:rPr>
                <w:rFonts w:eastAsia="Times New Roman"/>
                <w:b/>
                <w:u w:val="single"/>
                <w:lang w:eastAsia="en-AU"/>
              </w:rPr>
              <w:t>Item</w:t>
            </w:r>
          </w:p>
        </w:tc>
        <w:tc>
          <w:tcPr>
            <w:tcW w:w="6520" w:type="dxa"/>
            <w:shd w:val="clear" w:color="auto" w:fill="auto"/>
          </w:tcPr>
          <w:p w14:paraId="1D2F0A1E" w14:textId="09FE450D" w:rsidR="00A27CC8" w:rsidRPr="00CC18ED" w:rsidRDefault="00A27CC8" w:rsidP="00A27CC8">
            <w:pPr>
              <w:widowControl w:val="0"/>
              <w:spacing w:after="0" w:line="240" w:lineRule="auto"/>
              <w:rPr>
                <w:rFonts w:eastAsia="Times New Roman"/>
                <w:b/>
                <w:u w:val="single"/>
                <w:lang w:eastAsia="en-AU"/>
              </w:rPr>
            </w:pPr>
            <w:r w:rsidRPr="00A27CC8">
              <w:rPr>
                <w:rFonts w:eastAsia="Times New Roman"/>
                <w:b/>
                <w:u w:val="single"/>
                <w:lang w:eastAsia="en-AU"/>
              </w:rPr>
              <w:t>PBAC Advic</w:t>
            </w:r>
            <w:r w:rsidR="00CC18ED">
              <w:rPr>
                <w:rFonts w:eastAsia="Times New Roman"/>
                <w:b/>
                <w:u w:val="single"/>
                <w:lang w:eastAsia="en-AU"/>
              </w:rPr>
              <w:t>e</w:t>
            </w:r>
          </w:p>
        </w:tc>
      </w:tr>
      <w:tr w:rsidR="00077906" w:rsidRPr="00A27CC8" w14:paraId="0351E1CF" w14:textId="77777777" w:rsidTr="00936B5A">
        <w:trPr>
          <w:trHeight w:val="2094"/>
        </w:trPr>
        <w:tc>
          <w:tcPr>
            <w:tcW w:w="3227" w:type="dxa"/>
            <w:shd w:val="clear" w:color="auto" w:fill="auto"/>
          </w:tcPr>
          <w:p w14:paraId="7BED7190" w14:textId="7F974D99" w:rsidR="00077906" w:rsidRPr="00077906" w:rsidRDefault="00D97655" w:rsidP="00DF24DC">
            <w:pPr>
              <w:spacing w:after="0" w:line="240" w:lineRule="auto"/>
              <w:rPr>
                <w:rFonts w:eastAsia="Times New Roman"/>
                <w:lang w:eastAsia="en-AU"/>
              </w:rPr>
            </w:pPr>
            <w:r w:rsidRPr="00D97655">
              <w:rPr>
                <w:rFonts w:eastAsia="Times New Roman"/>
                <w:lang w:eastAsia="en-AU"/>
              </w:rPr>
              <w:t>Amino acid formula with fat, carbohydrate, vitamins, minerals, and trace elements, without methionine and supplemented with docosahexaenoic acid</w:t>
            </w:r>
          </w:p>
        </w:tc>
        <w:tc>
          <w:tcPr>
            <w:tcW w:w="6520" w:type="dxa"/>
            <w:shd w:val="clear" w:color="auto" w:fill="auto"/>
          </w:tcPr>
          <w:p w14:paraId="7C9F95DD" w14:textId="328D8CD0" w:rsidR="00C82118" w:rsidRDefault="00077906" w:rsidP="0071189D">
            <w:pPr>
              <w:spacing w:after="120" w:line="240" w:lineRule="auto"/>
              <w:jc w:val="both"/>
              <w:rPr>
                <w:rFonts w:eastAsia="Times New Roman"/>
                <w:lang w:eastAsia="en-AU"/>
              </w:rPr>
            </w:pPr>
            <w:r>
              <w:rPr>
                <w:rFonts w:eastAsia="Times New Roman"/>
                <w:lang w:eastAsia="en-AU"/>
              </w:rPr>
              <w:t>The sponsor requested the del</w:t>
            </w:r>
            <w:r w:rsidR="005E36BA">
              <w:rPr>
                <w:rFonts w:eastAsia="Times New Roman"/>
                <w:lang w:eastAsia="en-AU"/>
              </w:rPr>
              <w:t>i</w:t>
            </w:r>
            <w:r w:rsidR="005E36BA">
              <w:rPr>
                <w:lang w:eastAsia="en-AU"/>
              </w:rPr>
              <w:t>sting</w:t>
            </w:r>
            <w:r>
              <w:rPr>
                <w:rFonts w:eastAsia="Times New Roman"/>
                <w:lang w:eastAsia="en-AU"/>
              </w:rPr>
              <w:t xml:space="preserve"> of</w:t>
            </w:r>
            <w:r w:rsidR="008F7B8C">
              <w:rPr>
                <w:rFonts w:eastAsia="Times New Roman"/>
                <w:lang w:eastAsia="en-AU"/>
              </w:rPr>
              <w:t xml:space="preserve"> </w:t>
            </w:r>
            <w:r w:rsidR="008F7B8C" w:rsidRPr="008F7B8C">
              <w:rPr>
                <w:rFonts w:eastAsia="Times New Roman"/>
                <w:lang w:eastAsia="en-AU"/>
              </w:rPr>
              <w:t xml:space="preserve">HCU </w:t>
            </w:r>
            <w:proofErr w:type="spellStart"/>
            <w:r w:rsidR="008F7B8C" w:rsidRPr="008F7B8C">
              <w:rPr>
                <w:rFonts w:eastAsia="Times New Roman"/>
                <w:lang w:eastAsia="en-AU"/>
              </w:rPr>
              <w:t>Anamix</w:t>
            </w:r>
            <w:proofErr w:type="spellEnd"/>
            <w:r w:rsidR="008F7B8C" w:rsidRPr="008F7B8C">
              <w:rPr>
                <w:rFonts w:eastAsia="Times New Roman"/>
                <w:lang w:eastAsia="en-AU"/>
              </w:rPr>
              <w:t xml:space="preserve"> junior LQ</w:t>
            </w:r>
            <w:r w:rsidR="0071189D">
              <w:rPr>
                <w:rFonts w:eastAsia="Times New Roman"/>
                <w:lang w:eastAsia="en-AU"/>
              </w:rPr>
              <w:t xml:space="preserve"> </w:t>
            </w:r>
            <w:r w:rsidR="00D97655" w:rsidRPr="00D97655">
              <w:rPr>
                <w:rFonts w:eastAsia="Times New Roman"/>
                <w:lang w:eastAsia="en-AU"/>
              </w:rPr>
              <w:t xml:space="preserve">amino acid formula with fat, carbohydrate, vitamins, minerals, and trace elements, without methionine and supplemented with docosahexaenoic acid in the form oral liquid 125 mL, 36 </w:t>
            </w:r>
            <w:r w:rsidR="00855D14">
              <w:rPr>
                <w:rFonts w:eastAsia="Times New Roman"/>
                <w:lang w:eastAsia="en-AU"/>
              </w:rPr>
              <w:t>from the Pharmaceutical Benefits Scheme</w:t>
            </w:r>
            <w:r w:rsidR="00D30E2B">
              <w:rPr>
                <w:rFonts w:eastAsia="Times New Roman"/>
                <w:lang w:eastAsia="en-AU"/>
              </w:rPr>
              <w:t xml:space="preserve"> (PBS)</w:t>
            </w:r>
            <w:r w:rsidR="00855D14">
              <w:rPr>
                <w:rFonts w:eastAsia="Times New Roman"/>
                <w:lang w:eastAsia="en-AU"/>
              </w:rPr>
              <w:t>.</w:t>
            </w:r>
          </w:p>
          <w:p w14:paraId="5F2AAD94" w14:textId="4B3056CA" w:rsidR="00910063" w:rsidRPr="009A39A4" w:rsidRDefault="008F7B8C" w:rsidP="00F415DC">
            <w:pPr>
              <w:spacing w:line="240" w:lineRule="auto"/>
              <w:jc w:val="both"/>
            </w:pPr>
            <w:r w:rsidRPr="008F7B8C">
              <w:t>The PBAC noted the low number of services in the previous financial year and that there are limited alternatives available on the PBS. The PBAC advised the delisting of this product may result in an unmet clinical need and requested that the Department seek to retain the product on the PBS, if possible. However, the sponsor decided to proceed with the delisting due to commercial reasons.</w:t>
            </w:r>
          </w:p>
        </w:tc>
      </w:tr>
      <w:tr w:rsidR="00981F10" w:rsidRPr="00A27CC8" w14:paraId="7FB8E832" w14:textId="77777777" w:rsidTr="00936B5A">
        <w:trPr>
          <w:trHeight w:val="2094"/>
        </w:trPr>
        <w:tc>
          <w:tcPr>
            <w:tcW w:w="3227" w:type="dxa"/>
            <w:shd w:val="clear" w:color="auto" w:fill="auto"/>
          </w:tcPr>
          <w:p w14:paraId="17FEE1D5" w14:textId="61C71894" w:rsidR="00981F10" w:rsidRPr="0071189D" w:rsidRDefault="00D97655" w:rsidP="00981F10">
            <w:pPr>
              <w:spacing w:after="0" w:line="240" w:lineRule="auto"/>
              <w:rPr>
                <w:rFonts w:eastAsia="Times New Roman"/>
                <w:lang w:eastAsia="en-AU"/>
              </w:rPr>
            </w:pPr>
            <w:r w:rsidRPr="00D97655">
              <w:t>Amino acid formula with fat, carbohydrate, vitamins, minerals and trace elements without phenylalanine and tyrosine, and supplemented with docosahexaenoic acid</w:t>
            </w:r>
          </w:p>
        </w:tc>
        <w:tc>
          <w:tcPr>
            <w:tcW w:w="6520" w:type="dxa"/>
            <w:shd w:val="clear" w:color="auto" w:fill="auto"/>
          </w:tcPr>
          <w:p w14:paraId="502AB390" w14:textId="7B5FE0F3" w:rsidR="00981F10" w:rsidRDefault="00981F10" w:rsidP="00981F10">
            <w:pPr>
              <w:spacing w:after="120" w:line="240" w:lineRule="auto"/>
              <w:jc w:val="both"/>
            </w:pPr>
            <w:r w:rsidRPr="00A1318B">
              <w:t xml:space="preserve">The sponsor requested the delisting of </w:t>
            </w:r>
            <w:r w:rsidR="008F7B8C" w:rsidRPr="008F7B8C">
              <w:t xml:space="preserve">TYR </w:t>
            </w:r>
            <w:proofErr w:type="spellStart"/>
            <w:r w:rsidR="008F7B8C" w:rsidRPr="008F7B8C">
              <w:t>Anamix</w:t>
            </w:r>
            <w:proofErr w:type="spellEnd"/>
            <w:r w:rsidR="008F7B8C" w:rsidRPr="008F7B8C">
              <w:t xml:space="preserve"> junior LQ</w:t>
            </w:r>
            <w:r w:rsidRPr="00A1318B">
              <w:t xml:space="preserve"> </w:t>
            </w:r>
            <w:r w:rsidR="008F7B8C" w:rsidRPr="008F7B8C">
              <w:t xml:space="preserve">amino acid formula with fat, carbohydrate, vitamins, minerals and trace elements without phenylalanine and tyrosine, and supplemented with docosahexaenoic acid in the form oral liquid 125 mL, 36 </w:t>
            </w:r>
            <w:r w:rsidRPr="00A1318B">
              <w:t>from the Pharmaceutical Benefits Scheme (PBS).</w:t>
            </w:r>
          </w:p>
          <w:p w14:paraId="282A7435" w14:textId="0340B175" w:rsidR="003D3A5A" w:rsidRDefault="008F7B8C" w:rsidP="00090BB6">
            <w:pPr>
              <w:rPr>
                <w:rFonts w:eastAsia="Times New Roman"/>
                <w:lang w:eastAsia="en-AU"/>
              </w:rPr>
            </w:pPr>
            <w:r w:rsidRPr="008F7B8C">
              <w:rPr>
                <w:rFonts w:eastAsia="Times New Roman"/>
                <w:lang w:eastAsia="en-AU"/>
              </w:rPr>
              <w:t>The PBAC noted the low number of services in the previous financial year and that there are limited alternatives available on the PBS. The PBAC advised the delisting of this product may result in an unmet clinical need and requested that the Department seek to retain the product on the PBS, if possible. However, the sponsor decided to proceed with the delisting due to commercial reasons.</w:t>
            </w:r>
          </w:p>
        </w:tc>
      </w:tr>
      <w:tr w:rsidR="0025545F" w:rsidRPr="00A27CC8" w14:paraId="7C38AEAB" w14:textId="77777777" w:rsidTr="00936B5A">
        <w:trPr>
          <w:trHeight w:val="2094"/>
        </w:trPr>
        <w:tc>
          <w:tcPr>
            <w:tcW w:w="3227" w:type="dxa"/>
            <w:shd w:val="clear" w:color="auto" w:fill="auto"/>
          </w:tcPr>
          <w:p w14:paraId="535E6D60" w14:textId="0D2729B6" w:rsidR="0025545F" w:rsidRPr="00A1318B" w:rsidRDefault="00D97655" w:rsidP="0025545F">
            <w:pPr>
              <w:spacing w:after="0" w:line="240" w:lineRule="auto"/>
            </w:pPr>
            <w:r w:rsidRPr="00D97655">
              <w:lastRenderedPageBreak/>
              <w:t>Amino acid formula with vitamins and minerals without valine, leucine and isoleucine with fat, carbohydrate and trace elements and supplemented with docosahexaenoic acid</w:t>
            </w:r>
          </w:p>
        </w:tc>
        <w:tc>
          <w:tcPr>
            <w:tcW w:w="6520" w:type="dxa"/>
            <w:shd w:val="clear" w:color="auto" w:fill="auto"/>
          </w:tcPr>
          <w:p w14:paraId="60CDB6F3" w14:textId="48E03108" w:rsidR="0025545F" w:rsidRDefault="0025545F" w:rsidP="0025545F">
            <w:pPr>
              <w:spacing w:after="120" w:line="240" w:lineRule="auto"/>
              <w:jc w:val="both"/>
            </w:pPr>
            <w:r w:rsidRPr="00735C80">
              <w:t xml:space="preserve">The sponsor requested the delisting of </w:t>
            </w:r>
            <w:r w:rsidR="008F7B8C" w:rsidRPr="008F7B8C">
              <w:t xml:space="preserve">MSUD </w:t>
            </w:r>
            <w:proofErr w:type="spellStart"/>
            <w:r w:rsidR="008F7B8C" w:rsidRPr="008F7B8C">
              <w:t>Anamix</w:t>
            </w:r>
            <w:proofErr w:type="spellEnd"/>
            <w:r w:rsidR="008F7B8C" w:rsidRPr="008F7B8C">
              <w:t xml:space="preserve"> Junior LQ</w:t>
            </w:r>
            <w:r w:rsidR="008F7B8C">
              <w:t xml:space="preserve"> </w:t>
            </w:r>
            <w:r w:rsidR="008F7B8C" w:rsidRPr="008F7B8C">
              <w:t xml:space="preserve">amino acid formula with vitamins and minerals without valine, leucine and isoleucine with fat, carbohydrate and trace elements and supplemented with docosahexaenoic acid in the form oral liquid 125 mL, 36 </w:t>
            </w:r>
            <w:r w:rsidRPr="00735C80">
              <w:t>from the Pharmaceutical Benefits Scheme (PBS).</w:t>
            </w:r>
          </w:p>
          <w:p w14:paraId="6896CCB8" w14:textId="0E008165" w:rsidR="0031579C" w:rsidRPr="00A1318B" w:rsidRDefault="008F7B8C" w:rsidP="0025545F">
            <w:pPr>
              <w:spacing w:after="120" w:line="240" w:lineRule="auto"/>
              <w:jc w:val="both"/>
            </w:pPr>
            <w:r w:rsidRPr="008F7B8C">
              <w:t>The PBAC noted the low number of services in the previous financial year and that there are limited alternatives available on the PBS. The PBAC advised the delisting of this product may result in an unmet clinical need and requested that the Department seek to retain the product on the PBS, if possible. However, the sponsor decided to proceed with the delisting due to commercial reasons.</w:t>
            </w:r>
          </w:p>
        </w:tc>
      </w:tr>
    </w:tbl>
    <w:p w14:paraId="37AD0300" w14:textId="3F8B32A8" w:rsidR="00A84209" w:rsidRPr="005757D6" w:rsidRDefault="00A84209" w:rsidP="00A9707E">
      <w:pPr>
        <w:rPr>
          <w:rFonts w:cstheme="minorHAnsi"/>
        </w:rPr>
      </w:pPr>
    </w:p>
    <w:p w14:paraId="311B7E7D" w14:textId="1AD9D1B2" w:rsidR="0056792B" w:rsidRPr="0056792B" w:rsidRDefault="000023D4" w:rsidP="0056792B">
      <w:pPr>
        <w:spacing w:after="0" w:line="240" w:lineRule="auto"/>
        <w:rPr>
          <w:rFonts w:eastAsia="Times New Roman"/>
          <w:lang w:eastAsia="en-AU"/>
        </w:rPr>
      </w:pPr>
      <w:r>
        <w:rPr>
          <w:rFonts w:eastAsia="Times New Roman"/>
          <w:lang w:eastAsia="en-AU"/>
        </w:rPr>
        <w:t>Jodette Kotz</w:t>
      </w:r>
    </w:p>
    <w:p w14:paraId="06D05B2E" w14:textId="314E5E00" w:rsidR="0056792B" w:rsidRPr="0056792B" w:rsidRDefault="0056792B" w:rsidP="0056792B">
      <w:pPr>
        <w:spacing w:after="0" w:line="240" w:lineRule="auto"/>
        <w:rPr>
          <w:rFonts w:eastAsia="Times New Roman"/>
          <w:lang w:eastAsia="en-AU"/>
        </w:rPr>
      </w:pPr>
      <w:r w:rsidRPr="0056792B">
        <w:rPr>
          <w:rFonts w:eastAsia="Times New Roman"/>
          <w:lang w:eastAsia="en-AU"/>
        </w:rPr>
        <w:t xml:space="preserve">Director, </w:t>
      </w:r>
      <w:r w:rsidR="0071189D">
        <w:rPr>
          <w:rFonts w:eastAsia="Times New Roman"/>
          <w:lang w:eastAsia="en-AU"/>
        </w:rPr>
        <w:t>PBS Supply and Policy</w:t>
      </w:r>
    </w:p>
    <w:p w14:paraId="55D4441F" w14:textId="2F9B40AA" w:rsidR="00077906" w:rsidRPr="00F73C62" w:rsidRDefault="0071189D" w:rsidP="00077906">
      <w:pPr>
        <w:spacing w:after="0" w:line="240" w:lineRule="auto"/>
        <w:rPr>
          <w:rFonts w:eastAsia="Times New Roman"/>
          <w:lang w:eastAsia="en-AU"/>
        </w:rPr>
      </w:pPr>
      <w:r>
        <w:rPr>
          <w:rFonts w:eastAsia="Times New Roman"/>
          <w:lang w:eastAsia="en-AU"/>
        </w:rPr>
        <w:t>Pricing and PBS Policy Branch</w:t>
      </w:r>
    </w:p>
    <w:p w14:paraId="4B464DDA" w14:textId="77777777" w:rsidR="00077906" w:rsidRPr="00F73C62" w:rsidRDefault="00077906" w:rsidP="00077906">
      <w:pPr>
        <w:spacing w:after="0" w:line="240" w:lineRule="auto"/>
        <w:rPr>
          <w:rFonts w:eastAsia="Times New Roman"/>
          <w:lang w:eastAsia="en-AU"/>
        </w:rPr>
      </w:pPr>
      <w:r w:rsidRPr="00F73C62">
        <w:rPr>
          <w:rFonts w:eastAsia="Times New Roman"/>
          <w:lang w:eastAsia="en-AU"/>
        </w:rPr>
        <w:t>Technology Assessment and Access Division</w:t>
      </w:r>
    </w:p>
    <w:p w14:paraId="7EC502E2" w14:textId="6BA2F30C" w:rsidR="00280050" w:rsidRPr="009740FC" w:rsidRDefault="00D97655" w:rsidP="00855D14">
      <w:pPr>
        <w:spacing w:after="0" w:line="240" w:lineRule="auto"/>
        <w:rPr>
          <w:rFonts w:eastAsia="Times New Roman"/>
          <w:lang w:eastAsia="en-AU"/>
        </w:rPr>
      </w:pPr>
      <w:r>
        <w:rPr>
          <w:rFonts w:eastAsia="Times New Roman"/>
          <w:lang w:eastAsia="en-AU"/>
        </w:rPr>
        <w:t>21</w:t>
      </w:r>
      <w:r w:rsidR="009740FC">
        <w:rPr>
          <w:rFonts w:eastAsia="Times New Roman"/>
          <w:lang w:eastAsia="en-AU"/>
        </w:rPr>
        <w:t xml:space="preserve"> </w:t>
      </w:r>
      <w:r>
        <w:rPr>
          <w:rFonts w:eastAsia="Times New Roman"/>
          <w:lang w:eastAsia="en-AU"/>
        </w:rPr>
        <w:t>August</w:t>
      </w:r>
      <w:r w:rsidR="00AD11BB">
        <w:rPr>
          <w:rFonts w:eastAsia="Times New Roman"/>
          <w:lang w:eastAsia="en-AU"/>
        </w:rPr>
        <w:t xml:space="preserve"> </w:t>
      </w:r>
      <w:r w:rsidR="00243A9D">
        <w:rPr>
          <w:rFonts w:eastAsia="Times New Roman"/>
          <w:lang w:eastAsia="en-AU"/>
        </w:rPr>
        <w:t>202</w:t>
      </w:r>
      <w:r w:rsidR="00F10D4C">
        <w:rPr>
          <w:rFonts w:eastAsia="Times New Roman"/>
          <w:lang w:eastAsia="en-AU"/>
        </w:rPr>
        <w:t>5</w:t>
      </w:r>
    </w:p>
    <w:sectPr w:rsidR="00280050" w:rsidRPr="009740FC" w:rsidSect="003F1A63">
      <w:headerReference w:type="even" r:id="rId10"/>
      <w:footerReference w:type="even" r:id="rId11"/>
      <w:headerReference w:type="first" r:id="rId12"/>
      <w:footerReference w:type="firs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FA6E" w14:textId="77777777" w:rsidR="008D177F" w:rsidRDefault="008D177F" w:rsidP="00F13F12">
      <w:pPr>
        <w:spacing w:after="0" w:line="240" w:lineRule="auto"/>
      </w:pPr>
      <w:r>
        <w:separator/>
      </w:r>
    </w:p>
  </w:endnote>
  <w:endnote w:type="continuationSeparator" w:id="0">
    <w:p w14:paraId="64E53AD5" w14:textId="77777777" w:rsidR="008D177F" w:rsidRDefault="008D177F" w:rsidP="00F1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AB54" w14:textId="03788927" w:rsidR="00DF7667" w:rsidRDefault="00DF7667">
    <w:pPr>
      <w:pStyle w:val="Footer"/>
    </w:pPr>
    <w:r>
      <w:rPr>
        <w:noProof/>
      </w:rPr>
      <mc:AlternateContent>
        <mc:Choice Requires="wps">
          <w:drawing>
            <wp:anchor distT="0" distB="0" distL="0" distR="0" simplePos="0" relativeHeight="251662336" behindDoc="0" locked="0" layoutInCell="1" allowOverlap="1" wp14:anchorId="423253F1" wp14:editId="64E2D864">
              <wp:simplePos x="635" y="635"/>
              <wp:positionH relativeFrom="page">
                <wp:align>center</wp:align>
              </wp:positionH>
              <wp:positionV relativeFrom="page">
                <wp:align>bottom</wp:align>
              </wp:positionV>
              <wp:extent cx="551815" cy="391160"/>
              <wp:effectExtent l="0" t="0" r="635" b="0"/>
              <wp:wrapNone/>
              <wp:docPr id="70211277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5467FBF" w14:textId="6C9F8CA3" w:rsidR="00DF7667" w:rsidRPr="00DF7667" w:rsidRDefault="00DF7667" w:rsidP="00DF7667">
                          <w:pPr>
                            <w:spacing w:after="0"/>
                            <w:rPr>
                              <w:rFonts w:ascii="Calibri" w:eastAsia="Calibri" w:hAnsi="Calibri" w:cs="Calibri"/>
                              <w:noProof/>
                              <w:color w:val="FF0000"/>
                            </w:rPr>
                          </w:pPr>
                          <w:r w:rsidRPr="00DF766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3253F1"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fill o:detectmouseclick="t"/>
              <v:textbox style="mso-fit-shape-to-text:t" inset="0,0,0,15pt">
                <w:txbxContent>
                  <w:p w14:paraId="35467FBF" w14:textId="6C9F8CA3" w:rsidR="00DF7667" w:rsidRPr="00DF7667" w:rsidRDefault="00DF7667" w:rsidP="00DF7667">
                    <w:pPr>
                      <w:spacing w:after="0"/>
                      <w:rPr>
                        <w:rFonts w:ascii="Calibri" w:eastAsia="Calibri" w:hAnsi="Calibri" w:cs="Calibri"/>
                        <w:noProof/>
                        <w:color w:val="FF0000"/>
                      </w:rPr>
                    </w:pPr>
                    <w:r w:rsidRPr="00DF766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FBDE" w14:textId="6F1438AB" w:rsidR="00DF7667" w:rsidRDefault="00DF7667">
    <w:pPr>
      <w:pStyle w:val="Footer"/>
    </w:pPr>
    <w:r>
      <w:rPr>
        <w:noProof/>
      </w:rPr>
      <mc:AlternateContent>
        <mc:Choice Requires="wps">
          <w:drawing>
            <wp:anchor distT="0" distB="0" distL="0" distR="0" simplePos="0" relativeHeight="251661312" behindDoc="0" locked="0" layoutInCell="1" allowOverlap="1" wp14:anchorId="75CEFCF7" wp14:editId="252E2E89">
              <wp:simplePos x="635" y="635"/>
              <wp:positionH relativeFrom="page">
                <wp:align>center</wp:align>
              </wp:positionH>
              <wp:positionV relativeFrom="page">
                <wp:align>bottom</wp:align>
              </wp:positionV>
              <wp:extent cx="551815" cy="391160"/>
              <wp:effectExtent l="0" t="0" r="635" b="0"/>
              <wp:wrapNone/>
              <wp:docPr id="36194501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066A38E" w14:textId="1C9D526F" w:rsidR="00DF7667" w:rsidRPr="00DF7667" w:rsidRDefault="00DF7667" w:rsidP="00DF7667">
                          <w:pPr>
                            <w:spacing w:after="0"/>
                            <w:rPr>
                              <w:rFonts w:ascii="Calibri" w:eastAsia="Calibri" w:hAnsi="Calibri" w:cs="Calibri"/>
                              <w:noProof/>
                              <w:color w:val="FF0000"/>
                            </w:rPr>
                          </w:pPr>
                          <w:r w:rsidRPr="00DF766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CEFCF7"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2066A38E" w14:textId="1C9D526F" w:rsidR="00DF7667" w:rsidRPr="00DF7667" w:rsidRDefault="00DF7667" w:rsidP="00DF7667">
                    <w:pPr>
                      <w:spacing w:after="0"/>
                      <w:rPr>
                        <w:rFonts w:ascii="Calibri" w:eastAsia="Calibri" w:hAnsi="Calibri" w:cs="Calibri"/>
                        <w:noProof/>
                        <w:color w:val="FF0000"/>
                      </w:rPr>
                    </w:pPr>
                    <w:r w:rsidRPr="00DF766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73A7" w14:textId="77777777" w:rsidR="008D177F" w:rsidRDefault="008D177F" w:rsidP="00F13F12">
      <w:pPr>
        <w:spacing w:after="0" w:line="240" w:lineRule="auto"/>
      </w:pPr>
      <w:r>
        <w:separator/>
      </w:r>
    </w:p>
  </w:footnote>
  <w:footnote w:type="continuationSeparator" w:id="0">
    <w:p w14:paraId="69710661" w14:textId="77777777" w:rsidR="008D177F" w:rsidRDefault="008D177F" w:rsidP="00F13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DC49" w14:textId="2381FCF4" w:rsidR="00DF7667" w:rsidRDefault="00DF7667">
    <w:pPr>
      <w:pStyle w:val="Header"/>
    </w:pPr>
    <w:r>
      <w:rPr>
        <w:noProof/>
      </w:rPr>
      <mc:AlternateContent>
        <mc:Choice Requires="wps">
          <w:drawing>
            <wp:anchor distT="0" distB="0" distL="0" distR="0" simplePos="0" relativeHeight="251659264" behindDoc="0" locked="0" layoutInCell="1" allowOverlap="1" wp14:anchorId="4CD1D789" wp14:editId="44B61290">
              <wp:simplePos x="635" y="635"/>
              <wp:positionH relativeFrom="page">
                <wp:align>center</wp:align>
              </wp:positionH>
              <wp:positionV relativeFrom="page">
                <wp:align>top</wp:align>
              </wp:positionV>
              <wp:extent cx="551815" cy="391160"/>
              <wp:effectExtent l="0" t="0" r="635" b="8890"/>
              <wp:wrapNone/>
              <wp:docPr id="15949991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81AC042" w14:textId="354E92B9" w:rsidR="00DF7667" w:rsidRPr="00DF7667" w:rsidRDefault="00DF7667" w:rsidP="00DF7667">
                          <w:pPr>
                            <w:spacing w:after="0"/>
                            <w:rPr>
                              <w:rFonts w:ascii="Calibri" w:eastAsia="Calibri" w:hAnsi="Calibri" w:cs="Calibri"/>
                              <w:noProof/>
                              <w:color w:val="FF0000"/>
                            </w:rPr>
                          </w:pPr>
                          <w:r w:rsidRPr="00DF766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D1D789"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fill o:detectmouseclick="t"/>
              <v:textbox style="mso-fit-shape-to-text:t" inset="0,15pt,0,0">
                <w:txbxContent>
                  <w:p w14:paraId="781AC042" w14:textId="354E92B9" w:rsidR="00DF7667" w:rsidRPr="00DF7667" w:rsidRDefault="00DF7667" w:rsidP="00DF7667">
                    <w:pPr>
                      <w:spacing w:after="0"/>
                      <w:rPr>
                        <w:rFonts w:ascii="Calibri" w:eastAsia="Calibri" w:hAnsi="Calibri" w:cs="Calibri"/>
                        <w:noProof/>
                        <w:color w:val="FF0000"/>
                      </w:rPr>
                    </w:pPr>
                    <w:r w:rsidRPr="00DF766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5615" w14:textId="17FFDB8F" w:rsidR="00DF7667" w:rsidRDefault="00DF7667">
    <w:pPr>
      <w:pStyle w:val="Header"/>
    </w:pPr>
    <w:r>
      <w:rPr>
        <w:noProof/>
      </w:rPr>
      <mc:AlternateContent>
        <mc:Choice Requires="wps">
          <w:drawing>
            <wp:anchor distT="0" distB="0" distL="0" distR="0" simplePos="0" relativeHeight="251658240" behindDoc="0" locked="0" layoutInCell="1" allowOverlap="1" wp14:anchorId="4D96A8DB" wp14:editId="73FFD84A">
              <wp:simplePos x="635" y="635"/>
              <wp:positionH relativeFrom="page">
                <wp:align>center</wp:align>
              </wp:positionH>
              <wp:positionV relativeFrom="page">
                <wp:align>top</wp:align>
              </wp:positionV>
              <wp:extent cx="551815" cy="391160"/>
              <wp:effectExtent l="0" t="0" r="635" b="8890"/>
              <wp:wrapNone/>
              <wp:docPr id="15927593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CAF3140" w14:textId="78013A6A" w:rsidR="00DF7667" w:rsidRPr="00DF7667" w:rsidRDefault="00DF7667" w:rsidP="00DF7667">
                          <w:pPr>
                            <w:spacing w:after="0"/>
                            <w:rPr>
                              <w:rFonts w:ascii="Calibri" w:eastAsia="Calibri" w:hAnsi="Calibri" w:cs="Calibri"/>
                              <w:noProof/>
                              <w:color w:val="FF0000"/>
                            </w:rPr>
                          </w:pPr>
                          <w:r w:rsidRPr="00DF766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6A8DB"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fill o:detectmouseclick="t"/>
              <v:textbox style="mso-fit-shape-to-text:t" inset="0,15pt,0,0">
                <w:txbxContent>
                  <w:p w14:paraId="4CAF3140" w14:textId="78013A6A" w:rsidR="00DF7667" w:rsidRPr="00DF7667" w:rsidRDefault="00DF7667" w:rsidP="00DF7667">
                    <w:pPr>
                      <w:spacing w:after="0"/>
                      <w:rPr>
                        <w:rFonts w:ascii="Calibri" w:eastAsia="Calibri" w:hAnsi="Calibri" w:cs="Calibri"/>
                        <w:noProof/>
                        <w:color w:val="FF0000"/>
                      </w:rPr>
                    </w:pPr>
                    <w:r w:rsidRPr="00DF766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7E9"/>
    <w:multiLevelType w:val="hybridMultilevel"/>
    <w:tmpl w:val="5E60DDB6"/>
    <w:lvl w:ilvl="0" w:tplc="0C090001">
      <w:start w:val="1"/>
      <w:numFmt w:val="bullet"/>
      <w:lvlText w:val=""/>
      <w:lvlJc w:val="left"/>
      <w:pPr>
        <w:ind w:left="1080" w:hanging="360"/>
      </w:pPr>
      <w:rPr>
        <w:rFonts w:ascii="Symbol" w:hAnsi="Symbol" w:hint="default"/>
        <w:sz w:val="24"/>
        <w:szCs w:val="24"/>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16cid:durableId="95657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C8"/>
    <w:rsid w:val="000004B2"/>
    <w:rsid w:val="000023D4"/>
    <w:rsid w:val="00002C9C"/>
    <w:rsid w:val="00003774"/>
    <w:rsid w:val="00006244"/>
    <w:rsid w:val="0002391B"/>
    <w:rsid w:val="00030EAD"/>
    <w:rsid w:val="00036538"/>
    <w:rsid w:val="00037B99"/>
    <w:rsid w:val="0005159C"/>
    <w:rsid w:val="000521DB"/>
    <w:rsid w:val="00077906"/>
    <w:rsid w:val="00084523"/>
    <w:rsid w:val="0008476B"/>
    <w:rsid w:val="00090BB6"/>
    <w:rsid w:val="000B50EE"/>
    <w:rsid w:val="000C2831"/>
    <w:rsid w:val="000C689F"/>
    <w:rsid w:val="000D4B86"/>
    <w:rsid w:val="000E1B2C"/>
    <w:rsid w:val="000E4477"/>
    <w:rsid w:val="00115A7A"/>
    <w:rsid w:val="0014388A"/>
    <w:rsid w:val="0017294F"/>
    <w:rsid w:val="00190684"/>
    <w:rsid w:val="00194FDD"/>
    <w:rsid w:val="001B1914"/>
    <w:rsid w:val="001B6EA0"/>
    <w:rsid w:val="001E544F"/>
    <w:rsid w:val="001F0DD3"/>
    <w:rsid w:val="00211130"/>
    <w:rsid w:val="0021377D"/>
    <w:rsid w:val="00220597"/>
    <w:rsid w:val="00243A9D"/>
    <w:rsid w:val="00251F86"/>
    <w:rsid w:val="002535EF"/>
    <w:rsid w:val="0025545F"/>
    <w:rsid w:val="00257343"/>
    <w:rsid w:val="00272723"/>
    <w:rsid w:val="00280050"/>
    <w:rsid w:val="002B139A"/>
    <w:rsid w:val="002C3426"/>
    <w:rsid w:val="002D2A0F"/>
    <w:rsid w:val="002D5966"/>
    <w:rsid w:val="002D59A1"/>
    <w:rsid w:val="00302E44"/>
    <w:rsid w:val="00303514"/>
    <w:rsid w:val="00311562"/>
    <w:rsid w:val="0031579C"/>
    <w:rsid w:val="0033301E"/>
    <w:rsid w:val="00343666"/>
    <w:rsid w:val="00367B5D"/>
    <w:rsid w:val="00392C33"/>
    <w:rsid w:val="00397CD4"/>
    <w:rsid w:val="003B058D"/>
    <w:rsid w:val="003B44DB"/>
    <w:rsid w:val="003C2497"/>
    <w:rsid w:val="003D3A5A"/>
    <w:rsid w:val="003F1A63"/>
    <w:rsid w:val="003F575C"/>
    <w:rsid w:val="0043112A"/>
    <w:rsid w:val="0043736C"/>
    <w:rsid w:val="00446325"/>
    <w:rsid w:val="00455349"/>
    <w:rsid w:val="00464A03"/>
    <w:rsid w:val="004775EA"/>
    <w:rsid w:val="00490D24"/>
    <w:rsid w:val="004A698B"/>
    <w:rsid w:val="004D1D31"/>
    <w:rsid w:val="004E19FC"/>
    <w:rsid w:val="004F4CC5"/>
    <w:rsid w:val="004F6ADD"/>
    <w:rsid w:val="0050221D"/>
    <w:rsid w:val="0051491E"/>
    <w:rsid w:val="00522AA7"/>
    <w:rsid w:val="00554BCA"/>
    <w:rsid w:val="005605E8"/>
    <w:rsid w:val="00561072"/>
    <w:rsid w:val="00565B25"/>
    <w:rsid w:val="0056792B"/>
    <w:rsid w:val="005715A0"/>
    <w:rsid w:val="0058455B"/>
    <w:rsid w:val="00587144"/>
    <w:rsid w:val="0059408A"/>
    <w:rsid w:val="005950FD"/>
    <w:rsid w:val="005B4CA8"/>
    <w:rsid w:val="005E36BA"/>
    <w:rsid w:val="005E3A60"/>
    <w:rsid w:val="005F1107"/>
    <w:rsid w:val="00604B19"/>
    <w:rsid w:val="00611283"/>
    <w:rsid w:val="00652DEA"/>
    <w:rsid w:val="00674546"/>
    <w:rsid w:val="00674A96"/>
    <w:rsid w:val="00687A5E"/>
    <w:rsid w:val="00696043"/>
    <w:rsid w:val="006C1265"/>
    <w:rsid w:val="006D27C2"/>
    <w:rsid w:val="006D5848"/>
    <w:rsid w:val="006F4F46"/>
    <w:rsid w:val="0071189D"/>
    <w:rsid w:val="00780BB1"/>
    <w:rsid w:val="007D6765"/>
    <w:rsid w:val="007E55D2"/>
    <w:rsid w:val="007F6B39"/>
    <w:rsid w:val="00815190"/>
    <w:rsid w:val="00835BDD"/>
    <w:rsid w:val="00837FDD"/>
    <w:rsid w:val="00852589"/>
    <w:rsid w:val="00855145"/>
    <w:rsid w:val="00855D14"/>
    <w:rsid w:val="00861E9D"/>
    <w:rsid w:val="008723B8"/>
    <w:rsid w:val="00874DA2"/>
    <w:rsid w:val="008A03E6"/>
    <w:rsid w:val="008A4851"/>
    <w:rsid w:val="008A5A2A"/>
    <w:rsid w:val="008C555B"/>
    <w:rsid w:val="008C6000"/>
    <w:rsid w:val="008D177F"/>
    <w:rsid w:val="008D7B64"/>
    <w:rsid w:val="008E17D0"/>
    <w:rsid w:val="008E3F85"/>
    <w:rsid w:val="008F7B8C"/>
    <w:rsid w:val="00910063"/>
    <w:rsid w:val="00923EB7"/>
    <w:rsid w:val="0092637D"/>
    <w:rsid w:val="00936B5A"/>
    <w:rsid w:val="00937FD9"/>
    <w:rsid w:val="009636D8"/>
    <w:rsid w:val="009740FC"/>
    <w:rsid w:val="00977981"/>
    <w:rsid w:val="00981F10"/>
    <w:rsid w:val="00994836"/>
    <w:rsid w:val="00994CED"/>
    <w:rsid w:val="00997B19"/>
    <w:rsid w:val="009A3696"/>
    <w:rsid w:val="009A39A4"/>
    <w:rsid w:val="009A5399"/>
    <w:rsid w:val="009C3E9F"/>
    <w:rsid w:val="009E6B8C"/>
    <w:rsid w:val="00A01685"/>
    <w:rsid w:val="00A17BD0"/>
    <w:rsid w:val="00A27CC8"/>
    <w:rsid w:val="00A310AD"/>
    <w:rsid w:val="00A370A7"/>
    <w:rsid w:val="00A4216C"/>
    <w:rsid w:val="00A84209"/>
    <w:rsid w:val="00A86024"/>
    <w:rsid w:val="00A91DE9"/>
    <w:rsid w:val="00A95E12"/>
    <w:rsid w:val="00AA738B"/>
    <w:rsid w:val="00AB2879"/>
    <w:rsid w:val="00AB6411"/>
    <w:rsid w:val="00AD11BB"/>
    <w:rsid w:val="00AE2D9E"/>
    <w:rsid w:val="00B0264C"/>
    <w:rsid w:val="00B05EA2"/>
    <w:rsid w:val="00B06F81"/>
    <w:rsid w:val="00B13808"/>
    <w:rsid w:val="00B20B33"/>
    <w:rsid w:val="00B36A30"/>
    <w:rsid w:val="00B55419"/>
    <w:rsid w:val="00B84615"/>
    <w:rsid w:val="00B86892"/>
    <w:rsid w:val="00B929F7"/>
    <w:rsid w:val="00BB5EF3"/>
    <w:rsid w:val="00BC63A5"/>
    <w:rsid w:val="00BD00EB"/>
    <w:rsid w:val="00BD57BF"/>
    <w:rsid w:val="00C11EEA"/>
    <w:rsid w:val="00C3700B"/>
    <w:rsid w:val="00C47EDC"/>
    <w:rsid w:val="00C525A6"/>
    <w:rsid w:val="00C54A7C"/>
    <w:rsid w:val="00C64605"/>
    <w:rsid w:val="00C770A2"/>
    <w:rsid w:val="00C82118"/>
    <w:rsid w:val="00C83F04"/>
    <w:rsid w:val="00C842E9"/>
    <w:rsid w:val="00C86132"/>
    <w:rsid w:val="00CA1BDB"/>
    <w:rsid w:val="00CB301C"/>
    <w:rsid w:val="00CB6E41"/>
    <w:rsid w:val="00CC0891"/>
    <w:rsid w:val="00CC185F"/>
    <w:rsid w:val="00CC18ED"/>
    <w:rsid w:val="00CC6B19"/>
    <w:rsid w:val="00CE4A63"/>
    <w:rsid w:val="00D037A2"/>
    <w:rsid w:val="00D30E2B"/>
    <w:rsid w:val="00D61176"/>
    <w:rsid w:val="00D620C5"/>
    <w:rsid w:val="00D62B3C"/>
    <w:rsid w:val="00D72845"/>
    <w:rsid w:val="00D74E1E"/>
    <w:rsid w:val="00D80031"/>
    <w:rsid w:val="00D86D41"/>
    <w:rsid w:val="00D92370"/>
    <w:rsid w:val="00D93E59"/>
    <w:rsid w:val="00D9591D"/>
    <w:rsid w:val="00D97655"/>
    <w:rsid w:val="00DD1969"/>
    <w:rsid w:val="00DD3C9C"/>
    <w:rsid w:val="00DD7589"/>
    <w:rsid w:val="00DE493C"/>
    <w:rsid w:val="00DE4ACD"/>
    <w:rsid w:val="00DF0FAB"/>
    <w:rsid w:val="00DF24DC"/>
    <w:rsid w:val="00DF7667"/>
    <w:rsid w:val="00E00019"/>
    <w:rsid w:val="00E1519F"/>
    <w:rsid w:val="00E213A1"/>
    <w:rsid w:val="00E22574"/>
    <w:rsid w:val="00E23058"/>
    <w:rsid w:val="00E31B08"/>
    <w:rsid w:val="00E532C7"/>
    <w:rsid w:val="00E54000"/>
    <w:rsid w:val="00E618A1"/>
    <w:rsid w:val="00E77482"/>
    <w:rsid w:val="00E87DA5"/>
    <w:rsid w:val="00EE05E0"/>
    <w:rsid w:val="00EE4574"/>
    <w:rsid w:val="00F04215"/>
    <w:rsid w:val="00F10D4C"/>
    <w:rsid w:val="00F13F12"/>
    <w:rsid w:val="00F14D6C"/>
    <w:rsid w:val="00F3209C"/>
    <w:rsid w:val="00F4121F"/>
    <w:rsid w:val="00F415DC"/>
    <w:rsid w:val="00F4766B"/>
    <w:rsid w:val="00F73C62"/>
    <w:rsid w:val="00F75170"/>
    <w:rsid w:val="00F81D72"/>
    <w:rsid w:val="00F86FFD"/>
    <w:rsid w:val="00F937AB"/>
    <w:rsid w:val="00FA6168"/>
    <w:rsid w:val="00FB0D46"/>
    <w:rsid w:val="00FB2D19"/>
    <w:rsid w:val="00FB465F"/>
    <w:rsid w:val="00FB5893"/>
    <w:rsid w:val="00FE3214"/>
    <w:rsid w:val="00FE619F"/>
    <w:rsid w:val="00FE6FDF"/>
    <w:rsid w:val="00FF1C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47D23"/>
  <w15:chartTrackingRefBased/>
  <w15:docId w15:val="{12C480C8-ABFE-487C-983B-49DD37F0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AA7"/>
    <w:pPr>
      <w:autoSpaceDE w:val="0"/>
      <w:autoSpaceDN w:val="0"/>
      <w:adjustRightInd w:val="0"/>
      <w:spacing w:after="0" w:line="240" w:lineRule="auto"/>
    </w:pPr>
    <w:rPr>
      <w:rFonts w:ascii="Proxima Nova" w:eastAsia="Times New Roman" w:hAnsi="Proxima Nova" w:cs="Proxima Nova"/>
      <w:color w:val="000000"/>
    </w:rPr>
  </w:style>
  <w:style w:type="character" w:styleId="Hyperlink">
    <w:name w:val="Hyperlink"/>
    <w:basedOn w:val="DefaultParagraphFont"/>
    <w:uiPriority w:val="99"/>
    <w:unhideWhenUsed/>
    <w:rsid w:val="0008476B"/>
    <w:rPr>
      <w:color w:val="0563C1"/>
      <w:u w:val="single"/>
    </w:rPr>
  </w:style>
  <w:style w:type="paragraph" w:styleId="BalloonText">
    <w:name w:val="Balloon Text"/>
    <w:basedOn w:val="Normal"/>
    <w:link w:val="BalloonTextChar"/>
    <w:uiPriority w:val="99"/>
    <w:semiHidden/>
    <w:unhideWhenUsed/>
    <w:rsid w:val="00E53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2C7"/>
    <w:rPr>
      <w:rFonts w:ascii="Segoe UI" w:hAnsi="Segoe UI" w:cs="Segoe UI"/>
      <w:sz w:val="18"/>
      <w:szCs w:val="18"/>
    </w:rPr>
  </w:style>
  <w:style w:type="character" w:styleId="CommentReference">
    <w:name w:val="annotation reference"/>
    <w:basedOn w:val="DefaultParagraphFont"/>
    <w:uiPriority w:val="99"/>
    <w:semiHidden/>
    <w:unhideWhenUsed/>
    <w:rsid w:val="00D80031"/>
    <w:rPr>
      <w:sz w:val="16"/>
      <w:szCs w:val="16"/>
    </w:rPr>
  </w:style>
  <w:style w:type="paragraph" w:styleId="CommentText">
    <w:name w:val="annotation text"/>
    <w:basedOn w:val="Normal"/>
    <w:link w:val="CommentTextChar"/>
    <w:uiPriority w:val="99"/>
    <w:unhideWhenUsed/>
    <w:rsid w:val="00D80031"/>
    <w:pPr>
      <w:spacing w:line="240" w:lineRule="auto"/>
    </w:pPr>
    <w:rPr>
      <w:sz w:val="20"/>
      <w:szCs w:val="20"/>
    </w:rPr>
  </w:style>
  <w:style w:type="character" w:customStyle="1" w:styleId="CommentTextChar">
    <w:name w:val="Comment Text Char"/>
    <w:basedOn w:val="DefaultParagraphFont"/>
    <w:link w:val="CommentText"/>
    <w:uiPriority w:val="99"/>
    <w:rsid w:val="00D80031"/>
    <w:rPr>
      <w:sz w:val="20"/>
      <w:szCs w:val="20"/>
    </w:rPr>
  </w:style>
  <w:style w:type="paragraph" w:styleId="CommentSubject">
    <w:name w:val="annotation subject"/>
    <w:basedOn w:val="CommentText"/>
    <w:next w:val="CommentText"/>
    <w:link w:val="CommentSubjectChar"/>
    <w:uiPriority w:val="99"/>
    <w:semiHidden/>
    <w:unhideWhenUsed/>
    <w:rsid w:val="00D80031"/>
    <w:rPr>
      <w:b/>
      <w:bCs/>
    </w:rPr>
  </w:style>
  <w:style w:type="character" w:customStyle="1" w:styleId="CommentSubjectChar">
    <w:name w:val="Comment Subject Char"/>
    <w:basedOn w:val="CommentTextChar"/>
    <w:link w:val="CommentSubject"/>
    <w:uiPriority w:val="99"/>
    <w:semiHidden/>
    <w:rsid w:val="00D80031"/>
    <w:rPr>
      <w:b/>
      <w:bCs/>
      <w:sz w:val="20"/>
      <w:szCs w:val="20"/>
    </w:rPr>
  </w:style>
  <w:style w:type="character" w:styleId="UnresolvedMention">
    <w:name w:val="Unresolved Mention"/>
    <w:basedOn w:val="DefaultParagraphFont"/>
    <w:uiPriority w:val="99"/>
    <w:semiHidden/>
    <w:unhideWhenUsed/>
    <w:rsid w:val="00A17BD0"/>
    <w:rPr>
      <w:color w:val="605E5C"/>
      <w:shd w:val="clear" w:color="auto" w:fill="E1DFDD"/>
    </w:rPr>
  </w:style>
  <w:style w:type="paragraph" w:styleId="Revision">
    <w:name w:val="Revision"/>
    <w:hidden/>
    <w:uiPriority w:val="99"/>
    <w:semiHidden/>
    <w:rsid w:val="00A17BD0"/>
    <w:pPr>
      <w:spacing w:after="0" w:line="240" w:lineRule="auto"/>
    </w:pPr>
  </w:style>
  <w:style w:type="paragraph" w:styleId="Header">
    <w:name w:val="header"/>
    <w:basedOn w:val="Normal"/>
    <w:link w:val="HeaderChar"/>
    <w:uiPriority w:val="99"/>
    <w:unhideWhenUsed/>
    <w:rsid w:val="00F13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F12"/>
  </w:style>
  <w:style w:type="paragraph" w:styleId="Footer">
    <w:name w:val="footer"/>
    <w:basedOn w:val="Normal"/>
    <w:link w:val="FooterChar"/>
    <w:uiPriority w:val="99"/>
    <w:unhideWhenUsed/>
    <w:rsid w:val="00F13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7618">
      <w:bodyDiv w:val="1"/>
      <w:marLeft w:val="0"/>
      <w:marRight w:val="0"/>
      <w:marTop w:val="0"/>
      <w:marBottom w:val="0"/>
      <w:divBdr>
        <w:top w:val="none" w:sz="0" w:space="0" w:color="auto"/>
        <w:left w:val="none" w:sz="0" w:space="0" w:color="auto"/>
        <w:bottom w:val="none" w:sz="0" w:space="0" w:color="auto"/>
        <w:right w:val="none" w:sz="0" w:space="0" w:color="auto"/>
      </w:divBdr>
    </w:div>
    <w:div w:id="294258580">
      <w:bodyDiv w:val="1"/>
      <w:marLeft w:val="0"/>
      <w:marRight w:val="0"/>
      <w:marTop w:val="0"/>
      <w:marBottom w:val="0"/>
      <w:divBdr>
        <w:top w:val="none" w:sz="0" w:space="0" w:color="auto"/>
        <w:left w:val="none" w:sz="0" w:space="0" w:color="auto"/>
        <w:bottom w:val="none" w:sz="0" w:space="0" w:color="auto"/>
        <w:right w:val="none" w:sz="0" w:space="0" w:color="auto"/>
      </w:divBdr>
    </w:div>
    <w:div w:id="304899629">
      <w:bodyDiv w:val="1"/>
      <w:marLeft w:val="0"/>
      <w:marRight w:val="0"/>
      <w:marTop w:val="0"/>
      <w:marBottom w:val="0"/>
      <w:divBdr>
        <w:top w:val="none" w:sz="0" w:space="0" w:color="auto"/>
        <w:left w:val="none" w:sz="0" w:space="0" w:color="auto"/>
        <w:bottom w:val="none" w:sz="0" w:space="0" w:color="auto"/>
        <w:right w:val="none" w:sz="0" w:space="0" w:color="auto"/>
      </w:divBdr>
    </w:div>
    <w:div w:id="337077642">
      <w:bodyDiv w:val="1"/>
      <w:marLeft w:val="0"/>
      <w:marRight w:val="0"/>
      <w:marTop w:val="0"/>
      <w:marBottom w:val="0"/>
      <w:divBdr>
        <w:top w:val="none" w:sz="0" w:space="0" w:color="auto"/>
        <w:left w:val="none" w:sz="0" w:space="0" w:color="auto"/>
        <w:bottom w:val="none" w:sz="0" w:space="0" w:color="auto"/>
        <w:right w:val="none" w:sz="0" w:space="0" w:color="auto"/>
      </w:divBdr>
    </w:div>
    <w:div w:id="349644604">
      <w:bodyDiv w:val="1"/>
      <w:marLeft w:val="0"/>
      <w:marRight w:val="0"/>
      <w:marTop w:val="0"/>
      <w:marBottom w:val="0"/>
      <w:divBdr>
        <w:top w:val="none" w:sz="0" w:space="0" w:color="auto"/>
        <w:left w:val="none" w:sz="0" w:space="0" w:color="auto"/>
        <w:bottom w:val="none" w:sz="0" w:space="0" w:color="auto"/>
        <w:right w:val="none" w:sz="0" w:space="0" w:color="auto"/>
      </w:divBdr>
    </w:div>
    <w:div w:id="365371002">
      <w:bodyDiv w:val="1"/>
      <w:marLeft w:val="0"/>
      <w:marRight w:val="0"/>
      <w:marTop w:val="0"/>
      <w:marBottom w:val="0"/>
      <w:divBdr>
        <w:top w:val="none" w:sz="0" w:space="0" w:color="auto"/>
        <w:left w:val="none" w:sz="0" w:space="0" w:color="auto"/>
        <w:bottom w:val="none" w:sz="0" w:space="0" w:color="auto"/>
        <w:right w:val="none" w:sz="0" w:space="0" w:color="auto"/>
      </w:divBdr>
    </w:div>
    <w:div w:id="406921549">
      <w:bodyDiv w:val="1"/>
      <w:marLeft w:val="0"/>
      <w:marRight w:val="0"/>
      <w:marTop w:val="0"/>
      <w:marBottom w:val="0"/>
      <w:divBdr>
        <w:top w:val="none" w:sz="0" w:space="0" w:color="auto"/>
        <w:left w:val="none" w:sz="0" w:space="0" w:color="auto"/>
        <w:bottom w:val="none" w:sz="0" w:space="0" w:color="auto"/>
        <w:right w:val="none" w:sz="0" w:space="0" w:color="auto"/>
      </w:divBdr>
    </w:div>
    <w:div w:id="519050130">
      <w:bodyDiv w:val="1"/>
      <w:marLeft w:val="0"/>
      <w:marRight w:val="0"/>
      <w:marTop w:val="0"/>
      <w:marBottom w:val="0"/>
      <w:divBdr>
        <w:top w:val="none" w:sz="0" w:space="0" w:color="auto"/>
        <w:left w:val="none" w:sz="0" w:space="0" w:color="auto"/>
        <w:bottom w:val="none" w:sz="0" w:space="0" w:color="auto"/>
        <w:right w:val="none" w:sz="0" w:space="0" w:color="auto"/>
      </w:divBdr>
    </w:div>
    <w:div w:id="1040547157">
      <w:bodyDiv w:val="1"/>
      <w:marLeft w:val="0"/>
      <w:marRight w:val="0"/>
      <w:marTop w:val="0"/>
      <w:marBottom w:val="0"/>
      <w:divBdr>
        <w:top w:val="none" w:sz="0" w:space="0" w:color="auto"/>
        <w:left w:val="none" w:sz="0" w:space="0" w:color="auto"/>
        <w:bottom w:val="none" w:sz="0" w:space="0" w:color="auto"/>
        <w:right w:val="none" w:sz="0" w:space="0" w:color="auto"/>
      </w:divBdr>
    </w:div>
    <w:div w:id="1049913796">
      <w:bodyDiv w:val="1"/>
      <w:marLeft w:val="0"/>
      <w:marRight w:val="0"/>
      <w:marTop w:val="0"/>
      <w:marBottom w:val="0"/>
      <w:divBdr>
        <w:top w:val="none" w:sz="0" w:space="0" w:color="auto"/>
        <w:left w:val="none" w:sz="0" w:space="0" w:color="auto"/>
        <w:bottom w:val="none" w:sz="0" w:space="0" w:color="auto"/>
        <w:right w:val="none" w:sz="0" w:space="0" w:color="auto"/>
      </w:divBdr>
    </w:div>
    <w:div w:id="1090154864">
      <w:bodyDiv w:val="1"/>
      <w:marLeft w:val="0"/>
      <w:marRight w:val="0"/>
      <w:marTop w:val="0"/>
      <w:marBottom w:val="0"/>
      <w:divBdr>
        <w:top w:val="none" w:sz="0" w:space="0" w:color="auto"/>
        <w:left w:val="none" w:sz="0" w:space="0" w:color="auto"/>
        <w:bottom w:val="none" w:sz="0" w:space="0" w:color="auto"/>
        <w:right w:val="none" w:sz="0" w:space="0" w:color="auto"/>
      </w:divBdr>
    </w:div>
    <w:div w:id="1214075782">
      <w:bodyDiv w:val="1"/>
      <w:marLeft w:val="0"/>
      <w:marRight w:val="0"/>
      <w:marTop w:val="0"/>
      <w:marBottom w:val="0"/>
      <w:divBdr>
        <w:top w:val="none" w:sz="0" w:space="0" w:color="auto"/>
        <w:left w:val="none" w:sz="0" w:space="0" w:color="auto"/>
        <w:bottom w:val="none" w:sz="0" w:space="0" w:color="auto"/>
        <w:right w:val="none" w:sz="0" w:space="0" w:color="auto"/>
      </w:divBdr>
    </w:div>
    <w:div w:id="1300839595">
      <w:bodyDiv w:val="1"/>
      <w:marLeft w:val="0"/>
      <w:marRight w:val="0"/>
      <w:marTop w:val="0"/>
      <w:marBottom w:val="0"/>
      <w:divBdr>
        <w:top w:val="none" w:sz="0" w:space="0" w:color="auto"/>
        <w:left w:val="none" w:sz="0" w:space="0" w:color="auto"/>
        <w:bottom w:val="none" w:sz="0" w:space="0" w:color="auto"/>
        <w:right w:val="none" w:sz="0" w:space="0" w:color="auto"/>
      </w:divBdr>
    </w:div>
    <w:div w:id="1420636914">
      <w:bodyDiv w:val="1"/>
      <w:marLeft w:val="0"/>
      <w:marRight w:val="0"/>
      <w:marTop w:val="0"/>
      <w:marBottom w:val="0"/>
      <w:divBdr>
        <w:top w:val="none" w:sz="0" w:space="0" w:color="auto"/>
        <w:left w:val="none" w:sz="0" w:space="0" w:color="auto"/>
        <w:bottom w:val="none" w:sz="0" w:space="0" w:color="auto"/>
        <w:right w:val="none" w:sz="0" w:space="0" w:color="auto"/>
      </w:divBdr>
    </w:div>
    <w:div w:id="1554736978">
      <w:bodyDiv w:val="1"/>
      <w:marLeft w:val="0"/>
      <w:marRight w:val="0"/>
      <w:marTop w:val="0"/>
      <w:marBottom w:val="0"/>
      <w:divBdr>
        <w:top w:val="none" w:sz="0" w:space="0" w:color="auto"/>
        <w:left w:val="none" w:sz="0" w:space="0" w:color="auto"/>
        <w:bottom w:val="none" w:sz="0" w:space="0" w:color="auto"/>
        <w:right w:val="none" w:sz="0" w:space="0" w:color="auto"/>
      </w:divBdr>
    </w:div>
    <w:div w:id="1585382167">
      <w:bodyDiv w:val="1"/>
      <w:marLeft w:val="0"/>
      <w:marRight w:val="0"/>
      <w:marTop w:val="0"/>
      <w:marBottom w:val="0"/>
      <w:divBdr>
        <w:top w:val="none" w:sz="0" w:space="0" w:color="auto"/>
        <w:left w:val="none" w:sz="0" w:space="0" w:color="auto"/>
        <w:bottom w:val="none" w:sz="0" w:space="0" w:color="auto"/>
        <w:right w:val="none" w:sz="0" w:space="0" w:color="auto"/>
      </w:divBdr>
    </w:div>
    <w:div w:id="1657032906">
      <w:bodyDiv w:val="1"/>
      <w:marLeft w:val="0"/>
      <w:marRight w:val="0"/>
      <w:marTop w:val="0"/>
      <w:marBottom w:val="0"/>
      <w:divBdr>
        <w:top w:val="none" w:sz="0" w:space="0" w:color="auto"/>
        <w:left w:val="none" w:sz="0" w:space="0" w:color="auto"/>
        <w:bottom w:val="none" w:sz="0" w:space="0" w:color="auto"/>
        <w:right w:val="none" w:sz="0" w:space="0" w:color="auto"/>
      </w:divBdr>
    </w:div>
    <w:div w:id="21433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714608-1759-405d-b26b-d5d374892e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E6A8921D229145B9E7D7AA1D0E1C26" ma:contentTypeVersion="15" ma:contentTypeDescription="Create a new document." ma:contentTypeScope="" ma:versionID="2fa51a8f8690cd3f080f4af5804caacb">
  <xsd:schema xmlns:xsd="http://www.w3.org/2001/XMLSchema" xmlns:xs="http://www.w3.org/2001/XMLSchema" xmlns:p="http://schemas.microsoft.com/office/2006/metadata/properties" xmlns:ns3="d4714608-1759-405d-b26b-d5d374892ee2" xmlns:ns4="e5a743c9-6df1-4cf1-81d0-3922651e8be1" targetNamespace="http://schemas.microsoft.com/office/2006/metadata/properties" ma:root="true" ma:fieldsID="eb76a7ba0cd2b9b15e51bff1fbc352cf" ns3:_="" ns4:_="">
    <xsd:import namespace="d4714608-1759-405d-b26b-d5d374892ee2"/>
    <xsd:import namespace="e5a743c9-6df1-4cf1-81d0-3922651e8be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14608-1759-405d-b26b-d5d374892ee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743c9-6df1-4cf1-81d0-3922651e8b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475A5-D052-41DC-B117-CE3FC88010D4}">
  <ds:schemaRefs>
    <ds:schemaRef ds:uri="http://schemas.microsoft.com/office/2006/metadata/properties"/>
    <ds:schemaRef ds:uri="http://schemas.microsoft.com/office/infopath/2007/PartnerControls"/>
    <ds:schemaRef ds:uri="d4714608-1759-405d-b26b-d5d374892ee2"/>
  </ds:schemaRefs>
</ds:datastoreItem>
</file>

<file path=customXml/itemProps2.xml><?xml version="1.0" encoding="utf-8"?>
<ds:datastoreItem xmlns:ds="http://schemas.openxmlformats.org/officeDocument/2006/customXml" ds:itemID="{CB251C75-B48A-4B30-983A-A5AA6A9E2F3F}">
  <ds:schemaRefs>
    <ds:schemaRef ds:uri="http://schemas.microsoft.com/sharepoint/v3/contenttype/forms"/>
  </ds:schemaRefs>
</ds:datastoreItem>
</file>

<file path=customXml/itemProps3.xml><?xml version="1.0" encoding="utf-8"?>
<ds:datastoreItem xmlns:ds="http://schemas.openxmlformats.org/officeDocument/2006/customXml" ds:itemID="{7422262A-775C-47B9-BAF6-7F86BE91E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14608-1759-405d-b26b-d5d374892ee2"/>
    <ds:schemaRef ds:uri="e5a743c9-6df1-4cf1-81d0-3922651e8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Diana</cp:lastModifiedBy>
  <cp:revision>4</cp:revision>
  <cp:lastPrinted>2025-08-26T05:47:00Z</cp:lastPrinted>
  <dcterms:created xsi:type="dcterms:W3CDTF">2025-08-21T02:07:00Z</dcterms:created>
  <dcterms:modified xsi:type="dcterms:W3CDTF">2025-08-29T03:37:00Z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0x01010059E6A8921D229145B9E7D7AA1D0E1C26</vt:lpwstr>
  </property>
  <property fmtid="{D5CDD505-2E9C-101B-9397-08002B2CF9AE}" pid="3" name="ClassificationContentMarkingHeaderShapeIds">
    <vt:lpwstr>5eef9438,5f11c19e,573872f4</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1592d7b8,29d96406,48940c17</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2025-08-26T05:45:43Z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8ca23d8c-747d-45ca-b084-e2b59ab5d1ed</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