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439D"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18FD8706" w14:textId="564DA219"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C596149C478846258A9B51C2BB6C5B28"/>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5022AB">
            <w:rPr>
              <w:rStyle w:val="DefaultChar"/>
            </w:rPr>
            <w:t>the Treasurer</w:t>
          </w:r>
        </w:sdtContent>
      </w:sdt>
      <w:r w:rsidR="00076178" w:rsidRPr="00731FEA">
        <w:rPr>
          <w:sz w:val="24"/>
          <w:szCs w:val="24"/>
        </w:rPr>
        <w:t xml:space="preserve"> </w:t>
      </w:r>
    </w:p>
    <w:p w14:paraId="5131B25E" w14:textId="739E2E2F" w:rsidR="00F109D4" w:rsidRDefault="00360962" w:rsidP="003C7907">
      <w:pPr>
        <w:spacing w:before="240" w:after="240"/>
        <w:jc w:val="center"/>
        <w:rPr>
          <w:i/>
        </w:rPr>
      </w:pPr>
      <w:r>
        <w:rPr>
          <w:i/>
        </w:rPr>
        <w:t>Competition and Consumer Act 2010</w:t>
      </w:r>
    </w:p>
    <w:p w14:paraId="7A949B09" w14:textId="60ED97C7" w:rsidR="00F109D4" w:rsidRPr="00503E44" w:rsidRDefault="00360962" w:rsidP="00AA1689">
      <w:pPr>
        <w:tabs>
          <w:tab w:val="left" w:pos="1418"/>
        </w:tabs>
        <w:spacing w:before="0" w:after="240"/>
        <w:jc w:val="center"/>
        <w:rPr>
          <w:i/>
        </w:rPr>
      </w:pPr>
      <w:r>
        <w:rPr>
          <w:i/>
        </w:rPr>
        <w:t xml:space="preserve">Competition and </w:t>
      </w:r>
      <w:r w:rsidRPr="00103D9E">
        <w:rPr>
          <w:i/>
        </w:rPr>
        <w:t>Consumer (</w:t>
      </w:r>
      <w:r w:rsidR="005306F2" w:rsidRPr="00103D9E">
        <w:rPr>
          <w:i/>
        </w:rPr>
        <w:t>Price</w:t>
      </w:r>
      <w:r w:rsidRPr="00103D9E">
        <w:rPr>
          <w:i/>
          <w:iCs/>
          <w:color w:val="000000"/>
          <w:shd w:val="clear" w:color="auto" w:fill="FFFFFF"/>
        </w:rPr>
        <w:t> Inquiry–</w:t>
      </w:r>
      <w:r w:rsidR="003153F6" w:rsidRPr="00103D9E">
        <w:rPr>
          <w:i/>
          <w:iCs/>
          <w:color w:val="000000"/>
          <w:shd w:val="clear" w:color="auto" w:fill="FFFFFF"/>
        </w:rPr>
        <w:t xml:space="preserve">Natural </w:t>
      </w:r>
      <w:r w:rsidR="005306F2" w:rsidRPr="00103D9E">
        <w:rPr>
          <w:i/>
          <w:iCs/>
          <w:color w:val="000000"/>
          <w:shd w:val="clear" w:color="auto" w:fill="FFFFFF"/>
        </w:rPr>
        <w:t>Gas</w:t>
      </w:r>
      <w:r w:rsidRPr="00103D9E">
        <w:rPr>
          <w:i/>
          <w:iCs/>
          <w:color w:val="000000"/>
          <w:shd w:val="clear" w:color="auto" w:fill="FFFFFF"/>
        </w:rPr>
        <w:t>)</w:t>
      </w:r>
      <w:r w:rsidR="005306F2">
        <w:rPr>
          <w:i/>
          <w:iCs/>
          <w:color w:val="000000"/>
          <w:shd w:val="clear" w:color="auto" w:fill="FFFFFF"/>
        </w:rPr>
        <w:t xml:space="preserve"> Direction 202</w:t>
      </w:r>
      <w:r w:rsidR="00CB76B2">
        <w:rPr>
          <w:i/>
          <w:iCs/>
          <w:color w:val="000000"/>
          <w:shd w:val="clear" w:color="auto" w:fill="FFFFFF"/>
        </w:rPr>
        <w:t>5</w:t>
      </w:r>
    </w:p>
    <w:p w14:paraId="320C8EC6" w14:textId="580F0EEF" w:rsidR="00F109D4" w:rsidRDefault="00C55D29" w:rsidP="00647BB7">
      <w:pPr>
        <w:spacing w:before="240"/>
      </w:pPr>
      <w:r w:rsidRPr="00503E44">
        <w:t xml:space="preserve">Section </w:t>
      </w:r>
      <w:r w:rsidR="005306F2">
        <w:t>95H</w:t>
      </w:r>
      <w:r w:rsidR="005E4BAC">
        <w:t xml:space="preserve"> </w:t>
      </w:r>
      <w:r w:rsidR="00F109D4" w:rsidRPr="00503E44">
        <w:t xml:space="preserve">of the </w:t>
      </w:r>
      <w:r w:rsidR="005306F2" w:rsidRPr="005306F2">
        <w:rPr>
          <w:i/>
          <w:iCs/>
        </w:rPr>
        <w:t>Competition and Consumer Act 2010</w:t>
      </w:r>
      <w:r w:rsidR="00F109D4" w:rsidRPr="00503E44">
        <w:t xml:space="preserve"> (the Act) provides that the </w:t>
      </w:r>
      <w:r w:rsidR="005306F2">
        <w:t>Minister</w:t>
      </w:r>
      <w:r w:rsidR="00F109D4" w:rsidRPr="00503E44">
        <w:t xml:space="preserve"> may </w:t>
      </w:r>
      <w:r w:rsidR="005306F2">
        <w:t>require the Australian Competition and Consumer Commission (ACCC) to hold an inquiry into a specified matter or matters.</w:t>
      </w:r>
    </w:p>
    <w:p w14:paraId="26CE07FD" w14:textId="19591DF9" w:rsidR="00F109D4" w:rsidRPr="003B7B35" w:rsidRDefault="005306F2" w:rsidP="00647BB7">
      <w:pPr>
        <w:spacing w:before="240"/>
      </w:pPr>
      <w:r>
        <w:t xml:space="preserve">The </w:t>
      </w:r>
      <w:r w:rsidRPr="005306F2">
        <w:rPr>
          <w:i/>
          <w:iCs/>
        </w:rPr>
        <w:t xml:space="preserve">Competition and </w:t>
      </w:r>
      <w:r w:rsidRPr="00103D9E">
        <w:rPr>
          <w:i/>
          <w:iCs/>
        </w:rPr>
        <w:t>Consumer (Price Inquiry–</w:t>
      </w:r>
      <w:r w:rsidR="003153F6" w:rsidRPr="00103D9E">
        <w:rPr>
          <w:i/>
          <w:iCs/>
        </w:rPr>
        <w:t xml:space="preserve">Natural </w:t>
      </w:r>
      <w:r w:rsidRPr="00103D9E">
        <w:rPr>
          <w:i/>
          <w:iCs/>
        </w:rPr>
        <w:t>Gas) Direction</w:t>
      </w:r>
      <w:r w:rsidRPr="005306F2">
        <w:rPr>
          <w:i/>
          <w:iCs/>
        </w:rPr>
        <w:t xml:space="preserve"> 202</w:t>
      </w:r>
      <w:r w:rsidR="00CB76B2">
        <w:rPr>
          <w:i/>
          <w:iCs/>
        </w:rPr>
        <w:t>5</w:t>
      </w:r>
      <w:r>
        <w:rPr>
          <w:i/>
          <w:iCs/>
        </w:rPr>
        <w:t xml:space="preserve"> </w:t>
      </w:r>
      <w:r>
        <w:t>(the Direction) is made under subsection 95</w:t>
      </w:r>
      <w:proofErr w:type="gramStart"/>
      <w:r>
        <w:t>H(</w:t>
      </w:r>
      <w:proofErr w:type="gramEnd"/>
      <w:r>
        <w:t xml:space="preserve">1) of the Act. The Direction requires the ACCC to hold a price inquiry into </w:t>
      </w:r>
      <w:r w:rsidR="002A59A8">
        <w:t xml:space="preserve">the market for the supply of </w:t>
      </w:r>
      <w:r w:rsidR="003153F6" w:rsidRPr="003153F6">
        <w:t xml:space="preserve">natural </w:t>
      </w:r>
      <w:r w:rsidRPr="003153F6">
        <w:t>gas</w:t>
      </w:r>
      <w:r w:rsidR="002A59A8">
        <w:t xml:space="preserve"> in Australia</w:t>
      </w:r>
      <w:r w:rsidR="0033678B" w:rsidRPr="003B7B35">
        <w:t>.</w:t>
      </w:r>
    </w:p>
    <w:p w14:paraId="05A256AB" w14:textId="07EE2AAC" w:rsidR="0017025B" w:rsidRPr="003B7B35" w:rsidRDefault="0017025B" w:rsidP="00647BB7">
      <w:pPr>
        <w:spacing w:before="240"/>
      </w:pPr>
      <w:r w:rsidRPr="003B7B35">
        <w:t>On 19 April 2017, the then Treasurer directed the ACCC to hold a price inquiry into the supply of natural gas in Australia</w:t>
      </w:r>
      <w:r w:rsidR="004C0A8B" w:rsidRPr="003B7B35">
        <w:t xml:space="preserve"> with </w:t>
      </w:r>
      <w:r w:rsidR="00410824" w:rsidRPr="003B7B35">
        <w:t xml:space="preserve">interim reports at least every six months and </w:t>
      </w:r>
      <w:r w:rsidR="004C0A8B" w:rsidRPr="003B7B35">
        <w:t>a final report due by 30 April 2020</w:t>
      </w:r>
      <w:r w:rsidRPr="003B7B35">
        <w:t xml:space="preserve">.  On 25 July 2019 the then Treasurer extended the </w:t>
      </w:r>
      <w:r w:rsidR="00D12B1B" w:rsidRPr="003B7B35">
        <w:t>timeframe of the price inquiry</w:t>
      </w:r>
      <w:r w:rsidR="004C0A8B" w:rsidRPr="003B7B35">
        <w:t xml:space="preserve"> until 3</w:t>
      </w:r>
      <w:r w:rsidR="00977113">
        <w:t>0</w:t>
      </w:r>
      <w:r w:rsidR="004C0A8B" w:rsidRPr="003B7B35">
        <w:t xml:space="preserve"> </w:t>
      </w:r>
      <w:r w:rsidR="003E0BDC">
        <w:t>December</w:t>
      </w:r>
      <w:r w:rsidR="004C0A8B" w:rsidRPr="003B7B35">
        <w:t xml:space="preserve"> 2025.</w:t>
      </w:r>
      <w:r w:rsidR="00D12B1B" w:rsidRPr="003B7B35">
        <w:t xml:space="preserve"> </w:t>
      </w:r>
    </w:p>
    <w:p w14:paraId="04732451" w14:textId="2C79EF85" w:rsidR="0001347E" w:rsidRPr="003B7B35" w:rsidRDefault="00EE36BC" w:rsidP="00647BB7">
      <w:pPr>
        <w:spacing w:before="240"/>
      </w:pPr>
      <w:r w:rsidRPr="003B7B35">
        <w:t xml:space="preserve">The Direction </w:t>
      </w:r>
      <w:r w:rsidR="000445A0" w:rsidRPr="003B7B35">
        <w:t xml:space="preserve">further </w:t>
      </w:r>
      <w:r w:rsidRPr="003B7B35">
        <w:t>extends</w:t>
      </w:r>
      <w:r w:rsidR="0019006F" w:rsidRPr="003B7B35">
        <w:t xml:space="preserve"> </w:t>
      </w:r>
      <w:r w:rsidRPr="003B7B35">
        <w:t>the</w:t>
      </w:r>
      <w:r w:rsidR="009A05A1" w:rsidRPr="003B7B35">
        <w:t xml:space="preserve"> </w:t>
      </w:r>
      <w:r w:rsidR="000445A0" w:rsidRPr="003B7B35">
        <w:t xml:space="preserve">timeframe of the </w:t>
      </w:r>
      <w:r w:rsidR="00D86302" w:rsidRPr="003B7B35">
        <w:t>cu</w:t>
      </w:r>
      <w:r w:rsidR="009A05A1" w:rsidRPr="003B7B35">
        <w:t>rrent ACCC</w:t>
      </w:r>
      <w:r w:rsidRPr="003B7B35">
        <w:t xml:space="preserve"> </w:t>
      </w:r>
      <w:r w:rsidR="0019006F" w:rsidRPr="003B7B35">
        <w:t>p</w:t>
      </w:r>
      <w:r w:rsidRPr="003B7B35">
        <w:t xml:space="preserve">rice </w:t>
      </w:r>
      <w:r w:rsidR="0019006F" w:rsidRPr="003B7B35">
        <w:t>i</w:t>
      </w:r>
      <w:r w:rsidRPr="003B7B35">
        <w:t>nquiry</w:t>
      </w:r>
      <w:r w:rsidR="0019006F" w:rsidRPr="003B7B35">
        <w:t xml:space="preserve"> </w:t>
      </w:r>
      <w:r w:rsidR="009A05A1" w:rsidRPr="003B7B35">
        <w:t xml:space="preserve">to </w:t>
      </w:r>
      <w:proofErr w:type="gramStart"/>
      <w:r w:rsidR="009A05A1" w:rsidRPr="003B7B35">
        <w:t>3</w:t>
      </w:r>
      <w:r w:rsidR="00977113">
        <w:t>0</w:t>
      </w:r>
      <w:r w:rsidR="00EB3667">
        <w:t> </w:t>
      </w:r>
      <w:r w:rsidR="00080C1C">
        <w:t>June</w:t>
      </w:r>
      <w:r w:rsidR="00EB3667">
        <w:t> </w:t>
      </w:r>
      <w:r w:rsidR="009A05A1" w:rsidRPr="003B7B35">
        <w:t>2030</w:t>
      </w:r>
      <w:r w:rsidR="004C0A8B" w:rsidRPr="003B7B35">
        <w:t>, and</w:t>
      </w:r>
      <w:proofErr w:type="gramEnd"/>
      <w:r w:rsidR="000649E4" w:rsidRPr="003B7B35">
        <w:t xml:space="preserve"> requires the ACCC to provide interim reports at least twice every six months</w:t>
      </w:r>
      <w:r w:rsidR="00080C1C">
        <w:t>.</w:t>
      </w:r>
      <w:r w:rsidR="003B7B35" w:rsidRPr="003B7B35">
        <w:t xml:space="preserve"> </w:t>
      </w:r>
      <w:r w:rsidR="00080C1C">
        <w:t xml:space="preserve">This </w:t>
      </w:r>
      <w:r w:rsidR="003B7B35" w:rsidRPr="003B7B35">
        <w:t>align</w:t>
      </w:r>
      <w:r w:rsidR="00ED3D68">
        <w:t>s</w:t>
      </w:r>
      <w:r w:rsidR="003B7B35" w:rsidRPr="003B7B35">
        <w:t xml:space="preserve"> with</w:t>
      </w:r>
      <w:r w:rsidR="00C6722D" w:rsidRPr="003B7B35">
        <w:t xml:space="preserve"> </w:t>
      </w:r>
      <w:r w:rsidR="0060047C" w:rsidRPr="003B7B35">
        <w:t xml:space="preserve">reforms made in March 2023 </w:t>
      </w:r>
      <w:r w:rsidR="00191435" w:rsidRPr="003B7B35">
        <w:t>to</w:t>
      </w:r>
      <w:r w:rsidR="004144D2">
        <w:t xml:space="preserve"> provide for quarterly consideration of </w:t>
      </w:r>
      <w:r w:rsidR="005B3363">
        <w:t xml:space="preserve">whether </w:t>
      </w:r>
      <w:r w:rsidR="0042115C">
        <w:t>the</w:t>
      </w:r>
      <w:r w:rsidR="00F67224">
        <w:t xml:space="preserve"> </w:t>
      </w:r>
      <w:r w:rsidR="00191435" w:rsidRPr="003B7B35">
        <w:t>activation of t</w:t>
      </w:r>
      <w:r w:rsidR="0060047C" w:rsidRPr="003B7B35">
        <w:t>he Australian Domestic Gas Security Mechanism</w:t>
      </w:r>
      <w:r w:rsidR="0042115C">
        <w:t xml:space="preserve"> is warranted due to </w:t>
      </w:r>
      <w:r w:rsidR="00105CD5">
        <w:t xml:space="preserve">a </w:t>
      </w:r>
      <w:r w:rsidR="0042115C">
        <w:t>domestic gas supply shortfall.</w:t>
      </w:r>
    </w:p>
    <w:p w14:paraId="7FE4E490" w14:textId="77777777" w:rsidR="003041A9" w:rsidRDefault="00951697" w:rsidP="00647BB7">
      <w:pPr>
        <w:spacing w:before="240"/>
      </w:pPr>
      <w:r>
        <w:t>Part 1 of the Direction provides the machinery provisions of the instrument, including the definitions.</w:t>
      </w:r>
      <w:r w:rsidR="00C252A4">
        <w:t xml:space="preserve">  </w:t>
      </w:r>
    </w:p>
    <w:p w14:paraId="0FBA1571" w14:textId="42BF63BF" w:rsidR="00951697" w:rsidRDefault="00CB0A1F" w:rsidP="00647BB7">
      <w:pPr>
        <w:spacing w:before="240"/>
      </w:pPr>
      <w:r>
        <w:t>Natural gas, for the purposes of this Direction, is a s</w:t>
      </w:r>
      <w:r w:rsidR="00434674">
        <w:t xml:space="preserve">ubstance primarily consisting of </w:t>
      </w:r>
      <w:r w:rsidR="00AC329C">
        <w:t xml:space="preserve">hydrocarbons </w:t>
      </w:r>
      <w:r w:rsidR="00705C7B">
        <w:t>(predominantly methane)</w:t>
      </w:r>
      <w:r w:rsidR="00434674">
        <w:t xml:space="preserve"> and that would be in a gaseous state at standard temperature and pressure</w:t>
      </w:r>
      <w:r w:rsidR="00EC419F">
        <w:t xml:space="preserve">.  Natural gas </w:t>
      </w:r>
      <w:r w:rsidR="00697CBD">
        <w:t>include</w:t>
      </w:r>
      <w:r w:rsidR="006F22DC">
        <w:t>s</w:t>
      </w:r>
      <w:r w:rsidR="00697CBD">
        <w:t xml:space="preserve"> </w:t>
      </w:r>
      <w:r w:rsidR="00495390">
        <w:t>liquefied natural ga</w:t>
      </w:r>
      <w:r w:rsidR="00150E12">
        <w:t>s</w:t>
      </w:r>
      <w:r w:rsidR="005D52F4">
        <w:t>; gas</w:t>
      </w:r>
      <w:r w:rsidR="00150E12">
        <w:t xml:space="preserve"> which has been processed into a liquefied form through alterations to temperature</w:t>
      </w:r>
      <w:r w:rsidR="00495390">
        <w:t>.</w:t>
      </w:r>
    </w:p>
    <w:p w14:paraId="66A6E9CE" w14:textId="55D891AD" w:rsidR="00A26433" w:rsidRDefault="00951697" w:rsidP="00647BB7">
      <w:pPr>
        <w:spacing w:before="240"/>
      </w:pPr>
      <w:r>
        <w:t xml:space="preserve">Part 2 of the Direction provides the terms of reference for the inquiry and </w:t>
      </w:r>
      <w:r w:rsidR="001B57B5">
        <w:t xml:space="preserve">matters that must be </w:t>
      </w:r>
      <w:r w:rsidR="003D0189">
        <w:t>taken into consideration</w:t>
      </w:r>
      <w:r w:rsidRPr="0018444A">
        <w:t xml:space="preserve">. The ACCC must </w:t>
      </w:r>
      <w:r w:rsidR="00863BCA" w:rsidRPr="0018444A">
        <w:t>have</w:t>
      </w:r>
      <w:r w:rsidR="00863BCA">
        <w:t xml:space="preserve"> </w:t>
      </w:r>
      <w:proofErr w:type="gramStart"/>
      <w:r w:rsidR="00863BCA">
        <w:t>particular regar</w:t>
      </w:r>
      <w:r w:rsidR="00AB0037">
        <w:t>d</w:t>
      </w:r>
      <w:proofErr w:type="gramEnd"/>
      <w:r w:rsidR="00AB0037">
        <w:t xml:space="preserve"> </w:t>
      </w:r>
      <w:r w:rsidR="00180CEC">
        <w:t xml:space="preserve">for the </w:t>
      </w:r>
      <w:r w:rsidR="00685BF9">
        <w:t>transparency</w:t>
      </w:r>
      <w:r w:rsidR="00180CEC">
        <w:t xml:space="preserve"> </w:t>
      </w:r>
      <w:r w:rsidR="003B7075">
        <w:t>of the supply of natural gas</w:t>
      </w:r>
      <w:r w:rsidR="00180CEC">
        <w:t xml:space="preserve">, the supply of and demand for </w:t>
      </w:r>
      <w:r w:rsidR="00136B33">
        <w:t>natural gas</w:t>
      </w:r>
      <w:r w:rsidR="00593A83">
        <w:t>, natural gas substitutes</w:t>
      </w:r>
      <w:r w:rsidR="00136B33">
        <w:t xml:space="preserve"> </w:t>
      </w:r>
      <w:r w:rsidR="004514E5">
        <w:t>and</w:t>
      </w:r>
      <w:r w:rsidR="00C30535">
        <w:t xml:space="preserve"> natural gas transportation services,</w:t>
      </w:r>
      <w:r w:rsidR="00A26433">
        <w:t xml:space="preserve"> and</w:t>
      </w:r>
      <w:r w:rsidR="00C30535">
        <w:t xml:space="preserve"> the pricing and availability of </w:t>
      </w:r>
      <w:r w:rsidR="007134DD">
        <w:t>natural gas to Australian consumers and businesses</w:t>
      </w:r>
      <w:r w:rsidR="00A26433">
        <w:t>.</w:t>
      </w:r>
      <w:r w:rsidR="005D52F4">
        <w:t xml:space="preserve"> </w:t>
      </w:r>
    </w:p>
    <w:p w14:paraId="33A1EEE4" w14:textId="2EA3ACF5" w:rsidR="00951697" w:rsidRDefault="00A26433" w:rsidP="00647BB7">
      <w:pPr>
        <w:spacing w:before="240"/>
      </w:pPr>
      <w:r>
        <w:t>The ACCC must also have</w:t>
      </w:r>
      <w:r w:rsidR="00264D90">
        <w:t xml:space="preserve"> particular regard for the availability of natural gas for </w:t>
      </w:r>
      <w:r w:rsidR="00502F3D">
        <w:t>current and future supply;</w:t>
      </w:r>
      <w:r w:rsidR="00037584">
        <w:t xml:space="preserve"> the cost and availability of goods or services that assist or facilitate the supply of natural gas, such as drilling and processing services, </w:t>
      </w:r>
      <w:r w:rsidR="009A05A1">
        <w:t xml:space="preserve">and </w:t>
      </w:r>
      <w:r w:rsidR="00502F3D">
        <w:t>compare the pricing, volume and availability of natural gas for domestic consumption</w:t>
      </w:r>
      <w:r w:rsidR="00037584">
        <w:t xml:space="preserve"> versus</w:t>
      </w:r>
      <w:r w:rsidR="00502F3D">
        <w:t xml:space="preserve"> export</w:t>
      </w:r>
      <w:r w:rsidR="0018444A">
        <w:t>.</w:t>
      </w:r>
    </w:p>
    <w:p w14:paraId="0CA31CEB" w14:textId="4CE9CD94" w:rsidR="001B57B5" w:rsidRDefault="00AB1624" w:rsidP="00647BB7">
      <w:pPr>
        <w:spacing w:before="240"/>
      </w:pPr>
      <w:r>
        <w:t xml:space="preserve">While the ACCC must consider </w:t>
      </w:r>
      <w:proofErr w:type="gramStart"/>
      <w:r w:rsidR="00A76919">
        <w:t>all of</w:t>
      </w:r>
      <w:proofErr w:type="gramEnd"/>
      <w:r w:rsidR="00A76919">
        <w:t xml:space="preserve"> </w:t>
      </w:r>
      <w:r>
        <w:t>the matters listed in section 7, the ACCC may consider other matters, within the scope of the inquiry.</w:t>
      </w:r>
    </w:p>
    <w:p w14:paraId="1D4B2C8D" w14:textId="1C3735D4" w:rsidR="00735556" w:rsidRDefault="00ED65E2" w:rsidP="003B0809">
      <w:pPr>
        <w:spacing w:before="240"/>
      </w:pPr>
      <w:r w:rsidRPr="00ED65E2">
        <w:lastRenderedPageBreak/>
        <w:t>The ACCC mus</w:t>
      </w:r>
      <w:r>
        <w:t>t make use of</w:t>
      </w:r>
      <w:r w:rsidR="005653FF">
        <w:t xml:space="preserve"> relevant</w:t>
      </w:r>
      <w:r>
        <w:t xml:space="preserve"> publicly available information</w:t>
      </w:r>
      <w:r w:rsidR="00DD6BA8">
        <w:t xml:space="preserve">, including information published by the Australian Energy Market Commission, </w:t>
      </w:r>
      <w:r w:rsidR="005653FF">
        <w:t>the Australian Energy Market Operator, and the Australian Energy Regulator.</w:t>
      </w:r>
    </w:p>
    <w:p w14:paraId="386BB073" w14:textId="3DD72A9F" w:rsidR="00DD1DFD" w:rsidRDefault="005653FF" w:rsidP="00647BB7">
      <w:pPr>
        <w:spacing w:before="240"/>
      </w:pPr>
      <w:r>
        <w:t xml:space="preserve">The ACCC must </w:t>
      </w:r>
      <w:r w:rsidR="00AD07E7">
        <w:t xml:space="preserve">give the Treasurer </w:t>
      </w:r>
      <w:r w:rsidR="0048012C">
        <w:t>an interim report by 30 September 2025 and there</w:t>
      </w:r>
      <w:r w:rsidR="006548EF">
        <w:t xml:space="preserve">after provide </w:t>
      </w:r>
      <w:r w:rsidR="00AD07E7">
        <w:t xml:space="preserve">interim reports </w:t>
      </w:r>
      <w:r w:rsidR="00582A4F">
        <w:t xml:space="preserve">at least </w:t>
      </w:r>
      <w:r w:rsidR="00AD07E7">
        <w:t>twice every six months</w:t>
      </w:r>
      <w:r w:rsidR="006548EF">
        <w:t>.</w:t>
      </w:r>
      <w:r w:rsidR="00AD07E7">
        <w:t xml:space="preserve"> </w:t>
      </w:r>
      <w:r w:rsidR="006548EF">
        <w:t xml:space="preserve">The ACCC </w:t>
      </w:r>
      <w:r w:rsidR="00CE42CA">
        <w:t>must complete the inquiry and provide a final report to the Treasurer by 3</w:t>
      </w:r>
      <w:r w:rsidR="00977113">
        <w:t>0</w:t>
      </w:r>
      <w:r w:rsidR="00CE42CA">
        <w:t xml:space="preserve"> </w:t>
      </w:r>
      <w:r w:rsidR="00932506">
        <w:t>June</w:t>
      </w:r>
      <w:r w:rsidR="00CE42CA">
        <w:t xml:space="preserve"> 2030.</w:t>
      </w:r>
      <w:r w:rsidR="0095690B">
        <w:t xml:space="preserve"> </w:t>
      </w:r>
    </w:p>
    <w:p w14:paraId="0F12DC1A" w14:textId="59FA747C" w:rsidR="00156752" w:rsidRDefault="00156752" w:rsidP="00647BB7">
      <w:pPr>
        <w:spacing w:before="240"/>
      </w:pPr>
      <w:r>
        <w:t>Where appropriate, the ACCC may provide</w:t>
      </w:r>
      <w:r w:rsidR="00986B6C">
        <w:t xml:space="preserve"> to the market</w:t>
      </w:r>
      <w:r>
        <w:t xml:space="preserve"> </w:t>
      </w:r>
      <w:r w:rsidR="00931596">
        <w:t>anonymised</w:t>
      </w:r>
      <w:r w:rsidR="007C35EA">
        <w:t xml:space="preserve"> data and </w:t>
      </w:r>
      <w:r w:rsidR="00AE370B">
        <w:t xml:space="preserve">analysis relating to </w:t>
      </w:r>
      <w:r w:rsidR="00931596">
        <w:t xml:space="preserve">estimates of </w:t>
      </w:r>
      <w:r w:rsidR="0090407A">
        <w:t>LNG netback prices.</w:t>
      </w:r>
    </w:p>
    <w:p w14:paraId="06B0B27A" w14:textId="2341E709" w:rsidR="00DD1DFD" w:rsidRDefault="00DD1DFD" w:rsidP="00647BB7">
      <w:pPr>
        <w:spacing w:before="240"/>
      </w:pPr>
      <w:r>
        <w:t xml:space="preserve">Schedule 1 of the Direction repeals </w:t>
      </w:r>
      <w:r w:rsidR="005010A9">
        <w:t xml:space="preserve">the </w:t>
      </w:r>
      <w:r>
        <w:t xml:space="preserve">now inoperative </w:t>
      </w:r>
      <w:r w:rsidR="004B7367">
        <w:t>initial direction requiring the ACCC to hold the inquiry.</w:t>
      </w:r>
    </w:p>
    <w:p w14:paraId="271D8B76" w14:textId="7E5DEFC1" w:rsidR="00BE3963" w:rsidRDefault="009B646F" w:rsidP="00647BB7">
      <w:pPr>
        <w:spacing w:before="240"/>
      </w:pPr>
      <w:r>
        <w:t xml:space="preserve">In accordance with section 17 of the Legislation Act 2003, </w:t>
      </w:r>
      <w:r w:rsidR="00C60909">
        <w:t>the ACCC, Department of Industry</w:t>
      </w:r>
      <w:r w:rsidR="00FF1F0C">
        <w:t>, Science and Resources, and the Department of Climate</w:t>
      </w:r>
      <w:r w:rsidR="00BE3963">
        <w:t xml:space="preserve"> Change, Energy, the Environment and </w:t>
      </w:r>
      <w:r w:rsidR="00582A4F">
        <w:t>W</w:t>
      </w:r>
      <w:r w:rsidR="00BE3963">
        <w:t>ater have been consulted on the terms of this Direction.</w:t>
      </w:r>
    </w:p>
    <w:p w14:paraId="66DF5AA2" w14:textId="337BFF51" w:rsidR="00AE20A9" w:rsidRDefault="00BE3963" w:rsidP="00647BB7">
      <w:pPr>
        <w:spacing w:before="240"/>
      </w:pPr>
      <w:r>
        <w:t>T</w:t>
      </w:r>
      <w:r w:rsidR="00C522DC" w:rsidRPr="00C522DC">
        <w:t>he Direction is a legislative instrument for the purposes of the Legislation Act 2003.  In accordance with item 2 of the table in section 9 and item 3 of the table in section 11 of the Legislation (Exemptions and Other Matters) Regulation 2015, the instrument is not disallowable and does not sunset as it is a direction by a Minister to a person or body. It is appropriate that this instrument is not disallowable as it is a ministerial direction, and therefore executive control is intended. Similarly, the direction is intended to remain in place until the inquiry is completed or unless and until revoked by the Treasurer, and therefore it is appropriate that it not sunset.</w:t>
      </w:r>
    </w:p>
    <w:p w14:paraId="774B012F" w14:textId="6CFFC38A" w:rsidR="002F1C7B" w:rsidRDefault="002F1C7B" w:rsidP="00647BB7">
      <w:pPr>
        <w:spacing w:before="240"/>
      </w:pPr>
      <w:r>
        <w:t>The Direction commence</w:t>
      </w:r>
      <w:r w:rsidR="00251FE8">
        <w:t>s</w:t>
      </w:r>
      <w:r>
        <w:t xml:space="preserve"> the day after the instrument is registered.</w:t>
      </w:r>
    </w:p>
    <w:p w14:paraId="19D7285C" w14:textId="3C546710" w:rsidR="00EB2AEF" w:rsidRPr="00013390" w:rsidRDefault="00EB2AEF" w:rsidP="00647BB7">
      <w:pPr>
        <w:spacing w:before="240"/>
      </w:pPr>
      <w:r w:rsidRPr="00F71E6D">
        <w:t xml:space="preserve">A statement of Compatibility with Human Rights is at </w:t>
      </w:r>
      <w:r w:rsidRPr="00F71E6D">
        <w:rPr>
          <w:u w:val="single"/>
        </w:rPr>
        <w:t>Attachment</w:t>
      </w:r>
      <w:r w:rsidR="00F71E6D" w:rsidRPr="00F71E6D">
        <w:rPr>
          <w:u w:val="single"/>
        </w:rPr>
        <w:t xml:space="preserve"> A.</w:t>
      </w:r>
    </w:p>
    <w:p w14:paraId="157ED0AF" w14:textId="77777777" w:rsidR="00EA4DD8" w:rsidRDefault="00EA4DD8" w:rsidP="00EA4DD8">
      <w:pPr>
        <w:spacing w:before="0" w:after="0"/>
        <w:rPr>
          <w:b/>
          <w:kern w:val="28"/>
        </w:rPr>
      </w:pPr>
      <w:r>
        <w:br w:type="page"/>
      </w:r>
    </w:p>
    <w:p w14:paraId="3D1882E5" w14:textId="7CC2C2D9" w:rsidR="007A55A7" w:rsidRDefault="007A55A7" w:rsidP="00013390">
      <w:pPr>
        <w:pageBreakBefore/>
        <w:spacing w:before="240"/>
        <w:jc w:val="right"/>
        <w:rPr>
          <w:b/>
          <w:u w:val="single"/>
        </w:rPr>
      </w:pPr>
      <w:r w:rsidRPr="00C15656">
        <w:rPr>
          <w:b/>
          <w:u w:val="single"/>
        </w:rPr>
        <w:lastRenderedPageBreak/>
        <w:t xml:space="preserve">ATTACHMENT </w:t>
      </w:r>
      <w:r w:rsidR="00C15656" w:rsidRPr="00C15656">
        <w:rPr>
          <w:b/>
          <w:u w:val="single"/>
        </w:rPr>
        <w:t>A</w:t>
      </w:r>
    </w:p>
    <w:p w14:paraId="7062634E" w14:textId="77777777" w:rsidR="00E4438C" w:rsidRPr="00C357B3" w:rsidRDefault="00E4438C" w:rsidP="003E1CE3">
      <w:pPr>
        <w:pStyle w:val="Heading3"/>
      </w:pPr>
      <w:r w:rsidRPr="00C357B3">
        <w:t>Statement of Compatibility with Human Rights</w:t>
      </w:r>
    </w:p>
    <w:p w14:paraId="0988988E" w14:textId="77777777" w:rsidR="00E4438C" w:rsidRPr="00C357B3" w:rsidRDefault="00E4438C" w:rsidP="00AC1D15">
      <w:pPr>
        <w:spacing w:before="240"/>
        <w:jc w:val="center"/>
        <w:rPr>
          <w:i/>
        </w:rPr>
      </w:pPr>
      <w:r w:rsidRPr="00C357B3">
        <w:rPr>
          <w:i/>
        </w:rPr>
        <w:t>Prepared in accordance with Part 3 of the Human Rights (Parliamentary Scrutiny) Act 2011</w:t>
      </w:r>
    </w:p>
    <w:p w14:paraId="585144BE" w14:textId="258A44D5" w:rsidR="00E4438C" w:rsidRPr="00C357B3" w:rsidRDefault="008642A2" w:rsidP="003E1CE3">
      <w:pPr>
        <w:pStyle w:val="Heading3"/>
        <w:jc w:val="center"/>
      </w:pPr>
      <w:r w:rsidRPr="00C357B3">
        <w:t>Competition and Competition and Consumer (Price Inquiry–Natural Gas) Direction 202</w:t>
      </w:r>
      <w:r w:rsidR="0090407A">
        <w:t>5</w:t>
      </w:r>
    </w:p>
    <w:p w14:paraId="40C71FF7" w14:textId="77777777" w:rsidR="00E4438C" w:rsidRPr="00C357B3" w:rsidRDefault="00E4438C" w:rsidP="00647BB7">
      <w:pPr>
        <w:spacing w:before="240"/>
      </w:pPr>
      <w:r w:rsidRPr="00C357B3">
        <w:t xml:space="preserve">This Legislative Instrument is compatible with the human rights and freedoms recognised or declared in the international instruments listed in section 3 of the </w:t>
      </w:r>
      <w:r w:rsidRPr="00C357B3">
        <w:rPr>
          <w:i/>
        </w:rPr>
        <w:t>Human Rights (Parliamentary Scrutiny) Act 2011</w:t>
      </w:r>
      <w:r w:rsidRPr="00C357B3">
        <w:t>.</w:t>
      </w:r>
    </w:p>
    <w:p w14:paraId="322212A2" w14:textId="77777777" w:rsidR="00E4438C" w:rsidRPr="00C357B3" w:rsidRDefault="00E4438C" w:rsidP="003E1CE3">
      <w:pPr>
        <w:pStyle w:val="Heading3"/>
      </w:pPr>
      <w:r w:rsidRPr="00C357B3">
        <w:t>Overview of the Legislative Instrument</w:t>
      </w:r>
    </w:p>
    <w:p w14:paraId="3272B328" w14:textId="77777777" w:rsidR="00402AEC" w:rsidRPr="00C357B3" w:rsidRDefault="00402AEC" w:rsidP="00402AEC">
      <w:pPr>
        <w:spacing w:before="240"/>
      </w:pPr>
      <w:r w:rsidRPr="00C357B3">
        <w:t xml:space="preserve">Section 95H of the </w:t>
      </w:r>
      <w:r w:rsidRPr="00C357B3">
        <w:rPr>
          <w:i/>
          <w:iCs/>
        </w:rPr>
        <w:t>Competition and Consumer Act 2010</w:t>
      </w:r>
      <w:r w:rsidRPr="00C357B3">
        <w:t xml:space="preserve"> (the Act) provides that the Minister may require the Australian Competition and Consumer Commission (ACCC) to hold an inquiry into a specified matter or matters.</w:t>
      </w:r>
    </w:p>
    <w:p w14:paraId="10595DCE" w14:textId="0B7F6D47" w:rsidR="00402AEC" w:rsidRPr="00C357B3" w:rsidRDefault="00402AEC" w:rsidP="00402AEC">
      <w:pPr>
        <w:spacing w:before="240"/>
      </w:pPr>
      <w:r w:rsidRPr="00C357B3">
        <w:t xml:space="preserve">The </w:t>
      </w:r>
      <w:r w:rsidRPr="00C357B3">
        <w:rPr>
          <w:i/>
          <w:iCs/>
        </w:rPr>
        <w:t>Competition and Consumer (Price Inquiry–Natural Gas) Direction 202</w:t>
      </w:r>
      <w:r w:rsidR="0090407A">
        <w:rPr>
          <w:i/>
          <w:iCs/>
        </w:rPr>
        <w:t>5</w:t>
      </w:r>
      <w:r w:rsidRPr="00C357B3">
        <w:t xml:space="preserve"> (the Direction) is a direction to the Chairperson of the ACCC to hold a price inquiry into the supply of natural gas.</w:t>
      </w:r>
    </w:p>
    <w:p w14:paraId="5C07B03B" w14:textId="489ECFE3" w:rsidR="004115CB" w:rsidRPr="00C357B3" w:rsidRDefault="00402AEC" w:rsidP="004115CB">
      <w:pPr>
        <w:spacing w:before="240"/>
      </w:pPr>
      <w:r w:rsidRPr="00C357B3">
        <w:t>The Direction sets out the terms of reference for the inquiry. In conducting the inquiry, the ACCC must</w:t>
      </w:r>
      <w:r w:rsidR="004115CB" w:rsidRPr="00C357B3">
        <w:t xml:space="preserve"> have </w:t>
      </w:r>
      <w:proofErr w:type="gramStart"/>
      <w:r w:rsidR="004115CB" w:rsidRPr="00C357B3">
        <w:t>particular regard</w:t>
      </w:r>
      <w:proofErr w:type="gramEnd"/>
      <w:r w:rsidR="004115CB" w:rsidRPr="00C357B3">
        <w:t xml:space="preserve"> for the transparency of the supply of natural gas, the supply of and demand for natural gas, natural gas substitutes and natural gas transportation services, and the pricing and availability of natural gas to Australian consumers and businesses. </w:t>
      </w:r>
    </w:p>
    <w:p w14:paraId="2E00BCB3" w14:textId="77777777" w:rsidR="004115CB" w:rsidRPr="00C357B3" w:rsidRDefault="004115CB" w:rsidP="004115CB">
      <w:pPr>
        <w:spacing w:before="240"/>
      </w:pPr>
      <w:r w:rsidRPr="00C357B3">
        <w:t>The ACCC must also have particular regard for the availability of natural gas for current and future supply; the cost and availability of goods or services that assist or facilitate the supply of natural gas, such as drilling and processing services, and compare the pricing, volume and availability of natural gas for domestic consumption versus export.</w:t>
      </w:r>
    </w:p>
    <w:p w14:paraId="6D53DCC4" w14:textId="77777777" w:rsidR="004115CB" w:rsidRPr="00C357B3" w:rsidRDefault="004115CB" w:rsidP="004115CB">
      <w:pPr>
        <w:spacing w:before="240"/>
      </w:pPr>
      <w:r w:rsidRPr="00C357B3">
        <w:t>The ACCC must make use of relevant publicly available information, including information published by the Australian Energy Market Commission, the Australian Energy Market Operator, and the Australian Energy Regulator.</w:t>
      </w:r>
    </w:p>
    <w:p w14:paraId="055A7F62" w14:textId="77777777" w:rsidR="0090407A" w:rsidRDefault="0090407A" w:rsidP="0090407A">
      <w:pPr>
        <w:spacing w:before="240"/>
      </w:pPr>
      <w:r>
        <w:t xml:space="preserve">The ACCC must give the Treasurer an interim report by 30 September 2025 and thereafter provide interim reports at least twice every six months. The ACCC must complete the inquiry and provide a final report to the Treasurer by 30 June 2030. </w:t>
      </w:r>
    </w:p>
    <w:p w14:paraId="474E8CE6" w14:textId="77777777" w:rsidR="000F78CF" w:rsidRDefault="000F78CF" w:rsidP="000F78CF">
      <w:pPr>
        <w:spacing w:before="240"/>
      </w:pPr>
      <w:r>
        <w:t>Where appropriate, the ACCC may provide to the market anonymised data and analysis relating to estimates of LNG netback prices.</w:t>
      </w:r>
    </w:p>
    <w:p w14:paraId="6C70F9D7" w14:textId="77777777" w:rsidR="00E4438C" w:rsidRPr="00C357B3" w:rsidRDefault="00E4438C" w:rsidP="003E1CE3">
      <w:pPr>
        <w:pStyle w:val="Heading3"/>
      </w:pPr>
      <w:r w:rsidRPr="00C357B3">
        <w:t>Human rights implications</w:t>
      </w:r>
    </w:p>
    <w:p w14:paraId="452DA8BD" w14:textId="77777777" w:rsidR="00E4438C" w:rsidRPr="00C357B3" w:rsidRDefault="00E4438C" w:rsidP="00647BB7">
      <w:pPr>
        <w:spacing w:before="240"/>
      </w:pPr>
      <w:r w:rsidRPr="00C357B3">
        <w:t>This Legislative Instrument does not engage any of the applicable rights or freedoms.</w:t>
      </w:r>
    </w:p>
    <w:p w14:paraId="03AF296A" w14:textId="77777777" w:rsidR="00E4438C" w:rsidRPr="00C357B3" w:rsidRDefault="00E4438C" w:rsidP="003E1CE3">
      <w:pPr>
        <w:pStyle w:val="Heading3"/>
      </w:pPr>
      <w:r w:rsidRPr="00C357B3">
        <w:lastRenderedPageBreak/>
        <w:t>Conclusion</w:t>
      </w:r>
    </w:p>
    <w:p w14:paraId="7EF20D8D" w14:textId="3251F7BC" w:rsidR="00482B81" w:rsidRPr="00EA4DD8" w:rsidRDefault="00E4438C" w:rsidP="00C357B3">
      <w:pPr>
        <w:spacing w:before="240"/>
      </w:pPr>
      <w:r w:rsidRPr="00C357B3">
        <w:t>This Legislative Instrument is compatible with human rights as it does not raise any human rights issues.</w:t>
      </w:r>
    </w:p>
    <w:sectPr w:rsidR="00482B81" w:rsidRPr="00EA4DD8" w:rsidSect="00392BB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4F2A3" w14:textId="77777777" w:rsidR="00CE0E74" w:rsidRDefault="00CE0E74" w:rsidP="00954679">
      <w:pPr>
        <w:spacing w:before="0" w:after="0"/>
      </w:pPr>
      <w:r>
        <w:separator/>
      </w:r>
    </w:p>
  </w:endnote>
  <w:endnote w:type="continuationSeparator" w:id="0">
    <w:p w14:paraId="7F154195" w14:textId="77777777" w:rsidR="00CE0E74" w:rsidRDefault="00CE0E74"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1A05" w14:textId="34DF254E" w:rsidR="00954679" w:rsidRDefault="001D3680" w:rsidP="00013390">
    <w:pPr>
      <w:pStyle w:val="Footer"/>
      <w:jc w:val="right"/>
    </w:pPr>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r w:rsidR="00954679" w:rsidRPr="00954679">
              <w:rPr>
                <w:bCs/>
                <w:szCs w:val="24"/>
              </w:rPr>
              <w:fldChar w:fldCharType="begin"/>
            </w:r>
            <w:r w:rsidR="00954679" w:rsidRPr="00954679">
              <w:rPr>
                <w:bCs/>
              </w:rPr>
              <w:instrText xml:space="preserve"> PAGE </w:instrText>
            </w:r>
            <w:r w:rsidR="00954679" w:rsidRPr="00954679">
              <w:rPr>
                <w:bCs/>
                <w:szCs w:val="24"/>
              </w:rPr>
              <w:fldChar w:fldCharType="separate"/>
            </w:r>
            <w:r w:rsidR="000E32E3">
              <w:rPr>
                <w:bCs/>
                <w:noProof/>
              </w:rPr>
              <w:t>4</w:t>
            </w:r>
            <w:r w:rsidR="00954679" w:rsidRPr="00954679">
              <w:rPr>
                <w:bCs/>
                <w:szCs w:val="24"/>
              </w:rPr>
              <w:fldChar w:fldCharType="end"/>
            </w:r>
            <w:r w:rsidR="00954679" w:rsidRPr="00954679">
              <w:t xml:space="preserve"> of </w:t>
            </w:r>
            <w:r w:rsidR="00954679" w:rsidRPr="00954679">
              <w:rPr>
                <w:bCs/>
                <w:szCs w:val="24"/>
              </w:rPr>
              <w:fldChar w:fldCharType="begin"/>
            </w:r>
            <w:r w:rsidR="00954679" w:rsidRPr="00954679">
              <w:rPr>
                <w:bCs/>
              </w:rPr>
              <w:instrText xml:space="preserve"> NUMPAGES  </w:instrText>
            </w:r>
            <w:r w:rsidR="00954679" w:rsidRPr="00954679">
              <w:rPr>
                <w:bCs/>
                <w:szCs w:val="24"/>
              </w:rPr>
              <w:fldChar w:fldCharType="separate"/>
            </w:r>
            <w:r w:rsidR="000E32E3">
              <w:rPr>
                <w:bCs/>
                <w:noProof/>
              </w:rPr>
              <w:t>4</w:t>
            </w:r>
            <w:r w:rsidR="00954679" w:rsidRPr="00954679">
              <w:rPr>
                <w:bCs/>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85B9" w14:textId="77777777" w:rsidR="00CE0E74" w:rsidRDefault="00CE0E74" w:rsidP="00954679">
      <w:pPr>
        <w:spacing w:before="0" w:after="0"/>
      </w:pPr>
      <w:r>
        <w:separator/>
      </w:r>
    </w:p>
  </w:footnote>
  <w:footnote w:type="continuationSeparator" w:id="0">
    <w:p w14:paraId="637684A7" w14:textId="77777777" w:rsidR="00CE0E74" w:rsidRDefault="00CE0E74"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01231577">
    <w:abstractNumId w:val="1"/>
  </w:num>
  <w:num w:numId="2" w16cid:durableId="428701388">
    <w:abstractNumId w:val="2"/>
  </w:num>
  <w:num w:numId="3" w16cid:durableId="35277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62"/>
    <w:rsid w:val="00013390"/>
    <w:rsid w:val="0001347E"/>
    <w:rsid w:val="00016EA2"/>
    <w:rsid w:val="00027EE1"/>
    <w:rsid w:val="00037584"/>
    <w:rsid w:val="000445A0"/>
    <w:rsid w:val="000649E4"/>
    <w:rsid w:val="00076178"/>
    <w:rsid w:val="00080C1C"/>
    <w:rsid w:val="00095211"/>
    <w:rsid w:val="000A706E"/>
    <w:rsid w:val="000B39A1"/>
    <w:rsid w:val="000C10DF"/>
    <w:rsid w:val="000C6935"/>
    <w:rsid w:val="000E32E3"/>
    <w:rsid w:val="000E4D20"/>
    <w:rsid w:val="000F0D5A"/>
    <w:rsid w:val="000F78CF"/>
    <w:rsid w:val="00103D9E"/>
    <w:rsid w:val="00105CD5"/>
    <w:rsid w:val="00113B45"/>
    <w:rsid w:val="00117C02"/>
    <w:rsid w:val="00132B2A"/>
    <w:rsid w:val="00136B33"/>
    <w:rsid w:val="00140038"/>
    <w:rsid w:val="00143E15"/>
    <w:rsid w:val="00150352"/>
    <w:rsid w:val="00150E12"/>
    <w:rsid w:val="00156752"/>
    <w:rsid w:val="00157264"/>
    <w:rsid w:val="0017025B"/>
    <w:rsid w:val="00180CEC"/>
    <w:rsid w:val="0018444A"/>
    <w:rsid w:val="0019006F"/>
    <w:rsid w:val="00191435"/>
    <w:rsid w:val="00192876"/>
    <w:rsid w:val="00195AF4"/>
    <w:rsid w:val="001A466F"/>
    <w:rsid w:val="001B57B5"/>
    <w:rsid w:val="001B7535"/>
    <w:rsid w:val="001D3680"/>
    <w:rsid w:val="001E6A74"/>
    <w:rsid w:val="001E73D3"/>
    <w:rsid w:val="001E7464"/>
    <w:rsid w:val="001F41D0"/>
    <w:rsid w:val="00220F16"/>
    <w:rsid w:val="00223632"/>
    <w:rsid w:val="00246926"/>
    <w:rsid w:val="00251FE8"/>
    <w:rsid w:val="00252F6D"/>
    <w:rsid w:val="00254C5B"/>
    <w:rsid w:val="00264D90"/>
    <w:rsid w:val="002724C5"/>
    <w:rsid w:val="00273ED2"/>
    <w:rsid w:val="002748E7"/>
    <w:rsid w:val="00291BB0"/>
    <w:rsid w:val="002A222E"/>
    <w:rsid w:val="002A59A8"/>
    <w:rsid w:val="002A6116"/>
    <w:rsid w:val="002A7E1F"/>
    <w:rsid w:val="002C226C"/>
    <w:rsid w:val="002F022D"/>
    <w:rsid w:val="002F1C7B"/>
    <w:rsid w:val="002F2014"/>
    <w:rsid w:val="003041A9"/>
    <w:rsid w:val="003041FA"/>
    <w:rsid w:val="003153F6"/>
    <w:rsid w:val="003342CD"/>
    <w:rsid w:val="00335042"/>
    <w:rsid w:val="0033678B"/>
    <w:rsid w:val="00360962"/>
    <w:rsid w:val="00362B70"/>
    <w:rsid w:val="00364415"/>
    <w:rsid w:val="00366680"/>
    <w:rsid w:val="00373B47"/>
    <w:rsid w:val="00392BBA"/>
    <w:rsid w:val="00392CEC"/>
    <w:rsid w:val="00393BF4"/>
    <w:rsid w:val="003954FD"/>
    <w:rsid w:val="003B0809"/>
    <w:rsid w:val="003B7075"/>
    <w:rsid w:val="003B7B35"/>
    <w:rsid w:val="003C7907"/>
    <w:rsid w:val="003D0189"/>
    <w:rsid w:val="003D60D7"/>
    <w:rsid w:val="003E0BDC"/>
    <w:rsid w:val="003E1CE3"/>
    <w:rsid w:val="00402AEC"/>
    <w:rsid w:val="004072C2"/>
    <w:rsid w:val="00410824"/>
    <w:rsid w:val="004115CB"/>
    <w:rsid w:val="004144D2"/>
    <w:rsid w:val="0042115C"/>
    <w:rsid w:val="00434674"/>
    <w:rsid w:val="004514E5"/>
    <w:rsid w:val="00462095"/>
    <w:rsid w:val="00472AAC"/>
    <w:rsid w:val="00473CB8"/>
    <w:rsid w:val="0048012C"/>
    <w:rsid w:val="00482B81"/>
    <w:rsid w:val="00482D4C"/>
    <w:rsid w:val="004935D4"/>
    <w:rsid w:val="00495390"/>
    <w:rsid w:val="004A0DFD"/>
    <w:rsid w:val="004A7747"/>
    <w:rsid w:val="004B3C0F"/>
    <w:rsid w:val="004B5D8D"/>
    <w:rsid w:val="004B7367"/>
    <w:rsid w:val="004C05E4"/>
    <w:rsid w:val="004C0A8B"/>
    <w:rsid w:val="004C1D06"/>
    <w:rsid w:val="004D24D1"/>
    <w:rsid w:val="004E15C0"/>
    <w:rsid w:val="004E39E1"/>
    <w:rsid w:val="004F56D0"/>
    <w:rsid w:val="004F65D9"/>
    <w:rsid w:val="005010A9"/>
    <w:rsid w:val="00501CB2"/>
    <w:rsid w:val="005022AB"/>
    <w:rsid w:val="00502F3D"/>
    <w:rsid w:val="00503E44"/>
    <w:rsid w:val="00507D01"/>
    <w:rsid w:val="005119A2"/>
    <w:rsid w:val="00513107"/>
    <w:rsid w:val="00515283"/>
    <w:rsid w:val="005306F2"/>
    <w:rsid w:val="00533926"/>
    <w:rsid w:val="00550B6B"/>
    <w:rsid w:val="0055675D"/>
    <w:rsid w:val="005653FF"/>
    <w:rsid w:val="00565951"/>
    <w:rsid w:val="00566E8F"/>
    <w:rsid w:val="0057422E"/>
    <w:rsid w:val="00582A4F"/>
    <w:rsid w:val="005833BE"/>
    <w:rsid w:val="00593A83"/>
    <w:rsid w:val="005B3363"/>
    <w:rsid w:val="005C4BA6"/>
    <w:rsid w:val="005D52F4"/>
    <w:rsid w:val="005D7D5A"/>
    <w:rsid w:val="005E42CD"/>
    <w:rsid w:val="005E4BAC"/>
    <w:rsid w:val="005F3E88"/>
    <w:rsid w:val="005F7C18"/>
    <w:rsid w:val="0060047C"/>
    <w:rsid w:val="0060130D"/>
    <w:rsid w:val="006100E5"/>
    <w:rsid w:val="00612C87"/>
    <w:rsid w:val="00614514"/>
    <w:rsid w:val="00625DED"/>
    <w:rsid w:val="00631D7B"/>
    <w:rsid w:val="0064129F"/>
    <w:rsid w:val="00645149"/>
    <w:rsid w:val="00647BB7"/>
    <w:rsid w:val="006548EF"/>
    <w:rsid w:val="00680297"/>
    <w:rsid w:val="00685BF9"/>
    <w:rsid w:val="006873CE"/>
    <w:rsid w:val="00697CBD"/>
    <w:rsid w:val="006A0786"/>
    <w:rsid w:val="006B5716"/>
    <w:rsid w:val="006F22DC"/>
    <w:rsid w:val="006F6264"/>
    <w:rsid w:val="00705C7B"/>
    <w:rsid w:val="00710E94"/>
    <w:rsid w:val="007112E5"/>
    <w:rsid w:val="007134DD"/>
    <w:rsid w:val="0071555B"/>
    <w:rsid w:val="00727D8A"/>
    <w:rsid w:val="00731FEA"/>
    <w:rsid w:val="00735556"/>
    <w:rsid w:val="00736F61"/>
    <w:rsid w:val="00742253"/>
    <w:rsid w:val="00742676"/>
    <w:rsid w:val="00744244"/>
    <w:rsid w:val="007662C7"/>
    <w:rsid w:val="00776306"/>
    <w:rsid w:val="00791BAD"/>
    <w:rsid w:val="007A389A"/>
    <w:rsid w:val="007A55A7"/>
    <w:rsid w:val="007B1F10"/>
    <w:rsid w:val="007B335E"/>
    <w:rsid w:val="007C1102"/>
    <w:rsid w:val="007C35EA"/>
    <w:rsid w:val="007C7D64"/>
    <w:rsid w:val="007D4B4A"/>
    <w:rsid w:val="007E018D"/>
    <w:rsid w:val="007F1B71"/>
    <w:rsid w:val="00803DE5"/>
    <w:rsid w:val="00807E7D"/>
    <w:rsid w:val="00831675"/>
    <w:rsid w:val="0086040E"/>
    <w:rsid w:val="00863BCA"/>
    <w:rsid w:val="008642A2"/>
    <w:rsid w:val="00881E87"/>
    <w:rsid w:val="0088467C"/>
    <w:rsid w:val="00894579"/>
    <w:rsid w:val="008A07A1"/>
    <w:rsid w:val="008A42D3"/>
    <w:rsid w:val="008A5B67"/>
    <w:rsid w:val="008A5CCD"/>
    <w:rsid w:val="008B4E2E"/>
    <w:rsid w:val="008D16F7"/>
    <w:rsid w:val="008D5175"/>
    <w:rsid w:val="008E1427"/>
    <w:rsid w:val="008E3716"/>
    <w:rsid w:val="0090407A"/>
    <w:rsid w:val="009143A0"/>
    <w:rsid w:val="00931596"/>
    <w:rsid w:val="00932506"/>
    <w:rsid w:val="00936902"/>
    <w:rsid w:val="009369B6"/>
    <w:rsid w:val="00951697"/>
    <w:rsid w:val="00954679"/>
    <w:rsid w:val="0095690B"/>
    <w:rsid w:val="00971986"/>
    <w:rsid w:val="00976901"/>
    <w:rsid w:val="00977113"/>
    <w:rsid w:val="009774B9"/>
    <w:rsid w:val="00986B6C"/>
    <w:rsid w:val="009A05A1"/>
    <w:rsid w:val="009B646F"/>
    <w:rsid w:val="009B7D44"/>
    <w:rsid w:val="009C6A1E"/>
    <w:rsid w:val="009E2F86"/>
    <w:rsid w:val="009E5C55"/>
    <w:rsid w:val="009F14FA"/>
    <w:rsid w:val="00A12209"/>
    <w:rsid w:val="00A13212"/>
    <w:rsid w:val="00A26433"/>
    <w:rsid w:val="00A34CA4"/>
    <w:rsid w:val="00A36DF3"/>
    <w:rsid w:val="00A40F08"/>
    <w:rsid w:val="00A411FE"/>
    <w:rsid w:val="00A532DD"/>
    <w:rsid w:val="00A60843"/>
    <w:rsid w:val="00A67E74"/>
    <w:rsid w:val="00A71B15"/>
    <w:rsid w:val="00A76919"/>
    <w:rsid w:val="00A80BCF"/>
    <w:rsid w:val="00A8369C"/>
    <w:rsid w:val="00AA0C2B"/>
    <w:rsid w:val="00AA1689"/>
    <w:rsid w:val="00AA5770"/>
    <w:rsid w:val="00AB0037"/>
    <w:rsid w:val="00AB1624"/>
    <w:rsid w:val="00AB3151"/>
    <w:rsid w:val="00AB5C61"/>
    <w:rsid w:val="00AC1D15"/>
    <w:rsid w:val="00AC329C"/>
    <w:rsid w:val="00AD07E7"/>
    <w:rsid w:val="00AD43CB"/>
    <w:rsid w:val="00AD6770"/>
    <w:rsid w:val="00AE20A9"/>
    <w:rsid w:val="00AE370B"/>
    <w:rsid w:val="00B07B0C"/>
    <w:rsid w:val="00B15B30"/>
    <w:rsid w:val="00B21E1B"/>
    <w:rsid w:val="00B25563"/>
    <w:rsid w:val="00B26D48"/>
    <w:rsid w:val="00B34FCA"/>
    <w:rsid w:val="00B42EE1"/>
    <w:rsid w:val="00B65CFD"/>
    <w:rsid w:val="00B802E3"/>
    <w:rsid w:val="00B8293D"/>
    <w:rsid w:val="00B92478"/>
    <w:rsid w:val="00BA6188"/>
    <w:rsid w:val="00BB0AD1"/>
    <w:rsid w:val="00BC3377"/>
    <w:rsid w:val="00BD55EF"/>
    <w:rsid w:val="00BD61A2"/>
    <w:rsid w:val="00BE3963"/>
    <w:rsid w:val="00BE4147"/>
    <w:rsid w:val="00BE484D"/>
    <w:rsid w:val="00C15656"/>
    <w:rsid w:val="00C252A4"/>
    <w:rsid w:val="00C30535"/>
    <w:rsid w:val="00C357B3"/>
    <w:rsid w:val="00C36FAC"/>
    <w:rsid w:val="00C37E05"/>
    <w:rsid w:val="00C45D76"/>
    <w:rsid w:val="00C47789"/>
    <w:rsid w:val="00C522DC"/>
    <w:rsid w:val="00C55D29"/>
    <w:rsid w:val="00C57DBB"/>
    <w:rsid w:val="00C60909"/>
    <w:rsid w:val="00C6722D"/>
    <w:rsid w:val="00C96D1F"/>
    <w:rsid w:val="00CA0BE9"/>
    <w:rsid w:val="00CA138D"/>
    <w:rsid w:val="00CB0A1F"/>
    <w:rsid w:val="00CB76B2"/>
    <w:rsid w:val="00CC7641"/>
    <w:rsid w:val="00CD4C89"/>
    <w:rsid w:val="00CE0E74"/>
    <w:rsid w:val="00CE42CA"/>
    <w:rsid w:val="00D12B1B"/>
    <w:rsid w:val="00D13794"/>
    <w:rsid w:val="00D1606E"/>
    <w:rsid w:val="00D24052"/>
    <w:rsid w:val="00D24386"/>
    <w:rsid w:val="00D31575"/>
    <w:rsid w:val="00D34626"/>
    <w:rsid w:val="00D34FB4"/>
    <w:rsid w:val="00D4257A"/>
    <w:rsid w:val="00D44A5D"/>
    <w:rsid w:val="00D62665"/>
    <w:rsid w:val="00D66C71"/>
    <w:rsid w:val="00D82E47"/>
    <w:rsid w:val="00D8407A"/>
    <w:rsid w:val="00D86302"/>
    <w:rsid w:val="00D93E83"/>
    <w:rsid w:val="00DC0CDE"/>
    <w:rsid w:val="00DC4D72"/>
    <w:rsid w:val="00DD1DFD"/>
    <w:rsid w:val="00DD3047"/>
    <w:rsid w:val="00DD6BA8"/>
    <w:rsid w:val="00DF5206"/>
    <w:rsid w:val="00E03330"/>
    <w:rsid w:val="00E0624D"/>
    <w:rsid w:val="00E06635"/>
    <w:rsid w:val="00E26992"/>
    <w:rsid w:val="00E353A3"/>
    <w:rsid w:val="00E4438C"/>
    <w:rsid w:val="00E457F3"/>
    <w:rsid w:val="00E458EA"/>
    <w:rsid w:val="00E72652"/>
    <w:rsid w:val="00E72BDA"/>
    <w:rsid w:val="00E7345D"/>
    <w:rsid w:val="00E913AE"/>
    <w:rsid w:val="00E9671C"/>
    <w:rsid w:val="00E96FCA"/>
    <w:rsid w:val="00EA0EF1"/>
    <w:rsid w:val="00EA2993"/>
    <w:rsid w:val="00EA4DD8"/>
    <w:rsid w:val="00EB2AEF"/>
    <w:rsid w:val="00EB3667"/>
    <w:rsid w:val="00EB7E71"/>
    <w:rsid w:val="00EC419F"/>
    <w:rsid w:val="00ED3D68"/>
    <w:rsid w:val="00ED6261"/>
    <w:rsid w:val="00ED65E2"/>
    <w:rsid w:val="00EE36BC"/>
    <w:rsid w:val="00EF3530"/>
    <w:rsid w:val="00F0560D"/>
    <w:rsid w:val="00F109D4"/>
    <w:rsid w:val="00F15EE9"/>
    <w:rsid w:val="00F462B3"/>
    <w:rsid w:val="00F47585"/>
    <w:rsid w:val="00F67224"/>
    <w:rsid w:val="00F71E6D"/>
    <w:rsid w:val="00F85E6F"/>
    <w:rsid w:val="00FB2C50"/>
    <w:rsid w:val="00FD5BB4"/>
    <w:rsid w:val="00FE04E4"/>
    <w:rsid w:val="00FE2E33"/>
    <w:rsid w:val="00FE73F9"/>
    <w:rsid w:val="00FF1057"/>
    <w:rsid w:val="00FF1F0C"/>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45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Revision">
    <w:name w:val="Revision"/>
    <w:hidden/>
    <w:uiPriority w:val="99"/>
    <w:semiHidden/>
    <w:rsid w:val="00BD55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424562">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96149C478846258A9B51C2BB6C5B28"/>
        <w:category>
          <w:name w:val="General"/>
          <w:gallery w:val="placeholder"/>
        </w:category>
        <w:types>
          <w:type w:val="bbPlcHdr"/>
        </w:types>
        <w:behaviors>
          <w:behavior w:val="content"/>
        </w:behaviors>
        <w:guid w:val="{BD3A07A1-63B4-4854-BC60-C9BDEA167787}"/>
      </w:docPartPr>
      <w:docPartBody>
        <w:p w:rsidR="00744947" w:rsidRDefault="00DD2639">
          <w:pPr>
            <w:pStyle w:val="C596149C478846258A9B51C2BB6C5B28"/>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47"/>
    <w:rsid w:val="00246926"/>
    <w:rsid w:val="002F2014"/>
    <w:rsid w:val="00472AAC"/>
    <w:rsid w:val="005A0741"/>
    <w:rsid w:val="00744947"/>
    <w:rsid w:val="00AA0C2B"/>
    <w:rsid w:val="00B802E3"/>
    <w:rsid w:val="00BB34E4"/>
    <w:rsid w:val="00BC3377"/>
    <w:rsid w:val="00D60BAA"/>
    <w:rsid w:val="00DD2639"/>
    <w:rsid w:val="00E852D9"/>
    <w:rsid w:val="00EF3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596149C478846258A9B51C2BB6C5B28">
    <w:name w:val="C596149C478846258A9B51C2BB6C5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7b4332ef475eac13c704909a3e0428c9">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1eecccd11df578f39a682f0c1634ec57"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7" nillable="true" ma:displayName="Created By Division" ma:internalName="TSY_CreatedByDivision" ma:readOnly="true">
      <xsd:simpleType>
        <xsd:restriction base="dms:Text"/>
      </xsd:simpleType>
    </xsd:element>
    <xsd:element name="TSY_ModifiedByDivision" ma:index="38"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S574FYTY5PW6-969949929-2877</_dlc_DocId>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_dlc_DocIdUrl xmlns="fe39d773-a83d-4623-ae74-f25711a76616">
      <Url>https://austreasury.sharepoint.com/sites/leg-cord-function/_layouts/15/DocIdRedir.aspx?ID=S574FYTY5PW6-969949929-2877</Url>
      <Description>S574FYTY5PW6-969949929-2877</Description>
    </_dlc_DocIdUrl>
    <ge25bdd0d6464e36b066695d9e81d63d xmlns="fe39d773-a83d-4623-ae74-f25711a76616">
      <Terms xmlns="http://schemas.microsoft.com/office/infopath/2007/PartnerControls"/>
    </ge25bdd0d6464e36b066695d9e81d63d>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lcf76f155ced4ddcb4097134ff3c332f xmlns="30b813c2-29e2-43aa-bac2-1ed67b791ce7">
      <Terms xmlns="http://schemas.microsoft.com/office/infopath/2007/PartnerControls"/>
    </lcf76f155ced4ddcb4097134ff3c332f>
    <TaxCatchAll xmlns="ff38c824-6e29-4496-8487-69f397e7ed29">
      <Value>35</Value>
      <Value>36</Value>
      <Value>42</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SY_ModifiedByDivision xmlns="ff38c824-6e29-4496-8487-69f397e7ed29">Small Business Corporate and Law Group - Law Division</TSY_ModifiedByDivision>
    <TSY_CreatedByDivision xmlns="ff38c824-6e29-4496-8487-69f397e7ed29">Small Business Corporate and Law Group - Law Division</TSY_CreatedByDivision>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documentManagement>
</p:propertie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583452AB-D480-44E6-A86D-9837E0B10320}"/>
</file>

<file path=customXml/itemProps3.xml><?xml version="1.0" encoding="utf-8"?>
<ds:datastoreItem xmlns:ds="http://schemas.openxmlformats.org/officeDocument/2006/customXml" ds:itemID="{D76D4334-3747-41B9-8270-5C8FF210C5C5}"/>
</file>

<file path=customXml/itemProps4.xml><?xml version="1.0" encoding="utf-8"?>
<ds:datastoreItem xmlns:ds="http://schemas.openxmlformats.org/officeDocument/2006/customXml" ds:itemID="{B7AC3872-6233-4A20-A443-F279DD12EAC0}"/>
</file>

<file path=customXml/itemProps5.xml><?xml version="1.0" encoding="utf-8"?>
<ds:datastoreItem xmlns:ds="http://schemas.openxmlformats.org/officeDocument/2006/customXml" ds:itemID="{3EBAD7F0-E082-419F-B411-5CC90051499C}"/>
</file>

<file path=docProps/app.xml><?xml version="1.0" encoding="utf-8"?>
<Properties xmlns="http://schemas.openxmlformats.org/officeDocument/2006/extended-properties" xmlns:vt="http://schemas.openxmlformats.org/officeDocument/2006/docPropsVTypes">
  <Template>Normal.dotm</Template>
  <TotalTime>0</TotalTime>
  <Pages>4</Pages>
  <Words>1087</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2025-08-28T05:58:00Z</dcterms:created>
  <dcterms:modified xsi:type="dcterms:W3CDTF">2025-08-28T05:58:00Z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2025-08-28T05:58:11Z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c532654a-4160-4e99-ae34-1e4b1c9a3439</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TSYStatus">
    <vt:lpwstr/>
  </property>
  <property fmtid="{D5CDD505-2E9C-101B-9397-08002B2CF9AE}" pid="11" name="Document_x0020_Type">
    <vt:lpwstr>42;#Legislation|25c35cca-98fe-4d3e-a63c-3dda1c39f3ec</vt:lpwstr>
  </property>
  <property fmtid="{D5CDD505-2E9C-101B-9397-08002B2CF9AE}" pid="12" name="Topic">
    <vt:lpwstr>36;#Legislation Coordination|58c6712e-e847-48f4-81ab-b25e2bbd3986</vt:lpwstr>
  </property>
  <property fmtid="{D5CDD505-2E9C-101B-9397-08002B2CF9AE}" pid="13" name="Activity">
    <vt:lpwstr>35;#Legislation management|cb630f2f-9155-496b-ad0f-d960eb1bf90c</vt:lpwstr>
  </property>
  <property fmtid="{D5CDD505-2E9C-101B-9397-08002B2CF9AE}" pid="14" name="MediaServiceImageTags">
    <vt:lpwstr/>
  </property>
  <property fmtid="{D5CDD505-2E9C-101B-9397-08002B2CF9AE}" pid="15" name="ContentTypeId">
    <vt:lpwstr>0x010100B569D256E75E71428C72445DFBB99E7A</vt:lpwstr>
  </property>
  <property fmtid="{D5CDD505-2E9C-101B-9397-08002B2CF9AE}" pid="16" name="eTheme">
    <vt:lpwstr>1</vt:lpwstr>
  </property>
  <property fmtid="{D5CDD505-2E9C-101B-9397-08002B2CF9AE}" pid="17" name="eDocumentType">
    <vt:lpwstr>153;#Explanatory Materials|ac61e78e-992e-40fd-ae93-2c9522960b05</vt:lpwstr>
  </property>
  <property fmtid="{D5CDD505-2E9C-101B-9397-08002B2CF9AE}" pid="18" name="_NewReviewCycle">
    <vt:lpwstr/>
  </property>
  <property fmtid="{D5CDD505-2E9C-101B-9397-08002B2CF9AE}" pid="19" name="_docset_NoMedatataSyncRequired">
    <vt:lpwstr>False</vt:lpwstr>
  </property>
  <property fmtid="{D5CDD505-2E9C-101B-9397-08002B2CF9AE}" pid="20" name="Document Type">
    <vt:lpwstr>42;#Legislation|25c35cca-98fe-4d3e-a63c-3dda1c39f3ec</vt:lpwstr>
  </property>
  <property fmtid="{D5CDD505-2E9C-101B-9397-08002B2CF9AE}" pid="21" name="LMDivision">
    <vt:lpwstr>3;#Treasury Enterprise Terms|69519368-d55f-4403-adc0-7b3d464d5501</vt:lpwstr>
  </property>
  <property fmtid="{D5CDD505-2E9C-101B-9397-08002B2CF9AE}" pid="22" name="eActivity">
    <vt:lpwstr>35</vt:lpwstr>
  </property>
  <property fmtid="{D5CDD505-2E9C-101B-9397-08002B2CF9AE}" pid="23" name="k8424359e03846678cc4a99dd97e9705">
    <vt:lpwstr>Treasury Enterprise Terms|69519368-d55f-4403-adc0-7b3d464d5501</vt:lpwstr>
  </property>
  <property fmtid="{D5CDD505-2E9C-101B-9397-08002B2CF9AE}" pid="24" name="TSYRecordClass">
    <vt:lpwstr>1;#AE-20260-Destroy 7 years after action completed|623f5ec9-ec5d-4824-8e13-9c9bfc51fe7e</vt:lpwstr>
  </property>
  <property fmtid="{D5CDD505-2E9C-101B-9397-08002B2CF9AE}" pid="25" name="_dlc_DocIdItemGuid">
    <vt:lpwstr>6d8eea7f-61d9-4239-91b4-5f99f9dff469</vt:lpwstr>
  </property>
  <property fmtid="{D5CDD505-2E9C-101B-9397-08002B2CF9AE}" pid="26" name="eTopic">
    <vt:lpwstr>36;#Legislation Coordination|58c6712e-e847-48f4-81ab-b25e2bbd3986</vt:lpwstr>
  </property>
</Properties>
</file>