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3A3B" w14:textId="705FA146" w:rsidR="00715914" w:rsidRPr="00CF31CB" w:rsidRDefault="00DA186E" w:rsidP="00715914">
      <w:pPr>
        <w:rPr>
          <w:sz w:val="28"/>
        </w:rPr>
      </w:pPr>
      <w:bookmarkStart w:id="0" w:name="_Hlk201637593"/>
      <w:r w:rsidRPr="00CF31CB">
        <w:rPr>
          <w:noProof/>
          <w:lang w:eastAsia="en-AU"/>
        </w:rPr>
        <w:drawing>
          <wp:inline distT="0" distB="0" distL="0" distR="0" wp14:anchorId="71993826" wp14:editId="3EE544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DF12" w14:textId="77777777" w:rsidR="00715914" w:rsidRPr="00CF31CB" w:rsidRDefault="00715914" w:rsidP="00715914">
      <w:pPr>
        <w:rPr>
          <w:sz w:val="19"/>
        </w:rPr>
      </w:pPr>
    </w:p>
    <w:p w14:paraId="6C959645" w14:textId="5ACFE95F" w:rsidR="00554826" w:rsidRPr="00CF31CB" w:rsidRDefault="00C03158" w:rsidP="00554826">
      <w:pPr>
        <w:pStyle w:val="ShortT"/>
      </w:pPr>
      <w:r w:rsidRPr="00CF31CB">
        <w:t>Universities Accord (Student Support and Other Measures)</w:t>
      </w:r>
      <w:r w:rsidR="00554826" w:rsidRPr="00CF31CB">
        <w:t xml:space="preserve"> (</w:t>
      </w:r>
      <w:r w:rsidRPr="00CF31CB">
        <w:t>Adelaide University</w:t>
      </w:r>
      <w:r w:rsidR="00554826" w:rsidRPr="00CF31CB">
        <w:t xml:space="preserve">) </w:t>
      </w:r>
      <w:r w:rsidRPr="00CF31CB">
        <w:t>Transitional Rules 2025</w:t>
      </w:r>
    </w:p>
    <w:p w14:paraId="41B2C203" w14:textId="1A195FAA" w:rsidR="00554826" w:rsidRPr="00CF31CB" w:rsidRDefault="00554826" w:rsidP="00554826">
      <w:pPr>
        <w:pStyle w:val="SignCoverPageStart"/>
        <w:spacing w:before="240"/>
        <w:ind w:right="91"/>
        <w:rPr>
          <w:szCs w:val="22"/>
        </w:rPr>
      </w:pPr>
      <w:r w:rsidRPr="00CF31CB">
        <w:rPr>
          <w:szCs w:val="22"/>
        </w:rPr>
        <w:t xml:space="preserve">I, </w:t>
      </w:r>
      <w:r w:rsidR="00C03158" w:rsidRPr="00CF31CB">
        <w:rPr>
          <w:szCs w:val="22"/>
        </w:rPr>
        <w:t>Jason Clare</w:t>
      </w:r>
      <w:r w:rsidRPr="00CF31CB">
        <w:rPr>
          <w:szCs w:val="22"/>
        </w:rPr>
        <w:t xml:space="preserve">, </w:t>
      </w:r>
      <w:r w:rsidR="00C03158" w:rsidRPr="00CF31CB">
        <w:rPr>
          <w:szCs w:val="22"/>
        </w:rPr>
        <w:t>Minister for Education</w:t>
      </w:r>
      <w:r w:rsidRPr="00CF31CB">
        <w:rPr>
          <w:szCs w:val="22"/>
        </w:rPr>
        <w:t xml:space="preserve">, make the following </w:t>
      </w:r>
      <w:r w:rsidR="00C03158" w:rsidRPr="00CF31CB">
        <w:rPr>
          <w:szCs w:val="22"/>
        </w:rPr>
        <w:t>rules</w:t>
      </w:r>
      <w:r w:rsidRPr="00CF31CB">
        <w:rPr>
          <w:szCs w:val="22"/>
        </w:rPr>
        <w:t>.</w:t>
      </w:r>
    </w:p>
    <w:p w14:paraId="01C9CB21" w14:textId="2B679FE2" w:rsidR="00554826" w:rsidRPr="00CF31CB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F31CB">
        <w:rPr>
          <w:szCs w:val="22"/>
        </w:rPr>
        <w:t>Dated</w:t>
      </w:r>
      <w:r w:rsidRPr="00CF31CB">
        <w:rPr>
          <w:szCs w:val="22"/>
        </w:rPr>
        <w:tab/>
      </w:r>
      <w:r w:rsidR="00C16020">
        <w:rPr>
          <w:szCs w:val="22"/>
        </w:rPr>
        <w:tab/>
        <w:t>26/08/</w:t>
      </w:r>
      <w:r w:rsidR="000D5E72">
        <w:rPr>
          <w:szCs w:val="22"/>
        </w:rPr>
        <w:t>2025</w:t>
      </w:r>
      <w:r w:rsidRPr="00CF31CB">
        <w:rPr>
          <w:szCs w:val="22"/>
        </w:rPr>
        <w:tab/>
      </w:r>
      <w:r w:rsidRPr="00CF31CB">
        <w:rPr>
          <w:szCs w:val="22"/>
        </w:rPr>
        <w:tab/>
      </w:r>
    </w:p>
    <w:p w14:paraId="358262E4" w14:textId="29C65552" w:rsidR="00554826" w:rsidRPr="00CF31CB" w:rsidRDefault="00C0315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F31CB">
        <w:rPr>
          <w:szCs w:val="22"/>
        </w:rPr>
        <w:t>Jason Clare</w:t>
      </w:r>
      <w:r w:rsidR="00554826" w:rsidRPr="00CF31CB">
        <w:rPr>
          <w:szCs w:val="22"/>
        </w:rPr>
        <w:t xml:space="preserve"> </w:t>
      </w:r>
    </w:p>
    <w:p w14:paraId="66189D9E" w14:textId="4AFA22F1" w:rsidR="00554826" w:rsidRPr="00CF31CB" w:rsidRDefault="00C03158" w:rsidP="00554826">
      <w:pPr>
        <w:pStyle w:val="SignCoverPageEnd"/>
        <w:ind w:right="91"/>
        <w:rPr>
          <w:sz w:val="22"/>
        </w:rPr>
      </w:pPr>
      <w:r w:rsidRPr="00CF31CB">
        <w:rPr>
          <w:sz w:val="22"/>
        </w:rPr>
        <w:t>Minister for Education</w:t>
      </w:r>
    </w:p>
    <w:p w14:paraId="5963B09B" w14:textId="77777777" w:rsidR="00554826" w:rsidRPr="00CF31CB" w:rsidRDefault="00554826" w:rsidP="00554826"/>
    <w:p w14:paraId="607B0DF6" w14:textId="77777777" w:rsidR="00554826" w:rsidRPr="00CF31CB" w:rsidRDefault="00554826" w:rsidP="00554826"/>
    <w:p w14:paraId="6BD38688" w14:textId="77777777" w:rsidR="00F6696E" w:rsidRPr="00CF31CB" w:rsidRDefault="00F6696E" w:rsidP="00F6696E"/>
    <w:p w14:paraId="2CDD0C63" w14:textId="77777777" w:rsidR="00F6696E" w:rsidRPr="00CF31CB" w:rsidRDefault="00F6696E" w:rsidP="00F6696E">
      <w:pPr>
        <w:sectPr w:rsidR="00F6696E" w:rsidRPr="00CF31CB" w:rsidSect="002166CC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7310AE8" w14:textId="77777777" w:rsidR="007500C8" w:rsidRPr="00CF31CB" w:rsidRDefault="00715914" w:rsidP="00715914">
      <w:pPr>
        <w:outlineLvl w:val="0"/>
        <w:rPr>
          <w:sz w:val="36"/>
        </w:rPr>
      </w:pPr>
      <w:r w:rsidRPr="00CF31CB">
        <w:rPr>
          <w:sz w:val="36"/>
        </w:rPr>
        <w:lastRenderedPageBreak/>
        <w:t>Contents</w:t>
      </w:r>
    </w:p>
    <w:p w14:paraId="7E1C86BB" w14:textId="512C6E59" w:rsidR="00A4305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1CB">
        <w:fldChar w:fldCharType="begin"/>
      </w:r>
      <w:r w:rsidRPr="00CF31CB">
        <w:instrText xml:space="preserve"> TOC \o "1-9" </w:instrText>
      </w:r>
      <w:r w:rsidRPr="00CF31CB">
        <w:fldChar w:fldCharType="separate"/>
      </w:r>
      <w:r w:rsidR="00A4305A">
        <w:rPr>
          <w:noProof/>
        </w:rPr>
        <w:t>1  Name</w:t>
      </w:r>
      <w:r w:rsidR="00A4305A">
        <w:rPr>
          <w:noProof/>
        </w:rPr>
        <w:tab/>
      </w:r>
      <w:r w:rsidR="00A4305A">
        <w:rPr>
          <w:noProof/>
        </w:rPr>
        <w:fldChar w:fldCharType="begin"/>
      </w:r>
      <w:r w:rsidR="00A4305A">
        <w:rPr>
          <w:noProof/>
        </w:rPr>
        <w:instrText xml:space="preserve"> PAGEREF _Toc205533481 \h </w:instrText>
      </w:r>
      <w:r w:rsidR="00A4305A">
        <w:rPr>
          <w:noProof/>
        </w:rPr>
      </w:r>
      <w:r w:rsidR="00A4305A">
        <w:rPr>
          <w:noProof/>
        </w:rPr>
        <w:fldChar w:fldCharType="separate"/>
      </w:r>
      <w:r w:rsidR="0064774C">
        <w:rPr>
          <w:noProof/>
        </w:rPr>
        <w:t>1</w:t>
      </w:r>
      <w:r w:rsidR="00A4305A">
        <w:rPr>
          <w:noProof/>
        </w:rPr>
        <w:fldChar w:fldCharType="end"/>
      </w:r>
    </w:p>
    <w:p w14:paraId="2769A813" w14:textId="72B80D2E" w:rsidR="00A4305A" w:rsidRDefault="00A430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_Toc205533482 \h </w:instrText>
      </w:r>
      <w:r>
        <w:rPr>
          <w:noProof/>
        </w:rPr>
      </w:r>
      <w:r>
        <w:rPr>
          <w:noProof/>
        </w:rPr>
        <w:fldChar w:fldCharType="separate"/>
      </w:r>
      <w:r w:rsidR="0064774C">
        <w:rPr>
          <w:noProof/>
        </w:rPr>
        <w:t>1</w:t>
      </w:r>
      <w:r>
        <w:rPr>
          <w:noProof/>
        </w:rPr>
        <w:fldChar w:fldCharType="end"/>
      </w:r>
    </w:p>
    <w:p w14:paraId="1B61A95C" w14:textId="0843BB0A" w:rsidR="00A4305A" w:rsidRDefault="00A430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_Toc205533483 \h </w:instrText>
      </w:r>
      <w:r>
        <w:rPr>
          <w:noProof/>
        </w:rPr>
      </w:r>
      <w:r>
        <w:rPr>
          <w:noProof/>
        </w:rPr>
        <w:fldChar w:fldCharType="separate"/>
      </w:r>
      <w:r w:rsidR="0064774C">
        <w:rPr>
          <w:noProof/>
        </w:rPr>
        <w:t>1</w:t>
      </w:r>
      <w:r>
        <w:rPr>
          <w:noProof/>
        </w:rPr>
        <w:fldChar w:fldCharType="end"/>
      </w:r>
    </w:p>
    <w:p w14:paraId="0CAAFAB4" w14:textId="0B819AF2" w:rsidR="00A4305A" w:rsidRDefault="00A430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_Toc205533484 \h </w:instrText>
      </w:r>
      <w:r>
        <w:rPr>
          <w:noProof/>
        </w:rPr>
      </w:r>
      <w:r>
        <w:rPr>
          <w:noProof/>
        </w:rPr>
        <w:fldChar w:fldCharType="separate"/>
      </w:r>
      <w:r w:rsidR="0064774C">
        <w:rPr>
          <w:noProof/>
        </w:rPr>
        <w:t>1</w:t>
      </w:r>
      <w:r>
        <w:rPr>
          <w:noProof/>
        </w:rPr>
        <w:fldChar w:fldCharType="end"/>
      </w:r>
    </w:p>
    <w:p w14:paraId="16607B6C" w14:textId="5EEC4886" w:rsidR="00A4305A" w:rsidRDefault="00A430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Transitional rules in relation to funding agreement for Adelaide University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_Toc205533485 \h </w:instrText>
      </w:r>
      <w:r>
        <w:rPr>
          <w:noProof/>
        </w:rPr>
      </w:r>
      <w:r>
        <w:rPr>
          <w:noProof/>
        </w:rPr>
        <w:fldChar w:fldCharType="separate"/>
      </w:r>
      <w:r w:rsidR="0064774C">
        <w:rPr>
          <w:noProof/>
        </w:rPr>
        <w:t>2</w:t>
      </w:r>
      <w:r>
        <w:rPr>
          <w:noProof/>
        </w:rPr>
        <w:fldChar w:fldCharType="end"/>
      </w:r>
    </w:p>
    <w:p w14:paraId="0E6BA246" w14:textId="0BBE4AFB" w:rsidR="00A4305A" w:rsidRDefault="00A430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Transitional rules in relation to transfer of enrolments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_Toc205533486 \h </w:instrText>
      </w:r>
      <w:r>
        <w:rPr>
          <w:noProof/>
        </w:rPr>
      </w:r>
      <w:r>
        <w:rPr>
          <w:noProof/>
        </w:rPr>
        <w:fldChar w:fldCharType="separate"/>
      </w:r>
      <w:r w:rsidR="0064774C">
        <w:rPr>
          <w:noProof/>
        </w:rPr>
        <w:t>3</w:t>
      </w:r>
      <w:r>
        <w:rPr>
          <w:noProof/>
        </w:rPr>
        <w:fldChar w:fldCharType="end"/>
      </w:r>
    </w:p>
    <w:p w14:paraId="36827E63" w14:textId="6602379E" w:rsidR="00F6696E" w:rsidRPr="00245E6E" w:rsidRDefault="00B418CB" w:rsidP="00245E6E">
      <w:r w:rsidRPr="00CF31CB">
        <w:fldChar w:fldCharType="end"/>
      </w:r>
    </w:p>
    <w:p w14:paraId="47377295" w14:textId="77777777" w:rsidR="00F6696E" w:rsidRPr="00245E6E" w:rsidRDefault="00F6696E" w:rsidP="00245E6E"/>
    <w:p w14:paraId="35339712" w14:textId="77777777" w:rsidR="00F6696E" w:rsidRPr="00245E6E" w:rsidRDefault="00F6696E" w:rsidP="00245E6E">
      <w:pPr>
        <w:sectPr w:rsidR="00F6696E" w:rsidRPr="00245E6E" w:rsidSect="002166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375852" w14:textId="77777777" w:rsidR="00554826" w:rsidRPr="00CF31CB" w:rsidRDefault="00554826" w:rsidP="00554826">
      <w:pPr>
        <w:pStyle w:val="ActHead5"/>
      </w:pPr>
      <w:bookmarkStart w:id="1" w:name="_Toc195621647"/>
      <w:bookmarkStart w:id="2" w:name="_Toc205533481"/>
      <w:r w:rsidRPr="00CF31CB">
        <w:lastRenderedPageBreak/>
        <w:t>1  Name</w:t>
      </w:r>
      <w:bookmarkEnd w:id="1"/>
      <w:bookmarkEnd w:id="2"/>
    </w:p>
    <w:p w14:paraId="4143FFE8" w14:textId="130C30FA" w:rsidR="00554826" w:rsidRPr="00CF31CB" w:rsidRDefault="00554826" w:rsidP="00554826">
      <w:pPr>
        <w:pStyle w:val="subsection"/>
      </w:pPr>
      <w:r w:rsidRPr="00CF31CB">
        <w:tab/>
      </w:r>
      <w:r w:rsidRPr="00CF31CB">
        <w:tab/>
        <w:t xml:space="preserve">This instrument is the </w:t>
      </w:r>
      <w:bookmarkStart w:id="3" w:name="BKCheck15B_3"/>
      <w:bookmarkEnd w:id="3"/>
      <w:r w:rsidR="00C03158" w:rsidRPr="00CF31CB">
        <w:rPr>
          <w:i/>
          <w:iCs/>
        </w:rPr>
        <w:t>Universities Accord (Student Support and Other Measures) (Adelaide University) Transitional Rules 2025</w:t>
      </w:r>
      <w:r w:rsidRPr="00CF31CB">
        <w:t>.</w:t>
      </w:r>
    </w:p>
    <w:p w14:paraId="68BD3102" w14:textId="77777777" w:rsidR="00554826" w:rsidRPr="00CF31CB" w:rsidRDefault="00554826" w:rsidP="00554826">
      <w:pPr>
        <w:pStyle w:val="ActHead5"/>
      </w:pPr>
      <w:bookmarkStart w:id="4" w:name="_Toc195621648"/>
      <w:bookmarkStart w:id="5" w:name="_Toc205533482"/>
      <w:r w:rsidRPr="00CF31CB">
        <w:t>2  Commencement</w:t>
      </w:r>
      <w:bookmarkEnd w:id="4"/>
      <w:bookmarkEnd w:id="5"/>
    </w:p>
    <w:p w14:paraId="2D3490D8" w14:textId="66DF24AB" w:rsidR="00743DB2" w:rsidRPr="009A3735" w:rsidRDefault="0087425F" w:rsidP="00743DB2">
      <w:pPr>
        <w:pStyle w:val="subsection"/>
      </w:pPr>
      <w:r>
        <w:tab/>
      </w:r>
      <w:r w:rsidR="00743DB2" w:rsidRPr="009A3735">
        <w:t>(1)</w:t>
      </w:r>
      <w:r w:rsidR="00743DB2" w:rsidRPr="009A373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4A56DA2" w14:textId="77777777" w:rsidR="00743DB2" w:rsidRPr="009A3735" w:rsidRDefault="00743DB2" w:rsidP="00743D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43DB2" w:rsidRPr="009A3735" w14:paraId="6574A4D3" w14:textId="77777777" w:rsidTr="0096074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96BBE69" w14:textId="77777777" w:rsidR="00743DB2" w:rsidRPr="009A3735" w:rsidRDefault="00743DB2" w:rsidP="00960748">
            <w:pPr>
              <w:pStyle w:val="TableHeading"/>
            </w:pPr>
            <w:r w:rsidRPr="009A3735">
              <w:t>Commencement information</w:t>
            </w:r>
          </w:p>
        </w:tc>
      </w:tr>
      <w:tr w:rsidR="00743DB2" w:rsidRPr="009A3735" w14:paraId="0AED50FA" w14:textId="77777777" w:rsidTr="0096074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6E414F5" w14:textId="77777777" w:rsidR="00743DB2" w:rsidRPr="009A3735" w:rsidRDefault="00743DB2" w:rsidP="00960748">
            <w:pPr>
              <w:pStyle w:val="TableHeading"/>
            </w:pPr>
            <w:r w:rsidRPr="009A373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704E0D5" w14:textId="77777777" w:rsidR="00743DB2" w:rsidRPr="009A3735" w:rsidRDefault="00743DB2" w:rsidP="00960748">
            <w:pPr>
              <w:pStyle w:val="TableHeading"/>
            </w:pPr>
            <w:r w:rsidRPr="009A373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1321F73" w14:textId="77777777" w:rsidR="00743DB2" w:rsidRPr="009A3735" w:rsidRDefault="00743DB2" w:rsidP="00960748">
            <w:pPr>
              <w:pStyle w:val="TableHeading"/>
            </w:pPr>
            <w:r w:rsidRPr="009A3735">
              <w:t>Column 3</w:t>
            </w:r>
          </w:p>
        </w:tc>
      </w:tr>
      <w:tr w:rsidR="00743DB2" w:rsidRPr="009A3735" w14:paraId="196B6A0E" w14:textId="77777777" w:rsidTr="0096074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D484443" w14:textId="77777777" w:rsidR="00743DB2" w:rsidRPr="009A3735" w:rsidRDefault="00743DB2" w:rsidP="00960748">
            <w:pPr>
              <w:pStyle w:val="TableHeading"/>
            </w:pPr>
            <w:r w:rsidRPr="009A373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86F9614" w14:textId="77777777" w:rsidR="00743DB2" w:rsidRPr="009A3735" w:rsidRDefault="00743DB2" w:rsidP="00960748">
            <w:pPr>
              <w:pStyle w:val="TableHeading"/>
            </w:pPr>
            <w:r w:rsidRPr="009A373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DD7202" w14:textId="77777777" w:rsidR="00743DB2" w:rsidRPr="009A3735" w:rsidRDefault="00743DB2" w:rsidP="00960748">
            <w:pPr>
              <w:pStyle w:val="TableHeading"/>
            </w:pPr>
            <w:r w:rsidRPr="009A3735">
              <w:t>Date/Details</w:t>
            </w:r>
          </w:p>
        </w:tc>
      </w:tr>
      <w:tr w:rsidR="00743DB2" w:rsidRPr="009A3735" w14:paraId="4BFF4090" w14:textId="77777777" w:rsidTr="0096074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D05ED2" w14:textId="77777777" w:rsidR="00743DB2" w:rsidRPr="009A3735" w:rsidRDefault="00743DB2" w:rsidP="00960748">
            <w:pPr>
              <w:pStyle w:val="Tabletext"/>
            </w:pPr>
            <w:r w:rsidRPr="009A3735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EAC411" w14:textId="2004D13D" w:rsidR="002F3E33" w:rsidRDefault="00743DB2" w:rsidP="002F3E33">
            <w:pPr>
              <w:pStyle w:val="Tabletext"/>
            </w:pPr>
            <w:r w:rsidRPr="009A3735">
              <w:t xml:space="preserve">The </w:t>
            </w:r>
            <w:r w:rsidR="002F3E33">
              <w:t>later of the following:</w:t>
            </w:r>
          </w:p>
          <w:p w14:paraId="52708449" w14:textId="1CC607CF" w:rsidR="002F3E33" w:rsidRDefault="002F3E33" w:rsidP="002F3E33">
            <w:pPr>
              <w:pStyle w:val="Tablea"/>
            </w:pPr>
            <w:r>
              <w:t>(a)</w:t>
            </w:r>
            <w:r>
              <w:tab/>
              <w:t xml:space="preserve">the day after this instrument is registered; </w:t>
            </w:r>
          </w:p>
          <w:p w14:paraId="7CD27FEB" w14:textId="1F1AD4E2" w:rsidR="00743DB2" w:rsidRPr="009A3735" w:rsidRDefault="002F3E33" w:rsidP="002F3E33">
            <w:pPr>
              <w:pStyle w:val="Tablea"/>
            </w:pPr>
            <w:r>
              <w:t>(b)</w:t>
            </w:r>
            <w:r>
              <w:tab/>
              <w:t xml:space="preserve">immediately after the commencement of the Proclamation </w:t>
            </w:r>
            <w:r w:rsidR="00943687">
              <w:t xml:space="preserve">fixing </w:t>
            </w:r>
            <w:r>
              <w:t xml:space="preserve">the commencement </w:t>
            </w:r>
            <w:r w:rsidR="00267E82">
              <w:t>day</w:t>
            </w:r>
            <w:r>
              <w:t xml:space="preserve"> for Schedule 5 </w:t>
            </w:r>
            <w:r w:rsidR="00E2022B">
              <w:t xml:space="preserve">to </w:t>
            </w:r>
            <w:r>
              <w:t>the Act.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824E36" w14:textId="77777777" w:rsidR="00743DB2" w:rsidRPr="009A3735" w:rsidRDefault="00743DB2" w:rsidP="00960748">
            <w:pPr>
              <w:pStyle w:val="Tabletext"/>
            </w:pPr>
          </w:p>
        </w:tc>
      </w:tr>
    </w:tbl>
    <w:p w14:paraId="1A5CB114" w14:textId="77777777" w:rsidR="00743DB2" w:rsidRPr="009A3735" w:rsidRDefault="00743DB2" w:rsidP="00743DB2">
      <w:pPr>
        <w:pStyle w:val="notetext"/>
      </w:pPr>
      <w:r w:rsidRPr="009A3735">
        <w:rPr>
          <w:snapToGrid w:val="0"/>
          <w:lang w:eastAsia="en-US"/>
        </w:rPr>
        <w:t xml:space="preserve">Note: </w:t>
      </w:r>
      <w:r w:rsidRPr="009A3735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20DD6176" w14:textId="7DA9587E" w:rsidR="00743DB2" w:rsidRPr="00CF31CB" w:rsidRDefault="00743DB2" w:rsidP="00267E82">
      <w:pPr>
        <w:pStyle w:val="subsection"/>
      </w:pPr>
      <w:r w:rsidRPr="009A3735">
        <w:tab/>
        <w:t>(2)</w:t>
      </w:r>
      <w:r w:rsidRPr="009A373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F7EA2B8" w14:textId="77777777" w:rsidR="00554826" w:rsidRPr="00CF31CB" w:rsidRDefault="00554826" w:rsidP="00554826">
      <w:pPr>
        <w:pStyle w:val="ActHead5"/>
      </w:pPr>
      <w:bookmarkStart w:id="6" w:name="_Toc195621649"/>
      <w:bookmarkStart w:id="7" w:name="_Toc205533483"/>
      <w:r w:rsidRPr="00CF31CB">
        <w:t>3  Authority</w:t>
      </w:r>
      <w:bookmarkEnd w:id="6"/>
      <w:bookmarkEnd w:id="7"/>
    </w:p>
    <w:p w14:paraId="18355D9D" w14:textId="646B7360" w:rsidR="00554826" w:rsidRPr="00CF31CB" w:rsidRDefault="00554826" w:rsidP="00554826">
      <w:pPr>
        <w:pStyle w:val="subsection"/>
      </w:pPr>
      <w:r w:rsidRPr="00CF31CB">
        <w:tab/>
      </w:r>
      <w:r w:rsidRPr="00CF31CB">
        <w:tab/>
        <w:t xml:space="preserve">This instrument is made under </w:t>
      </w:r>
      <w:r w:rsidR="007613E5" w:rsidRPr="00CF31CB">
        <w:t xml:space="preserve">item 1 of Schedule 6 to the </w:t>
      </w:r>
      <w:r w:rsidR="007613E5" w:rsidRPr="00CF31CB">
        <w:rPr>
          <w:i/>
          <w:iCs/>
        </w:rPr>
        <w:t>Universities Accord (Student Support and Other Measures) Act 2024</w:t>
      </w:r>
      <w:r w:rsidRPr="00CF31CB">
        <w:t>.</w:t>
      </w:r>
    </w:p>
    <w:p w14:paraId="525511AC" w14:textId="77777777" w:rsidR="00554826" w:rsidRPr="00CF31CB" w:rsidRDefault="00554826" w:rsidP="00554826">
      <w:pPr>
        <w:pStyle w:val="ActHead5"/>
      </w:pPr>
      <w:bookmarkStart w:id="8" w:name="_Toc195621650"/>
      <w:bookmarkStart w:id="9" w:name="_Toc205533484"/>
      <w:r w:rsidRPr="00CF31CB">
        <w:t>4  Definitions</w:t>
      </w:r>
      <w:bookmarkEnd w:id="8"/>
      <w:bookmarkEnd w:id="9"/>
    </w:p>
    <w:p w14:paraId="2493D1D2" w14:textId="25B46C28" w:rsidR="00554826" w:rsidRPr="00CF31CB" w:rsidRDefault="00554826" w:rsidP="00554826">
      <w:pPr>
        <w:pStyle w:val="notetext"/>
      </w:pPr>
      <w:r w:rsidRPr="00CF31CB">
        <w:t>Note:</w:t>
      </w:r>
      <w:r w:rsidRPr="00CF31CB">
        <w:tab/>
        <w:t xml:space="preserve">A number of expressions used in this instrument are defined in </w:t>
      </w:r>
      <w:r w:rsidR="0042567A" w:rsidRPr="00CF31CB">
        <w:t xml:space="preserve">item 4 </w:t>
      </w:r>
      <w:r w:rsidR="00714D04" w:rsidRPr="00CF31CB">
        <w:t xml:space="preserve">of </w:t>
      </w:r>
      <w:r w:rsidR="0042567A" w:rsidRPr="00CF31CB">
        <w:t>Schedule 5</w:t>
      </w:r>
      <w:r w:rsidRPr="00CF31CB">
        <w:t xml:space="preserve"> </w:t>
      </w:r>
      <w:r w:rsidR="00714D04" w:rsidRPr="00CF31CB">
        <w:t xml:space="preserve">to </w:t>
      </w:r>
      <w:r w:rsidRPr="00CF31CB">
        <w:t>the Act, including the following:</w:t>
      </w:r>
    </w:p>
    <w:p w14:paraId="55E53310" w14:textId="499253B9" w:rsidR="00554826" w:rsidRPr="00CF31CB" w:rsidRDefault="00554826" w:rsidP="00554826">
      <w:pPr>
        <w:pStyle w:val="notepara"/>
      </w:pPr>
      <w:r w:rsidRPr="00CF31CB">
        <w:t>(a)</w:t>
      </w:r>
      <w:r w:rsidRPr="00CF31CB">
        <w:tab/>
      </w:r>
      <w:r w:rsidR="0042567A" w:rsidRPr="00CF31CB">
        <w:t>merger time;</w:t>
      </w:r>
    </w:p>
    <w:p w14:paraId="54E4DB7B" w14:textId="1388BB8B" w:rsidR="00554826" w:rsidRPr="00CF31CB" w:rsidRDefault="00554826" w:rsidP="00554826">
      <w:pPr>
        <w:pStyle w:val="notepara"/>
      </w:pPr>
      <w:r w:rsidRPr="00CF31CB">
        <w:t>(b)</w:t>
      </w:r>
      <w:r w:rsidRPr="00CF31CB">
        <w:tab/>
      </w:r>
      <w:r w:rsidR="0042567A" w:rsidRPr="00CF31CB">
        <w:t>merging university</w:t>
      </w:r>
      <w:r w:rsidRPr="00CF31CB">
        <w:t>.</w:t>
      </w:r>
    </w:p>
    <w:p w14:paraId="6AC4E263" w14:textId="77777777" w:rsidR="00554826" w:rsidRPr="00CF31CB" w:rsidRDefault="00554826" w:rsidP="00554826">
      <w:pPr>
        <w:pStyle w:val="subsection"/>
      </w:pPr>
      <w:r w:rsidRPr="00CF31CB">
        <w:tab/>
      </w:r>
      <w:r w:rsidRPr="00CF31CB">
        <w:tab/>
        <w:t>In this instrument:</w:t>
      </w:r>
    </w:p>
    <w:p w14:paraId="1E2DCE9A" w14:textId="42E6AD7E" w:rsidR="00554826" w:rsidRDefault="00554826" w:rsidP="00554826">
      <w:pPr>
        <w:pStyle w:val="Definition"/>
        <w:rPr>
          <w:iCs/>
        </w:rPr>
      </w:pPr>
      <w:r w:rsidRPr="00CF31CB">
        <w:rPr>
          <w:b/>
          <w:i/>
        </w:rPr>
        <w:t>Act</w:t>
      </w:r>
      <w:r w:rsidRPr="00CF31CB">
        <w:t xml:space="preserve"> means the </w:t>
      </w:r>
      <w:r w:rsidR="007613E5" w:rsidRPr="00CF31CB">
        <w:rPr>
          <w:i/>
        </w:rPr>
        <w:t>Universities Accord (Student Support and Other Measures) Act 2024</w:t>
      </w:r>
      <w:r w:rsidR="007613E5" w:rsidRPr="00CF31CB">
        <w:rPr>
          <w:iCs/>
        </w:rPr>
        <w:t>.</w:t>
      </w:r>
    </w:p>
    <w:p w14:paraId="269A8B06" w14:textId="4582EAFF" w:rsidR="00324F0E" w:rsidRDefault="00324F0E" w:rsidP="00554826">
      <w:pPr>
        <w:pStyle w:val="Definition"/>
      </w:pPr>
      <w:r>
        <w:rPr>
          <w:b/>
          <w:i/>
        </w:rPr>
        <w:t xml:space="preserve">enabling course </w:t>
      </w:r>
      <w:r>
        <w:t xml:space="preserve">has the meaning given by Schedule 1 to the </w:t>
      </w:r>
      <w:r w:rsidRPr="00CF31CB">
        <w:rPr>
          <w:i/>
          <w:iCs/>
        </w:rPr>
        <w:t>Higher Education Support Act 2003</w:t>
      </w:r>
      <w:r w:rsidRPr="00CF31CB">
        <w:t>.</w:t>
      </w:r>
    </w:p>
    <w:p w14:paraId="4A7E1F4A" w14:textId="74A2F1FA" w:rsidR="00892505" w:rsidRPr="00CF31CB" w:rsidRDefault="00892505" w:rsidP="00554826">
      <w:pPr>
        <w:pStyle w:val="Definition"/>
        <w:rPr>
          <w:iCs/>
        </w:rPr>
      </w:pPr>
      <w:r w:rsidRPr="00892505">
        <w:rPr>
          <w:b/>
          <w:i/>
          <w:color w:val="000000"/>
          <w:szCs w:val="22"/>
        </w:rPr>
        <w:lastRenderedPageBreak/>
        <w:t>course of study</w:t>
      </w:r>
      <w:r>
        <w:rPr>
          <w:b/>
          <w:i/>
        </w:rPr>
        <w:t xml:space="preserve"> </w:t>
      </w:r>
      <w:r>
        <w:t xml:space="preserve">has the meaning given by Schedule 1 to the </w:t>
      </w:r>
      <w:r w:rsidRPr="00CF31CB">
        <w:rPr>
          <w:i/>
          <w:iCs/>
        </w:rPr>
        <w:t>Higher Education Support Act 2003</w:t>
      </w:r>
      <w:r w:rsidRPr="00CF31CB">
        <w:t>.</w:t>
      </w:r>
    </w:p>
    <w:p w14:paraId="5E5BAD4E" w14:textId="54034B35" w:rsidR="00554826" w:rsidRDefault="00E60472" w:rsidP="00554826">
      <w:pPr>
        <w:pStyle w:val="Definition"/>
      </w:pPr>
      <w:r w:rsidRPr="00CF31CB">
        <w:rPr>
          <w:b/>
          <w:i/>
        </w:rPr>
        <w:t>funding agreement</w:t>
      </w:r>
      <w:r w:rsidR="00554826" w:rsidRPr="00CF31CB">
        <w:rPr>
          <w:b/>
          <w:i/>
        </w:rPr>
        <w:t xml:space="preserve"> </w:t>
      </w:r>
      <w:r w:rsidR="00554826" w:rsidRPr="00CF31CB">
        <w:t xml:space="preserve">means </w:t>
      </w:r>
      <w:r w:rsidR="009F2D83" w:rsidRPr="00CF31CB">
        <w:t>an</w:t>
      </w:r>
      <w:r w:rsidR="009336F2" w:rsidRPr="00CF31CB">
        <w:t xml:space="preserve"> agreement </w:t>
      </w:r>
      <w:r w:rsidR="00073284" w:rsidRPr="00CF31CB">
        <w:t>of a kind mentioned in</w:t>
      </w:r>
      <w:r w:rsidR="009336F2" w:rsidRPr="00CF31CB">
        <w:t xml:space="preserve"> section 30-25 of the </w:t>
      </w:r>
      <w:r w:rsidR="009336F2" w:rsidRPr="00CF31CB">
        <w:rPr>
          <w:i/>
          <w:iCs/>
        </w:rPr>
        <w:t>Higher Education Support Act 2003</w:t>
      </w:r>
      <w:r w:rsidR="00554826" w:rsidRPr="00CF31CB">
        <w:t>.</w:t>
      </w:r>
    </w:p>
    <w:p w14:paraId="45B5DC4C" w14:textId="77777777" w:rsidR="002B54B0" w:rsidRDefault="008433E9" w:rsidP="00554826">
      <w:pPr>
        <w:pStyle w:val="Definition"/>
      </w:pPr>
      <w:r>
        <w:rPr>
          <w:b/>
          <w:i/>
        </w:rPr>
        <w:t xml:space="preserve">higher degree by research </w:t>
      </w:r>
      <w:r w:rsidR="00D01A82">
        <w:t xml:space="preserve">means an HDR as defined </w:t>
      </w:r>
      <w:r>
        <w:t xml:space="preserve">in the </w:t>
      </w:r>
      <w:r w:rsidRPr="008433E9">
        <w:rPr>
          <w:i/>
        </w:rPr>
        <w:t>Commonwealth Scholarships Guidelines (Research) 2017</w:t>
      </w:r>
      <w:r>
        <w:rPr>
          <w:i/>
        </w:rPr>
        <w:t xml:space="preserve">, </w:t>
      </w:r>
      <w:r>
        <w:t>as in force at the time this instrument was made.</w:t>
      </w:r>
    </w:p>
    <w:p w14:paraId="1D69024E" w14:textId="718D7E53" w:rsidR="008433E9" w:rsidRPr="008433E9" w:rsidRDefault="002B54B0" w:rsidP="00554826">
      <w:pPr>
        <w:pStyle w:val="Definition"/>
      </w:pPr>
      <w:r>
        <w:rPr>
          <w:b/>
          <w:i/>
          <w:color w:val="000000"/>
          <w:szCs w:val="22"/>
        </w:rPr>
        <w:t>unit</w:t>
      </w:r>
      <w:r w:rsidRPr="00892505">
        <w:rPr>
          <w:b/>
          <w:i/>
          <w:color w:val="000000"/>
          <w:szCs w:val="22"/>
        </w:rPr>
        <w:t xml:space="preserve"> of study</w:t>
      </w:r>
      <w:r>
        <w:rPr>
          <w:b/>
          <w:i/>
        </w:rPr>
        <w:t xml:space="preserve"> </w:t>
      </w:r>
      <w:r>
        <w:t xml:space="preserve">has the meaning given by Schedule 1 to the </w:t>
      </w:r>
      <w:r w:rsidRPr="00CF31CB">
        <w:rPr>
          <w:i/>
          <w:iCs/>
        </w:rPr>
        <w:t>Higher Education Support Act 2003</w:t>
      </w:r>
      <w:r w:rsidRPr="00CF31CB">
        <w:t>.</w:t>
      </w:r>
      <w:r w:rsidR="008433E9">
        <w:t xml:space="preserve"> </w:t>
      </w:r>
    </w:p>
    <w:p w14:paraId="062B820C" w14:textId="030C0915" w:rsidR="00554826" w:rsidRPr="00CF31CB" w:rsidRDefault="0042567A" w:rsidP="00554826">
      <w:pPr>
        <w:pStyle w:val="ActHead5"/>
      </w:pPr>
      <w:bookmarkStart w:id="10" w:name="_Toc195621651"/>
      <w:bookmarkStart w:id="11" w:name="_Toc205533485"/>
      <w:bookmarkStart w:id="12" w:name="_Hlk195519303"/>
      <w:r w:rsidRPr="00CF31CB">
        <w:t>5</w:t>
      </w:r>
      <w:r w:rsidR="00554826" w:rsidRPr="00CF31CB">
        <w:t xml:space="preserve">  </w:t>
      </w:r>
      <w:r w:rsidR="00383510" w:rsidRPr="00CF31CB">
        <w:t>Transitional rules in relation to funding agreement</w:t>
      </w:r>
      <w:r w:rsidR="00115342" w:rsidRPr="00CF31CB">
        <w:t xml:space="preserve"> for Adelaide University</w:t>
      </w:r>
      <w:bookmarkEnd w:id="10"/>
      <w:bookmarkEnd w:id="11"/>
    </w:p>
    <w:p w14:paraId="6F71F501" w14:textId="3945D502" w:rsidR="0066226E" w:rsidRPr="00D80B2C" w:rsidRDefault="00161D6E" w:rsidP="0064774C">
      <w:pPr>
        <w:pStyle w:val="SubsectionHead"/>
      </w:pPr>
      <w:r w:rsidRPr="00D80B2C">
        <w:t>Purpose</w:t>
      </w:r>
      <w:r w:rsidR="0066226E" w:rsidRPr="00D80B2C">
        <w:t xml:space="preserve"> of this section </w:t>
      </w:r>
    </w:p>
    <w:p w14:paraId="7106B6FD" w14:textId="3A926572" w:rsidR="00942C15" w:rsidRPr="00CF31CB" w:rsidRDefault="00942C15" w:rsidP="00942C15">
      <w:pPr>
        <w:pStyle w:val="subsection"/>
      </w:pPr>
      <w:r w:rsidRPr="00CF31CB">
        <w:tab/>
        <w:t>(</w:t>
      </w:r>
      <w:r w:rsidR="00B83209" w:rsidRPr="00CF31CB">
        <w:t>1</w:t>
      </w:r>
      <w:r w:rsidRPr="00CF31CB">
        <w:t>)</w:t>
      </w:r>
      <w:r w:rsidRPr="00CF31CB">
        <w:tab/>
        <w:t>For the purposes of subitems 1(1) and (2) of Schedule 6 to the Act, this section:</w:t>
      </w:r>
    </w:p>
    <w:p w14:paraId="29A70DBC" w14:textId="537B9CC2" w:rsidR="00942C15" w:rsidRPr="00CF31CB" w:rsidRDefault="00942C15" w:rsidP="00942C15">
      <w:pPr>
        <w:pStyle w:val="paragraph"/>
      </w:pPr>
      <w:r w:rsidRPr="00CF31CB">
        <w:tab/>
        <w:t>(a)</w:t>
      </w:r>
      <w:r w:rsidRPr="00CF31CB">
        <w:tab/>
        <w:t xml:space="preserve">prescribes matters of a transitional nature </w:t>
      </w:r>
      <w:r w:rsidRPr="00CF31CB">
        <w:rPr>
          <w:color w:val="000000"/>
          <w:szCs w:val="22"/>
        </w:rPr>
        <w:t xml:space="preserve">relating to the amendments and repeals made by the Act; and </w:t>
      </w:r>
    </w:p>
    <w:p w14:paraId="08C6A8A9" w14:textId="36E859D1" w:rsidR="00942C15" w:rsidRDefault="00942C15" w:rsidP="00942C15">
      <w:pPr>
        <w:pStyle w:val="paragraph"/>
      </w:pPr>
      <w:r w:rsidRPr="00CF31CB">
        <w:tab/>
        <w:t>(b)</w:t>
      </w:r>
      <w:r w:rsidRPr="00CF31CB">
        <w:tab/>
      </w:r>
      <w:r w:rsidR="001B5357" w:rsidRPr="00CF31CB">
        <w:t xml:space="preserve">prescribes modifications of </w:t>
      </w:r>
      <w:r w:rsidRPr="00CF31CB">
        <w:t>section</w:t>
      </w:r>
      <w:r w:rsidR="00693BD2">
        <w:t>s</w:t>
      </w:r>
      <w:r w:rsidRPr="00CF31CB">
        <w:t xml:space="preserve"> 30-25 </w:t>
      </w:r>
      <w:r w:rsidR="00693BD2">
        <w:t>and</w:t>
      </w:r>
      <w:r w:rsidR="00693BD2" w:rsidRPr="00CF31CB">
        <w:t xml:space="preserve"> 30-</w:t>
      </w:r>
      <w:r w:rsidR="00693BD2">
        <w:t>28</w:t>
      </w:r>
      <w:r w:rsidR="00693BD2" w:rsidRPr="00CF31CB">
        <w:t xml:space="preserve"> </w:t>
      </w:r>
      <w:r w:rsidRPr="00CF31CB">
        <w:t xml:space="preserve">of the </w:t>
      </w:r>
      <w:r w:rsidRPr="00CF31CB">
        <w:rPr>
          <w:i/>
          <w:iCs/>
        </w:rPr>
        <w:t xml:space="preserve">Higher Education Support Act 2003 </w:t>
      </w:r>
      <w:r w:rsidRPr="00CF31CB">
        <w:t xml:space="preserve">to the extent necessary to give effect to those prescriptions. </w:t>
      </w:r>
    </w:p>
    <w:p w14:paraId="066225FA" w14:textId="5951465D" w:rsidR="0066226E" w:rsidRPr="00CF31CB" w:rsidRDefault="0066226E" w:rsidP="0064774C">
      <w:pPr>
        <w:pStyle w:val="SubsectionHead"/>
        <w:rPr>
          <w:iCs/>
        </w:rPr>
      </w:pPr>
      <w:r w:rsidRPr="00D80B2C">
        <w:t>Minister</w:t>
      </w:r>
      <w:r w:rsidRPr="00CF31CB">
        <w:rPr>
          <w:iCs/>
        </w:rPr>
        <w:t xml:space="preserve"> may enter pre-commencement funding agreement </w:t>
      </w:r>
    </w:p>
    <w:p w14:paraId="49D9A5D5" w14:textId="77777777" w:rsidR="00693BD2" w:rsidRDefault="00693BD2" w:rsidP="00693BD2">
      <w:pPr>
        <w:pStyle w:val="subsection"/>
      </w:pPr>
      <w:r w:rsidRPr="00CF31CB">
        <w:tab/>
      </w:r>
      <w:r>
        <w:t>(2)</w:t>
      </w:r>
      <w:r>
        <w:tab/>
      </w:r>
      <w:r w:rsidRPr="00CF31CB">
        <w:t>The Minister may, on behalf of the Commonwealth</w:t>
      </w:r>
      <w:r>
        <w:t>:</w:t>
      </w:r>
    </w:p>
    <w:p w14:paraId="733BBE2F" w14:textId="77777777" w:rsidR="00693BD2" w:rsidRDefault="00693BD2" w:rsidP="00693BD2">
      <w:pPr>
        <w:pStyle w:val="paragraph"/>
      </w:pPr>
      <w:r>
        <w:tab/>
        <w:t>(a)</w:t>
      </w:r>
      <w:r>
        <w:tab/>
      </w:r>
      <w:r w:rsidRPr="00CF31CB">
        <w:t>enter into a funding agreement with Adelaide University before the merger time</w:t>
      </w:r>
      <w:r>
        <w:t>; and</w:t>
      </w:r>
    </w:p>
    <w:p w14:paraId="4034418F" w14:textId="77777777" w:rsidR="00356DA8" w:rsidRDefault="00693BD2" w:rsidP="00356DA8">
      <w:pPr>
        <w:pStyle w:val="paragraph"/>
      </w:pPr>
      <w:r>
        <w:tab/>
        <w:t>(b)</w:t>
      </w:r>
      <w:r>
        <w:tab/>
        <w:t>unilaterally vary that agreement for the purposes of paragraph (</w:t>
      </w:r>
      <w:r w:rsidR="00C0450B">
        <w:t>3</w:t>
      </w:r>
      <w:r>
        <w:t>)(c).</w:t>
      </w:r>
    </w:p>
    <w:p w14:paraId="41986156" w14:textId="76E50C5B" w:rsidR="00161D6E" w:rsidRDefault="00161D6E" w:rsidP="00161D6E">
      <w:pPr>
        <w:pStyle w:val="notetext"/>
      </w:pPr>
      <w:r w:rsidRPr="00CF31CB">
        <w:t xml:space="preserve">Note: </w:t>
      </w:r>
      <w:r w:rsidRPr="00CF31CB">
        <w:tab/>
        <w:t xml:space="preserve">This subsection modifies subsection 30-25(1) of the </w:t>
      </w:r>
      <w:r w:rsidRPr="00CF31CB">
        <w:rPr>
          <w:i/>
          <w:iCs/>
        </w:rPr>
        <w:t>Higher Education Support Act 2003</w:t>
      </w:r>
      <w:r w:rsidRPr="00CF31CB">
        <w:t xml:space="preserve">, which only permits the Minister to enter a funding agreement with a </w:t>
      </w:r>
      <w:r w:rsidR="00686A51">
        <w:t>“</w:t>
      </w:r>
      <w:r w:rsidRPr="00CF31CB">
        <w:t>higher education provider</w:t>
      </w:r>
      <w:r w:rsidR="00686A51">
        <w:t>”</w:t>
      </w:r>
      <w:r w:rsidRPr="00CF31CB">
        <w:t xml:space="preserve">. Adelaide University will not become a higher education provider until the merger time, but this subsection permits the Minister to enter an agreement </w:t>
      </w:r>
      <w:r w:rsidRPr="00DC2C93">
        <w:t>before</w:t>
      </w:r>
      <w:r w:rsidRPr="00CF31CB">
        <w:rPr>
          <w:i/>
        </w:rPr>
        <w:t xml:space="preserve"> </w:t>
      </w:r>
      <w:r w:rsidRPr="00CF31CB">
        <w:t xml:space="preserve">the merger time. </w:t>
      </w:r>
    </w:p>
    <w:p w14:paraId="5A349BCE" w14:textId="023A828B" w:rsidR="00A61286" w:rsidRPr="00CF31CB" w:rsidRDefault="00161D6E" w:rsidP="0022196E">
      <w:pPr>
        <w:pStyle w:val="subsection"/>
      </w:pPr>
      <w:r>
        <w:tab/>
      </w:r>
      <w:r w:rsidR="0022196E" w:rsidRPr="00CF31CB">
        <w:t>(</w:t>
      </w:r>
      <w:r w:rsidR="00600EB2">
        <w:t>3</w:t>
      </w:r>
      <w:r w:rsidR="0022196E" w:rsidRPr="00CF31CB">
        <w:t>)</w:t>
      </w:r>
      <w:r w:rsidR="0022196E" w:rsidRPr="00CF31CB">
        <w:tab/>
      </w:r>
      <w:r w:rsidR="00C73B9A">
        <w:t>That</w:t>
      </w:r>
      <w:r w:rsidR="00C73B9A" w:rsidRPr="00CF31CB">
        <w:t xml:space="preserve"> </w:t>
      </w:r>
      <w:r w:rsidR="0022196E" w:rsidRPr="00CF31CB">
        <w:t>agreement</w:t>
      </w:r>
      <w:r w:rsidR="00A61286" w:rsidRPr="00CF31CB">
        <w:t>:</w:t>
      </w:r>
    </w:p>
    <w:p w14:paraId="427D8B2E" w14:textId="6070FDD6" w:rsidR="00A61286" w:rsidRPr="00F126A2" w:rsidRDefault="00A61286" w:rsidP="00F126A2">
      <w:pPr>
        <w:pStyle w:val="paragraph"/>
      </w:pPr>
      <w:r w:rsidRPr="00CF31CB">
        <w:tab/>
        <w:t>(a)</w:t>
      </w:r>
      <w:r w:rsidRPr="00CF31CB">
        <w:tab/>
      </w:r>
      <w:r w:rsidR="00C73B9A">
        <w:t>may</w:t>
      </w:r>
      <w:r w:rsidR="00C73B9A" w:rsidRPr="00CF31CB">
        <w:t xml:space="preserve"> </w:t>
      </w:r>
      <w:r w:rsidR="0022196E" w:rsidRPr="00CF31CB">
        <w:t xml:space="preserve">only </w:t>
      </w:r>
      <w:r w:rsidR="00600EB2">
        <w:t>commence</w:t>
      </w:r>
      <w:r w:rsidR="0022196E" w:rsidRPr="00CF31CB">
        <w:t xml:space="preserve"> on and from the merger time</w:t>
      </w:r>
      <w:r w:rsidRPr="00CF31CB">
        <w:t>; and</w:t>
      </w:r>
    </w:p>
    <w:p w14:paraId="5BB8F253" w14:textId="77777777" w:rsidR="00693BD2" w:rsidRDefault="00F126A2" w:rsidP="00F126A2">
      <w:pPr>
        <w:pStyle w:val="paragraph"/>
        <w:rPr>
          <w:iCs/>
        </w:rPr>
      </w:pPr>
      <w:r w:rsidRPr="00405FE2">
        <w:rPr>
          <w:iCs/>
        </w:rPr>
        <w:tab/>
        <w:t>(b)</w:t>
      </w:r>
      <w:r w:rsidRPr="00405FE2">
        <w:rPr>
          <w:iCs/>
        </w:rPr>
        <w:tab/>
        <w:t xml:space="preserve">must expire at the end of </w:t>
      </w:r>
      <w:r w:rsidR="00F16D78">
        <w:rPr>
          <w:iCs/>
        </w:rPr>
        <w:t>2026</w:t>
      </w:r>
      <w:r w:rsidR="00693BD2">
        <w:rPr>
          <w:iCs/>
        </w:rPr>
        <w:t>; and</w:t>
      </w:r>
    </w:p>
    <w:p w14:paraId="6C40B2ED" w14:textId="7832CBF7" w:rsidR="00693BD2" w:rsidRPr="002A0F52" w:rsidRDefault="00693BD2" w:rsidP="00693BD2">
      <w:pPr>
        <w:pStyle w:val="paragraph"/>
        <w:rPr>
          <w:b/>
          <w:iCs/>
          <w:kern w:val="28"/>
          <w:sz w:val="24"/>
        </w:rPr>
      </w:pPr>
      <w:r>
        <w:rPr>
          <w:iCs/>
        </w:rPr>
        <w:tab/>
      </w:r>
      <w:r w:rsidRPr="002A0F52">
        <w:rPr>
          <w:iCs/>
        </w:rPr>
        <w:t>(c)</w:t>
      </w:r>
      <w:r w:rsidRPr="002A0F52">
        <w:rPr>
          <w:iCs/>
        </w:rPr>
        <w:tab/>
        <w:t xml:space="preserve">may be entered in an incomplete or provisional form, </w:t>
      </w:r>
      <w:r>
        <w:rPr>
          <w:iCs/>
        </w:rPr>
        <w:t xml:space="preserve">but must be </w:t>
      </w:r>
      <w:r w:rsidR="008B1FEE">
        <w:rPr>
          <w:iCs/>
        </w:rPr>
        <w:t xml:space="preserve">varied </w:t>
      </w:r>
      <w:r w:rsidR="00443669">
        <w:rPr>
          <w:iCs/>
        </w:rPr>
        <w:t xml:space="preserve">under paragraph (2)(b) </w:t>
      </w:r>
      <w:r w:rsidRPr="002A0F52">
        <w:rPr>
          <w:iCs/>
        </w:rPr>
        <w:t>into a complete and final form before the merger time.</w:t>
      </w:r>
      <w:r w:rsidRPr="002A0F52">
        <w:rPr>
          <w:b/>
          <w:iCs/>
          <w:kern w:val="28"/>
          <w:sz w:val="24"/>
        </w:rPr>
        <w:t xml:space="preserve">  </w:t>
      </w:r>
    </w:p>
    <w:p w14:paraId="62D226A2" w14:textId="200CCD49" w:rsidR="00FC520D" w:rsidRDefault="00693BD2" w:rsidP="00693BD2">
      <w:pPr>
        <w:pStyle w:val="notetext"/>
        <w:rPr>
          <w:iCs/>
        </w:rPr>
      </w:pPr>
      <w:r w:rsidRPr="002A0F52">
        <w:t>Note:</w:t>
      </w:r>
      <w:r w:rsidRPr="002A0F52">
        <w:tab/>
        <w:t xml:space="preserve">For paragraph (c)—for example, the maximum basic grant amounts to be specified in the agreement for a grant year must </w:t>
      </w:r>
      <w:r>
        <w:t xml:space="preserve">ultimately </w:t>
      </w:r>
      <w:r w:rsidRPr="002A0F52">
        <w:t>be the amounts mentioned in section</w:t>
      </w:r>
      <w:r w:rsidR="000D5E72">
        <w:t> </w:t>
      </w:r>
      <w:r w:rsidRPr="002A0F52">
        <w:t>30</w:t>
      </w:r>
      <w:r w:rsidR="000D5E72">
        <w:noBreakHyphen/>
      </w:r>
      <w:r w:rsidRPr="002A0F52">
        <w:t xml:space="preserve">27 of the </w:t>
      </w:r>
      <w:r w:rsidRPr="002A0F52">
        <w:rPr>
          <w:i/>
        </w:rPr>
        <w:t xml:space="preserve">Higher Education Support Act 2003 </w:t>
      </w:r>
      <w:r w:rsidRPr="002A0F52">
        <w:t xml:space="preserve">as modified by subitem 11(1) of Schedule 5 to the Act. However, the final amount need not be included in the agreement until </w:t>
      </w:r>
      <w:r>
        <w:t>Adelaide University becomes a Table A provider. As such, t</w:t>
      </w:r>
      <w:r w:rsidRPr="002A0F52">
        <w:t>his part of the agreement could be left blank in the interim, or a provisional amount could be included</w:t>
      </w:r>
      <w:r w:rsidR="00FC520D">
        <w:rPr>
          <w:iCs/>
        </w:rPr>
        <w:t>.</w:t>
      </w:r>
    </w:p>
    <w:p w14:paraId="65755566" w14:textId="503E800A" w:rsidR="00693BD2" w:rsidRDefault="00EE43D4" w:rsidP="00EE43D4">
      <w:pPr>
        <w:pStyle w:val="subsection"/>
      </w:pPr>
      <w:r w:rsidRPr="00EE43D4">
        <w:lastRenderedPageBreak/>
        <w:tab/>
      </w:r>
      <w:r w:rsidR="00356DA8" w:rsidRPr="00EE43D4">
        <w:t>(4)</w:t>
      </w:r>
      <w:r w:rsidR="00356DA8" w:rsidRPr="00EE43D4">
        <w:tab/>
        <w:t xml:space="preserve">If an agreement is entered in an incomplete or provisional form in accordance with paragraph (3)(c), then despite section 30-28 of the </w:t>
      </w:r>
      <w:r w:rsidR="00356DA8" w:rsidRPr="00EE43D4">
        <w:rPr>
          <w:i/>
          <w:iCs/>
        </w:rPr>
        <w:t>Higher Education Support Act 2003</w:t>
      </w:r>
      <w:r w:rsidR="00356DA8" w:rsidRPr="00EE43D4">
        <w:t xml:space="preserve">, the Secretary must </w:t>
      </w:r>
      <w:r w:rsidR="00DA0305" w:rsidRPr="00EE43D4">
        <w:t>instead</w:t>
      </w:r>
      <w:r w:rsidR="00356DA8" w:rsidRPr="00EE43D4">
        <w:t xml:space="preserve"> cause a copy of the funding agreement to be published on the Department’s website within 28 days after the Minister has varied that agreement into a complete and final form.</w:t>
      </w:r>
      <w:r w:rsidR="00356DA8">
        <w:t xml:space="preserve"> </w:t>
      </w:r>
    </w:p>
    <w:p w14:paraId="7F4AB68C" w14:textId="4CF745E5" w:rsidR="001E4B8F" w:rsidRPr="00CF31CB" w:rsidRDefault="00753C45" w:rsidP="001E4B8F">
      <w:pPr>
        <w:pStyle w:val="ActHead5"/>
      </w:pPr>
      <w:bookmarkStart w:id="13" w:name="_Toc205533486"/>
      <w:r>
        <w:t>6</w:t>
      </w:r>
      <w:r w:rsidR="001E4B8F" w:rsidRPr="00CF31CB">
        <w:t xml:space="preserve">  Transitional rules in relation to </w:t>
      </w:r>
      <w:r w:rsidR="001E4B8F">
        <w:t>transfer of enrolments</w:t>
      </w:r>
      <w:bookmarkEnd w:id="13"/>
      <w:r w:rsidR="001E4B8F">
        <w:t xml:space="preserve"> </w:t>
      </w:r>
    </w:p>
    <w:p w14:paraId="704A1ED4" w14:textId="06D0331E" w:rsidR="001E4B8F" w:rsidRPr="00CF31CB" w:rsidRDefault="001E4B8F" w:rsidP="00B90D2F">
      <w:pPr>
        <w:pStyle w:val="SubsectionHead"/>
      </w:pPr>
      <w:r>
        <w:t>Purpose</w:t>
      </w:r>
      <w:r w:rsidRPr="00CF31CB">
        <w:t xml:space="preserve"> of this section </w:t>
      </w:r>
    </w:p>
    <w:p w14:paraId="668DA286" w14:textId="77777777" w:rsidR="001E4B8F" w:rsidRPr="00CF31CB" w:rsidRDefault="001E4B8F" w:rsidP="001E4B8F">
      <w:pPr>
        <w:pStyle w:val="subsection"/>
      </w:pPr>
      <w:r w:rsidRPr="00CF31CB">
        <w:tab/>
        <w:t>(1)</w:t>
      </w:r>
      <w:r w:rsidRPr="00CF31CB">
        <w:tab/>
        <w:t>For the purposes of subitems 1(1) and (2) of Schedule 6 to the Act, this section:</w:t>
      </w:r>
    </w:p>
    <w:p w14:paraId="62A0E417" w14:textId="77777777" w:rsidR="001E4B8F" w:rsidRPr="00CF31CB" w:rsidRDefault="001E4B8F" w:rsidP="001E4B8F">
      <w:pPr>
        <w:pStyle w:val="paragraph"/>
      </w:pPr>
      <w:r w:rsidRPr="00CF31CB">
        <w:tab/>
        <w:t>(a)</w:t>
      </w:r>
      <w:r w:rsidRPr="00CF31CB">
        <w:tab/>
        <w:t xml:space="preserve">prescribes matters of a transitional nature </w:t>
      </w:r>
      <w:r w:rsidRPr="00CF31CB">
        <w:rPr>
          <w:color w:val="000000"/>
          <w:szCs w:val="22"/>
        </w:rPr>
        <w:t xml:space="preserve">relating to the amendments and repeals made by the Act; and </w:t>
      </w:r>
    </w:p>
    <w:p w14:paraId="515B3865" w14:textId="5EDF5679" w:rsidR="001E4B8F" w:rsidRDefault="001E4B8F" w:rsidP="001E4B8F">
      <w:pPr>
        <w:pStyle w:val="paragraph"/>
      </w:pPr>
      <w:r w:rsidRPr="00CF31CB">
        <w:tab/>
        <w:t>(b)</w:t>
      </w:r>
      <w:r w:rsidRPr="00CF31CB">
        <w:tab/>
        <w:t xml:space="preserve">prescribes modifications of </w:t>
      </w:r>
      <w:r>
        <w:t>items 7 and 8 of Schedule 5 to</w:t>
      </w:r>
      <w:r w:rsidRPr="00CF31CB">
        <w:t xml:space="preserve"> the </w:t>
      </w:r>
      <w:r>
        <w:rPr>
          <w:iCs/>
        </w:rPr>
        <w:t>Act</w:t>
      </w:r>
      <w:r w:rsidRPr="00CF31CB">
        <w:rPr>
          <w:i/>
          <w:iCs/>
        </w:rPr>
        <w:t xml:space="preserve"> </w:t>
      </w:r>
      <w:r w:rsidRPr="00CF31CB">
        <w:t xml:space="preserve">to the extent necessary to give effect to those prescriptions. </w:t>
      </w:r>
    </w:p>
    <w:p w14:paraId="0D109DDE" w14:textId="093BC908" w:rsidR="00192292" w:rsidRDefault="00192292" w:rsidP="00B90D2F">
      <w:pPr>
        <w:pStyle w:val="SubsectionHead"/>
      </w:pPr>
      <w:r>
        <w:t>Students who will not transfer on 1 January 2026</w:t>
      </w:r>
    </w:p>
    <w:p w14:paraId="7B5F6883" w14:textId="56331A58" w:rsidR="005D5E37" w:rsidRPr="005D5E37" w:rsidRDefault="005D5E37" w:rsidP="00192292">
      <w:pPr>
        <w:pStyle w:val="subsection"/>
        <w:rPr>
          <w:iCs/>
        </w:rPr>
      </w:pPr>
      <w:r>
        <w:rPr>
          <w:i/>
          <w:iCs/>
        </w:rPr>
        <w:tab/>
      </w:r>
      <w:r>
        <w:rPr>
          <w:iCs/>
        </w:rPr>
        <w:t>(2)</w:t>
      </w:r>
      <w:r>
        <w:rPr>
          <w:iCs/>
        </w:rPr>
        <w:tab/>
        <w:t xml:space="preserve">Subsection (3) applies </w:t>
      </w:r>
      <w:r w:rsidR="00753C45">
        <w:rPr>
          <w:iCs/>
        </w:rPr>
        <w:t>to</w:t>
      </w:r>
      <w:r>
        <w:rPr>
          <w:iCs/>
        </w:rPr>
        <w:t xml:space="preserve"> a student (a </w:t>
      </w:r>
      <w:r>
        <w:rPr>
          <w:b/>
          <w:i/>
          <w:iCs/>
        </w:rPr>
        <w:t>relevant student</w:t>
      </w:r>
      <w:r>
        <w:rPr>
          <w:iCs/>
        </w:rPr>
        <w:t>) who:</w:t>
      </w:r>
    </w:p>
    <w:p w14:paraId="7FD167CD" w14:textId="213118DD" w:rsidR="005D5E37" w:rsidRDefault="005D5E37" w:rsidP="005D5E37">
      <w:pPr>
        <w:pStyle w:val="paragraph"/>
        <w:rPr>
          <w:color w:val="000000"/>
          <w:szCs w:val="22"/>
        </w:rPr>
      </w:pPr>
      <w:r>
        <w:tab/>
        <w:t>(a)</w:t>
      </w:r>
      <w:r>
        <w:tab/>
      </w:r>
      <w:r w:rsidRPr="001E4B8F">
        <w:rPr>
          <w:color w:val="000000"/>
          <w:szCs w:val="22"/>
        </w:rPr>
        <w:t xml:space="preserve">is enrolled in a course of study </w:t>
      </w:r>
      <w:r>
        <w:rPr>
          <w:color w:val="000000"/>
          <w:szCs w:val="22"/>
        </w:rPr>
        <w:t>(</w:t>
      </w:r>
      <w:r>
        <w:rPr>
          <w:b/>
          <w:i/>
          <w:color w:val="000000"/>
          <w:szCs w:val="22"/>
        </w:rPr>
        <w:t xml:space="preserve">current </w:t>
      </w:r>
      <w:r w:rsidRPr="00C856D3">
        <w:rPr>
          <w:b/>
          <w:i/>
          <w:color w:val="000000"/>
          <w:szCs w:val="22"/>
        </w:rPr>
        <w:t>co</w:t>
      </w:r>
      <w:r w:rsidRPr="00221A2B">
        <w:rPr>
          <w:b/>
          <w:i/>
          <w:color w:val="000000"/>
          <w:szCs w:val="22"/>
        </w:rPr>
        <w:t>urse</w:t>
      </w:r>
      <w:r>
        <w:rPr>
          <w:color w:val="000000"/>
          <w:szCs w:val="22"/>
        </w:rPr>
        <w:t xml:space="preserve">) </w:t>
      </w:r>
      <w:r w:rsidRPr="00C856D3">
        <w:rPr>
          <w:color w:val="000000"/>
          <w:szCs w:val="22"/>
        </w:rPr>
        <w:t>with</w:t>
      </w:r>
      <w:r w:rsidRPr="001E4B8F">
        <w:rPr>
          <w:color w:val="000000"/>
          <w:szCs w:val="22"/>
        </w:rPr>
        <w:t xml:space="preserve"> a merging university immediately before the merger time</w:t>
      </w:r>
      <w:r>
        <w:rPr>
          <w:color w:val="000000"/>
          <w:szCs w:val="22"/>
        </w:rPr>
        <w:t>; or</w:t>
      </w:r>
    </w:p>
    <w:p w14:paraId="7882EC3D" w14:textId="1F985117" w:rsidR="005D5E37" w:rsidRPr="00693BD2" w:rsidRDefault="005D5E37" w:rsidP="005D5E37">
      <w:pPr>
        <w:pStyle w:val="paragraph"/>
        <w:rPr>
          <w:color w:val="000000"/>
          <w:szCs w:val="22"/>
        </w:rPr>
      </w:pPr>
      <w:r w:rsidRPr="00693BD2">
        <w:tab/>
        <w:t>(b)</w:t>
      </w:r>
      <w:r w:rsidRPr="00693BD2">
        <w:tab/>
      </w:r>
      <w:r w:rsidRPr="00693BD2">
        <w:rPr>
          <w:color w:val="000000"/>
          <w:szCs w:val="22"/>
        </w:rPr>
        <w:t>is a grandfathered student under the </w:t>
      </w:r>
      <w:r w:rsidRPr="00693BD2">
        <w:rPr>
          <w:i/>
          <w:iCs/>
          <w:color w:val="000000"/>
          <w:szCs w:val="22"/>
        </w:rPr>
        <w:t>Higher Education Support Act 2003</w:t>
      </w:r>
      <w:r w:rsidRPr="00693BD2">
        <w:rPr>
          <w:color w:val="000000"/>
          <w:szCs w:val="22"/>
        </w:rPr>
        <w:t> in relation to a course of study (</w:t>
      </w:r>
      <w:r w:rsidRPr="006C193D">
        <w:rPr>
          <w:b/>
          <w:i/>
          <w:color w:val="000000"/>
          <w:szCs w:val="22"/>
        </w:rPr>
        <w:t>current course</w:t>
      </w:r>
      <w:r w:rsidRPr="00693BD2">
        <w:rPr>
          <w:color w:val="000000"/>
          <w:szCs w:val="22"/>
        </w:rPr>
        <w:t>) with a merging university immediately before the merger</w:t>
      </w:r>
      <w:r w:rsidR="008B1FEE">
        <w:rPr>
          <w:color w:val="000000"/>
          <w:szCs w:val="22"/>
        </w:rPr>
        <w:t xml:space="preserve"> time</w:t>
      </w:r>
      <w:r w:rsidRPr="00693BD2">
        <w:rPr>
          <w:color w:val="000000"/>
          <w:szCs w:val="22"/>
        </w:rPr>
        <w:t>.</w:t>
      </w:r>
    </w:p>
    <w:p w14:paraId="5847C594" w14:textId="2ECEE114" w:rsidR="00192292" w:rsidRDefault="00192292" w:rsidP="00192292">
      <w:pPr>
        <w:pStyle w:val="subsection"/>
        <w:rPr>
          <w:iCs/>
        </w:rPr>
      </w:pPr>
      <w:r>
        <w:rPr>
          <w:i/>
          <w:iCs/>
        </w:rPr>
        <w:t xml:space="preserve"> </w:t>
      </w:r>
      <w:r w:rsidRPr="00CF31CB">
        <w:rPr>
          <w:i/>
          <w:iCs/>
        </w:rPr>
        <w:t xml:space="preserve"> </w:t>
      </w:r>
      <w:r>
        <w:tab/>
        <w:t>(</w:t>
      </w:r>
      <w:r w:rsidR="005D5E37">
        <w:t>3</w:t>
      </w:r>
      <w:r>
        <w:t>)</w:t>
      </w:r>
      <w:r>
        <w:tab/>
      </w:r>
      <w:r w:rsidR="00C856D3">
        <w:t>I</w:t>
      </w:r>
      <w:r>
        <w:t>tems 7 and 8 of Schedule 5 to</w:t>
      </w:r>
      <w:r w:rsidRPr="00CF31CB">
        <w:t xml:space="preserve"> the </w:t>
      </w:r>
      <w:r>
        <w:rPr>
          <w:iCs/>
        </w:rPr>
        <w:t>Ac</w:t>
      </w:r>
      <w:r w:rsidR="00C856D3">
        <w:rPr>
          <w:iCs/>
        </w:rPr>
        <w:t xml:space="preserve">t do not apply in respect of </w:t>
      </w:r>
      <w:r>
        <w:rPr>
          <w:iCs/>
        </w:rPr>
        <w:t>a relevant student</w:t>
      </w:r>
      <w:r w:rsidR="00C856D3">
        <w:rPr>
          <w:iCs/>
        </w:rPr>
        <w:t xml:space="preserve"> who</w:t>
      </w:r>
      <w:r w:rsidR="001E5C56">
        <w:rPr>
          <w:iCs/>
        </w:rPr>
        <w:t xml:space="preserve">, </w:t>
      </w:r>
      <w:r w:rsidR="001E5C56" w:rsidRPr="00C856D3">
        <w:t>immediately before 1 January 2026</w:t>
      </w:r>
      <w:r w:rsidR="00C856D3">
        <w:rPr>
          <w:iCs/>
        </w:rPr>
        <w:t>:</w:t>
      </w:r>
    </w:p>
    <w:p w14:paraId="1740AD49" w14:textId="77777777" w:rsidR="00324F0E" w:rsidRDefault="00C856D3" w:rsidP="0065329F">
      <w:pPr>
        <w:pStyle w:val="paragraph"/>
      </w:pPr>
      <w:r>
        <w:tab/>
        <w:t>(a)</w:t>
      </w:r>
      <w:r>
        <w:tab/>
      </w:r>
      <w:r w:rsidRPr="00C856D3">
        <w:t>has</w:t>
      </w:r>
      <w:r w:rsidR="00324F0E">
        <w:t>:</w:t>
      </w:r>
    </w:p>
    <w:p w14:paraId="09D18B31" w14:textId="39AE40D4" w:rsidR="00324F0E" w:rsidRDefault="00324F0E" w:rsidP="00324F0E">
      <w:pPr>
        <w:pStyle w:val="paragraphsub"/>
      </w:pPr>
      <w:r>
        <w:tab/>
        <w:t>(i)</w:t>
      </w:r>
      <w:r>
        <w:tab/>
        <w:t>where their current course is an enabling course—</w:t>
      </w:r>
      <w:r w:rsidRPr="00C856D3">
        <w:t>completed all of the requirements</w:t>
      </w:r>
      <w:r>
        <w:t xml:space="preserve"> of that course;</w:t>
      </w:r>
      <w:r w:rsidR="00DD6FA1">
        <w:t xml:space="preserve"> or </w:t>
      </w:r>
    </w:p>
    <w:p w14:paraId="61F4FC84" w14:textId="1D2A17DC" w:rsidR="00693BD2" w:rsidRPr="00556CC6" w:rsidRDefault="00324F0E" w:rsidP="00DD6FA1">
      <w:pPr>
        <w:pStyle w:val="paragraphsub"/>
        <w:rPr>
          <w:i/>
        </w:rPr>
      </w:pPr>
      <w:r>
        <w:tab/>
        <w:t>(ii)</w:t>
      </w:r>
      <w:r>
        <w:tab/>
        <w:t>in any other case—</w:t>
      </w:r>
      <w:r w:rsidR="00DD6FA1">
        <w:t>met</w:t>
      </w:r>
      <w:r w:rsidR="00DD6FA1" w:rsidRPr="00C856D3">
        <w:t xml:space="preserve"> </w:t>
      </w:r>
      <w:r w:rsidR="00C856D3" w:rsidRPr="00C856D3">
        <w:t xml:space="preserve">all the requirements for the conferral of </w:t>
      </w:r>
      <w:r w:rsidR="0065329F">
        <w:t>a</w:t>
      </w:r>
      <w:r w:rsidR="00693BD2">
        <w:t xml:space="preserve"> higher education award </w:t>
      </w:r>
      <w:r w:rsidR="00C856D3" w:rsidRPr="00C856D3">
        <w:t>in the</w:t>
      </w:r>
      <w:r w:rsidR="005D5E37">
        <w:t>ir</w:t>
      </w:r>
      <w:r w:rsidR="00C856D3" w:rsidRPr="00C856D3">
        <w:t xml:space="preserve"> current course;</w:t>
      </w:r>
      <w:r w:rsidR="001E5C56">
        <w:t xml:space="preserve"> or </w:t>
      </w:r>
    </w:p>
    <w:p w14:paraId="7526326C" w14:textId="46D0E586" w:rsidR="00E91653" w:rsidRDefault="00E91653" w:rsidP="001E5C56">
      <w:pPr>
        <w:pStyle w:val="paragraph"/>
      </w:pPr>
      <w:bookmarkStart w:id="14" w:name="_Hlk205534965"/>
      <w:r>
        <w:tab/>
        <w:t>(b)</w:t>
      </w:r>
      <w:r>
        <w:tab/>
      </w:r>
      <w:r w:rsidR="005C310E">
        <w:t>is</w:t>
      </w:r>
      <w:r w:rsidR="005C310E" w:rsidRPr="00E91653">
        <w:t xml:space="preserve"> </w:t>
      </w:r>
      <w:r w:rsidR="002B54B0">
        <w:t xml:space="preserve">enrolled </w:t>
      </w:r>
      <w:r w:rsidR="00EF5265">
        <w:t xml:space="preserve">in </w:t>
      </w:r>
      <w:r w:rsidR="002B54B0">
        <w:t xml:space="preserve">and </w:t>
      </w:r>
      <w:r w:rsidR="005C310E">
        <w:t xml:space="preserve">has </w:t>
      </w:r>
      <w:r w:rsidR="002B54B0">
        <w:t xml:space="preserve">commenced </w:t>
      </w:r>
      <w:r w:rsidR="007D30A1">
        <w:t xml:space="preserve">undertaking </w:t>
      </w:r>
      <w:r w:rsidR="002B54B0">
        <w:t xml:space="preserve">a unit of study as part of their current course, but has </w:t>
      </w:r>
      <w:r w:rsidR="001E5C56" w:rsidRPr="00E91653">
        <w:t xml:space="preserve">not </w:t>
      </w:r>
      <w:r w:rsidR="001E5C56">
        <w:t>met</w:t>
      </w:r>
      <w:r w:rsidR="001E5C56" w:rsidRPr="00E91653">
        <w:t xml:space="preserve"> all of the requirements </w:t>
      </w:r>
      <w:r w:rsidR="001E5C56">
        <w:t>to complete</w:t>
      </w:r>
      <w:r w:rsidR="001E5C56" w:rsidRPr="00E91653">
        <w:t xml:space="preserve"> </w:t>
      </w:r>
      <w:r w:rsidR="002B54B0">
        <w:t>that</w:t>
      </w:r>
      <w:r w:rsidR="001E5C56">
        <w:t xml:space="preserve"> </w:t>
      </w:r>
      <w:r w:rsidR="001E5C56" w:rsidRPr="00E91653">
        <w:t>unit</w:t>
      </w:r>
      <w:r w:rsidR="001E5C56">
        <w:t xml:space="preserve">; or </w:t>
      </w:r>
    </w:p>
    <w:bookmarkEnd w:id="14"/>
    <w:p w14:paraId="5E51FAE5" w14:textId="77777777" w:rsidR="001E5C56" w:rsidRDefault="001E5C56" w:rsidP="001E5C56">
      <w:pPr>
        <w:pStyle w:val="paragraph"/>
      </w:pPr>
      <w:r>
        <w:tab/>
        <w:t>(c)</w:t>
      </w:r>
      <w:r>
        <w:tab/>
        <w:t>both:</w:t>
      </w:r>
    </w:p>
    <w:p w14:paraId="4FEA0907" w14:textId="0D976EA4" w:rsidR="008433E9" w:rsidRDefault="001E5C56" w:rsidP="001E5C56">
      <w:pPr>
        <w:pStyle w:val="paragraphsub"/>
      </w:pPr>
      <w:r>
        <w:tab/>
        <w:t>(i)</w:t>
      </w:r>
      <w:r>
        <w:tab/>
        <w:t>is enrolled in a</w:t>
      </w:r>
      <w:r w:rsidR="008433E9">
        <w:t xml:space="preserve"> higher degree by research at a merging university</w:t>
      </w:r>
      <w:r>
        <w:t>; and</w:t>
      </w:r>
    </w:p>
    <w:p w14:paraId="5FB6064C" w14:textId="362739E3" w:rsidR="001E5C56" w:rsidRDefault="001E5C56" w:rsidP="001E5C56">
      <w:pPr>
        <w:pStyle w:val="paragraphsub"/>
      </w:pPr>
      <w:r>
        <w:tab/>
        <w:t>(ii)</w:t>
      </w:r>
      <w:r>
        <w:tab/>
      </w:r>
      <w:r w:rsidRPr="001E5C56">
        <w:t>has submitted a thesis for examination that remains under examination.</w:t>
      </w:r>
    </w:p>
    <w:p w14:paraId="1308ED2A" w14:textId="0ACF5052" w:rsidR="004F3D9C" w:rsidRDefault="004F3D9C" w:rsidP="00B90D2F">
      <w:pPr>
        <w:pStyle w:val="SubsectionHead"/>
      </w:pPr>
      <w:r>
        <w:t>Students whose transfer will be delayed to 24 March 2026</w:t>
      </w:r>
    </w:p>
    <w:p w14:paraId="4E581DCC" w14:textId="120D4219" w:rsidR="004F3D9C" w:rsidRDefault="001E5C56" w:rsidP="001E5C56">
      <w:pPr>
        <w:pStyle w:val="subsection"/>
      </w:pPr>
      <w:r w:rsidRPr="00CF31CB">
        <w:rPr>
          <w:i/>
          <w:iCs/>
        </w:rPr>
        <w:t xml:space="preserve"> </w:t>
      </w:r>
      <w:r>
        <w:tab/>
        <w:t>(</w:t>
      </w:r>
      <w:r w:rsidR="009B10E4">
        <w:t>4</w:t>
      </w:r>
      <w:r>
        <w:t>)</w:t>
      </w:r>
      <w:r>
        <w:tab/>
      </w:r>
      <w:r w:rsidR="004F3D9C">
        <w:t>Subsection (</w:t>
      </w:r>
      <w:r w:rsidR="009B10E4">
        <w:t>5</w:t>
      </w:r>
      <w:r w:rsidR="004F3D9C">
        <w:t xml:space="preserve">) applies to a </w:t>
      </w:r>
      <w:r w:rsidR="00735842">
        <w:t xml:space="preserve">relevant </w:t>
      </w:r>
      <w:r w:rsidR="004F3D9C">
        <w:t>student who:</w:t>
      </w:r>
    </w:p>
    <w:p w14:paraId="52B28C98" w14:textId="6D863E43" w:rsidR="004F3D9C" w:rsidRDefault="004F3D9C" w:rsidP="004F3D9C">
      <w:pPr>
        <w:pStyle w:val="paragraph"/>
      </w:pPr>
      <w:r>
        <w:rPr>
          <w:iCs/>
        </w:rPr>
        <w:tab/>
        <w:t>(a)</w:t>
      </w:r>
      <w:r>
        <w:rPr>
          <w:iCs/>
        </w:rPr>
        <w:tab/>
        <w:t>by reason of subsection (</w:t>
      </w:r>
      <w:r w:rsidR="009B10E4">
        <w:rPr>
          <w:iCs/>
        </w:rPr>
        <w:t>3</w:t>
      </w:r>
      <w:r>
        <w:rPr>
          <w:iCs/>
        </w:rPr>
        <w:t xml:space="preserve">), remains enrolled in </w:t>
      </w:r>
      <w:r w:rsidRPr="001E4B8F">
        <w:t xml:space="preserve">a </w:t>
      </w:r>
      <w:r w:rsidR="006C193D">
        <w:t>current course</w:t>
      </w:r>
      <w:r w:rsidRPr="00192292">
        <w:t xml:space="preserve"> </w:t>
      </w:r>
      <w:r w:rsidRPr="00E300FB">
        <w:t>with</w:t>
      </w:r>
      <w:r w:rsidRPr="001E4B8F">
        <w:t xml:space="preserve"> a merging university immediately before</w:t>
      </w:r>
      <w:r>
        <w:t xml:space="preserve"> 24 March 2026; and</w:t>
      </w:r>
    </w:p>
    <w:p w14:paraId="5B303EA6" w14:textId="77777777" w:rsidR="00DD6FA1" w:rsidRDefault="004F3D9C" w:rsidP="004F3D9C">
      <w:pPr>
        <w:pStyle w:val="paragraph"/>
      </w:pPr>
      <w:r>
        <w:tab/>
        <w:t>(b)</w:t>
      </w:r>
      <w:r>
        <w:tab/>
      </w:r>
      <w:r w:rsidR="00E300FB">
        <w:t>has not, immediately before that date</w:t>
      </w:r>
      <w:r w:rsidR="00DD6FA1">
        <w:t>:</w:t>
      </w:r>
    </w:p>
    <w:p w14:paraId="1D6BD2E6" w14:textId="6F6846D9" w:rsidR="00DD6FA1" w:rsidRDefault="00DD6FA1" w:rsidP="00DD6FA1">
      <w:pPr>
        <w:pStyle w:val="paragraphsub"/>
      </w:pPr>
      <w:r>
        <w:lastRenderedPageBreak/>
        <w:tab/>
        <w:t>(i)</w:t>
      </w:r>
      <w:r>
        <w:tab/>
        <w:t>where their current course is an enabling course—</w:t>
      </w:r>
      <w:r w:rsidRPr="00C856D3">
        <w:t>completed all of the requirements</w:t>
      </w:r>
      <w:r>
        <w:t xml:space="preserve"> of that course; or </w:t>
      </w:r>
    </w:p>
    <w:p w14:paraId="0B2EDD23" w14:textId="25BCFCF1" w:rsidR="004F3D9C" w:rsidRDefault="00DD6FA1" w:rsidP="00DD6FA1">
      <w:pPr>
        <w:pStyle w:val="paragraphsub"/>
      </w:pPr>
      <w:r>
        <w:tab/>
        <w:t>(ii)</w:t>
      </w:r>
      <w:r>
        <w:tab/>
        <w:t>in any other case—</w:t>
      </w:r>
      <w:r w:rsidR="00E300FB">
        <w:t xml:space="preserve">met all the requirements for the conferral of </w:t>
      </w:r>
      <w:r w:rsidR="00E0274F">
        <w:t xml:space="preserve">a higher education award </w:t>
      </w:r>
      <w:r w:rsidR="00E300FB">
        <w:t xml:space="preserve">in </w:t>
      </w:r>
      <w:r>
        <w:t xml:space="preserve">their current </w:t>
      </w:r>
      <w:r w:rsidR="00E300FB">
        <w:t xml:space="preserve">course. </w:t>
      </w:r>
    </w:p>
    <w:p w14:paraId="5F6205E1" w14:textId="00480D21" w:rsidR="004F3D9C" w:rsidRPr="00EE43D4" w:rsidRDefault="004F3D9C" w:rsidP="001E5C56">
      <w:pPr>
        <w:pStyle w:val="subsection"/>
        <w:rPr>
          <w:iCs/>
        </w:rPr>
      </w:pPr>
      <w:r>
        <w:rPr>
          <w:iCs/>
        </w:rPr>
        <w:tab/>
        <w:t>(</w:t>
      </w:r>
      <w:r w:rsidR="009B10E4">
        <w:rPr>
          <w:iCs/>
        </w:rPr>
        <w:t>5</w:t>
      </w:r>
      <w:r w:rsidRPr="00EE43D4">
        <w:rPr>
          <w:iCs/>
        </w:rPr>
        <w:t>)</w:t>
      </w:r>
      <w:r w:rsidRPr="00EE43D4">
        <w:rPr>
          <w:iCs/>
        </w:rPr>
        <w:tab/>
      </w:r>
      <w:r w:rsidR="00356DA8" w:rsidRPr="00EE43D4">
        <w:rPr>
          <w:iCs/>
        </w:rPr>
        <w:t>Despite subsection (3), i</w:t>
      </w:r>
      <w:r w:rsidRPr="00EE43D4">
        <w:t>tem</w:t>
      </w:r>
      <w:r w:rsidR="00172A93" w:rsidRPr="00EE43D4">
        <w:t>s</w:t>
      </w:r>
      <w:r w:rsidRPr="00EE43D4">
        <w:t xml:space="preserve"> 7</w:t>
      </w:r>
      <w:r w:rsidR="00172A93" w:rsidRPr="00EE43D4">
        <w:t xml:space="preserve"> and 8</w:t>
      </w:r>
      <w:r w:rsidRPr="00EE43D4">
        <w:t xml:space="preserve"> of Schedule 5 to the </w:t>
      </w:r>
      <w:r w:rsidRPr="00EE43D4">
        <w:rPr>
          <w:iCs/>
        </w:rPr>
        <w:t>Act appl</w:t>
      </w:r>
      <w:r w:rsidR="00172A93" w:rsidRPr="00EE43D4">
        <w:rPr>
          <w:iCs/>
        </w:rPr>
        <w:t>y</w:t>
      </w:r>
      <w:r w:rsidRPr="00EE43D4">
        <w:rPr>
          <w:iCs/>
        </w:rPr>
        <w:t xml:space="preserve"> to the student as if the reference to the merger time were a reference to 24 Marc</w:t>
      </w:r>
      <w:r w:rsidR="00B00A74" w:rsidRPr="00EE43D4">
        <w:rPr>
          <w:iCs/>
        </w:rPr>
        <w:t>h</w:t>
      </w:r>
      <w:r w:rsidRPr="00EE43D4">
        <w:rPr>
          <w:iCs/>
        </w:rPr>
        <w:t xml:space="preserve"> 2026. </w:t>
      </w:r>
    </w:p>
    <w:bookmarkEnd w:id="0"/>
    <w:bookmarkEnd w:id="12"/>
    <w:p w14:paraId="24B99B21" w14:textId="77777777" w:rsidR="00A45674" w:rsidRPr="008F406F" w:rsidRDefault="00A45674" w:rsidP="007F3854">
      <w:pPr>
        <w:pStyle w:val="notedraft"/>
        <w:ind w:left="0" w:firstLine="0"/>
      </w:pPr>
    </w:p>
    <w:sectPr w:rsidR="00A45674" w:rsidRPr="008F406F" w:rsidSect="002166C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3062" w14:textId="77777777" w:rsidR="007D30A1" w:rsidRDefault="007D30A1" w:rsidP="00715914">
      <w:pPr>
        <w:spacing w:line="240" w:lineRule="auto"/>
      </w:pPr>
      <w:r>
        <w:separator/>
      </w:r>
    </w:p>
  </w:endnote>
  <w:endnote w:type="continuationSeparator" w:id="0">
    <w:p w14:paraId="7686F891" w14:textId="77777777" w:rsidR="007D30A1" w:rsidRDefault="007D30A1" w:rsidP="00715914">
      <w:pPr>
        <w:spacing w:line="240" w:lineRule="auto"/>
      </w:pPr>
      <w:r>
        <w:continuationSeparator/>
      </w:r>
    </w:p>
  </w:endnote>
  <w:endnote w:type="continuationNotice" w:id="1">
    <w:p w14:paraId="57BE7E6C" w14:textId="77777777" w:rsidR="007D30A1" w:rsidRDefault="007D30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4E8C" w14:textId="77777777" w:rsidR="007D30A1" w:rsidRPr="00E33C1C" w:rsidRDefault="007D30A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30A1" w14:paraId="365F81E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E71C4F" w14:textId="77777777" w:rsidR="007D30A1" w:rsidRDefault="007D30A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35FF88" w14:textId="665712BC" w:rsidR="007D30A1" w:rsidRPr="004E1307" w:rsidRDefault="007D30A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98CF8F" w14:textId="77777777" w:rsidR="007D30A1" w:rsidRDefault="007D30A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D30A1" w14:paraId="7F4A631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077CC6" w14:textId="77777777" w:rsidR="007D30A1" w:rsidRDefault="007D30A1" w:rsidP="00A369E3">
          <w:pPr>
            <w:jc w:val="right"/>
            <w:rPr>
              <w:sz w:val="18"/>
            </w:rPr>
          </w:pPr>
        </w:p>
      </w:tc>
    </w:tr>
  </w:tbl>
  <w:p w14:paraId="63C834CE" w14:textId="77777777" w:rsidR="007D30A1" w:rsidRPr="00ED79B6" w:rsidRDefault="007D30A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ADFE" w14:textId="77777777" w:rsidR="007D30A1" w:rsidRPr="00E33C1C" w:rsidRDefault="007D30A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D30A1" w14:paraId="4913A72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D5DE89" w14:textId="77777777" w:rsidR="007D30A1" w:rsidRDefault="007D30A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C711F2" w14:textId="21D290B8" w:rsidR="007D30A1" w:rsidRDefault="007D30A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86B92" w14:textId="77777777" w:rsidR="007D30A1" w:rsidRDefault="007D30A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30A1" w14:paraId="2161B22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FFE786" w14:textId="77777777" w:rsidR="007D30A1" w:rsidRDefault="007D30A1" w:rsidP="00A369E3">
          <w:pPr>
            <w:rPr>
              <w:sz w:val="18"/>
            </w:rPr>
          </w:pPr>
        </w:p>
      </w:tc>
    </w:tr>
  </w:tbl>
  <w:p w14:paraId="3BFD78E3" w14:textId="77777777" w:rsidR="007D30A1" w:rsidRPr="00ED79B6" w:rsidRDefault="007D30A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8BF" w14:textId="77777777" w:rsidR="007D30A1" w:rsidRPr="00E33C1C" w:rsidRDefault="007D30A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D30A1" w14:paraId="69716FA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01BA8F" w14:textId="77777777" w:rsidR="007D30A1" w:rsidRDefault="007D30A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ECB41" w14:textId="77777777" w:rsidR="007D30A1" w:rsidRDefault="007D30A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A84526" w14:textId="77777777" w:rsidR="007D30A1" w:rsidRDefault="007D30A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FD68536" w14:textId="77777777" w:rsidR="007D30A1" w:rsidRPr="00ED79B6" w:rsidRDefault="007D30A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A814" w14:textId="77777777" w:rsidR="007D30A1" w:rsidRPr="002B0EA5" w:rsidRDefault="007D30A1" w:rsidP="000732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D30A1" w14:paraId="132F8F95" w14:textId="77777777" w:rsidTr="00073284">
      <w:tc>
        <w:tcPr>
          <w:tcW w:w="365" w:type="pct"/>
        </w:tcPr>
        <w:p w14:paraId="714BE97E" w14:textId="77777777" w:rsidR="007D30A1" w:rsidRDefault="007D30A1" w:rsidP="0007328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8498C00" w14:textId="36E69CA2" w:rsidR="007D30A1" w:rsidRDefault="007D30A1" w:rsidP="0007328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8C8DFB" w14:textId="77777777" w:rsidR="007D30A1" w:rsidRDefault="007D30A1" w:rsidP="00073284">
          <w:pPr>
            <w:spacing w:line="0" w:lineRule="atLeast"/>
            <w:jc w:val="right"/>
            <w:rPr>
              <w:sz w:val="18"/>
            </w:rPr>
          </w:pPr>
        </w:p>
      </w:tc>
    </w:tr>
    <w:tr w:rsidR="007D30A1" w14:paraId="089B14EE" w14:textId="77777777" w:rsidTr="00073284">
      <w:tc>
        <w:tcPr>
          <w:tcW w:w="5000" w:type="pct"/>
          <w:gridSpan w:val="3"/>
        </w:tcPr>
        <w:p w14:paraId="22A3FFDA" w14:textId="77777777" w:rsidR="007D30A1" w:rsidRDefault="007D30A1" w:rsidP="00073284">
          <w:pPr>
            <w:jc w:val="right"/>
            <w:rPr>
              <w:sz w:val="18"/>
            </w:rPr>
          </w:pPr>
        </w:p>
      </w:tc>
    </w:tr>
  </w:tbl>
  <w:p w14:paraId="407EB3EB" w14:textId="77777777" w:rsidR="007D30A1" w:rsidRPr="00ED79B6" w:rsidRDefault="007D30A1" w:rsidP="0007328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2812" w14:textId="77777777" w:rsidR="007D30A1" w:rsidRPr="002B0EA5" w:rsidRDefault="007D30A1" w:rsidP="000732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D30A1" w14:paraId="20E7FDC1" w14:textId="77777777" w:rsidTr="00073284">
      <w:tc>
        <w:tcPr>
          <w:tcW w:w="947" w:type="pct"/>
        </w:tcPr>
        <w:p w14:paraId="578515F3" w14:textId="77777777" w:rsidR="007D30A1" w:rsidRDefault="007D30A1" w:rsidP="0007328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7A7FC32" w14:textId="494E9D78" w:rsidR="007D30A1" w:rsidRDefault="007D30A1" w:rsidP="0007328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6020"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282D9BC" w14:textId="77777777" w:rsidR="007D30A1" w:rsidRDefault="007D30A1" w:rsidP="0007328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30A1" w14:paraId="09DB6BB7" w14:textId="77777777" w:rsidTr="00073284">
      <w:tc>
        <w:tcPr>
          <w:tcW w:w="5000" w:type="pct"/>
          <w:gridSpan w:val="3"/>
        </w:tcPr>
        <w:p w14:paraId="7EFEA3B6" w14:textId="77777777" w:rsidR="007D30A1" w:rsidRDefault="007D30A1" w:rsidP="00073284">
          <w:pPr>
            <w:rPr>
              <w:sz w:val="18"/>
            </w:rPr>
          </w:pPr>
        </w:p>
      </w:tc>
    </w:tr>
  </w:tbl>
  <w:p w14:paraId="41C002DA" w14:textId="77777777" w:rsidR="007D30A1" w:rsidRPr="00ED79B6" w:rsidRDefault="007D30A1" w:rsidP="0007328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938B" w14:textId="77777777" w:rsidR="007D30A1" w:rsidRPr="002B0EA5" w:rsidRDefault="007D30A1" w:rsidP="000732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D30A1" w14:paraId="00D8BC54" w14:textId="77777777" w:rsidTr="00073284">
      <w:tc>
        <w:tcPr>
          <w:tcW w:w="365" w:type="pct"/>
        </w:tcPr>
        <w:p w14:paraId="0A0E0BBF" w14:textId="77777777" w:rsidR="007D30A1" w:rsidRDefault="007D30A1" w:rsidP="0007328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7E56677" w14:textId="280A59B4" w:rsidR="007D30A1" w:rsidRDefault="007D30A1" w:rsidP="0007328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6020"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98D965" w14:textId="77777777" w:rsidR="007D30A1" w:rsidRDefault="007D30A1" w:rsidP="00073284">
          <w:pPr>
            <w:spacing w:line="0" w:lineRule="atLeast"/>
            <w:jc w:val="right"/>
            <w:rPr>
              <w:sz w:val="18"/>
            </w:rPr>
          </w:pPr>
        </w:p>
      </w:tc>
    </w:tr>
    <w:tr w:rsidR="007D30A1" w14:paraId="2763699A" w14:textId="77777777" w:rsidTr="00073284">
      <w:tc>
        <w:tcPr>
          <w:tcW w:w="5000" w:type="pct"/>
          <w:gridSpan w:val="3"/>
        </w:tcPr>
        <w:p w14:paraId="15BDA4AE" w14:textId="77777777" w:rsidR="007D30A1" w:rsidRDefault="007D30A1" w:rsidP="00073284">
          <w:pPr>
            <w:jc w:val="right"/>
            <w:rPr>
              <w:sz w:val="18"/>
            </w:rPr>
          </w:pPr>
        </w:p>
      </w:tc>
    </w:tr>
  </w:tbl>
  <w:p w14:paraId="2BD6F560" w14:textId="77777777" w:rsidR="007D30A1" w:rsidRPr="00ED79B6" w:rsidRDefault="007D30A1" w:rsidP="00073284">
    <w:pPr>
      <w:rPr>
        <w:i/>
        <w:sz w:val="18"/>
      </w:rPr>
    </w:pPr>
  </w:p>
  <w:p w14:paraId="0040043E" w14:textId="77777777" w:rsidR="007D30A1" w:rsidRDefault="007D30A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579A" w14:textId="77777777" w:rsidR="007D30A1" w:rsidRPr="002B0EA5" w:rsidRDefault="007D30A1" w:rsidP="000732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D30A1" w14:paraId="3126098E" w14:textId="77777777" w:rsidTr="00073284">
      <w:tc>
        <w:tcPr>
          <w:tcW w:w="947" w:type="pct"/>
        </w:tcPr>
        <w:p w14:paraId="5137AA0D" w14:textId="77777777" w:rsidR="007D30A1" w:rsidRDefault="007D30A1" w:rsidP="0007328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F839F45" w14:textId="0ACB9379" w:rsidR="007D30A1" w:rsidRDefault="007D30A1" w:rsidP="0007328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6020">
            <w:rPr>
              <w:i/>
              <w:noProof/>
              <w:sz w:val="18"/>
            </w:rPr>
            <w:t>Universities Accord (Student Support and Other Measures) (Adelaide University) Transitional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781FF25" w14:textId="77777777" w:rsidR="007D30A1" w:rsidRDefault="007D30A1" w:rsidP="0007328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30A1" w14:paraId="69333D8B" w14:textId="77777777" w:rsidTr="00073284">
      <w:tc>
        <w:tcPr>
          <w:tcW w:w="5000" w:type="pct"/>
          <w:gridSpan w:val="3"/>
        </w:tcPr>
        <w:p w14:paraId="1B4961A2" w14:textId="77777777" w:rsidR="007D30A1" w:rsidRDefault="007D30A1" w:rsidP="00073284">
          <w:pPr>
            <w:rPr>
              <w:sz w:val="18"/>
            </w:rPr>
          </w:pPr>
        </w:p>
      </w:tc>
    </w:tr>
  </w:tbl>
  <w:p w14:paraId="6DCCF873" w14:textId="77777777" w:rsidR="007D30A1" w:rsidRPr="00ED79B6" w:rsidRDefault="007D30A1" w:rsidP="00073284">
    <w:pPr>
      <w:rPr>
        <w:i/>
        <w:sz w:val="18"/>
      </w:rPr>
    </w:pPr>
  </w:p>
  <w:p w14:paraId="68C357AB" w14:textId="77777777" w:rsidR="007D30A1" w:rsidRDefault="007D30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B105" w14:textId="77777777" w:rsidR="007D30A1" w:rsidRDefault="007D30A1" w:rsidP="00715914">
      <w:pPr>
        <w:spacing w:line="240" w:lineRule="auto"/>
      </w:pPr>
      <w:r>
        <w:separator/>
      </w:r>
    </w:p>
  </w:footnote>
  <w:footnote w:type="continuationSeparator" w:id="0">
    <w:p w14:paraId="424A1FD8" w14:textId="77777777" w:rsidR="007D30A1" w:rsidRDefault="007D30A1" w:rsidP="00715914">
      <w:pPr>
        <w:spacing w:line="240" w:lineRule="auto"/>
      </w:pPr>
      <w:r>
        <w:continuationSeparator/>
      </w:r>
    </w:p>
  </w:footnote>
  <w:footnote w:type="continuationNotice" w:id="1">
    <w:p w14:paraId="16449EE0" w14:textId="77777777" w:rsidR="007D30A1" w:rsidRDefault="007D30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9444" w14:textId="77777777" w:rsidR="007D30A1" w:rsidRPr="005F1388" w:rsidRDefault="007D30A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1ABF" w14:textId="77777777" w:rsidR="007D30A1" w:rsidRPr="005F1388" w:rsidRDefault="007D30A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392A" w14:textId="77777777" w:rsidR="007D30A1" w:rsidRPr="00ED79B6" w:rsidRDefault="007D30A1" w:rsidP="00073284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55E6" w14:textId="77777777" w:rsidR="007D30A1" w:rsidRPr="00ED79B6" w:rsidRDefault="007D30A1" w:rsidP="0007328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1E8E" w14:textId="77777777" w:rsidR="007D30A1" w:rsidRPr="00ED79B6" w:rsidRDefault="007D30A1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A6C7" w14:textId="77777777" w:rsidR="007D30A1" w:rsidRDefault="007D30A1" w:rsidP="00715914">
    <w:pPr>
      <w:rPr>
        <w:sz w:val="20"/>
      </w:rPr>
    </w:pPr>
  </w:p>
  <w:p w14:paraId="5DE8EAD8" w14:textId="77777777" w:rsidR="007D30A1" w:rsidRDefault="007D30A1" w:rsidP="00715914">
    <w:pPr>
      <w:rPr>
        <w:sz w:val="20"/>
      </w:rPr>
    </w:pPr>
  </w:p>
  <w:p w14:paraId="4B865668" w14:textId="77777777" w:rsidR="007D30A1" w:rsidRPr="007A1328" w:rsidRDefault="007D30A1" w:rsidP="00715914">
    <w:pPr>
      <w:rPr>
        <w:sz w:val="20"/>
      </w:rPr>
    </w:pPr>
  </w:p>
  <w:p w14:paraId="7BADA9DF" w14:textId="77777777" w:rsidR="007D30A1" w:rsidRPr="007A1328" w:rsidRDefault="007D30A1" w:rsidP="00715914">
    <w:pPr>
      <w:rPr>
        <w:b/>
        <w:sz w:val="24"/>
      </w:rPr>
    </w:pPr>
  </w:p>
  <w:p w14:paraId="505AC4E6" w14:textId="77777777" w:rsidR="007D30A1" w:rsidRPr="007A1328" w:rsidRDefault="007D30A1" w:rsidP="00D6537E">
    <w:pPr>
      <w:pBdr>
        <w:bottom w:val="single" w:sz="6" w:space="1" w:color="auto"/>
      </w:pBdr>
      <w:spacing w:after="120"/>
      <w:rPr>
        <w:sz w:val="24"/>
      </w:rPr>
    </w:pPr>
  </w:p>
  <w:p w14:paraId="5A62E99F" w14:textId="77777777" w:rsidR="007D30A1" w:rsidRDefault="007D30A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2D91" w14:textId="77777777" w:rsidR="007D30A1" w:rsidRPr="007A1328" w:rsidRDefault="007D30A1" w:rsidP="00715914">
    <w:pPr>
      <w:jc w:val="right"/>
      <w:rPr>
        <w:sz w:val="20"/>
      </w:rPr>
    </w:pPr>
  </w:p>
  <w:p w14:paraId="19EFF60F" w14:textId="77777777" w:rsidR="007D30A1" w:rsidRPr="007A1328" w:rsidRDefault="007D30A1" w:rsidP="00715914">
    <w:pPr>
      <w:jc w:val="right"/>
      <w:rPr>
        <w:sz w:val="20"/>
      </w:rPr>
    </w:pPr>
  </w:p>
  <w:p w14:paraId="25BF63E2" w14:textId="77777777" w:rsidR="007D30A1" w:rsidRPr="007A1328" w:rsidRDefault="007D30A1" w:rsidP="00715914">
    <w:pPr>
      <w:jc w:val="right"/>
      <w:rPr>
        <w:sz w:val="20"/>
      </w:rPr>
    </w:pPr>
  </w:p>
  <w:p w14:paraId="3A67A50D" w14:textId="77777777" w:rsidR="007D30A1" w:rsidRPr="007A1328" w:rsidRDefault="007D30A1" w:rsidP="00715914">
    <w:pPr>
      <w:jc w:val="right"/>
      <w:rPr>
        <w:b/>
        <w:sz w:val="24"/>
      </w:rPr>
    </w:pPr>
  </w:p>
  <w:p w14:paraId="3533B64B" w14:textId="77777777" w:rsidR="007D30A1" w:rsidRPr="007A1328" w:rsidRDefault="007D30A1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52C1C3AE" w14:textId="77777777" w:rsidR="007D30A1" w:rsidRDefault="007D30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C9B77F"/>
    <w:multiLevelType w:val="hybridMultilevel"/>
    <w:tmpl w:val="2E317D2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AD4C07"/>
    <w:multiLevelType w:val="hybridMultilevel"/>
    <w:tmpl w:val="89C73C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6483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9C27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AFA25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67AA5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FB8A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D96C91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DA047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9D2D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B0E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0B2AB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9F45AD"/>
    <w:multiLevelType w:val="hybridMultilevel"/>
    <w:tmpl w:val="C3CCFB58"/>
    <w:lvl w:ilvl="0" w:tplc="B726D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B2FF6"/>
    <w:multiLevelType w:val="hybridMultilevel"/>
    <w:tmpl w:val="EEAE10E4"/>
    <w:lvl w:ilvl="0" w:tplc="FA22712A">
      <w:start w:val="1"/>
      <w:numFmt w:val="lowerRoman"/>
      <w:lvlText w:val="(%1)"/>
      <w:lvlJc w:val="left"/>
      <w:pPr>
        <w:ind w:left="1800" w:hanging="72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83B428D"/>
    <w:multiLevelType w:val="hybridMultilevel"/>
    <w:tmpl w:val="BF1A0414"/>
    <w:lvl w:ilvl="0" w:tplc="9B7C4B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6758"/>
    <w:multiLevelType w:val="hybridMultilevel"/>
    <w:tmpl w:val="D4CACCC4"/>
    <w:lvl w:ilvl="0" w:tplc="08BA42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F4576"/>
    <w:multiLevelType w:val="hybridMultilevel"/>
    <w:tmpl w:val="7152B652"/>
    <w:lvl w:ilvl="0" w:tplc="2EDAE00A">
      <w:start w:val="1"/>
      <w:numFmt w:val="lowerLetter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5B"/>
    <w:multiLevelType w:val="hybridMultilevel"/>
    <w:tmpl w:val="C268BA64"/>
    <w:lvl w:ilvl="0" w:tplc="CD386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57D13"/>
    <w:multiLevelType w:val="hybridMultilevel"/>
    <w:tmpl w:val="E92A84C6"/>
    <w:lvl w:ilvl="0" w:tplc="56C89D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4966">
    <w:abstractNumId w:val="11"/>
  </w:num>
  <w:num w:numId="2" w16cid:durableId="1665622308">
    <w:abstractNumId w:val="9"/>
  </w:num>
  <w:num w:numId="3" w16cid:durableId="1797522803">
    <w:abstractNumId w:val="8"/>
  </w:num>
  <w:num w:numId="4" w16cid:durableId="366370913">
    <w:abstractNumId w:val="7"/>
  </w:num>
  <w:num w:numId="5" w16cid:durableId="2045859538">
    <w:abstractNumId w:val="6"/>
  </w:num>
  <w:num w:numId="6" w16cid:durableId="1273785651">
    <w:abstractNumId w:val="10"/>
  </w:num>
  <w:num w:numId="7" w16cid:durableId="995491967">
    <w:abstractNumId w:val="5"/>
  </w:num>
  <w:num w:numId="8" w16cid:durableId="787773389">
    <w:abstractNumId w:val="4"/>
  </w:num>
  <w:num w:numId="9" w16cid:durableId="1979413947">
    <w:abstractNumId w:val="3"/>
  </w:num>
  <w:num w:numId="10" w16cid:durableId="694773310">
    <w:abstractNumId w:val="2"/>
  </w:num>
  <w:num w:numId="11" w16cid:durableId="1529101064">
    <w:abstractNumId w:val="16"/>
  </w:num>
  <w:num w:numId="12" w16cid:durableId="531502363">
    <w:abstractNumId w:val="12"/>
  </w:num>
  <w:num w:numId="13" w16cid:durableId="1447582873">
    <w:abstractNumId w:val="13"/>
  </w:num>
  <w:num w:numId="14" w16cid:durableId="1355766201">
    <w:abstractNumId w:val="20"/>
  </w:num>
  <w:num w:numId="15" w16cid:durableId="2068919560">
    <w:abstractNumId w:val="1"/>
  </w:num>
  <w:num w:numId="16" w16cid:durableId="513570616">
    <w:abstractNumId w:val="0"/>
  </w:num>
  <w:num w:numId="17" w16cid:durableId="567765267">
    <w:abstractNumId w:val="14"/>
  </w:num>
  <w:num w:numId="18" w16cid:durableId="1040982795">
    <w:abstractNumId w:val="18"/>
  </w:num>
  <w:num w:numId="19" w16cid:durableId="1575554873">
    <w:abstractNumId w:val="21"/>
  </w:num>
  <w:num w:numId="20" w16cid:durableId="146552634">
    <w:abstractNumId w:val="17"/>
  </w:num>
  <w:num w:numId="21" w16cid:durableId="1608539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26491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58"/>
    <w:rsid w:val="00004174"/>
    <w:rsid w:val="00004470"/>
    <w:rsid w:val="000136AF"/>
    <w:rsid w:val="0002104D"/>
    <w:rsid w:val="00023951"/>
    <w:rsid w:val="000258B1"/>
    <w:rsid w:val="00027B1E"/>
    <w:rsid w:val="00031C99"/>
    <w:rsid w:val="000325D4"/>
    <w:rsid w:val="000325E1"/>
    <w:rsid w:val="00035A44"/>
    <w:rsid w:val="00036B54"/>
    <w:rsid w:val="00040A89"/>
    <w:rsid w:val="000437C1"/>
    <w:rsid w:val="0004455A"/>
    <w:rsid w:val="00045DD6"/>
    <w:rsid w:val="0005365D"/>
    <w:rsid w:val="00057A57"/>
    <w:rsid w:val="000600FA"/>
    <w:rsid w:val="000614BF"/>
    <w:rsid w:val="0006709C"/>
    <w:rsid w:val="00067D00"/>
    <w:rsid w:val="00070166"/>
    <w:rsid w:val="0007230D"/>
    <w:rsid w:val="00073284"/>
    <w:rsid w:val="0007364A"/>
    <w:rsid w:val="0007392E"/>
    <w:rsid w:val="00074376"/>
    <w:rsid w:val="00081A17"/>
    <w:rsid w:val="000907D5"/>
    <w:rsid w:val="0009433D"/>
    <w:rsid w:val="000978F5"/>
    <w:rsid w:val="000A404F"/>
    <w:rsid w:val="000A6141"/>
    <w:rsid w:val="000B15CD"/>
    <w:rsid w:val="000B35EB"/>
    <w:rsid w:val="000B78BE"/>
    <w:rsid w:val="000C4CF8"/>
    <w:rsid w:val="000C67C8"/>
    <w:rsid w:val="000D05EF"/>
    <w:rsid w:val="000D57BD"/>
    <w:rsid w:val="000D5E72"/>
    <w:rsid w:val="000E1BD9"/>
    <w:rsid w:val="000E2261"/>
    <w:rsid w:val="000E271E"/>
    <w:rsid w:val="000E600F"/>
    <w:rsid w:val="000E6C00"/>
    <w:rsid w:val="000E78B7"/>
    <w:rsid w:val="000F21C1"/>
    <w:rsid w:val="000F56B4"/>
    <w:rsid w:val="00100F58"/>
    <w:rsid w:val="001066C6"/>
    <w:rsid w:val="0010745C"/>
    <w:rsid w:val="0011344E"/>
    <w:rsid w:val="00115342"/>
    <w:rsid w:val="00117358"/>
    <w:rsid w:val="001215BA"/>
    <w:rsid w:val="00130B95"/>
    <w:rsid w:val="00132CEB"/>
    <w:rsid w:val="001339B0"/>
    <w:rsid w:val="001406DD"/>
    <w:rsid w:val="00142B62"/>
    <w:rsid w:val="001441B7"/>
    <w:rsid w:val="001471AC"/>
    <w:rsid w:val="001516CB"/>
    <w:rsid w:val="00152336"/>
    <w:rsid w:val="00155294"/>
    <w:rsid w:val="00157B8B"/>
    <w:rsid w:val="00161D6E"/>
    <w:rsid w:val="001668C8"/>
    <w:rsid w:val="00166C2F"/>
    <w:rsid w:val="00172A93"/>
    <w:rsid w:val="001809D7"/>
    <w:rsid w:val="00192292"/>
    <w:rsid w:val="001939E1"/>
    <w:rsid w:val="00194C3E"/>
    <w:rsid w:val="00194F48"/>
    <w:rsid w:val="00195382"/>
    <w:rsid w:val="00197AEA"/>
    <w:rsid w:val="001A124C"/>
    <w:rsid w:val="001A41AD"/>
    <w:rsid w:val="001A467F"/>
    <w:rsid w:val="001A7DEC"/>
    <w:rsid w:val="001B2CB6"/>
    <w:rsid w:val="001B3708"/>
    <w:rsid w:val="001B5357"/>
    <w:rsid w:val="001B566C"/>
    <w:rsid w:val="001C61C5"/>
    <w:rsid w:val="001C69C4"/>
    <w:rsid w:val="001D1EC6"/>
    <w:rsid w:val="001D2274"/>
    <w:rsid w:val="001D37EF"/>
    <w:rsid w:val="001D4D79"/>
    <w:rsid w:val="001E01F2"/>
    <w:rsid w:val="001E2784"/>
    <w:rsid w:val="001E3590"/>
    <w:rsid w:val="001E4B8F"/>
    <w:rsid w:val="001E5C56"/>
    <w:rsid w:val="001E7407"/>
    <w:rsid w:val="001F1A90"/>
    <w:rsid w:val="001F4824"/>
    <w:rsid w:val="001F5D5E"/>
    <w:rsid w:val="001F6219"/>
    <w:rsid w:val="001F6CD4"/>
    <w:rsid w:val="00206C4D"/>
    <w:rsid w:val="00211280"/>
    <w:rsid w:val="00212547"/>
    <w:rsid w:val="00215AF1"/>
    <w:rsid w:val="0021663E"/>
    <w:rsid w:val="002166CC"/>
    <w:rsid w:val="00221257"/>
    <w:rsid w:val="0022196E"/>
    <w:rsid w:val="00221A2B"/>
    <w:rsid w:val="002256E9"/>
    <w:rsid w:val="00227C84"/>
    <w:rsid w:val="00231EE9"/>
    <w:rsid w:val="002321E8"/>
    <w:rsid w:val="00232984"/>
    <w:rsid w:val="0024010F"/>
    <w:rsid w:val="00240749"/>
    <w:rsid w:val="00241B2C"/>
    <w:rsid w:val="00243018"/>
    <w:rsid w:val="00245510"/>
    <w:rsid w:val="00245E6E"/>
    <w:rsid w:val="00255153"/>
    <w:rsid w:val="002557EA"/>
    <w:rsid w:val="00255DF3"/>
    <w:rsid w:val="002564A4"/>
    <w:rsid w:val="002576A9"/>
    <w:rsid w:val="0026736C"/>
    <w:rsid w:val="00267E82"/>
    <w:rsid w:val="002703CA"/>
    <w:rsid w:val="00281308"/>
    <w:rsid w:val="00281993"/>
    <w:rsid w:val="002820BB"/>
    <w:rsid w:val="00284719"/>
    <w:rsid w:val="0028770D"/>
    <w:rsid w:val="0029001A"/>
    <w:rsid w:val="002925EC"/>
    <w:rsid w:val="002952E9"/>
    <w:rsid w:val="00297219"/>
    <w:rsid w:val="00297ECB"/>
    <w:rsid w:val="00297FDE"/>
    <w:rsid w:val="002A0F52"/>
    <w:rsid w:val="002A2082"/>
    <w:rsid w:val="002A7BCF"/>
    <w:rsid w:val="002B2823"/>
    <w:rsid w:val="002B3CC1"/>
    <w:rsid w:val="002B54B0"/>
    <w:rsid w:val="002C3FD1"/>
    <w:rsid w:val="002C49AE"/>
    <w:rsid w:val="002C76A1"/>
    <w:rsid w:val="002D043A"/>
    <w:rsid w:val="002D266B"/>
    <w:rsid w:val="002D6224"/>
    <w:rsid w:val="002D7F06"/>
    <w:rsid w:val="002E19DE"/>
    <w:rsid w:val="002F15AE"/>
    <w:rsid w:val="002F3E33"/>
    <w:rsid w:val="002F5D6F"/>
    <w:rsid w:val="00301CBF"/>
    <w:rsid w:val="00304F8B"/>
    <w:rsid w:val="00307AB6"/>
    <w:rsid w:val="00310D0C"/>
    <w:rsid w:val="003126A2"/>
    <w:rsid w:val="003133F6"/>
    <w:rsid w:val="0031353F"/>
    <w:rsid w:val="003141D4"/>
    <w:rsid w:val="003166FD"/>
    <w:rsid w:val="00320AA8"/>
    <w:rsid w:val="003210FF"/>
    <w:rsid w:val="003217F4"/>
    <w:rsid w:val="00323312"/>
    <w:rsid w:val="00324F0E"/>
    <w:rsid w:val="00325906"/>
    <w:rsid w:val="0032688E"/>
    <w:rsid w:val="00335BC6"/>
    <w:rsid w:val="00337EDD"/>
    <w:rsid w:val="003415D3"/>
    <w:rsid w:val="0034395E"/>
    <w:rsid w:val="00344338"/>
    <w:rsid w:val="00344701"/>
    <w:rsid w:val="0034492F"/>
    <w:rsid w:val="003454FA"/>
    <w:rsid w:val="00345507"/>
    <w:rsid w:val="0035052B"/>
    <w:rsid w:val="003515B5"/>
    <w:rsid w:val="00352B0F"/>
    <w:rsid w:val="00356DA8"/>
    <w:rsid w:val="0035769B"/>
    <w:rsid w:val="00360459"/>
    <w:rsid w:val="00362836"/>
    <w:rsid w:val="00365F71"/>
    <w:rsid w:val="00375FB6"/>
    <w:rsid w:val="0038049F"/>
    <w:rsid w:val="00381984"/>
    <w:rsid w:val="00383510"/>
    <w:rsid w:val="00385FA7"/>
    <w:rsid w:val="003937D2"/>
    <w:rsid w:val="003A3645"/>
    <w:rsid w:val="003A38FC"/>
    <w:rsid w:val="003A3E39"/>
    <w:rsid w:val="003A471C"/>
    <w:rsid w:val="003A5EFD"/>
    <w:rsid w:val="003B2E6F"/>
    <w:rsid w:val="003B48C9"/>
    <w:rsid w:val="003B6B79"/>
    <w:rsid w:val="003C11F3"/>
    <w:rsid w:val="003C39F6"/>
    <w:rsid w:val="003C4E36"/>
    <w:rsid w:val="003C6231"/>
    <w:rsid w:val="003D0109"/>
    <w:rsid w:val="003D0B7B"/>
    <w:rsid w:val="003D0BFE"/>
    <w:rsid w:val="003D32B3"/>
    <w:rsid w:val="003D401F"/>
    <w:rsid w:val="003D5700"/>
    <w:rsid w:val="003D703F"/>
    <w:rsid w:val="003E341B"/>
    <w:rsid w:val="003E4D00"/>
    <w:rsid w:val="003E5F09"/>
    <w:rsid w:val="003F1A8F"/>
    <w:rsid w:val="0040237E"/>
    <w:rsid w:val="0040299D"/>
    <w:rsid w:val="00405FE2"/>
    <w:rsid w:val="004116CD"/>
    <w:rsid w:val="004174C7"/>
    <w:rsid w:val="00417EB9"/>
    <w:rsid w:val="00424CA9"/>
    <w:rsid w:val="0042567A"/>
    <w:rsid w:val="004274F9"/>
    <w:rsid w:val="00427527"/>
    <w:rsid w:val="004276DF"/>
    <w:rsid w:val="0043121D"/>
    <w:rsid w:val="00431E9B"/>
    <w:rsid w:val="004379E3"/>
    <w:rsid w:val="0044015E"/>
    <w:rsid w:val="0044291A"/>
    <w:rsid w:val="00443669"/>
    <w:rsid w:val="004450F3"/>
    <w:rsid w:val="00454D19"/>
    <w:rsid w:val="00461C6F"/>
    <w:rsid w:val="00463D2E"/>
    <w:rsid w:val="00467661"/>
    <w:rsid w:val="00471417"/>
    <w:rsid w:val="00472DBE"/>
    <w:rsid w:val="00474A19"/>
    <w:rsid w:val="00475524"/>
    <w:rsid w:val="00477830"/>
    <w:rsid w:val="00477A02"/>
    <w:rsid w:val="00486DF2"/>
    <w:rsid w:val="00487764"/>
    <w:rsid w:val="004960BD"/>
    <w:rsid w:val="00496F97"/>
    <w:rsid w:val="004A16AC"/>
    <w:rsid w:val="004A2BDE"/>
    <w:rsid w:val="004A2E93"/>
    <w:rsid w:val="004A36FE"/>
    <w:rsid w:val="004B2D64"/>
    <w:rsid w:val="004B30BF"/>
    <w:rsid w:val="004B38C7"/>
    <w:rsid w:val="004B66F9"/>
    <w:rsid w:val="004B6C48"/>
    <w:rsid w:val="004B7BD8"/>
    <w:rsid w:val="004C4E59"/>
    <w:rsid w:val="004C6809"/>
    <w:rsid w:val="004C716A"/>
    <w:rsid w:val="004D25AF"/>
    <w:rsid w:val="004D5604"/>
    <w:rsid w:val="004D5FC5"/>
    <w:rsid w:val="004E063A"/>
    <w:rsid w:val="004E1307"/>
    <w:rsid w:val="004E7BEC"/>
    <w:rsid w:val="004F1078"/>
    <w:rsid w:val="004F1A68"/>
    <w:rsid w:val="004F1B12"/>
    <w:rsid w:val="004F3D9C"/>
    <w:rsid w:val="004F46C0"/>
    <w:rsid w:val="004F54C2"/>
    <w:rsid w:val="004F5C8C"/>
    <w:rsid w:val="00501D3E"/>
    <w:rsid w:val="00505D14"/>
    <w:rsid w:val="00505D3D"/>
    <w:rsid w:val="00506AF6"/>
    <w:rsid w:val="00516B8D"/>
    <w:rsid w:val="005202E5"/>
    <w:rsid w:val="005240FF"/>
    <w:rsid w:val="005303C8"/>
    <w:rsid w:val="005323E4"/>
    <w:rsid w:val="00533CA0"/>
    <w:rsid w:val="00537FBC"/>
    <w:rsid w:val="00541C2D"/>
    <w:rsid w:val="005452C8"/>
    <w:rsid w:val="00546434"/>
    <w:rsid w:val="00547D99"/>
    <w:rsid w:val="00554826"/>
    <w:rsid w:val="00556CC6"/>
    <w:rsid w:val="005572F0"/>
    <w:rsid w:val="00562877"/>
    <w:rsid w:val="00574E62"/>
    <w:rsid w:val="00576469"/>
    <w:rsid w:val="00582A76"/>
    <w:rsid w:val="00584811"/>
    <w:rsid w:val="00585784"/>
    <w:rsid w:val="00592C67"/>
    <w:rsid w:val="00593AA6"/>
    <w:rsid w:val="00594161"/>
    <w:rsid w:val="00594749"/>
    <w:rsid w:val="00595607"/>
    <w:rsid w:val="00595EA0"/>
    <w:rsid w:val="005A35BA"/>
    <w:rsid w:val="005A4F80"/>
    <w:rsid w:val="005A5966"/>
    <w:rsid w:val="005A65D5"/>
    <w:rsid w:val="005B4067"/>
    <w:rsid w:val="005C310E"/>
    <w:rsid w:val="005C3F3A"/>
    <w:rsid w:val="005C3F41"/>
    <w:rsid w:val="005D1D92"/>
    <w:rsid w:val="005D2323"/>
    <w:rsid w:val="005D2498"/>
    <w:rsid w:val="005D2D09"/>
    <w:rsid w:val="005D3597"/>
    <w:rsid w:val="005D5E37"/>
    <w:rsid w:val="005E39CD"/>
    <w:rsid w:val="005F2647"/>
    <w:rsid w:val="005F2B7A"/>
    <w:rsid w:val="005F5ED9"/>
    <w:rsid w:val="005F6237"/>
    <w:rsid w:val="00600219"/>
    <w:rsid w:val="00600EB2"/>
    <w:rsid w:val="00602891"/>
    <w:rsid w:val="00604F2A"/>
    <w:rsid w:val="00611428"/>
    <w:rsid w:val="00611960"/>
    <w:rsid w:val="00613176"/>
    <w:rsid w:val="00614039"/>
    <w:rsid w:val="00616442"/>
    <w:rsid w:val="00620076"/>
    <w:rsid w:val="00622275"/>
    <w:rsid w:val="00622D3B"/>
    <w:rsid w:val="00627E0A"/>
    <w:rsid w:val="006319E0"/>
    <w:rsid w:val="0063461D"/>
    <w:rsid w:val="00634768"/>
    <w:rsid w:val="00641ED0"/>
    <w:rsid w:val="00643ADB"/>
    <w:rsid w:val="0064574F"/>
    <w:rsid w:val="0064774C"/>
    <w:rsid w:val="00652E51"/>
    <w:rsid w:val="0065329F"/>
    <w:rsid w:val="0065488B"/>
    <w:rsid w:val="00655871"/>
    <w:rsid w:val="00656C1F"/>
    <w:rsid w:val="0066226E"/>
    <w:rsid w:val="0066244A"/>
    <w:rsid w:val="00663855"/>
    <w:rsid w:val="00666BA8"/>
    <w:rsid w:val="00670EA1"/>
    <w:rsid w:val="00672678"/>
    <w:rsid w:val="00677CC2"/>
    <w:rsid w:val="00681A4F"/>
    <w:rsid w:val="00682C73"/>
    <w:rsid w:val="00684CC3"/>
    <w:rsid w:val="0068608C"/>
    <w:rsid w:val="0068660E"/>
    <w:rsid w:val="00686A51"/>
    <w:rsid w:val="0068744B"/>
    <w:rsid w:val="006905DE"/>
    <w:rsid w:val="006916F7"/>
    <w:rsid w:val="0069207B"/>
    <w:rsid w:val="00693BD2"/>
    <w:rsid w:val="0069528E"/>
    <w:rsid w:val="00697B31"/>
    <w:rsid w:val="006A154F"/>
    <w:rsid w:val="006A2569"/>
    <w:rsid w:val="006A2C06"/>
    <w:rsid w:val="006A437B"/>
    <w:rsid w:val="006B5789"/>
    <w:rsid w:val="006C193D"/>
    <w:rsid w:val="006C30C5"/>
    <w:rsid w:val="006C7F8C"/>
    <w:rsid w:val="006D277B"/>
    <w:rsid w:val="006D5E88"/>
    <w:rsid w:val="006E1CAE"/>
    <w:rsid w:val="006E2E1C"/>
    <w:rsid w:val="006E533B"/>
    <w:rsid w:val="006E614B"/>
    <w:rsid w:val="006E6246"/>
    <w:rsid w:val="006E69C2"/>
    <w:rsid w:val="006E6DCC"/>
    <w:rsid w:val="006F318F"/>
    <w:rsid w:val="006F7297"/>
    <w:rsid w:val="0070017E"/>
    <w:rsid w:val="007003DB"/>
    <w:rsid w:val="00700B2C"/>
    <w:rsid w:val="00703015"/>
    <w:rsid w:val="00704E7D"/>
    <w:rsid w:val="007050A2"/>
    <w:rsid w:val="00713084"/>
    <w:rsid w:val="007137E2"/>
    <w:rsid w:val="00714D04"/>
    <w:rsid w:val="00714F20"/>
    <w:rsid w:val="0071590F"/>
    <w:rsid w:val="00715914"/>
    <w:rsid w:val="0072147A"/>
    <w:rsid w:val="00722B92"/>
    <w:rsid w:val="00723791"/>
    <w:rsid w:val="007237C8"/>
    <w:rsid w:val="007270E7"/>
    <w:rsid w:val="00731925"/>
    <w:rsid w:val="00731E00"/>
    <w:rsid w:val="00735842"/>
    <w:rsid w:val="00743167"/>
    <w:rsid w:val="00743DB2"/>
    <w:rsid w:val="007440B7"/>
    <w:rsid w:val="007448FE"/>
    <w:rsid w:val="00745F05"/>
    <w:rsid w:val="007500C8"/>
    <w:rsid w:val="007516C7"/>
    <w:rsid w:val="00753C45"/>
    <w:rsid w:val="007551A4"/>
    <w:rsid w:val="00755EEA"/>
    <w:rsid w:val="00755F7E"/>
    <w:rsid w:val="00756272"/>
    <w:rsid w:val="00756C83"/>
    <w:rsid w:val="007613E5"/>
    <w:rsid w:val="00762D38"/>
    <w:rsid w:val="007639F9"/>
    <w:rsid w:val="00767337"/>
    <w:rsid w:val="007715C9"/>
    <w:rsid w:val="00771613"/>
    <w:rsid w:val="007721CA"/>
    <w:rsid w:val="00773AE4"/>
    <w:rsid w:val="00774EDD"/>
    <w:rsid w:val="007757EC"/>
    <w:rsid w:val="00781698"/>
    <w:rsid w:val="00782007"/>
    <w:rsid w:val="00783E89"/>
    <w:rsid w:val="00786A2F"/>
    <w:rsid w:val="007873C9"/>
    <w:rsid w:val="0078774D"/>
    <w:rsid w:val="00787AFD"/>
    <w:rsid w:val="007922F9"/>
    <w:rsid w:val="00793915"/>
    <w:rsid w:val="007A06B5"/>
    <w:rsid w:val="007A5A66"/>
    <w:rsid w:val="007B1ECC"/>
    <w:rsid w:val="007B3F3B"/>
    <w:rsid w:val="007C2253"/>
    <w:rsid w:val="007C320C"/>
    <w:rsid w:val="007C7BED"/>
    <w:rsid w:val="007D14B2"/>
    <w:rsid w:val="007D30A1"/>
    <w:rsid w:val="007D742D"/>
    <w:rsid w:val="007D7911"/>
    <w:rsid w:val="007E0F28"/>
    <w:rsid w:val="007E1246"/>
    <w:rsid w:val="007E163D"/>
    <w:rsid w:val="007E182C"/>
    <w:rsid w:val="007E1BAC"/>
    <w:rsid w:val="007E5C23"/>
    <w:rsid w:val="007E5FE6"/>
    <w:rsid w:val="007E667A"/>
    <w:rsid w:val="007F28C9"/>
    <w:rsid w:val="007F3854"/>
    <w:rsid w:val="007F51B2"/>
    <w:rsid w:val="007F6AD8"/>
    <w:rsid w:val="008040DD"/>
    <w:rsid w:val="008050E4"/>
    <w:rsid w:val="00810202"/>
    <w:rsid w:val="008117E9"/>
    <w:rsid w:val="00823A94"/>
    <w:rsid w:val="00824498"/>
    <w:rsid w:val="00826BD1"/>
    <w:rsid w:val="00827BF7"/>
    <w:rsid w:val="008363C5"/>
    <w:rsid w:val="008433E9"/>
    <w:rsid w:val="00854D0B"/>
    <w:rsid w:val="00856A31"/>
    <w:rsid w:val="00857439"/>
    <w:rsid w:val="00860B4E"/>
    <w:rsid w:val="008625D7"/>
    <w:rsid w:val="0086588B"/>
    <w:rsid w:val="00866FCD"/>
    <w:rsid w:val="00867B37"/>
    <w:rsid w:val="0087425F"/>
    <w:rsid w:val="008754D0"/>
    <w:rsid w:val="00875D13"/>
    <w:rsid w:val="00876B8F"/>
    <w:rsid w:val="008801CD"/>
    <w:rsid w:val="00881CFD"/>
    <w:rsid w:val="008843AB"/>
    <w:rsid w:val="008855C9"/>
    <w:rsid w:val="00885E1D"/>
    <w:rsid w:val="00886456"/>
    <w:rsid w:val="00891CA7"/>
    <w:rsid w:val="00892345"/>
    <w:rsid w:val="00892505"/>
    <w:rsid w:val="00894F66"/>
    <w:rsid w:val="00896176"/>
    <w:rsid w:val="008A1127"/>
    <w:rsid w:val="008A46E1"/>
    <w:rsid w:val="008A4F43"/>
    <w:rsid w:val="008A5A2F"/>
    <w:rsid w:val="008A5D89"/>
    <w:rsid w:val="008A794A"/>
    <w:rsid w:val="008B1FEE"/>
    <w:rsid w:val="008B2706"/>
    <w:rsid w:val="008B55E2"/>
    <w:rsid w:val="008C2634"/>
    <w:rsid w:val="008C29D9"/>
    <w:rsid w:val="008C2EAC"/>
    <w:rsid w:val="008C34D6"/>
    <w:rsid w:val="008D0EE0"/>
    <w:rsid w:val="008D4DC3"/>
    <w:rsid w:val="008D583E"/>
    <w:rsid w:val="008E0027"/>
    <w:rsid w:val="008E3E7E"/>
    <w:rsid w:val="008E6067"/>
    <w:rsid w:val="008F24B2"/>
    <w:rsid w:val="008F406F"/>
    <w:rsid w:val="008F54E7"/>
    <w:rsid w:val="008F773B"/>
    <w:rsid w:val="00900BA2"/>
    <w:rsid w:val="00902528"/>
    <w:rsid w:val="00903422"/>
    <w:rsid w:val="0090429A"/>
    <w:rsid w:val="00910E74"/>
    <w:rsid w:val="00914166"/>
    <w:rsid w:val="00923BC0"/>
    <w:rsid w:val="009254C3"/>
    <w:rsid w:val="009259EE"/>
    <w:rsid w:val="009315AD"/>
    <w:rsid w:val="00932367"/>
    <w:rsid w:val="00932377"/>
    <w:rsid w:val="00932709"/>
    <w:rsid w:val="009336F2"/>
    <w:rsid w:val="00941236"/>
    <w:rsid w:val="00942C15"/>
    <w:rsid w:val="00943687"/>
    <w:rsid w:val="00943FD5"/>
    <w:rsid w:val="00947D5A"/>
    <w:rsid w:val="009502F5"/>
    <w:rsid w:val="00950426"/>
    <w:rsid w:val="009532A5"/>
    <w:rsid w:val="009545BD"/>
    <w:rsid w:val="00954B10"/>
    <w:rsid w:val="00955597"/>
    <w:rsid w:val="00957F27"/>
    <w:rsid w:val="00960748"/>
    <w:rsid w:val="00964AC3"/>
    <w:rsid w:val="00964CF0"/>
    <w:rsid w:val="00967826"/>
    <w:rsid w:val="00972949"/>
    <w:rsid w:val="00977806"/>
    <w:rsid w:val="00982242"/>
    <w:rsid w:val="009852D2"/>
    <w:rsid w:val="009868E9"/>
    <w:rsid w:val="009900A3"/>
    <w:rsid w:val="0099266D"/>
    <w:rsid w:val="009932AD"/>
    <w:rsid w:val="009A4F0A"/>
    <w:rsid w:val="009B10E4"/>
    <w:rsid w:val="009B25C8"/>
    <w:rsid w:val="009B28BF"/>
    <w:rsid w:val="009B2D7C"/>
    <w:rsid w:val="009B7B77"/>
    <w:rsid w:val="009C3413"/>
    <w:rsid w:val="009D6962"/>
    <w:rsid w:val="009E6F46"/>
    <w:rsid w:val="009F2D83"/>
    <w:rsid w:val="00A02D76"/>
    <w:rsid w:val="00A031BE"/>
    <w:rsid w:val="00A03ED2"/>
    <w:rsid w:val="00A040F0"/>
    <w:rsid w:val="00A0441E"/>
    <w:rsid w:val="00A04A96"/>
    <w:rsid w:val="00A12128"/>
    <w:rsid w:val="00A20538"/>
    <w:rsid w:val="00A22C98"/>
    <w:rsid w:val="00A231E2"/>
    <w:rsid w:val="00A32F95"/>
    <w:rsid w:val="00A369E3"/>
    <w:rsid w:val="00A36ED2"/>
    <w:rsid w:val="00A4305A"/>
    <w:rsid w:val="00A45674"/>
    <w:rsid w:val="00A542DB"/>
    <w:rsid w:val="00A5482B"/>
    <w:rsid w:val="00A57600"/>
    <w:rsid w:val="00A61286"/>
    <w:rsid w:val="00A623EF"/>
    <w:rsid w:val="00A6323E"/>
    <w:rsid w:val="00A63CAF"/>
    <w:rsid w:val="00A64444"/>
    <w:rsid w:val="00A64912"/>
    <w:rsid w:val="00A70244"/>
    <w:rsid w:val="00A70A74"/>
    <w:rsid w:val="00A75FE9"/>
    <w:rsid w:val="00A84E1A"/>
    <w:rsid w:val="00A933A4"/>
    <w:rsid w:val="00AA4ACC"/>
    <w:rsid w:val="00AA4DDA"/>
    <w:rsid w:val="00AB7AFC"/>
    <w:rsid w:val="00AC05DE"/>
    <w:rsid w:val="00AC4FF8"/>
    <w:rsid w:val="00AC6BF2"/>
    <w:rsid w:val="00AC6EE5"/>
    <w:rsid w:val="00AD1CD3"/>
    <w:rsid w:val="00AD223E"/>
    <w:rsid w:val="00AD53CC"/>
    <w:rsid w:val="00AD5641"/>
    <w:rsid w:val="00AE0AA3"/>
    <w:rsid w:val="00AE1616"/>
    <w:rsid w:val="00AF0039"/>
    <w:rsid w:val="00AF06CF"/>
    <w:rsid w:val="00AF0E1D"/>
    <w:rsid w:val="00AF312E"/>
    <w:rsid w:val="00AF6A8F"/>
    <w:rsid w:val="00B00A74"/>
    <w:rsid w:val="00B025B3"/>
    <w:rsid w:val="00B02E88"/>
    <w:rsid w:val="00B04105"/>
    <w:rsid w:val="00B07CDB"/>
    <w:rsid w:val="00B16344"/>
    <w:rsid w:val="00B16A31"/>
    <w:rsid w:val="00B17DFD"/>
    <w:rsid w:val="00B20A6E"/>
    <w:rsid w:val="00B2110D"/>
    <w:rsid w:val="00B25306"/>
    <w:rsid w:val="00B27831"/>
    <w:rsid w:val="00B308FE"/>
    <w:rsid w:val="00B309C5"/>
    <w:rsid w:val="00B32EF3"/>
    <w:rsid w:val="00B33709"/>
    <w:rsid w:val="00B33B3C"/>
    <w:rsid w:val="00B36392"/>
    <w:rsid w:val="00B37763"/>
    <w:rsid w:val="00B418CB"/>
    <w:rsid w:val="00B43206"/>
    <w:rsid w:val="00B45764"/>
    <w:rsid w:val="00B47444"/>
    <w:rsid w:val="00B50ADC"/>
    <w:rsid w:val="00B54F7D"/>
    <w:rsid w:val="00B566B1"/>
    <w:rsid w:val="00B63834"/>
    <w:rsid w:val="00B65755"/>
    <w:rsid w:val="00B72706"/>
    <w:rsid w:val="00B778F5"/>
    <w:rsid w:val="00B80199"/>
    <w:rsid w:val="00B824E8"/>
    <w:rsid w:val="00B8258F"/>
    <w:rsid w:val="00B83204"/>
    <w:rsid w:val="00B83209"/>
    <w:rsid w:val="00B84B27"/>
    <w:rsid w:val="00B856E7"/>
    <w:rsid w:val="00B86E20"/>
    <w:rsid w:val="00B900EF"/>
    <w:rsid w:val="00B90255"/>
    <w:rsid w:val="00B90D2F"/>
    <w:rsid w:val="00B95224"/>
    <w:rsid w:val="00BA220B"/>
    <w:rsid w:val="00BA3A57"/>
    <w:rsid w:val="00BB1533"/>
    <w:rsid w:val="00BB26F7"/>
    <w:rsid w:val="00BB4E1A"/>
    <w:rsid w:val="00BB6306"/>
    <w:rsid w:val="00BC015E"/>
    <w:rsid w:val="00BC6F7D"/>
    <w:rsid w:val="00BC728C"/>
    <w:rsid w:val="00BC76AC"/>
    <w:rsid w:val="00BD0B72"/>
    <w:rsid w:val="00BD0ECB"/>
    <w:rsid w:val="00BD6FA6"/>
    <w:rsid w:val="00BD7280"/>
    <w:rsid w:val="00BE1D10"/>
    <w:rsid w:val="00BE2155"/>
    <w:rsid w:val="00BE719A"/>
    <w:rsid w:val="00BE720A"/>
    <w:rsid w:val="00BE7DE6"/>
    <w:rsid w:val="00BF0D73"/>
    <w:rsid w:val="00BF2465"/>
    <w:rsid w:val="00C02687"/>
    <w:rsid w:val="00C03158"/>
    <w:rsid w:val="00C0450B"/>
    <w:rsid w:val="00C05B2E"/>
    <w:rsid w:val="00C07C31"/>
    <w:rsid w:val="00C16020"/>
    <w:rsid w:val="00C16619"/>
    <w:rsid w:val="00C16798"/>
    <w:rsid w:val="00C206DE"/>
    <w:rsid w:val="00C2429A"/>
    <w:rsid w:val="00C25E7F"/>
    <w:rsid w:val="00C26ED2"/>
    <w:rsid w:val="00C2746F"/>
    <w:rsid w:val="00C323D6"/>
    <w:rsid w:val="00C324A0"/>
    <w:rsid w:val="00C349DB"/>
    <w:rsid w:val="00C37DE8"/>
    <w:rsid w:val="00C415AB"/>
    <w:rsid w:val="00C41FAE"/>
    <w:rsid w:val="00C42BF8"/>
    <w:rsid w:val="00C42FC7"/>
    <w:rsid w:val="00C43348"/>
    <w:rsid w:val="00C50043"/>
    <w:rsid w:val="00C515D4"/>
    <w:rsid w:val="00C5396F"/>
    <w:rsid w:val="00C53E71"/>
    <w:rsid w:val="00C5682E"/>
    <w:rsid w:val="00C608EA"/>
    <w:rsid w:val="00C60C11"/>
    <w:rsid w:val="00C65401"/>
    <w:rsid w:val="00C71907"/>
    <w:rsid w:val="00C72CFF"/>
    <w:rsid w:val="00C73B9A"/>
    <w:rsid w:val="00C7573B"/>
    <w:rsid w:val="00C856D3"/>
    <w:rsid w:val="00C86F8B"/>
    <w:rsid w:val="00C873B5"/>
    <w:rsid w:val="00C90683"/>
    <w:rsid w:val="00C94016"/>
    <w:rsid w:val="00C960CA"/>
    <w:rsid w:val="00C97A54"/>
    <w:rsid w:val="00CA5B23"/>
    <w:rsid w:val="00CB0115"/>
    <w:rsid w:val="00CB042A"/>
    <w:rsid w:val="00CB544B"/>
    <w:rsid w:val="00CB602E"/>
    <w:rsid w:val="00CB70D6"/>
    <w:rsid w:val="00CB7E90"/>
    <w:rsid w:val="00CC530B"/>
    <w:rsid w:val="00CC66D9"/>
    <w:rsid w:val="00CC6A72"/>
    <w:rsid w:val="00CD14E7"/>
    <w:rsid w:val="00CD5758"/>
    <w:rsid w:val="00CE051D"/>
    <w:rsid w:val="00CE1335"/>
    <w:rsid w:val="00CE493D"/>
    <w:rsid w:val="00CE7F3E"/>
    <w:rsid w:val="00CF07FA"/>
    <w:rsid w:val="00CF0828"/>
    <w:rsid w:val="00CF0BB2"/>
    <w:rsid w:val="00CF31CB"/>
    <w:rsid w:val="00CF3EE8"/>
    <w:rsid w:val="00D01A82"/>
    <w:rsid w:val="00D0427E"/>
    <w:rsid w:val="00D0579E"/>
    <w:rsid w:val="00D13441"/>
    <w:rsid w:val="00D150E7"/>
    <w:rsid w:val="00D20AF9"/>
    <w:rsid w:val="00D23477"/>
    <w:rsid w:val="00D3081C"/>
    <w:rsid w:val="00D324AC"/>
    <w:rsid w:val="00D34128"/>
    <w:rsid w:val="00D36477"/>
    <w:rsid w:val="00D41B89"/>
    <w:rsid w:val="00D46E0B"/>
    <w:rsid w:val="00D47765"/>
    <w:rsid w:val="00D52DC2"/>
    <w:rsid w:val="00D53612"/>
    <w:rsid w:val="00D53BCC"/>
    <w:rsid w:val="00D54C9E"/>
    <w:rsid w:val="00D61D71"/>
    <w:rsid w:val="00D620BF"/>
    <w:rsid w:val="00D644D9"/>
    <w:rsid w:val="00D6537E"/>
    <w:rsid w:val="00D704FD"/>
    <w:rsid w:val="00D70DFB"/>
    <w:rsid w:val="00D74AC0"/>
    <w:rsid w:val="00D766DF"/>
    <w:rsid w:val="00D77124"/>
    <w:rsid w:val="00D80B2C"/>
    <w:rsid w:val="00D8206C"/>
    <w:rsid w:val="00D84EF7"/>
    <w:rsid w:val="00D854C1"/>
    <w:rsid w:val="00D9143D"/>
    <w:rsid w:val="00D918FB"/>
    <w:rsid w:val="00D91F10"/>
    <w:rsid w:val="00DA0305"/>
    <w:rsid w:val="00DA0F44"/>
    <w:rsid w:val="00DA186E"/>
    <w:rsid w:val="00DA4116"/>
    <w:rsid w:val="00DA4FCB"/>
    <w:rsid w:val="00DB181B"/>
    <w:rsid w:val="00DB1F41"/>
    <w:rsid w:val="00DB251C"/>
    <w:rsid w:val="00DB4630"/>
    <w:rsid w:val="00DC2B8E"/>
    <w:rsid w:val="00DC2BE6"/>
    <w:rsid w:val="00DC2C93"/>
    <w:rsid w:val="00DC4A80"/>
    <w:rsid w:val="00DC4F88"/>
    <w:rsid w:val="00DC6C2E"/>
    <w:rsid w:val="00DC7AAB"/>
    <w:rsid w:val="00DC7CEC"/>
    <w:rsid w:val="00DD0FCF"/>
    <w:rsid w:val="00DD1CF5"/>
    <w:rsid w:val="00DD6AB2"/>
    <w:rsid w:val="00DD6FA1"/>
    <w:rsid w:val="00DE107C"/>
    <w:rsid w:val="00DE2DE9"/>
    <w:rsid w:val="00DF2388"/>
    <w:rsid w:val="00DF79AD"/>
    <w:rsid w:val="00E0274F"/>
    <w:rsid w:val="00E05466"/>
    <w:rsid w:val="00E05704"/>
    <w:rsid w:val="00E16C80"/>
    <w:rsid w:val="00E2022B"/>
    <w:rsid w:val="00E300FB"/>
    <w:rsid w:val="00E30165"/>
    <w:rsid w:val="00E338EF"/>
    <w:rsid w:val="00E40590"/>
    <w:rsid w:val="00E42BA3"/>
    <w:rsid w:val="00E42F79"/>
    <w:rsid w:val="00E45366"/>
    <w:rsid w:val="00E46F96"/>
    <w:rsid w:val="00E544BB"/>
    <w:rsid w:val="00E562B2"/>
    <w:rsid w:val="00E60472"/>
    <w:rsid w:val="00E6762D"/>
    <w:rsid w:val="00E74DC7"/>
    <w:rsid w:val="00E75FE2"/>
    <w:rsid w:val="00E8075A"/>
    <w:rsid w:val="00E83422"/>
    <w:rsid w:val="00E844FF"/>
    <w:rsid w:val="00E87DAF"/>
    <w:rsid w:val="00E91653"/>
    <w:rsid w:val="00E93A18"/>
    <w:rsid w:val="00E940D8"/>
    <w:rsid w:val="00E94D32"/>
    <w:rsid w:val="00E94D5E"/>
    <w:rsid w:val="00E96A46"/>
    <w:rsid w:val="00EA26F6"/>
    <w:rsid w:val="00EA7100"/>
    <w:rsid w:val="00EA7F9F"/>
    <w:rsid w:val="00EB1274"/>
    <w:rsid w:val="00EB2CC5"/>
    <w:rsid w:val="00EB3C6C"/>
    <w:rsid w:val="00EB43A2"/>
    <w:rsid w:val="00EB5AC5"/>
    <w:rsid w:val="00EB63FF"/>
    <w:rsid w:val="00EB6A5E"/>
    <w:rsid w:val="00EC297B"/>
    <w:rsid w:val="00ED2BB6"/>
    <w:rsid w:val="00ED34E1"/>
    <w:rsid w:val="00ED3B8D"/>
    <w:rsid w:val="00EE1525"/>
    <w:rsid w:val="00EE43D4"/>
    <w:rsid w:val="00EE4E87"/>
    <w:rsid w:val="00EE5E36"/>
    <w:rsid w:val="00EE75FF"/>
    <w:rsid w:val="00EF096D"/>
    <w:rsid w:val="00EF18B7"/>
    <w:rsid w:val="00EF2E3A"/>
    <w:rsid w:val="00EF5265"/>
    <w:rsid w:val="00F02C7C"/>
    <w:rsid w:val="00F072A7"/>
    <w:rsid w:val="00F078DC"/>
    <w:rsid w:val="00F10732"/>
    <w:rsid w:val="00F126A2"/>
    <w:rsid w:val="00F14F7D"/>
    <w:rsid w:val="00F16D78"/>
    <w:rsid w:val="00F218DE"/>
    <w:rsid w:val="00F244CF"/>
    <w:rsid w:val="00F24B82"/>
    <w:rsid w:val="00F30C78"/>
    <w:rsid w:val="00F32AED"/>
    <w:rsid w:val="00F32BA8"/>
    <w:rsid w:val="00F32EE0"/>
    <w:rsid w:val="00F349F1"/>
    <w:rsid w:val="00F3797A"/>
    <w:rsid w:val="00F40D2C"/>
    <w:rsid w:val="00F4350D"/>
    <w:rsid w:val="00F43DF0"/>
    <w:rsid w:val="00F479C4"/>
    <w:rsid w:val="00F50BA1"/>
    <w:rsid w:val="00F54F6E"/>
    <w:rsid w:val="00F5551A"/>
    <w:rsid w:val="00F567F7"/>
    <w:rsid w:val="00F573D0"/>
    <w:rsid w:val="00F6696E"/>
    <w:rsid w:val="00F7303A"/>
    <w:rsid w:val="00F73BD6"/>
    <w:rsid w:val="00F76C8E"/>
    <w:rsid w:val="00F83989"/>
    <w:rsid w:val="00F848E6"/>
    <w:rsid w:val="00F85099"/>
    <w:rsid w:val="00F8630A"/>
    <w:rsid w:val="00F9379C"/>
    <w:rsid w:val="00F95AF5"/>
    <w:rsid w:val="00F95B40"/>
    <w:rsid w:val="00F95E98"/>
    <w:rsid w:val="00F9632C"/>
    <w:rsid w:val="00F96AF7"/>
    <w:rsid w:val="00FA1E52"/>
    <w:rsid w:val="00FA6F34"/>
    <w:rsid w:val="00FB10B9"/>
    <w:rsid w:val="00FB5A08"/>
    <w:rsid w:val="00FB73F6"/>
    <w:rsid w:val="00FC1395"/>
    <w:rsid w:val="00FC232A"/>
    <w:rsid w:val="00FC520D"/>
    <w:rsid w:val="00FC62EB"/>
    <w:rsid w:val="00FC6A80"/>
    <w:rsid w:val="00FD1182"/>
    <w:rsid w:val="00FD22C6"/>
    <w:rsid w:val="00FD4DE5"/>
    <w:rsid w:val="00FE4688"/>
    <w:rsid w:val="00FE6B76"/>
    <w:rsid w:val="00FE78B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46AA6EE0"/>
  <w15:docId w15:val="{317069C0-FCDA-4B48-896D-E4F4D32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E1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B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B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BD9"/>
    <w:rPr>
      <w:b/>
      <w:bCs/>
    </w:rPr>
  </w:style>
  <w:style w:type="paragraph" w:styleId="Revision">
    <w:name w:val="Revision"/>
    <w:hidden/>
    <w:uiPriority w:val="99"/>
    <w:semiHidden/>
    <w:rsid w:val="009F2D83"/>
    <w:rPr>
      <w:sz w:val="22"/>
    </w:rPr>
  </w:style>
  <w:style w:type="paragraph" w:customStyle="1" w:styleId="transitional">
    <w:name w:val="transitional"/>
    <w:basedOn w:val="Normal"/>
    <w:rsid w:val="00241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itemhead0">
    <w:name w:val="subitemhead"/>
    <w:basedOn w:val="Normal"/>
    <w:rsid w:val="00241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41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item0">
    <w:name w:val="subitem"/>
    <w:basedOn w:val="Normal"/>
    <w:rsid w:val="00241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8E3E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900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DD0F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divno0">
    <w:name w:val="chardivno"/>
    <w:basedOn w:val="DefaultParagraphFont"/>
    <w:rsid w:val="003D0109"/>
  </w:style>
  <w:style w:type="character" w:customStyle="1" w:styleId="chardivtext0">
    <w:name w:val="chardivtext"/>
    <w:basedOn w:val="DefaultParagraphFont"/>
    <w:rsid w:val="003D0109"/>
  </w:style>
  <w:style w:type="paragraph" w:customStyle="1" w:styleId="acthead50">
    <w:name w:val="acthead5"/>
    <w:basedOn w:val="Normal"/>
    <w:rsid w:val="00E75F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75FE2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E39C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E39CD"/>
    <w:rPr>
      <w:sz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locked/>
    <w:rsid w:val="001E4B8F"/>
    <w:rPr>
      <w:rFonts w:ascii="Calibri" w:hAnsi="Calibri" w:cs="Calibri"/>
    </w:r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1E4B8F"/>
    <w:pPr>
      <w:ind w:left="720"/>
    </w:pPr>
    <w:rPr>
      <w:rFonts w:ascii="Calibri" w:hAnsi="Calibri" w:cs="Calibri"/>
      <w:sz w:val="20"/>
    </w:rPr>
  </w:style>
  <w:style w:type="character" w:styleId="Hyperlink">
    <w:name w:val="Hyperlink"/>
    <w:basedOn w:val="DefaultParagraphFont"/>
    <w:uiPriority w:val="99"/>
    <w:unhideWhenUsed/>
    <w:rsid w:val="00D32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DOCUMENTS!65895291.1</documentid>
  <senderid>MOYSSH</senderid>
  <senderemail>SHONA.MOYSE@AGS.GOV.AU</senderemail>
  <lastmodified>2025-08-14T10:49:00.0000000+10:00</lastmodified>
  <database>DOCUMENTS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760764-669C-461C-B8CA-D0E9272D6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EBB476FF9013846AF57679B89BBE91E" ma:contentTypeVersion="" ma:contentTypeDescription="PDMS Document Site Content Type" ma:contentTypeScope="" ma:versionID="14dc105df431965a5344b02c6d4885d4">
  <xsd:schema xmlns:xsd="http://www.w3.org/2001/XMLSchema" xmlns:xs="http://www.w3.org/2001/XMLSchema" xmlns:p="http://schemas.microsoft.com/office/2006/metadata/properties" xmlns:ns2="26760764-669C-461C-B8CA-D0E9272D678B" targetNamespace="http://schemas.microsoft.com/office/2006/metadata/properties" ma:root="true" ma:fieldsID="5d4c6e5facca1c41ae0a08ed2f581c46" ns2:_="">
    <xsd:import namespace="26760764-669C-461C-B8CA-D0E9272D678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0764-669C-461C-B8CA-D0E9272D678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83B5-010E-459A-8AFF-617FC64424D4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B880D92-A316-4AC7-B7C8-D77CD817EE1E}">
  <ds:schemaRefs>
    <ds:schemaRef ds:uri="http://schemas.microsoft.com/office/2006/metadata/properties"/>
    <ds:schemaRef ds:uri="http://schemas.microsoft.com/office/infopath/2007/PartnerControls"/>
    <ds:schemaRef ds:uri="26760764-669C-461C-B8CA-D0E9272D678B"/>
  </ds:schemaRefs>
</ds:datastoreItem>
</file>

<file path=customXml/itemProps3.xml><?xml version="1.0" encoding="utf-8"?>
<ds:datastoreItem xmlns:ds="http://schemas.openxmlformats.org/officeDocument/2006/customXml" ds:itemID="{5831596B-C657-453E-92F4-0E91D7222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A6AF2-7F1D-4A22-8562-C5AA20645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60764-669C-461C-B8CA-D0E9272D6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604929-4586-4A2C-B07D-EF6A2FF7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LEE,Yo-Ru</dc:creator>
  <cp:keywords/>
  <dc:description/>
  <cp:lastModifiedBy>LEE,Yo-Ru</cp:lastModifiedBy>
  <cp:revision>2</cp:revision>
  <dcterms:created xsi:type="dcterms:W3CDTF">2025-08-27T07:49:00Z</dcterms:created>
  <dcterms:modified xsi:type="dcterms:W3CDTF">2025-08-27T07:49:00Z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2025-08-15T00:14:36Z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67e9ced2-66ff-432a-877b-b94bf50ac4e7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0x010100266966F133664895A6EE3632470D45F500FEBB476FF9013846AF57679B89BBE91E</vt:lpwstr>
  </property>
</Properties>
</file>