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3ACD" w14:textId="19EBCEA0" w:rsidR="00FF6E25" w:rsidRPr="006156C6" w:rsidRDefault="00FF6E25" w:rsidP="000C310A">
      <w:pPr>
        <w:pStyle w:val="Title"/>
      </w:pPr>
      <w:r w:rsidRPr="006156C6">
        <w:t>EXPLANATORY STATEMENT</w:t>
      </w:r>
    </w:p>
    <w:p w14:paraId="145EC655" w14:textId="783D17B5" w:rsidR="0088497A" w:rsidRPr="000C310A" w:rsidRDefault="0088497A" w:rsidP="000C310A">
      <w:pPr>
        <w:pStyle w:val="Subtitle"/>
        <w:rPr>
          <w:rStyle w:val="IntenseEmphasis"/>
          <w:color w:val="auto"/>
          <w:highlight w:val="yellow"/>
        </w:rPr>
      </w:pPr>
      <w:r w:rsidRPr="000C310A">
        <w:rPr>
          <w:rStyle w:val="IntenseEmphasis"/>
          <w:color w:val="auto"/>
        </w:rPr>
        <w:t xml:space="preserve">Issued by the </w:t>
      </w:r>
      <w:r w:rsidRPr="006156C6">
        <w:rPr>
          <w:rStyle w:val="IntenseEmphasis"/>
          <w:color w:val="auto"/>
        </w:rPr>
        <w:t xml:space="preserve">authority of </w:t>
      </w:r>
      <w:r w:rsidR="006156C6" w:rsidRPr="006156C6">
        <w:rPr>
          <w:rStyle w:val="IntenseEmphasis"/>
          <w:color w:val="auto"/>
        </w:rPr>
        <w:t>the Minister for Education</w:t>
      </w:r>
    </w:p>
    <w:p w14:paraId="12EB6806" w14:textId="2FFA9810" w:rsidR="00455C2A" w:rsidRPr="006156C6" w:rsidRDefault="00C85F9C" w:rsidP="000C310A">
      <w:pPr>
        <w:pStyle w:val="Subtitle"/>
      </w:pPr>
      <w:r>
        <w:t>Universities Accord (Student Support and Other Measures) Act 2024</w:t>
      </w:r>
    </w:p>
    <w:p w14:paraId="7027E436" w14:textId="556D0B98" w:rsidR="00891898" w:rsidRPr="0088497A" w:rsidRDefault="00891898" w:rsidP="00891898">
      <w:pPr>
        <w:pStyle w:val="Subtitle"/>
      </w:pPr>
      <w:bookmarkStart w:id="0" w:name="_Toc23942238"/>
      <w:bookmarkStart w:id="1" w:name="_Toc34293358"/>
      <w:r>
        <w:t>Universities Accord (Student Support and Other Measures) (Adelaide University) Transitional Rules 2025</w:t>
      </w:r>
    </w:p>
    <w:p w14:paraId="33AB2D38" w14:textId="77777777" w:rsidR="00455C2A" w:rsidRPr="009D0999" w:rsidRDefault="00144950" w:rsidP="000C310A">
      <w:pPr>
        <w:pStyle w:val="Heading1"/>
      </w:pPr>
      <w:r w:rsidRPr="009D0999">
        <w:t>AUTHORITY</w:t>
      </w:r>
    </w:p>
    <w:p w14:paraId="48F295AF" w14:textId="1E74A339" w:rsidR="00DB6247" w:rsidRPr="00C85F9C" w:rsidRDefault="00C85F9C" w:rsidP="000C310A">
      <w:pPr>
        <w:spacing w:before="120" w:after="120"/>
      </w:pPr>
      <w:r>
        <w:rPr>
          <w:rFonts w:asciiTheme="minorHAnsi" w:hAnsiTheme="minorHAnsi" w:cstheme="minorHAnsi"/>
          <w:szCs w:val="24"/>
        </w:rPr>
        <w:t>Subitem 1(1) of</w:t>
      </w:r>
      <w:r w:rsidR="00965266">
        <w:rPr>
          <w:rFonts w:asciiTheme="minorHAnsi" w:hAnsiTheme="minorHAnsi" w:cstheme="minorHAnsi"/>
          <w:szCs w:val="24"/>
        </w:rPr>
        <w:t xml:space="preserve"> Schedule 6 </w:t>
      </w:r>
      <w:r w:rsidR="00C3420C">
        <w:rPr>
          <w:rFonts w:asciiTheme="minorHAnsi" w:hAnsiTheme="minorHAnsi" w:cstheme="minorHAnsi"/>
          <w:szCs w:val="24"/>
        </w:rPr>
        <w:t>to</w:t>
      </w:r>
      <w:r>
        <w:rPr>
          <w:rFonts w:asciiTheme="minorHAnsi" w:hAnsiTheme="minorHAnsi" w:cstheme="minorHAnsi"/>
          <w:szCs w:val="24"/>
        </w:rPr>
        <w:t xml:space="preserve"> the </w:t>
      </w:r>
      <w:r>
        <w:rPr>
          <w:rFonts w:asciiTheme="minorHAnsi" w:hAnsiTheme="minorHAnsi" w:cstheme="minorHAnsi"/>
          <w:i/>
          <w:iCs/>
          <w:szCs w:val="24"/>
        </w:rPr>
        <w:t xml:space="preserve">Universities Accord (Student Support and Other Measures) Act 2024 </w:t>
      </w:r>
      <w:r>
        <w:rPr>
          <w:rFonts w:asciiTheme="minorHAnsi" w:hAnsiTheme="minorHAnsi" w:cstheme="minorHAnsi"/>
          <w:szCs w:val="24"/>
        </w:rPr>
        <w:t xml:space="preserve">(the Act) provides that the Minister may, by legislative instrument, make rules prescribing matters of a transitional nature (including prescribing any saving or application provisions) relating to the amendments or repeals made by the Act. </w:t>
      </w:r>
    </w:p>
    <w:bookmarkEnd w:id="0"/>
    <w:bookmarkEnd w:id="1"/>
    <w:p w14:paraId="56CDA376" w14:textId="77777777" w:rsidR="00DA552F" w:rsidRPr="008134D5" w:rsidRDefault="00144950" w:rsidP="000C310A">
      <w:pPr>
        <w:pStyle w:val="Heading1"/>
      </w:pPr>
      <w:r>
        <w:t>PURPOSE AND OPERATION</w:t>
      </w:r>
    </w:p>
    <w:p w14:paraId="676C4F08" w14:textId="51AF88AF" w:rsidR="008916E1" w:rsidRDefault="00965266" w:rsidP="00DA552F">
      <w:pPr>
        <w:spacing w:before="120" w:after="120"/>
        <w:rPr>
          <w:rFonts w:asciiTheme="minorHAnsi" w:hAnsiTheme="minorHAnsi" w:cstheme="minorHAnsi"/>
          <w:iCs/>
          <w:szCs w:val="24"/>
        </w:rPr>
      </w:pPr>
      <w:r>
        <w:rPr>
          <w:rFonts w:asciiTheme="minorHAnsi" w:hAnsiTheme="minorHAnsi" w:cstheme="minorHAnsi"/>
          <w:iCs/>
          <w:szCs w:val="24"/>
        </w:rPr>
        <w:t xml:space="preserve">Schedule </w:t>
      </w:r>
      <w:r w:rsidR="008916E1">
        <w:rPr>
          <w:rFonts w:asciiTheme="minorHAnsi" w:hAnsiTheme="minorHAnsi" w:cstheme="minorHAnsi"/>
          <w:iCs/>
          <w:szCs w:val="24"/>
        </w:rPr>
        <w:t>5</w:t>
      </w:r>
      <w:r>
        <w:rPr>
          <w:rFonts w:asciiTheme="minorHAnsi" w:hAnsiTheme="minorHAnsi" w:cstheme="minorHAnsi"/>
          <w:iCs/>
          <w:szCs w:val="24"/>
        </w:rPr>
        <w:t xml:space="preserve"> </w:t>
      </w:r>
      <w:r w:rsidR="00C24717">
        <w:rPr>
          <w:rFonts w:asciiTheme="minorHAnsi" w:hAnsiTheme="minorHAnsi" w:cstheme="minorHAnsi"/>
          <w:iCs/>
          <w:szCs w:val="24"/>
        </w:rPr>
        <w:t>to</w:t>
      </w:r>
      <w:r>
        <w:rPr>
          <w:rFonts w:asciiTheme="minorHAnsi" w:hAnsiTheme="minorHAnsi" w:cstheme="minorHAnsi"/>
          <w:iCs/>
          <w:szCs w:val="24"/>
        </w:rPr>
        <w:t xml:space="preserve"> the Act amends the </w:t>
      </w:r>
      <w:r>
        <w:rPr>
          <w:rFonts w:asciiTheme="minorHAnsi" w:hAnsiTheme="minorHAnsi" w:cstheme="minorHAnsi"/>
          <w:i/>
          <w:szCs w:val="24"/>
        </w:rPr>
        <w:t>Higher Education Support Act 2003</w:t>
      </w:r>
      <w:r w:rsidR="008916E1">
        <w:rPr>
          <w:rFonts w:asciiTheme="minorHAnsi" w:hAnsiTheme="minorHAnsi" w:cstheme="minorHAnsi"/>
          <w:i/>
          <w:szCs w:val="24"/>
        </w:rPr>
        <w:t xml:space="preserve"> </w:t>
      </w:r>
      <w:r w:rsidR="008916E1">
        <w:rPr>
          <w:rFonts w:asciiTheme="minorHAnsi" w:hAnsiTheme="minorHAnsi" w:cstheme="minorHAnsi"/>
          <w:iCs/>
          <w:szCs w:val="24"/>
        </w:rPr>
        <w:t>(HESA</w:t>
      </w:r>
      <w:r>
        <w:rPr>
          <w:rFonts w:asciiTheme="minorHAnsi" w:hAnsiTheme="minorHAnsi" w:cstheme="minorHAnsi"/>
          <w:iCs/>
          <w:szCs w:val="24"/>
        </w:rPr>
        <w:t xml:space="preserve">), to </w:t>
      </w:r>
      <w:r w:rsidR="008916E1">
        <w:rPr>
          <w:rFonts w:asciiTheme="minorHAnsi" w:hAnsiTheme="minorHAnsi" w:cstheme="minorHAnsi"/>
          <w:iCs/>
          <w:szCs w:val="24"/>
        </w:rPr>
        <w:t xml:space="preserve">add Adelaide University to the list of Table A providers in HESA and remove </w:t>
      </w:r>
      <w:bookmarkStart w:id="2" w:name="_Hlk205799252"/>
      <w:r w:rsidR="008916E1">
        <w:rPr>
          <w:rFonts w:asciiTheme="minorHAnsi" w:hAnsiTheme="minorHAnsi" w:cstheme="minorHAnsi"/>
          <w:iCs/>
          <w:szCs w:val="24"/>
        </w:rPr>
        <w:t xml:space="preserve">the University of South Australia and the University of </w:t>
      </w:r>
      <w:proofErr w:type="gramStart"/>
      <w:r w:rsidR="008916E1">
        <w:rPr>
          <w:rFonts w:asciiTheme="minorHAnsi" w:hAnsiTheme="minorHAnsi" w:cstheme="minorHAnsi"/>
          <w:iCs/>
          <w:szCs w:val="24"/>
        </w:rPr>
        <w:t>Adelaide</w:t>
      </w:r>
      <w:bookmarkEnd w:id="2"/>
      <w:r w:rsidR="008916E1">
        <w:rPr>
          <w:rFonts w:asciiTheme="minorHAnsi" w:hAnsiTheme="minorHAnsi" w:cstheme="minorHAnsi"/>
          <w:iCs/>
          <w:szCs w:val="24"/>
        </w:rPr>
        <w:t>, and</w:t>
      </w:r>
      <w:proofErr w:type="gramEnd"/>
      <w:r w:rsidR="008916E1">
        <w:rPr>
          <w:rFonts w:asciiTheme="minorHAnsi" w:hAnsiTheme="minorHAnsi" w:cstheme="minorHAnsi"/>
          <w:iCs/>
          <w:szCs w:val="24"/>
        </w:rPr>
        <w:t xml:space="preserve"> provides for some transitional arrangements. </w:t>
      </w:r>
      <w:r w:rsidR="00DD6579">
        <w:rPr>
          <w:rFonts w:asciiTheme="minorHAnsi" w:hAnsiTheme="minorHAnsi" w:cstheme="minorHAnsi"/>
          <w:iCs/>
          <w:szCs w:val="24"/>
        </w:rPr>
        <w:t xml:space="preserve">This reflects the planned merger of </w:t>
      </w:r>
      <w:r w:rsidR="00DD6579" w:rsidRPr="00DD6579">
        <w:rPr>
          <w:rFonts w:asciiTheme="minorHAnsi" w:hAnsiTheme="minorHAnsi" w:cstheme="minorHAnsi"/>
          <w:iCs/>
          <w:szCs w:val="24"/>
        </w:rPr>
        <w:t>the University of South Australia and the University of Adelaide</w:t>
      </w:r>
      <w:r w:rsidR="00DD6579">
        <w:rPr>
          <w:rFonts w:asciiTheme="minorHAnsi" w:hAnsiTheme="minorHAnsi" w:cstheme="minorHAnsi"/>
          <w:iCs/>
          <w:szCs w:val="24"/>
        </w:rPr>
        <w:t xml:space="preserve"> </w:t>
      </w:r>
      <w:r w:rsidR="00DD6579" w:rsidRPr="000D3353">
        <w:rPr>
          <w:rFonts w:asciiTheme="minorHAnsi" w:hAnsiTheme="minorHAnsi" w:cstheme="minorHAnsi"/>
          <w:iCs/>
          <w:szCs w:val="24"/>
        </w:rPr>
        <w:t xml:space="preserve">to form one new entity, Adelaide University. Subsection 2(1) of the Act provides that Schedule 5 to the Act </w:t>
      </w:r>
      <w:r w:rsidR="00856721">
        <w:rPr>
          <w:rFonts w:asciiTheme="minorHAnsi" w:hAnsiTheme="minorHAnsi" w:cstheme="minorHAnsi"/>
          <w:iCs/>
          <w:szCs w:val="24"/>
        </w:rPr>
        <w:t xml:space="preserve">either </w:t>
      </w:r>
      <w:r w:rsidR="00DD6579" w:rsidRPr="000D3353">
        <w:rPr>
          <w:rFonts w:asciiTheme="minorHAnsi" w:hAnsiTheme="minorHAnsi" w:cstheme="minorHAnsi"/>
          <w:iCs/>
          <w:szCs w:val="24"/>
        </w:rPr>
        <w:t>commences on a single day to be fixed by Proclamation or 31 March 2026</w:t>
      </w:r>
      <w:r w:rsidR="00616F27">
        <w:rPr>
          <w:rFonts w:asciiTheme="minorHAnsi" w:hAnsiTheme="minorHAnsi" w:cstheme="minorHAnsi"/>
          <w:iCs/>
          <w:szCs w:val="24"/>
        </w:rPr>
        <w:t>, whichever is earlier</w:t>
      </w:r>
      <w:r w:rsidR="00DD6579" w:rsidRPr="000D3353">
        <w:rPr>
          <w:rFonts w:asciiTheme="minorHAnsi" w:hAnsiTheme="minorHAnsi" w:cstheme="minorHAnsi"/>
          <w:iCs/>
          <w:szCs w:val="24"/>
        </w:rPr>
        <w:t xml:space="preserve">. It is intended that a Proclamation will be </w:t>
      </w:r>
      <w:r w:rsidR="00856721">
        <w:rPr>
          <w:rFonts w:asciiTheme="minorHAnsi" w:hAnsiTheme="minorHAnsi" w:cstheme="minorHAnsi"/>
          <w:iCs/>
          <w:szCs w:val="24"/>
        </w:rPr>
        <w:t xml:space="preserve">made </w:t>
      </w:r>
      <w:r w:rsidR="00DD6579" w:rsidRPr="000D3353">
        <w:rPr>
          <w:rFonts w:asciiTheme="minorHAnsi" w:hAnsiTheme="minorHAnsi" w:cstheme="minorHAnsi"/>
          <w:iCs/>
          <w:szCs w:val="24"/>
        </w:rPr>
        <w:t>specifying the commencement date of Schedule 5 as 1 January 2026.</w:t>
      </w:r>
      <w:r w:rsidR="00DD6579">
        <w:rPr>
          <w:rFonts w:asciiTheme="minorHAnsi" w:hAnsiTheme="minorHAnsi" w:cstheme="minorHAnsi"/>
          <w:iCs/>
          <w:szCs w:val="24"/>
        </w:rPr>
        <w:t xml:space="preserve"> </w:t>
      </w:r>
    </w:p>
    <w:p w14:paraId="159F0280" w14:textId="15B6AC60" w:rsidR="008916E1" w:rsidRDefault="008916E1" w:rsidP="00DA552F">
      <w:pPr>
        <w:spacing w:before="120" w:after="120"/>
        <w:rPr>
          <w:rFonts w:asciiTheme="minorHAnsi" w:hAnsiTheme="minorHAnsi" w:cstheme="minorHAnsi"/>
          <w:iCs/>
          <w:szCs w:val="24"/>
        </w:rPr>
      </w:pPr>
      <w:r>
        <w:rPr>
          <w:rFonts w:asciiTheme="minorHAnsi" w:hAnsiTheme="minorHAnsi" w:cstheme="minorHAnsi"/>
          <w:iCs/>
          <w:szCs w:val="24"/>
        </w:rPr>
        <w:t xml:space="preserve">Subitems 1(1) and (2) </w:t>
      </w:r>
      <w:r w:rsidR="00DD6579">
        <w:rPr>
          <w:rFonts w:asciiTheme="minorHAnsi" w:hAnsiTheme="minorHAnsi" w:cstheme="minorHAnsi"/>
          <w:iCs/>
          <w:szCs w:val="24"/>
        </w:rPr>
        <w:t>of</w:t>
      </w:r>
      <w:r>
        <w:rPr>
          <w:rFonts w:asciiTheme="minorHAnsi" w:hAnsiTheme="minorHAnsi" w:cstheme="minorHAnsi"/>
          <w:iCs/>
          <w:szCs w:val="24"/>
        </w:rPr>
        <w:t xml:space="preserve"> Schedule 6 </w:t>
      </w:r>
      <w:r w:rsidR="00DD6579">
        <w:rPr>
          <w:rFonts w:asciiTheme="minorHAnsi" w:hAnsiTheme="minorHAnsi" w:cstheme="minorHAnsi"/>
          <w:iCs/>
          <w:szCs w:val="24"/>
        </w:rPr>
        <w:t>to</w:t>
      </w:r>
      <w:r>
        <w:rPr>
          <w:rFonts w:asciiTheme="minorHAnsi" w:hAnsiTheme="minorHAnsi" w:cstheme="minorHAnsi"/>
          <w:iCs/>
          <w:szCs w:val="24"/>
        </w:rPr>
        <w:t xml:space="preserve"> the Act makes clear that the Minister may make rules prescribing matters of a transitional nature relating to the amendments or repeals made by the Act, and that those rules may provide that provisions of the Act, or any other Act or instrument, have effect with the modifications prescribed by the rules. </w:t>
      </w:r>
    </w:p>
    <w:p w14:paraId="77BDACBC" w14:textId="646EC47A" w:rsidR="0084584D" w:rsidRDefault="002B7CC4" w:rsidP="003E7077">
      <w:pPr>
        <w:spacing w:before="120" w:after="120"/>
        <w:rPr>
          <w:rFonts w:asciiTheme="minorHAnsi" w:hAnsiTheme="minorHAnsi" w:cstheme="minorHAnsi"/>
          <w:iCs/>
          <w:szCs w:val="24"/>
        </w:rPr>
      </w:pPr>
      <w:r w:rsidRPr="002B7CC4">
        <w:rPr>
          <w:rFonts w:asciiTheme="minorHAnsi" w:hAnsiTheme="minorHAnsi" w:cstheme="minorHAnsi"/>
          <w:iCs/>
          <w:szCs w:val="24"/>
        </w:rPr>
        <w:t xml:space="preserve">The </w:t>
      </w:r>
      <w:r w:rsidR="00C85F9C">
        <w:rPr>
          <w:rFonts w:asciiTheme="minorHAnsi" w:hAnsiTheme="minorHAnsi" w:cstheme="minorHAnsi"/>
          <w:i/>
          <w:szCs w:val="24"/>
        </w:rPr>
        <w:t xml:space="preserve">Universities Accord (Student Support and Other Measures) </w:t>
      </w:r>
      <w:r w:rsidR="008916E1">
        <w:rPr>
          <w:rFonts w:asciiTheme="minorHAnsi" w:hAnsiTheme="minorHAnsi" w:cstheme="minorHAnsi"/>
          <w:i/>
          <w:szCs w:val="24"/>
        </w:rPr>
        <w:t xml:space="preserve">(Adelaide University) </w:t>
      </w:r>
      <w:r w:rsidR="00C85F9C">
        <w:rPr>
          <w:rFonts w:asciiTheme="minorHAnsi" w:hAnsiTheme="minorHAnsi" w:cstheme="minorHAnsi"/>
          <w:i/>
          <w:szCs w:val="24"/>
        </w:rPr>
        <w:t xml:space="preserve">Transitional Rules </w:t>
      </w:r>
      <w:r w:rsidR="00C85F9C" w:rsidRPr="00C85F9C">
        <w:rPr>
          <w:rFonts w:asciiTheme="minorHAnsi" w:hAnsiTheme="minorHAnsi" w:cstheme="minorHAnsi"/>
          <w:i/>
          <w:szCs w:val="24"/>
        </w:rPr>
        <w:t>202</w:t>
      </w:r>
      <w:r w:rsidR="0023070D">
        <w:rPr>
          <w:rFonts w:asciiTheme="minorHAnsi" w:hAnsiTheme="minorHAnsi" w:cstheme="minorHAnsi"/>
          <w:i/>
          <w:szCs w:val="24"/>
        </w:rPr>
        <w:t>5</w:t>
      </w:r>
      <w:r w:rsidR="00C85F9C">
        <w:rPr>
          <w:rFonts w:asciiTheme="minorHAnsi" w:hAnsiTheme="minorHAnsi" w:cstheme="minorHAnsi"/>
          <w:i/>
          <w:szCs w:val="24"/>
        </w:rPr>
        <w:t xml:space="preserve"> </w:t>
      </w:r>
      <w:r w:rsidR="00C85F9C">
        <w:rPr>
          <w:rFonts w:asciiTheme="minorHAnsi" w:hAnsiTheme="minorHAnsi" w:cstheme="minorHAnsi"/>
          <w:iCs/>
          <w:szCs w:val="24"/>
        </w:rPr>
        <w:t xml:space="preserve">(the Instrument) sets out transitional rules </w:t>
      </w:r>
      <w:r w:rsidR="00DD6579">
        <w:rPr>
          <w:rFonts w:asciiTheme="minorHAnsi" w:hAnsiTheme="minorHAnsi" w:cstheme="minorHAnsi"/>
          <w:iCs/>
          <w:szCs w:val="24"/>
        </w:rPr>
        <w:t xml:space="preserve">to </w:t>
      </w:r>
      <w:r w:rsidR="008916E1">
        <w:rPr>
          <w:rFonts w:asciiTheme="minorHAnsi" w:hAnsiTheme="minorHAnsi" w:cstheme="minorHAnsi"/>
          <w:iCs/>
          <w:szCs w:val="24"/>
        </w:rPr>
        <w:t>p</w:t>
      </w:r>
      <w:r w:rsidR="00DD6579">
        <w:rPr>
          <w:rFonts w:asciiTheme="minorHAnsi" w:hAnsiTheme="minorHAnsi" w:cstheme="minorHAnsi"/>
          <w:iCs/>
          <w:szCs w:val="24"/>
        </w:rPr>
        <w:t>rescribe</w:t>
      </w:r>
      <w:r w:rsidR="008916E1">
        <w:rPr>
          <w:rFonts w:asciiTheme="minorHAnsi" w:hAnsiTheme="minorHAnsi" w:cstheme="minorHAnsi"/>
          <w:iCs/>
          <w:szCs w:val="24"/>
        </w:rPr>
        <w:t xml:space="preserve"> some </w:t>
      </w:r>
      <w:r w:rsidR="00757D18">
        <w:rPr>
          <w:rFonts w:asciiTheme="minorHAnsi" w:hAnsiTheme="minorHAnsi" w:cstheme="minorHAnsi"/>
          <w:iCs/>
          <w:szCs w:val="24"/>
        </w:rPr>
        <w:t xml:space="preserve">further </w:t>
      </w:r>
      <w:r w:rsidR="008916E1">
        <w:rPr>
          <w:rFonts w:asciiTheme="minorHAnsi" w:hAnsiTheme="minorHAnsi" w:cstheme="minorHAnsi"/>
          <w:iCs/>
          <w:szCs w:val="24"/>
        </w:rPr>
        <w:t>matters of a transitional nature, in relation to Adelaide University becoming a Table A provider and the University of South Australia and the University of Adelaide being removed as Table A providers.</w:t>
      </w:r>
    </w:p>
    <w:p w14:paraId="6FA4F79B" w14:textId="77777777" w:rsidR="0071389E" w:rsidRDefault="0013350F" w:rsidP="0013350F">
      <w:pPr>
        <w:spacing w:before="120" w:after="120"/>
        <w:rPr>
          <w:rFonts w:asciiTheme="minorHAnsi" w:hAnsiTheme="minorHAnsi"/>
        </w:rPr>
      </w:pPr>
      <w:r w:rsidRPr="60D5C4AA">
        <w:rPr>
          <w:rFonts w:asciiTheme="minorHAnsi" w:hAnsiTheme="minorHAnsi"/>
        </w:rPr>
        <w:t xml:space="preserve">The purpose of the Instrument is to </w:t>
      </w:r>
      <w:r w:rsidR="00757D18">
        <w:rPr>
          <w:rFonts w:asciiTheme="minorHAnsi" w:hAnsiTheme="minorHAnsi"/>
        </w:rPr>
        <w:t xml:space="preserve">allow the Minister to enter into a funding agreement with Adelaide University before Adelaide University becomes a Table A provider, and to delay or prevent the transfer of enrolments of some students </w:t>
      </w:r>
      <w:proofErr w:type="gramStart"/>
      <w:r w:rsidR="00757D18">
        <w:rPr>
          <w:rFonts w:asciiTheme="minorHAnsi" w:hAnsiTheme="minorHAnsi"/>
        </w:rPr>
        <w:t>from the University of South Australia and the University of Adelaide</w:t>
      </w:r>
      <w:r w:rsidR="0023070D">
        <w:rPr>
          <w:rFonts w:asciiTheme="minorHAnsi" w:hAnsiTheme="minorHAnsi"/>
        </w:rPr>
        <w:t>,</w:t>
      </w:r>
      <w:proofErr w:type="gramEnd"/>
      <w:r w:rsidR="00757D18">
        <w:rPr>
          <w:rFonts w:asciiTheme="minorHAnsi" w:hAnsiTheme="minorHAnsi"/>
        </w:rPr>
        <w:t xml:space="preserve"> to Adelaide University</w:t>
      </w:r>
      <w:r w:rsidR="00757D18" w:rsidRPr="00E83D52">
        <w:rPr>
          <w:rFonts w:asciiTheme="minorHAnsi" w:hAnsiTheme="minorHAnsi"/>
        </w:rPr>
        <w:t>.</w:t>
      </w:r>
      <w:r w:rsidR="00DD6579" w:rsidRPr="00E83D52">
        <w:rPr>
          <w:rFonts w:asciiTheme="minorHAnsi" w:hAnsiTheme="minorHAnsi"/>
        </w:rPr>
        <w:t xml:space="preserve"> </w:t>
      </w:r>
    </w:p>
    <w:p w14:paraId="10E5ADE3" w14:textId="3C21641E" w:rsidR="00616F27" w:rsidRDefault="00856721" w:rsidP="0013350F">
      <w:pPr>
        <w:spacing w:before="120" w:after="120"/>
        <w:rPr>
          <w:rFonts w:asciiTheme="minorHAnsi" w:hAnsiTheme="minorHAnsi"/>
        </w:rPr>
      </w:pPr>
      <w:r>
        <w:rPr>
          <w:rFonts w:asciiTheme="minorHAnsi" w:hAnsiTheme="minorHAnsi"/>
        </w:rPr>
        <w:t>It i</w:t>
      </w:r>
      <w:r w:rsidR="00FE18D0" w:rsidRPr="00DC2F94">
        <w:rPr>
          <w:rFonts w:asciiTheme="minorHAnsi" w:hAnsiTheme="minorHAnsi"/>
        </w:rPr>
        <w:t>s necessary to</w:t>
      </w:r>
      <w:r>
        <w:rPr>
          <w:rFonts w:asciiTheme="minorHAnsi" w:hAnsiTheme="minorHAnsi"/>
        </w:rPr>
        <w:t xml:space="preserve"> enter into a funding agreement with Adelaide University before it becomes a Table A provider on 1 January 2026, to provide certainty </w:t>
      </w:r>
      <w:r w:rsidR="000D3353" w:rsidRPr="00DC2F94">
        <w:rPr>
          <w:rFonts w:asciiTheme="minorHAnsi" w:hAnsiTheme="minorHAnsi"/>
        </w:rPr>
        <w:t xml:space="preserve">that Adelaide University </w:t>
      </w:r>
      <w:r>
        <w:rPr>
          <w:rFonts w:asciiTheme="minorHAnsi" w:hAnsiTheme="minorHAnsi"/>
        </w:rPr>
        <w:t>will be</w:t>
      </w:r>
      <w:r w:rsidR="000D3353" w:rsidRPr="00DC2F94">
        <w:rPr>
          <w:rFonts w:asciiTheme="minorHAnsi" w:hAnsiTheme="minorHAnsi"/>
        </w:rPr>
        <w:t xml:space="preserve"> eligible to receive grants under </w:t>
      </w:r>
      <w:r>
        <w:rPr>
          <w:rFonts w:asciiTheme="minorHAnsi" w:hAnsiTheme="minorHAnsi"/>
        </w:rPr>
        <w:t>Part 2-2</w:t>
      </w:r>
      <w:r w:rsidR="00E83D52" w:rsidRPr="00DC2F94">
        <w:rPr>
          <w:rFonts w:asciiTheme="minorHAnsi" w:hAnsiTheme="minorHAnsi"/>
        </w:rPr>
        <w:t xml:space="preserve"> of HESA </w:t>
      </w:r>
      <w:r>
        <w:rPr>
          <w:rFonts w:asciiTheme="minorHAnsi" w:hAnsiTheme="minorHAnsi"/>
        </w:rPr>
        <w:t xml:space="preserve">when it becomes </w:t>
      </w:r>
      <w:r w:rsidR="00E83D52" w:rsidRPr="00DC2F94">
        <w:rPr>
          <w:rFonts w:asciiTheme="minorHAnsi" w:hAnsiTheme="minorHAnsi"/>
        </w:rPr>
        <w:t xml:space="preserve">a Table A provider </w:t>
      </w:r>
      <w:r>
        <w:rPr>
          <w:rFonts w:asciiTheme="minorHAnsi" w:hAnsiTheme="minorHAnsi"/>
        </w:rPr>
        <w:t>on</w:t>
      </w:r>
      <w:r w:rsidR="00E83D52" w:rsidRPr="00DC2F94">
        <w:rPr>
          <w:rFonts w:asciiTheme="minorHAnsi" w:hAnsiTheme="minorHAnsi"/>
        </w:rPr>
        <w:t xml:space="preserve"> 1 </w:t>
      </w:r>
      <w:r w:rsidR="00E83D52" w:rsidRPr="00DC2F94">
        <w:rPr>
          <w:rFonts w:asciiTheme="minorHAnsi" w:hAnsiTheme="minorHAnsi"/>
        </w:rPr>
        <w:lastRenderedPageBreak/>
        <w:t xml:space="preserve">January 2026, and to </w:t>
      </w:r>
      <w:r w:rsidR="00FE18D0" w:rsidRPr="00DC2F94">
        <w:rPr>
          <w:rFonts w:asciiTheme="minorHAnsi" w:hAnsiTheme="minorHAnsi"/>
        </w:rPr>
        <w:t xml:space="preserve">facilitate </w:t>
      </w:r>
      <w:r w:rsidR="00E83D52" w:rsidRPr="00DC2F94">
        <w:rPr>
          <w:rFonts w:asciiTheme="minorHAnsi" w:hAnsiTheme="minorHAnsi"/>
        </w:rPr>
        <w:t xml:space="preserve">various </w:t>
      </w:r>
      <w:r w:rsidR="00FE18D0" w:rsidRPr="00DC2F94">
        <w:rPr>
          <w:rFonts w:asciiTheme="minorHAnsi" w:hAnsiTheme="minorHAnsi"/>
        </w:rPr>
        <w:t xml:space="preserve">administrative processes, including </w:t>
      </w:r>
      <w:r>
        <w:rPr>
          <w:rFonts w:asciiTheme="minorHAnsi" w:hAnsiTheme="minorHAnsi"/>
        </w:rPr>
        <w:t xml:space="preserve">planning for the enrolment of </w:t>
      </w:r>
      <w:r w:rsidR="00FE18D0" w:rsidRPr="00DC2F94">
        <w:rPr>
          <w:rFonts w:asciiTheme="minorHAnsi" w:hAnsiTheme="minorHAnsi"/>
        </w:rPr>
        <w:t xml:space="preserve">students into Commonwealth supported places. </w:t>
      </w:r>
    </w:p>
    <w:p w14:paraId="1B29724C" w14:textId="0435616C" w:rsidR="0013350F" w:rsidRPr="00667982" w:rsidRDefault="00E83D52" w:rsidP="0013350F">
      <w:pPr>
        <w:spacing w:before="120" w:after="120"/>
        <w:rPr>
          <w:rFonts w:asciiTheme="minorHAnsi" w:hAnsiTheme="minorHAnsi"/>
        </w:rPr>
      </w:pPr>
      <w:r w:rsidRPr="00DC2F94">
        <w:rPr>
          <w:rFonts w:asciiTheme="minorHAnsi" w:hAnsiTheme="minorHAnsi"/>
        </w:rPr>
        <w:t>Further</w:t>
      </w:r>
      <w:r w:rsidR="00FE18D0" w:rsidRPr="00DC2F94">
        <w:rPr>
          <w:rFonts w:asciiTheme="minorHAnsi" w:hAnsiTheme="minorHAnsi"/>
        </w:rPr>
        <w:t xml:space="preserve">, </w:t>
      </w:r>
      <w:r w:rsidR="0071389E">
        <w:rPr>
          <w:rFonts w:asciiTheme="minorHAnsi" w:hAnsiTheme="minorHAnsi"/>
        </w:rPr>
        <w:t>the Instrument prevents</w:t>
      </w:r>
      <w:r w:rsidR="00150FBF">
        <w:rPr>
          <w:rFonts w:asciiTheme="minorHAnsi" w:hAnsiTheme="minorHAnsi"/>
        </w:rPr>
        <w:t>, or delays,</w:t>
      </w:r>
      <w:r w:rsidR="0071389E">
        <w:rPr>
          <w:rFonts w:asciiTheme="minorHAnsi" w:hAnsiTheme="minorHAnsi"/>
        </w:rPr>
        <w:t xml:space="preserve"> the transfer of the</w:t>
      </w:r>
      <w:r w:rsidR="00FE18D0" w:rsidRPr="00DC2F94">
        <w:rPr>
          <w:rFonts w:asciiTheme="minorHAnsi" w:hAnsiTheme="minorHAnsi"/>
        </w:rPr>
        <w:t xml:space="preserve"> enrolment of </w:t>
      </w:r>
      <w:r w:rsidR="00172064">
        <w:rPr>
          <w:rFonts w:asciiTheme="minorHAnsi" w:hAnsiTheme="minorHAnsi"/>
        </w:rPr>
        <w:t xml:space="preserve">some </w:t>
      </w:r>
      <w:r w:rsidR="00FE18D0" w:rsidRPr="00DC2F94">
        <w:rPr>
          <w:rFonts w:asciiTheme="minorHAnsi" w:hAnsiTheme="minorHAnsi"/>
        </w:rPr>
        <w:t xml:space="preserve">students </w:t>
      </w:r>
      <w:r w:rsidR="00E84340">
        <w:rPr>
          <w:rFonts w:asciiTheme="minorHAnsi" w:hAnsiTheme="minorHAnsi"/>
        </w:rPr>
        <w:t>to Ade</w:t>
      </w:r>
      <w:r w:rsidR="007D2E9E">
        <w:rPr>
          <w:rFonts w:asciiTheme="minorHAnsi" w:hAnsiTheme="minorHAnsi"/>
        </w:rPr>
        <w:t>lai</w:t>
      </w:r>
      <w:r w:rsidR="00E84340">
        <w:rPr>
          <w:rFonts w:asciiTheme="minorHAnsi" w:hAnsiTheme="minorHAnsi"/>
        </w:rPr>
        <w:t>de University</w:t>
      </w:r>
      <w:r w:rsidR="002C1CF2">
        <w:rPr>
          <w:rFonts w:asciiTheme="minorHAnsi" w:hAnsiTheme="minorHAnsi"/>
        </w:rPr>
        <w:t xml:space="preserve">, only where those students are due to complete their </w:t>
      </w:r>
      <w:r w:rsidR="0071389E">
        <w:rPr>
          <w:rFonts w:asciiTheme="minorHAnsi" w:hAnsiTheme="minorHAnsi"/>
        </w:rPr>
        <w:t>course of study</w:t>
      </w:r>
      <w:r w:rsidRPr="00DC2F94">
        <w:rPr>
          <w:rFonts w:asciiTheme="minorHAnsi" w:hAnsiTheme="minorHAnsi"/>
        </w:rPr>
        <w:t xml:space="preserve"> at the </w:t>
      </w:r>
      <w:r w:rsidRPr="00E83D52">
        <w:rPr>
          <w:rFonts w:asciiTheme="minorHAnsi" w:hAnsiTheme="minorHAnsi"/>
        </w:rPr>
        <w:t>University of South Australia and the University of Adelaide</w:t>
      </w:r>
      <w:r w:rsidR="000D3353" w:rsidRPr="00DC2F94">
        <w:rPr>
          <w:rFonts w:asciiTheme="minorHAnsi" w:hAnsiTheme="minorHAnsi"/>
        </w:rPr>
        <w:t xml:space="preserve"> </w:t>
      </w:r>
      <w:r w:rsidR="002C1CF2">
        <w:rPr>
          <w:rFonts w:asciiTheme="minorHAnsi" w:hAnsiTheme="minorHAnsi"/>
        </w:rPr>
        <w:t>between</w:t>
      </w:r>
      <w:r w:rsidR="0071389E" w:rsidRPr="00DC2F94">
        <w:rPr>
          <w:rFonts w:asciiTheme="minorHAnsi" w:hAnsiTheme="minorHAnsi"/>
        </w:rPr>
        <w:t xml:space="preserve"> </w:t>
      </w:r>
      <w:r w:rsidR="00FE18D0" w:rsidRPr="00DC2F94">
        <w:rPr>
          <w:rFonts w:asciiTheme="minorHAnsi" w:hAnsiTheme="minorHAnsi"/>
        </w:rPr>
        <w:t xml:space="preserve">1 January </w:t>
      </w:r>
      <w:r w:rsidR="002C1CF2">
        <w:rPr>
          <w:rFonts w:asciiTheme="minorHAnsi" w:hAnsiTheme="minorHAnsi"/>
        </w:rPr>
        <w:t>and</w:t>
      </w:r>
      <w:r w:rsidR="0071389E" w:rsidRPr="00DC2F94">
        <w:rPr>
          <w:rFonts w:asciiTheme="minorHAnsi" w:hAnsiTheme="minorHAnsi"/>
        </w:rPr>
        <w:t xml:space="preserve"> </w:t>
      </w:r>
      <w:r w:rsidR="00FE18D0" w:rsidRPr="00DC2F94">
        <w:rPr>
          <w:rFonts w:asciiTheme="minorHAnsi" w:hAnsiTheme="minorHAnsi"/>
        </w:rPr>
        <w:t>24</w:t>
      </w:r>
      <w:r w:rsidRPr="00DC2F94">
        <w:rPr>
          <w:rFonts w:asciiTheme="minorHAnsi" w:hAnsiTheme="minorHAnsi"/>
        </w:rPr>
        <w:t> </w:t>
      </w:r>
      <w:r w:rsidR="00FE18D0" w:rsidRPr="00DC2F94">
        <w:rPr>
          <w:rFonts w:asciiTheme="minorHAnsi" w:hAnsiTheme="minorHAnsi"/>
        </w:rPr>
        <w:t>March 2026</w:t>
      </w:r>
      <w:r w:rsidR="00485905">
        <w:rPr>
          <w:rFonts w:asciiTheme="minorHAnsi" w:hAnsiTheme="minorHAnsi"/>
        </w:rPr>
        <w:t>.</w:t>
      </w:r>
      <w:r w:rsidR="0071389E">
        <w:rPr>
          <w:rFonts w:asciiTheme="minorHAnsi" w:hAnsiTheme="minorHAnsi"/>
        </w:rPr>
        <w:t xml:space="preserve"> </w:t>
      </w:r>
      <w:r w:rsidR="002C1CF2">
        <w:rPr>
          <w:rFonts w:asciiTheme="minorHAnsi" w:hAnsiTheme="minorHAnsi"/>
        </w:rPr>
        <w:t>This</w:t>
      </w:r>
      <w:r w:rsidR="00FE18D0" w:rsidRPr="00DC2F94">
        <w:rPr>
          <w:rFonts w:asciiTheme="minorHAnsi" w:hAnsiTheme="minorHAnsi"/>
        </w:rPr>
        <w:t xml:space="preserve"> support</w:t>
      </w:r>
      <w:r w:rsidR="002C1CF2">
        <w:rPr>
          <w:rFonts w:asciiTheme="minorHAnsi" w:hAnsiTheme="minorHAnsi"/>
        </w:rPr>
        <w:t>s</w:t>
      </w:r>
      <w:r w:rsidR="00FE18D0" w:rsidRPr="00DC2F94">
        <w:rPr>
          <w:rFonts w:asciiTheme="minorHAnsi" w:hAnsiTheme="minorHAnsi"/>
        </w:rPr>
        <w:t xml:space="preserve"> the timely completion of graduation</w:t>
      </w:r>
      <w:r w:rsidR="00B50757">
        <w:rPr>
          <w:rFonts w:asciiTheme="minorHAnsi" w:hAnsiTheme="minorHAnsi"/>
        </w:rPr>
        <w:t>, conferral of awards</w:t>
      </w:r>
      <w:r w:rsidR="00FE18D0" w:rsidRPr="00DC2F94">
        <w:rPr>
          <w:rFonts w:asciiTheme="minorHAnsi" w:hAnsiTheme="minorHAnsi"/>
        </w:rPr>
        <w:t xml:space="preserve"> and related administrative processes</w:t>
      </w:r>
      <w:r w:rsidRPr="00DC2F94">
        <w:rPr>
          <w:rFonts w:asciiTheme="minorHAnsi" w:hAnsiTheme="minorHAnsi"/>
        </w:rPr>
        <w:t xml:space="preserve"> </w:t>
      </w:r>
      <w:r w:rsidR="0071389E">
        <w:rPr>
          <w:rFonts w:asciiTheme="minorHAnsi" w:hAnsiTheme="minorHAnsi"/>
        </w:rPr>
        <w:t>for students who complete their course of study at the University of South Australia and the University of Adelaide</w:t>
      </w:r>
      <w:r w:rsidR="00B50757">
        <w:rPr>
          <w:rFonts w:asciiTheme="minorHAnsi" w:hAnsiTheme="minorHAnsi"/>
        </w:rPr>
        <w:t xml:space="preserve"> during this period</w:t>
      </w:r>
      <w:r w:rsidR="00FE18D0" w:rsidRPr="00DC2F94">
        <w:rPr>
          <w:rFonts w:asciiTheme="minorHAnsi" w:hAnsiTheme="minorHAnsi"/>
        </w:rPr>
        <w:t xml:space="preserve">. </w:t>
      </w:r>
      <w:r w:rsidR="0071389E">
        <w:rPr>
          <w:rFonts w:asciiTheme="minorHAnsi" w:hAnsiTheme="minorHAnsi"/>
        </w:rPr>
        <w:t xml:space="preserve">The Instrument also ensures that any students whose enrolments did not transfer because they were due to complete their course of study, but ultimately did not complete their course of study before 24 March 2026, will have their enrolments transfer to Adelaide University on 24 March 2026. </w:t>
      </w:r>
    </w:p>
    <w:p w14:paraId="4818CCF0" w14:textId="77777777" w:rsidR="00696CF0" w:rsidRPr="0088497A" w:rsidRDefault="00144950" w:rsidP="000C310A">
      <w:pPr>
        <w:pStyle w:val="Heading1"/>
      </w:pPr>
      <w:r w:rsidRPr="0088497A">
        <w:t>COMMENC</w:t>
      </w:r>
      <w:r>
        <w:t>E</w:t>
      </w:r>
      <w:r w:rsidRPr="0088497A">
        <w:t>MENT</w:t>
      </w:r>
    </w:p>
    <w:p w14:paraId="7A7AF185" w14:textId="63B98842" w:rsidR="00696CF0" w:rsidRPr="003B7464" w:rsidRDefault="003B7464"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Instrument commences </w:t>
      </w:r>
      <w:r w:rsidR="00757D18">
        <w:rPr>
          <w:rFonts w:asciiTheme="minorHAnsi" w:hAnsiTheme="minorHAnsi" w:cstheme="minorHAnsi"/>
          <w:iCs/>
          <w:szCs w:val="24"/>
        </w:rPr>
        <w:t xml:space="preserve">the later of </w:t>
      </w:r>
      <w:r w:rsidR="00CE47E8">
        <w:rPr>
          <w:rFonts w:asciiTheme="minorHAnsi" w:hAnsiTheme="minorHAnsi" w:cstheme="minorHAnsi"/>
          <w:iCs/>
          <w:szCs w:val="24"/>
        </w:rPr>
        <w:t xml:space="preserve">either </w:t>
      </w:r>
      <w:r w:rsidR="00757D18">
        <w:rPr>
          <w:rFonts w:asciiTheme="minorHAnsi" w:hAnsiTheme="minorHAnsi" w:cstheme="minorHAnsi"/>
          <w:iCs/>
          <w:szCs w:val="24"/>
        </w:rPr>
        <w:t>the day after the Instrument is registered on the Federal Register of Legislation, or immediately after the commencement of the Proclamation fixing the commencement day for Schedule 5 of the Act.</w:t>
      </w:r>
      <w:r>
        <w:rPr>
          <w:rFonts w:asciiTheme="minorHAnsi" w:hAnsiTheme="minorHAnsi" w:cstheme="minorHAnsi"/>
          <w:iCs/>
          <w:szCs w:val="24"/>
        </w:rPr>
        <w:t xml:space="preserve"> </w:t>
      </w:r>
    </w:p>
    <w:p w14:paraId="59906F74" w14:textId="77777777" w:rsidR="00696CF0" w:rsidRPr="008134D5" w:rsidRDefault="00144950" w:rsidP="000C310A">
      <w:pPr>
        <w:pStyle w:val="Heading1"/>
      </w:pPr>
      <w:bookmarkStart w:id="3" w:name="_Toc34293360"/>
      <w:r w:rsidRPr="008134D5">
        <w:t>CONSULTATION</w:t>
      </w:r>
      <w:bookmarkEnd w:id="3"/>
    </w:p>
    <w:p w14:paraId="46EF3709" w14:textId="2DB0EE40" w:rsidR="003E7077" w:rsidRPr="0071389E" w:rsidRDefault="00B04D90" w:rsidP="00DC2F94">
      <w:pPr>
        <w:spacing w:before="120" w:after="120"/>
        <w:rPr>
          <w:rFonts w:asciiTheme="minorHAnsi" w:hAnsiTheme="minorHAnsi" w:cstheme="minorHAnsi"/>
          <w:iCs/>
        </w:rPr>
      </w:pPr>
      <w:r w:rsidRPr="00DC2F94">
        <w:rPr>
          <w:rFonts w:asciiTheme="minorHAnsi" w:hAnsiTheme="minorHAnsi" w:cstheme="minorHAnsi"/>
          <w:iCs/>
          <w:szCs w:val="24"/>
        </w:rPr>
        <w:t xml:space="preserve">The Department of Education </w:t>
      </w:r>
      <w:r w:rsidR="003E7077" w:rsidRPr="0071389E">
        <w:rPr>
          <w:rFonts w:asciiTheme="minorHAnsi" w:hAnsiTheme="minorHAnsi" w:cstheme="minorHAnsi"/>
          <w:iCs/>
          <w:szCs w:val="24"/>
        </w:rPr>
        <w:t xml:space="preserve">has engaged in extensive and comprehensive consultation with Adelaide University over several months to ensure that the </w:t>
      </w:r>
      <w:r w:rsidR="00493113">
        <w:rPr>
          <w:rFonts w:asciiTheme="minorHAnsi" w:hAnsiTheme="minorHAnsi" w:cstheme="minorHAnsi"/>
          <w:iCs/>
          <w:szCs w:val="24"/>
        </w:rPr>
        <w:t>Instrument is</w:t>
      </w:r>
      <w:r w:rsidR="003E7077" w:rsidRPr="0071389E">
        <w:rPr>
          <w:rFonts w:asciiTheme="minorHAnsi" w:hAnsiTheme="minorHAnsi" w:cstheme="minorHAnsi"/>
          <w:iCs/>
          <w:szCs w:val="24"/>
        </w:rPr>
        <w:t xml:space="preserve"> fit for purpose and support</w:t>
      </w:r>
      <w:r w:rsidR="00493113">
        <w:rPr>
          <w:rFonts w:asciiTheme="minorHAnsi" w:hAnsiTheme="minorHAnsi" w:cstheme="minorHAnsi"/>
          <w:iCs/>
          <w:szCs w:val="24"/>
        </w:rPr>
        <w:t>s</w:t>
      </w:r>
      <w:r w:rsidR="003E7077" w:rsidRPr="0071389E">
        <w:rPr>
          <w:rFonts w:asciiTheme="minorHAnsi" w:hAnsiTheme="minorHAnsi" w:cstheme="minorHAnsi"/>
          <w:iCs/>
          <w:szCs w:val="24"/>
        </w:rPr>
        <w:t xml:space="preserve"> the transition of </w:t>
      </w:r>
      <w:r w:rsidR="00493113">
        <w:rPr>
          <w:rFonts w:asciiTheme="minorHAnsi" w:hAnsiTheme="minorHAnsi" w:cstheme="minorHAnsi"/>
          <w:iCs/>
          <w:szCs w:val="24"/>
        </w:rPr>
        <w:t xml:space="preserve">the University of South Australia and the University of Adelaide in their merger to form </w:t>
      </w:r>
      <w:r w:rsidR="003E7077" w:rsidRPr="0071389E">
        <w:rPr>
          <w:rFonts w:asciiTheme="minorHAnsi" w:hAnsiTheme="minorHAnsi" w:cstheme="minorHAnsi"/>
          <w:iCs/>
          <w:szCs w:val="24"/>
        </w:rPr>
        <w:t xml:space="preserve">Adelaide University. </w:t>
      </w:r>
      <w:r w:rsidR="00493113">
        <w:rPr>
          <w:rFonts w:asciiTheme="minorHAnsi" w:hAnsiTheme="minorHAnsi" w:cstheme="minorHAnsi"/>
          <w:iCs/>
          <w:szCs w:val="24"/>
        </w:rPr>
        <w:t xml:space="preserve">Adelaide University had no concerns with the final version of the Instrument. </w:t>
      </w:r>
    </w:p>
    <w:p w14:paraId="2ED63EC4" w14:textId="77777777" w:rsidR="003E7077" w:rsidRPr="00DC2F94" w:rsidRDefault="003E7077" w:rsidP="00B04D90">
      <w:pPr>
        <w:pStyle w:val="MBPoint"/>
        <w:numPr>
          <w:ilvl w:val="0"/>
          <w:numId w:val="0"/>
        </w:numPr>
        <w:ind w:left="57"/>
        <w:rPr>
          <w:rFonts w:asciiTheme="minorHAnsi" w:hAnsiTheme="minorHAnsi" w:cstheme="minorBidi"/>
          <w:sz w:val="24"/>
          <w:szCs w:val="22"/>
        </w:rPr>
      </w:pPr>
    </w:p>
    <w:p w14:paraId="3A6EE0A5" w14:textId="5017B02A"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0510C" w:rsidRDefault="00DA552F" w:rsidP="000C310A">
      <w:pPr>
        <w:pStyle w:val="Title"/>
      </w:pPr>
      <w:bookmarkStart w:id="4" w:name="_Toc23942241"/>
      <w:bookmarkStart w:id="5" w:name="_Toc34293362"/>
      <w:r w:rsidRPr="0080510C">
        <w:rPr>
          <w:u w:val="none"/>
        </w:rPr>
        <w:lastRenderedPageBreak/>
        <w:t>STATEMENT OF COMPATIBILITY WITH HUMAN RIGHTS</w:t>
      </w:r>
      <w:bookmarkEnd w:id="4"/>
      <w:bookmarkEnd w:id="5"/>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259AE589" w:rsidR="00DA552F" w:rsidRPr="000C310A" w:rsidRDefault="0058561B" w:rsidP="000C310A">
      <w:pPr>
        <w:pStyle w:val="Subtitle"/>
        <w:rPr>
          <w:bCs/>
          <w:iCs/>
          <w:u w:val="single"/>
        </w:rPr>
      </w:pPr>
      <w:r>
        <w:rPr>
          <w:b w:val="0"/>
          <w:bCs/>
          <w:i w:val="0"/>
          <w:iCs/>
          <w:u w:val="single"/>
        </w:rPr>
        <w:t>Universities Accord (Student Support and Other Measures)</w:t>
      </w:r>
      <w:r w:rsidR="0023070D">
        <w:rPr>
          <w:b w:val="0"/>
          <w:bCs/>
          <w:i w:val="0"/>
          <w:iCs/>
          <w:u w:val="single"/>
        </w:rPr>
        <w:t xml:space="preserve"> (Adelaide University)</w:t>
      </w:r>
      <w:r>
        <w:rPr>
          <w:b w:val="0"/>
          <w:bCs/>
          <w:i w:val="0"/>
          <w:iCs/>
          <w:u w:val="single"/>
        </w:rPr>
        <w:t xml:space="preserve"> Transitional Rules 202</w:t>
      </w:r>
      <w:r w:rsidR="0023070D">
        <w:rPr>
          <w:b w:val="0"/>
          <w:bCs/>
          <w:i w:val="0"/>
          <w:iCs/>
          <w:u w:val="single"/>
        </w:rPr>
        <w:t>5</w:t>
      </w:r>
    </w:p>
    <w:p w14:paraId="65F6CFAB" w14:textId="271CDF10"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58561B">
        <w:rPr>
          <w:rFonts w:asciiTheme="minorHAnsi" w:hAnsiTheme="minorHAnsi" w:cstheme="minorHAnsi"/>
          <w:i/>
          <w:iCs/>
          <w:szCs w:val="24"/>
        </w:rPr>
        <w:t xml:space="preserve">Universities Accord (Student Support and Other Measures) </w:t>
      </w:r>
      <w:r w:rsidR="0023070D">
        <w:rPr>
          <w:rFonts w:asciiTheme="minorHAnsi" w:hAnsiTheme="minorHAnsi" w:cstheme="minorHAnsi"/>
          <w:i/>
          <w:iCs/>
          <w:szCs w:val="24"/>
        </w:rPr>
        <w:t xml:space="preserve">(Adelaide University) </w:t>
      </w:r>
      <w:r w:rsidR="0058561B">
        <w:rPr>
          <w:rFonts w:asciiTheme="minorHAnsi" w:hAnsiTheme="minorHAnsi" w:cstheme="minorHAnsi"/>
          <w:i/>
          <w:iCs/>
          <w:szCs w:val="24"/>
        </w:rPr>
        <w:t>Transitional Rules</w:t>
      </w:r>
      <w:r w:rsidR="00AE3375">
        <w:rPr>
          <w:rFonts w:asciiTheme="minorHAnsi" w:hAnsiTheme="minorHAnsi" w:cstheme="minorHAnsi"/>
          <w:i/>
          <w:iCs/>
          <w:szCs w:val="24"/>
        </w:rPr>
        <w:t xml:space="preserve"> 202</w:t>
      </w:r>
      <w:r w:rsidR="0023070D">
        <w:rPr>
          <w:rFonts w:asciiTheme="minorHAnsi" w:hAnsiTheme="minorHAnsi" w:cstheme="minorHAnsi"/>
          <w:i/>
          <w:iCs/>
          <w:szCs w:val="24"/>
        </w:rPr>
        <w:t>5</w:t>
      </w:r>
      <w:r w:rsidR="001E52EB">
        <w:rPr>
          <w:rFonts w:asciiTheme="minorHAnsi" w:hAnsiTheme="minorHAnsi" w:cstheme="minorHAnsi"/>
          <w:szCs w:val="24"/>
        </w:rPr>
        <w:t xml:space="preserve"> (the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3A3205B8" w14:textId="77777777" w:rsidR="00EF4605" w:rsidRDefault="00EF4605" w:rsidP="00EF4605">
      <w:pPr>
        <w:spacing w:before="120" w:after="120"/>
        <w:rPr>
          <w:rFonts w:asciiTheme="minorHAnsi" w:hAnsiTheme="minorHAnsi" w:cstheme="minorHAnsi"/>
          <w:iCs/>
          <w:szCs w:val="24"/>
        </w:rPr>
      </w:pPr>
      <w:r>
        <w:rPr>
          <w:rFonts w:asciiTheme="minorHAnsi" w:hAnsiTheme="minorHAnsi" w:cstheme="minorHAnsi"/>
          <w:iCs/>
          <w:szCs w:val="24"/>
        </w:rPr>
        <w:t xml:space="preserve">Schedule 5 to the Act amends the </w:t>
      </w:r>
      <w:r>
        <w:rPr>
          <w:rFonts w:asciiTheme="minorHAnsi" w:hAnsiTheme="minorHAnsi" w:cstheme="minorHAnsi"/>
          <w:i/>
          <w:szCs w:val="24"/>
        </w:rPr>
        <w:t xml:space="preserve">Higher Education Support Act 2003 </w:t>
      </w:r>
      <w:r>
        <w:rPr>
          <w:rFonts w:asciiTheme="minorHAnsi" w:hAnsiTheme="minorHAnsi" w:cstheme="minorHAnsi"/>
          <w:iCs/>
          <w:szCs w:val="24"/>
        </w:rPr>
        <w:t xml:space="preserve">(HESA), to add Adelaide University to the list of Table A providers in HESA and remove the University of South Australia and the University of </w:t>
      </w:r>
      <w:proofErr w:type="gramStart"/>
      <w:r>
        <w:rPr>
          <w:rFonts w:asciiTheme="minorHAnsi" w:hAnsiTheme="minorHAnsi" w:cstheme="minorHAnsi"/>
          <w:iCs/>
          <w:szCs w:val="24"/>
        </w:rPr>
        <w:t>Adelaide, and</w:t>
      </w:r>
      <w:proofErr w:type="gramEnd"/>
      <w:r>
        <w:rPr>
          <w:rFonts w:asciiTheme="minorHAnsi" w:hAnsiTheme="minorHAnsi" w:cstheme="minorHAnsi"/>
          <w:iCs/>
          <w:szCs w:val="24"/>
        </w:rPr>
        <w:t xml:space="preserve"> provides for some transitional arrangements. This reflects the planned merger of </w:t>
      </w:r>
      <w:r w:rsidRPr="00DD6579">
        <w:rPr>
          <w:rFonts w:asciiTheme="minorHAnsi" w:hAnsiTheme="minorHAnsi" w:cstheme="minorHAnsi"/>
          <w:iCs/>
          <w:szCs w:val="24"/>
        </w:rPr>
        <w:t>the University of South Australia and the University of Adelaide</w:t>
      </w:r>
      <w:r>
        <w:rPr>
          <w:rFonts w:asciiTheme="minorHAnsi" w:hAnsiTheme="minorHAnsi" w:cstheme="minorHAnsi"/>
          <w:iCs/>
          <w:szCs w:val="24"/>
        </w:rPr>
        <w:t xml:space="preserve"> </w:t>
      </w:r>
      <w:r w:rsidRPr="000D3353">
        <w:rPr>
          <w:rFonts w:asciiTheme="minorHAnsi" w:hAnsiTheme="minorHAnsi" w:cstheme="minorHAnsi"/>
          <w:iCs/>
          <w:szCs w:val="24"/>
        </w:rPr>
        <w:t xml:space="preserve">to form one new entity, Adelaide University. Subsection 2(1) of the Act provides that Schedule 5 to the Act </w:t>
      </w:r>
      <w:r>
        <w:rPr>
          <w:rFonts w:asciiTheme="minorHAnsi" w:hAnsiTheme="minorHAnsi" w:cstheme="minorHAnsi"/>
          <w:iCs/>
          <w:szCs w:val="24"/>
        </w:rPr>
        <w:t xml:space="preserve">either </w:t>
      </w:r>
      <w:r w:rsidRPr="000D3353">
        <w:rPr>
          <w:rFonts w:asciiTheme="minorHAnsi" w:hAnsiTheme="minorHAnsi" w:cstheme="minorHAnsi"/>
          <w:iCs/>
          <w:szCs w:val="24"/>
        </w:rPr>
        <w:t xml:space="preserve">commences on a single day to be fixed by Proclamation or 31 March 2026. It is intended that a Proclamation will be </w:t>
      </w:r>
      <w:r>
        <w:rPr>
          <w:rFonts w:asciiTheme="minorHAnsi" w:hAnsiTheme="minorHAnsi" w:cstheme="minorHAnsi"/>
          <w:iCs/>
          <w:szCs w:val="24"/>
        </w:rPr>
        <w:t xml:space="preserve">made </w:t>
      </w:r>
      <w:r w:rsidRPr="000D3353">
        <w:rPr>
          <w:rFonts w:asciiTheme="minorHAnsi" w:hAnsiTheme="minorHAnsi" w:cstheme="minorHAnsi"/>
          <w:iCs/>
          <w:szCs w:val="24"/>
        </w:rPr>
        <w:t>specifying the commencement date of Schedule 5 as 1 January 2026.</w:t>
      </w:r>
      <w:r>
        <w:rPr>
          <w:rFonts w:asciiTheme="minorHAnsi" w:hAnsiTheme="minorHAnsi" w:cstheme="minorHAnsi"/>
          <w:iCs/>
          <w:szCs w:val="24"/>
        </w:rPr>
        <w:t xml:space="preserve"> </w:t>
      </w:r>
    </w:p>
    <w:p w14:paraId="2C12294E" w14:textId="77777777" w:rsidR="00EF4605" w:rsidRDefault="00EF4605" w:rsidP="00EF4605">
      <w:pPr>
        <w:spacing w:before="120" w:after="120"/>
        <w:rPr>
          <w:rFonts w:asciiTheme="minorHAnsi" w:hAnsiTheme="minorHAnsi" w:cstheme="minorHAnsi"/>
          <w:iCs/>
          <w:szCs w:val="24"/>
        </w:rPr>
      </w:pPr>
      <w:r>
        <w:rPr>
          <w:rFonts w:asciiTheme="minorHAnsi" w:hAnsiTheme="minorHAnsi" w:cstheme="minorHAnsi"/>
          <w:iCs/>
          <w:szCs w:val="24"/>
        </w:rPr>
        <w:t xml:space="preserve">Subitems 1(1) and (2) of Schedule 6 to the Act makes clear that the Minister may make rules prescribing matters of a transitional nature relating to the amendments or repeals made by the Act, and that those rules may provide that provisions of the Act, or any other Act or instrument, have effect with the modifications prescribed by the rules. </w:t>
      </w:r>
    </w:p>
    <w:p w14:paraId="4FC7576C" w14:textId="2EC1FB2D" w:rsidR="00EF4605" w:rsidRDefault="00EF4605" w:rsidP="00EF4605">
      <w:pPr>
        <w:spacing w:before="120" w:after="120"/>
        <w:rPr>
          <w:rFonts w:asciiTheme="minorHAnsi" w:hAnsiTheme="minorHAnsi" w:cstheme="minorHAnsi"/>
          <w:iCs/>
          <w:szCs w:val="24"/>
        </w:rPr>
      </w:pPr>
      <w:r w:rsidRPr="002B7CC4">
        <w:rPr>
          <w:rFonts w:asciiTheme="minorHAnsi" w:hAnsiTheme="minorHAnsi" w:cstheme="minorHAnsi"/>
          <w:iCs/>
          <w:szCs w:val="24"/>
        </w:rPr>
        <w:t xml:space="preserve">The </w:t>
      </w:r>
      <w:r>
        <w:rPr>
          <w:rFonts w:asciiTheme="minorHAnsi" w:hAnsiTheme="minorHAnsi" w:cstheme="minorHAnsi"/>
          <w:iCs/>
          <w:szCs w:val="24"/>
        </w:rPr>
        <w:t>Instrument sets out transitional rules to prescribe some further matters of a transitional nature, in relation to Adelaide University becoming a Table A provider and the University of South Australia and the University of Adelaide being removed as Table A providers.</w:t>
      </w:r>
    </w:p>
    <w:p w14:paraId="2D71AC04" w14:textId="77777777" w:rsidR="00EF4605" w:rsidRDefault="00EF4605" w:rsidP="00EF4605">
      <w:pPr>
        <w:spacing w:before="120" w:after="120"/>
        <w:rPr>
          <w:rFonts w:asciiTheme="minorHAnsi" w:hAnsiTheme="minorHAnsi"/>
        </w:rPr>
      </w:pPr>
      <w:r w:rsidRPr="60D5C4AA">
        <w:rPr>
          <w:rFonts w:asciiTheme="minorHAnsi" w:hAnsiTheme="minorHAnsi"/>
        </w:rPr>
        <w:t xml:space="preserve">The purpose of the Instrument is to </w:t>
      </w:r>
      <w:r>
        <w:rPr>
          <w:rFonts w:asciiTheme="minorHAnsi" w:hAnsiTheme="minorHAnsi"/>
        </w:rPr>
        <w:t xml:space="preserve">allow the Minister to enter into a funding agreement with Adelaide University before Adelaide University becomes a Table A provider, and to delay or prevent the transfer of enrolments of some students </w:t>
      </w:r>
      <w:proofErr w:type="gramStart"/>
      <w:r>
        <w:rPr>
          <w:rFonts w:asciiTheme="minorHAnsi" w:hAnsiTheme="minorHAnsi"/>
        </w:rPr>
        <w:t>from the University of South Australia and the University of Adelaide,</w:t>
      </w:r>
      <w:proofErr w:type="gramEnd"/>
      <w:r>
        <w:rPr>
          <w:rFonts w:asciiTheme="minorHAnsi" w:hAnsiTheme="minorHAnsi"/>
        </w:rPr>
        <w:t xml:space="preserve"> to Adelaide University</w:t>
      </w:r>
      <w:r w:rsidRPr="00E83D52">
        <w:rPr>
          <w:rFonts w:asciiTheme="minorHAnsi" w:hAnsiTheme="minorHAnsi"/>
        </w:rPr>
        <w:t xml:space="preserve">. </w:t>
      </w:r>
    </w:p>
    <w:p w14:paraId="71104B9D" w14:textId="1974D35C" w:rsidR="00616F27" w:rsidRDefault="00EF4605" w:rsidP="002D05B3">
      <w:pPr>
        <w:spacing w:before="120" w:after="120"/>
        <w:rPr>
          <w:rFonts w:asciiTheme="minorHAnsi" w:hAnsiTheme="minorHAnsi"/>
        </w:rPr>
      </w:pPr>
      <w:r>
        <w:rPr>
          <w:rFonts w:asciiTheme="minorHAnsi" w:hAnsiTheme="minorHAnsi"/>
        </w:rPr>
        <w:t>It i</w:t>
      </w:r>
      <w:r w:rsidRPr="003879F1">
        <w:rPr>
          <w:rFonts w:asciiTheme="minorHAnsi" w:hAnsiTheme="minorHAnsi"/>
        </w:rPr>
        <w:t>s necessary to</w:t>
      </w:r>
      <w:r>
        <w:rPr>
          <w:rFonts w:asciiTheme="minorHAnsi" w:hAnsiTheme="minorHAnsi"/>
        </w:rPr>
        <w:t xml:space="preserve"> enter into a funding agreement with Adelaide University before it becomes a Table A provider on 1 January 2026, to provide certainty </w:t>
      </w:r>
      <w:r w:rsidRPr="003879F1">
        <w:rPr>
          <w:rFonts w:asciiTheme="minorHAnsi" w:hAnsiTheme="minorHAnsi"/>
        </w:rPr>
        <w:t xml:space="preserve">that Adelaide University </w:t>
      </w:r>
      <w:r>
        <w:rPr>
          <w:rFonts w:asciiTheme="minorHAnsi" w:hAnsiTheme="minorHAnsi"/>
        </w:rPr>
        <w:t>will be</w:t>
      </w:r>
      <w:r w:rsidRPr="003879F1">
        <w:rPr>
          <w:rFonts w:asciiTheme="minorHAnsi" w:hAnsiTheme="minorHAnsi"/>
        </w:rPr>
        <w:t xml:space="preserve"> eligible to receive grants under </w:t>
      </w:r>
      <w:r>
        <w:rPr>
          <w:rFonts w:asciiTheme="minorHAnsi" w:hAnsiTheme="minorHAnsi"/>
        </w:rPr>
        <w:t>Part 2-2</w:t>
      </w:r>
      <w:r w:rsidRPr="003879F1">
        <w:rPr>
          <w:rFonts w:asciiTheme="minorHAnsi" w:hAnsiTheme="minorHAnsi"/>
        </w:rPr>
        <w:t xml:space="preserve"> of HESA </w:t>
      </w:r>
      <w:r>
        <w:rPr>
          <w:rFonts w:asciiTheme="minorHAnsi" w:hAnsiTheme="minorHAnsi"/>
        </w:rPr>
        <w:t xml:space="preserve">when it becomes </w:t>
      </w:r>
      <w:r w:rsidRPr="003879F1">
        <w:rPr>
          <w:rFonts w:asciiTheme="minorHAnsi" w:hAnsiTheme="minorHAnsi"/>
        </w:rPr>
        <w:t xml:space="preserve">a Table A provider </w:t>
      </w:r>
      <w:r>
        <w:rPr>
          <w:rFonts w:asciiTheme="minorHAnsi" w:hAnsiTheme="minorHAnsi"/>
        </w:rPr>
        <w:t>on</w:t>
      </w:r>
      <w:r w:rsidRPr="003879F1">
        <w:rPr>
          <w:rFonts w:asciiTheme="minorHAnsi" w:hAnsiTheme="minorHAnsi"/>
        </w:rPr>
        <w:t xml:space="preserve"> 1 January 2026, and to facilitate various administrative processes, including </w:t>
      </w:r>
      <w:r>
        <w:rPr>
          <w:rFonts w:asciiTheme="minorHAnsi" w:hAnsiTheme="minorHAnsi"/>
        </w:rPr>
        <w:t xml:space="preserve">planning for the enrolment of </w:t>
      </w:r>
      <w:r w:rsidRPr="003879F1">
        <w:rPr>
          <w:rFonts w:asciiTheme="minorHAnsi" w:hAnsiTheme="minorHAnsi"/>
        </w:rPr>
        <w:t xml:space="preserve">students into Commonwealth supported places. </w:t>
      </w:r>
    </w:p>
    <w:p w14:paraId="027DAD96" w14:textId="093F9DA4" w:rsidR="003E7077" w:rsidRDefault="002E50A6" w:rsidP="002D05B3">
      <w:pPr>
        <w:spacing w:before="120" w:after="120"/>
        <w:rPr>
          <w:rFonts w:asciiTheme="minorHAnsi" w:hAnsiTheme="minorHAnsi"/>
        </w:rPr>
      </w:pPr>
      <w:r w:rsidRPr="001B55E3">
        <w:rPr>
          <w:rFonts w:asciiTheme="minorHAnsi" w:hAnsiTheme="minorHAnsi"/>
        </w:rPr>
        <w:t xml:space="preserve">Further, </w:t>
      </w:r>
      <w:r>
        <w:rPr>
          <w:rFonts w:asciiTheme="minorHAnsi" w:hAnsiTheme="minorHAnsi"/>
        </w:rPr>
        <w:t>the Instrument prevents, or delays, the transfer of the</w:t>
      </w:r>
      <w:r w:rsidRPr="001B55E3">
        <w:rPr>
          <w:rFonts w:asciiTheme="minorHAnsi" w:hAnsiTheme="minorHAnsi"/>
        </w:rPr>
        <w:t xml:space="preserve"> enrolment of </w:t>
      </w:r>
      <w:r>
        <w:rPr>
          <w:rFonts w:asciiTheme="minorHAnsi" w:hAnsiTheme="minorHAnsi"/>
        </w:rPr>
        <w:t xml:space="preserve">some </w:t>
      </w:r>
      <w:r w:rsidRPr="001B55E3">
        <w:rPr>
          <w:rFonts w:asciiTheme="minorHAnsi" w:hAnsiTheme="minorHAnsi"/>
        </w:rPr>
        <w:t xml:space="preserve">students </w:t>
      </w:r>
      <w:r>
        <w:rPr>
          <w:rFonts w:asciiTheme="minorHAnsi" w:hAnsiTheme="minorHAnsi"/>
        </w:rPr>
        <w:t>to Adelaide University, only where those students are due to complete their course of study</w:t>
      </w:r>
      <w:r w:rsidRPr="001B55E3">
        <w:rPr>
          <w:rFonts w:asciiTheme="minorHAnsi" w:hAnsiTheme="minorHAnsi"/>
        </w:rPr>
        <w:t xml:space="preserve"> at the </w:t>
      </w:r>
      <w:r w:rsidRPr="00E83D52">
        <w:rPr>
          <w:rFonts w:asciiTheme="minorHAnsi" w:hAnsiTheme="minorHAnsi"/>
        </w:rPr>
        <w:t>University of South Australia and the University of Adelaide</w:t>
      </w:r>
      <w:r w:rsidRPr="001B55E3">
        <w:rPr>
          <w:rFonts w:asciiTheme="minorHAnsi" w:hAnsiTheme="minorHAnsi"/>
        </w:rPr>
        <w:t xml:space="preserve"> </w:t>
      </w:r>
      <w:r>
        <w:rPr>
          <w:rFonts w:asciiTheme="minorHAnsi" w:hAnsiTheme="minorHAnsi"/>
        </w:rPr>
        <w:t>between</w:t>
      </w:r>
      <w:r w:rsidRPr="001B55E3">
        <w:rPr>
          <w:rFonts w:asciiTheme="minorHAnsi" w:hAnsiTheme="minorHAnsi"/>
        </w:rPr>
        <w:t xml:space="preserve"> 1 January </w:t>
      </w:r>
      <w:r>
        <w:rPr>
          <w:rFonts w:asciiTheme="minorHAnsi" w:hAnsiTheme="minorHAnsi"/>
        </w:rPr>
        <w:t>and</w:t>
      </w:r>
      <w:r w:rsidRPr="001B55E3">
        <w:rPr>
          <w:rFonts w:asciiTheme="minorHAnsi" w:hAnsiTheme="minorHAnsi"/>
        </w:rPr>
        <w:t xml:space="preserve"> 24 March 2026</w:t>
      </w:r>
      <w:r>
        <w:rPr>
          <w:rFonts w:asciiTheme="minorHAnsi" w:hAnsiTheme="minorHAnsi"/>
        </w:rPr>
        <w:t>. This</w:t>
      </w:r>
      <w:r w:rsidRPr="001B55E3">
        <w:rPr>
          <w:rFonts w:asciiTheme="minorHAnsi" w:hAnsiTheme="minorHAnsi"/>
        </w:rPr>
        <w:t xml:space="preserve"> support</w:t>
      </w:r>
      <w:r>
        <w:rPr>
          <w:rFonts w:asciiTheme="minorHAnsi" w:hAnsiTheme="minorHAnsi"/>
        </w:rPr>
        <w:t>s</w:t>
      </w:r>
      <w:r w:rsidRPr="001B55E3">
        <w:rPr>
          <w:rFonts w:asciiTheme="minorHAnsi" w:hAnsiTheme="minorHAnsi"/>
        </w:rPr>
        <w:t xml:space="preserve"> the timely completion of graduation</w:t>
      </w:r>
      <w:r>
        <w:rPr>
          <w:rFonts w:asciiTheme="minorHAnsi" w:hAnsiTheme="minorHAnsi"/>
        </w:rPr>
        <w:t>, conferral of awards</w:t>
      </w:r>
      <w:r w:rsidRPr="001B55E3">
        <w:rPr>
          <w:rFonts w:asciiTheme="minorHAnsi" w:hAnsiTheme="minorHAnsi"/>
        </w:rPr>
        <w:t xml:space="preserve"> and </w:t>
      </w:r>
      <w:r w:rsidRPr="001B55E3">
        <w:rPr>
          <w:rFonts w:asciiTheme="minorHAnsi" w:hAnsiTheme="minorHAnsi"/>
        </w:rPr>
        <w:lastRenderedPageBreak/>
        <w:t xml:space="preserve">related administrative processes </w:t>
      </w:r>
      <w:r>
        <w:rPr>
          <w:rFonts w:asciiTheme="minorHAnsi" w:hAnsiTheme="minorHAnsi"/>
        </w:rPr>
        <w:t>for students who complete their course of study at the University of South Australia and the University of Adelaide during this period</w:t>
      </w:r>
      <w:r w:rsidRPr="001B55E3">
        <w:rPr>
          <w:rFonts w:asciiTheme="minorHAnsi" w:hAnsiTheme="minorHAnsi"/>
        </w:rPr>
        <w:t xml:space="preserve">. </w:t>
      </w:r>
      <w:r w:rsidR="00EF4605">
        <w:rPr>
          <w:rFonts w:asciiTheme="minorHAnsi" w:hAnsiTheme="minorHAnsi"/>
        </w:rPr>
        <w:t xml:space="preserve">The Instrument also ensures that any students whose enrolments did not transfer because they were due to complete their course of study, but ultimately did not complete their course of study before 24 March 2026, will have their enrolments transfer to Adelaide University on 24 March 2026. </w:t>
      </w:r>
    </w:p>
    <w:p w14:paraId="57CC71C9" w14:textId="77777777" w:rsidR="00F9205E" w:rsidRPr="008134D5" w:rsidRDefault="00F9205E" w:rsidP="000C310A">
      <w:pPr>
        <w:pStyle w:val="Heading2"/>
      </w:pPr>
      <w:r w:rsidRPr="008134D5">
        <w:t>Human rights implications</w:t>
      </w:r>
    </w:p>
    <w:p w14:paraId="380CB4AD" w14:textId="23DD9D7C" w:rsidR="00D62A2E" w:rsidRPr="00D62A2E" w:rsidRDefault="004563A2" w:rsidP="007E47D2">
      <w:pPr>
        <w:spacing w:before="120" w:after="120"/>
        <w:rPr>
          <w:rFonts w:asciiTheme="minorHAnsi" w:hAnsiTheme="minorHAnsi" w:cstheme="minorHAnsi"/>
        </w:rPr>
      </w:pPr>
      <w:r>
        <w:rPr>
          <w:rFonts w:asciiTheme="minorHAnsi" w:hAnsiTheme="minorHAnsi" w:cstheme="minorHAnsi"/>
        </w:rPr>
        <w:t>The</w:t>
      </w:r>
      <w:r w:rsidR="007E47D2">
        <w:rPr>
          <w:rFonts w:asciiTheme="minorHAnsi" w:hAnsiTheme="minorHAnsi" w:cstheme="minorHAnsi"/>
        </w:rPr>
        <w:t xml:space="preserve"> purpose of the Instrument is to make technical transitional rules to </w:t>
      </w:r>
      <w:r w:rsidR="0023070D">
        <w:rPr>
          <w:rFonts w:asciiTheme="minorHAnsi" w:hAnsiTheme="minorHAnsi"/>
        </w:rPr>
        <w:t xml:space="preserve">allow for the Minister to enter into a funding agreement with Adelaide University before Adelaide University becomes a Table A provider, and to delay or prevent the transfer of enrolments of some students </w:t>
      </w:r>
      <w:proofErr w:type="gramStart"/>
      <w:r w:rsidR="0023070D">
        <w:rPr>
          <w:rFonts w:asciiTheme="minorHAnsi" w:hAnsiTheme="minorHAnsi"/>
        </w:rPr>
        <w:t>from the University of South Australia and the University of Adelaide,</w:t>
      </w:r>
      <w:proofErr w:type="gramEnd"/>
      <w:r w:rsidR="0023070D">
        <w:rPr>
          <w:rFonts w:asciiTheme="minorHAnsi" w:hAnsiTheme="minorHAnsi"/>
        </w:rPr>
        <w:t xml:space="preserve"> to Adelaide University</w:t>
      </w:r>
      <w:r w:rsidR="007E47D2">
        <w:rPr>
          <w:rFonts w:asciiTheme="minorHAnsi" w:hAnsiTheme="minorHAnsi" w:cstheme="minorHAnsi"/>
        </w:rPr>
        <w:t xml:space="preserve">. These technical rules do not engage any </w:t>
      </w:r>
      <w:r w:rsidR="00C3420C">
        <w:rPr>
          <w:rFonts w:asciiTheme="minorHAnsi" w:hAnsiTheme="minorHAnsi" w:cstheme="minorHAnsi"/>
        </w:rPr>
        <w:t xml:space="preserve">human rights and freedoms. </w:t>
      </w:r>
    </w:p>
    <w:p w14:paraId="0D664062" w14:textId="77777777" w:rsidR="00DA552F" w:rsidRPr="008134D5" w:rsidRDefault="00F9205E" w:rsidP="000C310A">
      <w:pPr>
        <w:pStyle w:val="Heading2"/>
      </w:pPr>
      <w:r w:rsidRPr="008134D5">
        <w:t>Conclusion</w:t>
      </w:r>
    </w:p>
    <w:p w14:paraId="26C0AF71" w14:textId="2B7D2197"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 xml:space="preserve">is compatible with human rights </w:t>
      </w:r>
      <w:r w:rsidR="00C3420C">
        <w:rPr>
          <w:rFonts w:asciiTheme="minorHAnsi" w:hAnsiTheme="minorHAnsi" w:cstheme="minorHAnsi"/>
          <w:szCs w:val="24"/>
        </w:rPr>
        <w:t>because it does not raise any human rights issues</w:t>
      </w:r>
      <w:r w:rsidR="00546B07">
        <w:rPr>
          <w:rFonts w:asciiTheme="minorHAnsi" w:hAnsiTheme="minorHAnsi" w:cstheme="minorHAnsi"/>
          <w:szCs w:val="24"/>
        </w:rPr>
        <w:t>.</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5B082254"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581A71">
        <w:rPr>
          <w:rFonts w:asciiTheme="minorHAnsi" w:hAnsiTheme="minorHAnsi" w:cstheme="minorHAnsi"/>
          <w:b/>
          <w:szCs w:val="24"/>
        </w:rPr>
        <w:t>Education</w:t>
      </w:r>
      <w:r w:rsidR="00E8671C">
        <w:rPr>
          <w:rFonts w:asciiTheme="minorHAnsi" w:hAnsiTheme="minorHAnsi" w:cstheme="minorHAnsi"/>
          <w:b/>
          <w:szCs w:val="24"/>
        </w:rPr>
        <w:t xml:space="preserve">, </w:t>
      </w:r>
      <w:r w:rsidR="00581A71">
        <w:rPr>
          <w:rFonts w:asciiTheme="minorHAnsi" w:hAnsiTheme="minorHAnsi" w:cstheme="minorHAnsi"/>
          <w:b/>
          <w:szCs w:val="24"/>
        </w:rPr>
        <w:t>the Hon Jason Clare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92B2E5C" w14:textId="433461AA" w:rsidR="00DA552F" w:rsidRPr="00581A71" w:rsidRDefault="00C3420C" w:rsidP="000C310A">
      <w:pPr>
        <w:pStyle w:val="Title"/>
        <w:rPr>
          <w:b w:val="0"/>
        </w:rPr>
      </w:pPr>
      <w:r>
        <w:rPr>
          <w:u w:val="none"/>
        </w:rPr>
        <w:lastRenderedPageBreak/>
        <w:t xml:space="preserve">UNIVERSITIES ACCORD (STUDENT SUPPORT AND OTHER MEASURES) </w:t>
      </w:r>
      <w:r w:rsidR="0023070D">
        <w:rPr>
          <w:u w:val="none"/>
        </w:rPr>
        <w:t xml:space="preserve">(ADELAIDE UNIVERSITY) </w:t>
      </w:r>
      <w:r>
        <w:rPr>
          <w:u w:val="none"/>
        </w:rPr>
        <w:t>TRANSITIONAL RULES 202</w:t>
      </w:r>
      <w:r w:rsidR="0023070D">
        <w:rPr>
          <w:u w:val="none"/>
        </w:rPr>
        <w:t>5</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4A340EA2" w:rsidR="00DA552F" w:rsidRPr="00EF4ACB" w:rsidRDefault="00DA552F" w:rsidP="00CB24D6">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is a formal provision specifying the </w:t>
      </w:r>
      <w:r w:rsidR="00E631F9" w:rsidRPr="00EF4ACB">
        <w:rPr>
          <w:rFonts w:asciiTheme="minorHAnsi" w:hAnsiTheme="minorHAnsi" w:cstheme="minorHAnsi"/>
          <w:szCs w:val="24"/>
        </w:rPr>
        <w:t>name of the</w:t>
      </w:r>
      <w:r w:rsidR="00603D52">
        <w:rPr>
          <w:rFonts w:asciiTheme="minorHAnsi" w:hAnsiTheme="minorHAnsi" w:cstheme="minorHAnsi"/>
          <w:szCs w:val="24"/>
        </w:rPr>
        <w:t xml:space="preserve"> </w:t>
      </w:r>
      <w:r w:rsidR="00C3420C">
        <w:rPr>
          <w:rFonts w:asciiTheme="minorHAnsi" w:hAnsiTheme="minorHAnsi" w:cstheme="minorHAnsi"/>
          <w:i/>
          <w:iCs/>
          <w:szCs w:val="24"/>
        </w:rPr>
        <w:t xml:space="preserve">Universities Accord (Student Support and Other Measures) </w:t>
      </w:r>
      <w:r w:rsidR="0023070D">
        <w:rPr>
          <w:rFonts w:asciiTheme="minorHAnsi" w:hAnsiTheme="minorHAnsi" w:cstheme="minorHAnsi"/>
          <w:i/>
          <w:iCs/>
          <w:szCs w:val="24"/>
        </w:rPr>
        <w:t xml:space="preserve">(Adelaide University) </w:t>
      </w:r>
      <w:r w:rsidR="00C3420C">
        <w:rPr>
          <w:rFonts w:asciiTheme="minorHAnsi" w:hAnsiTheme="minorHAnsi" w:cstheme="minorHAnsi"/>
          <w:i/>
          <w:iCs/>
          <w:szCs w:val="24"/>
        </w:rPr>
        <w:t>Transitional Rules 202</w:t>
      </w:r>
      <w:r w:rsidR="0023070D">
        <w:rPr>
          <w:rFonts w:asciiTheme="minorHAnsi" w:hAnsiTheme="minorHAnsi" w:cstheme="minorHAnsi"/>
          <w:i/>
          <w:iCs/>
          <w:szCs w:val="24"/>
        </w:rPr>
        <w:t>5</w:t>
      </w:r>
      <w:r w:rsidR="00603D52">
        <w:rPr>
          <w:rFonts w:asciiTheme="minorHAnsi" w:hAnsiTheme="minorHAnsi" w:cstheme="minorHAnsi"/>
          <w:i/>
          <w:iCs/>
          <w:szCs w:val="24"/>
        </w:rPr>
        <w:t xml:space="preserve"> </w:t>
      </w:r>
      <w:r w:rsidR="00603D52">
        <w:rPr>
          <w:rFonts w:asciiTheme="minorHAnsi" w:hAnsiTheme="minorHAnsi" w:cstheme="minorHAnsi"/>
          <w:szCs w:val="24"/>
        </w:rPr>
        <w:t>(the I</w:t>
      </w:r>
      <w:r w:rsidR="00E631F9" w:rsidRPr="00EF4ACB">
        <w:rPr>
          <w:rFonts w:asciiTheme="minorHAnsi" w:hAnsiTheme="minorHAnsi" w:cstheme="minorHAnsi"/>
          <w:szCs w:val="24"/>
        </w:rPr>
        <w:t>nstrument</w:t>
      </w:r>
      <w:r w:rsidR="00603D52">
        <w:rPr>
          <w:rFonts w:asciiTheme="minorHAnsi" w:hAnsiTheme="minorHAnsi" w:cstheme="minorHAnsi"/>
          <w:szCs w:val="24"/>
        </w:rPr>
        <w:t>)</w:t>
      </w:r>
      <w:r w:rsidR="00E631F9" w:rsidRPr="00EF4ACB">
        <w:rPr>
          <w:rFonts w:asciiTheme="minorHAnsi" w:hAnsiTheme="minorHAnsi" w:cstheme="minorHAnsi"/>
          <w:szCs w:val="24"/>
        </w:rPr>
        <w: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5EF88FDD"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provision provides that the </w:t>
      </w:r>
      <w:r w:rsidR="00603D52" w:rsidRPr="00745376">
        <w:rPr>
          <w:rFonts w:asciiTheme="minorHAnsi" w:hAnsiTheme="minorHAnsi" w:cstheme="minorHAnsi"/>
          <w:iCs/>
        </w:rPr>
        <w:t>Instrument</w:t>
      </w:r>
      <w:r>
        <w:rPr>
          <w:rFonts w:asciiTheme="minorHAnsi" w:hAnsiTheme="minorHAnsi" w:cstheme="minorHAnsi"/>
          <w:iCs/>
        </w:rPr>
        <w:t xml:space="preserve"> commences </w:t>
      </w:r>
      <w:r w:rsidR="00CE47E8">
        <w:rPr>
          <w:rFonts w:asciiTheme="minorHAnsi" w:hAnsiTheme="minorHAnsi" w:cstheme="minorHAnsi"/>
          <w:iCs/>
        </w:rPr>
        <w:t xml:space="preserve">either </w:t>
      </w:r>
      <w:r w:rsidR="0023070D">
        <w:rPr>
          <w:rFonts w:asciiTheme="minorHAnsi" w:hAnsiTheme="minorHAnsi" w:cstheme="minorHAnsi"/>
          <w:iCs/>
        </w:rPr>
        <w:t xml:space="preserve">on the later of the day after the Instrument is registered on the Federal Register of Legislation, or immediately after the commencement of the Proclamation fixing the commencement day for Schedule 5 of the </w:t>
      </w:r>
      <w:r w:rsidR="0023070D">
        <w:rPr>
          <w:rFonts w:asciiTheme="minorHAnsi" w:hAnsiTheme="minorHAnsi" w:cstheme="minorHAnsi"/>
          <w:i/>
        </w:rPr>
        <w:t xml:space="preserve">Universities Accord (Student Support and Other Measures) Act 2024 </w:t>
      </w:r>
      <w:r w:rsidR="0023070D">
        <w:rPr>
          <w:rFonts w:asciiTheme="minorHAnsi" w:hAnsiTheme="minorHAnsi" w:cstheme="minorHAnsi"/>
          <w:iCs/>
        </w:rPr>
        <w:t>(the Act).</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0E21046D"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provision provides that the Instrument is made under </w:t>
      </w:r>
      <w:r w:rsidR="00C3420C">
        <w:rPr>
          <w:rFonts w:asciiTheme="minorHAnsi" w:hAnsiTheme="minorHAnsi" w:cstheme="minorHAnsi"/>
          <w:iCs/>
        </w:rPr>
        <w:t>item 1</w:t>
      </w:r>
      <w:r>
        <w:rPr>
          <w:rFonts w:asciiTheme="minorHAnsi" w:hAnsiTheme="minorHAnsi" w:cstheme="minorHAnsi"/>
          <w:iCs/>
        </w:rPr>
        <w:t xml:space="preserve"> of </w:t>
      </w:r>
      <w:r w:rsidR="00C3420C">
        <w:rPr>
          <w:rFonts w:asciiTheme="minorHAnsi" w:hAnsiTheme="minorHAnsi" w:cstheme="minorHAnsi"/>
          <w:iCs/>
        </w:rPr>
        <w:t xml:space="preserve">Schedule 6 to </w:t>
      </w:r>
      <w:r>
        <w:rPr>
          <w:rFonts w:asciiTheme="minorHAnsi" w:hAnsiTheme="minorHAnsi" w:cstheme="minorHAnsi"/>
          <w:iCs/>
        </w:rPr>
        <w:t xml:space="preserve">the Act. </w:t>
      </w:r>
    </w:p>
    <w:p w14:paraId="0296CC14" w14:textId="573071A8" w:rsidR="00DA552F" w:rsidRPr="000C310A" w:rsidRDefault="00E631F9" w:rsidP="000C310A">
      <w:pPr>
        <w:pStyle w:val="Heading3"/>
        <w:spacing w:before="240"/>
        <w:rPr>
          <w:b/>
          <w:bCs/>
        </w:rPr>
      </w:pPr>
      <w:r w:rsidRPr="008C5CE9">
        <w:rPr>
          <w:b/>
          <w:bCs/>
        </w:rPr>
        <w:t xml:space="preserve">Section 4: </w:t>
      </w:r>
      <w:r w:rsidR="00C3420C">
        <w:rPr>
          <w:b/>
          <w:bCs/>
        </w:rPr>
        <w:t>Definitions</w:t>
      </w:r>
      <w:r w:rsidR="00581A71">
        <w:rPr>
          <w:b/>
          <w:bCs/>
        </w:rPr>
        <w:t xml:space="preserve"> </w:t>
      </w:r>
    </w:p>
    <w:p w14:paraId="2AB55D93" w14:textId="30388A0C" w:rsidR="00756D99" w:rsidRDefault="00581A71" w:rsidP="00581A71">
      <w:pPr>
        <w:pStyle w:val="ListParagraph"/>
        <w:numPr>
          <w:ilvl w:val="0"/>
          <w:numId w:val="1"/>
        </w:numPr>
        <w:spacing w:after="160" w:line="259" w:lineRule="auto"/>
        <w:rPr>
          <w:rFonts w:asciiTheme="minorHAnsi" w:hAnsiTheme="minorHAnsi" w:cstheme="minorHAnsi"/>
        </w:rPr>
      </w:pPr>
      <w:bookmarkStart w:id="6" w:name="_Toc23942243"/>
      <w:bookmarkEnd w:id="6"/>
      <w:r>
        <w:rPr>
          <w:rFonts w:asciiTheme="minorHAnsi" w:hAnsiTheme="minorHAnsi" w:cstheme="minorHAnsi"/>
        </w:rPr>
        <w:t xml:space="preserve">This </w:t>
      </w:r>
      <w:r w:rsidR="00C3420C">
        <w:rPr>
          <w:rFonts w:asciiTheme="minorHAnsi" w:hAnsiTheme="minorHAnsi" w:cstheme="minorHAnsi"/>
        </w:rPr>
        <w:t>section defines the terms used in the Instrument</w:t>
      </w:r>
      <w:r w:rsidR="004C7E00">
        <w:rPr>
          <w:rFonts w:asciiTheme="minorHAnsi" w:hAnsiTheme="minorHAnsi" w:cstheme="minorHAnsi"/>
        </w:rPr>
        <w:t xml:space="preserve"> and</w:t>
      </w:r>
      <w:r w:rsidR="00503F62">
        <w:rPr>
          <w:rFonts w:asciiTheme="minorHAnsi" w:hAnsiTheme="minorHAnsi" w:cstheme="minorHAnsi"/>
        </w:rPr>
        <w:t xml:space="preserve"> provides that any other </w:t>
      </w:r>
      <w:r w:rsidR="00FE3BB7">
        <w:rPr>
          <w:rFonts w:asciiTheme="minorHAnsi" w:hAnsiTheme="minorHAnsi" w:cstheme="minorHAnsi"/>
        </w:rPr>
        <w:t>expression</w:t>
      </w:r>
      <w:r w:rsidR="00503F62">
        <w:rPr>
          <w:rFonts w:asciiTheme="minorHAnsi" w:hAnsiTheme="minorHAnsi" w:cstheme="minorHAnsi"/>
        </w:rPr>
        <w:t xml:space="preserve"> used in the Instrument that is used in the Act has the same meaning in the Instrument as it has in the Act. </w:t>
      </w:r>
      <w:proofErr w:type="gramStart"/>
      <w:r w:rsidR="00456156">
        <w:rPr>
          <w:rFonts w:asciiTheme="minorHAnsi" w:hAnsiTheme="minorHAnsi" w:cstheme="minorHAnsi"/>
        </w:rPr>
        <w:t>A number of</w:t>
      </w:r>
      <w:proofErr w:type="gramEnd"/>
      <w:r w:rsidR="00456156">
        <w:rPr>
          <w:rFonts w:asciiTheme="minorHAnsi" w:hAnsiTheme="minorHAnsi" w:cstheme="minorHAnsi"/>
        </w:rPr>
        <w:t xml:space="preserve"> terms </w:t>
      </w:r>
      <w:r w:rsidR="003873B2">
        <w:rPr>
          <w:rFonts w:asciiTheme="minorHAnsi" w:hAnsiTheme="minorHAnsi" w:cstheme="minorHAnsi"/>
        </w:rPr>
        <w:t xml:space="preserve">such as ‘enabling course,’ ‘course of study’ and ‘funding agreement’ are defined to have the same meaning as in Schedule 1 to the </w:t>
      </w:r>
      <w:r w:rsidR="003873B2" w:rsidRPr="002D05B3">
        <w:rPr>
          <w:rFonts w:asciiTheme="minorHAnsi" w:hAnsiTheme="minorHAnsi" w:cstheme="minorHAnsi"/>
          <w:i/>
          <w:iCs/>
        </w:rPr>
        <w:t>Higher Education Support Act 2003</w:t>
      </w:r>
      <w:r w:rsidR="003873B2">
        <w:rPr>
          <w:rFonts w:asciiTheme="minorHAnsi" w:hAnsiTheme="minorHAnsi" w:cstheme="minorHAnsi"/>
        </w:rPr>
        <w:t xml:space="preserve"> (HESA). </w:t>
      </w:r>
    </w:p>
    <w:p w14:paraId="6682A899" w14:textId="258D34AA" w:rsidR="003873B2" w:rsidRDefault="00BD6A79"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The term ‘higher degree by research’</w:t>
      </w:r>
      <w:r w:rsidR="00733372">
        <w:rPr>
          <w:rFonts w:asciiTheme="minorHAnsi" w:hAnsiTheme="minorHAnsi" w:cstheme="minorHAnsi"/>
        </w:rPr>
        <w:t xml:space="preserve"> </w:t>
      </w:r>
      <w:r w:rsidR="00B46A00">
        <w:rPr>
          <w:rFonts w:asciiTheme="minorHAnsi" w:hAnsiTheme="minorHAnsi" w:cstheme="minorHAnsi"/>
        </w:rPr>
        <w:t>is also defined in this section and</w:t>
      </w:r>
      <w:r w:rsidR="00733372">
        <w:rPr>
          <w:rFonts w:asciiTheme="minorHAnsi" w:hAnsiTheme="minorHAnsi" w:cstheme="minorHAnsi"/>
        </w:rPr>
        <w:t xml:space="preserve"> has the same meaning as the term ‘HDR’ </w:t>
      </w:r>
      <w:r w:rsidR="00E16B7C" w:rsidRPr="00E16B7C">
        <w:rPr>
          <w:rFonts w:asciiTheme="minorHAnsi" w:hAnsiTheme="minorHAnsi" w:cstheme="minorHAnsi"/>
        </w:rPr>
        <w:t xml:space="preserve">as defined in the </w:t>
      </w:r>
      <w:r w:rsidR="00E16B7C" w:rsidRPr="002D05B3">
        <w:rPr>
          <w:rFonts w:asciiTheme="minorHAnsi" w:hAnsiTheme="minorHAnsi" w:cstheme="minorHAnsi"/>
          <w:i/>
          <w:iCs/>
        </w:rPr>
        <w:t>Commonwealth Scholarships Guidelines (Research) 2017</w:t>
      </w:r>
      <w:r w:rsidR="00E16B7C">
        <w:rPr>
          <w:rFonts w:asciiTheme="minorHAnsi" w:hAnsiTheme="minorHAnsi" w:cstheme="minorHAnsi"/>
        </w:rPr>
        <w:t xml:space="preserve"> (CSGs)</w:t>
      </w:r>
      <w:r w:rsidR="00E16B7C" w:rsidRPr="00E16B7C">
        <w:rPr>
          <w:rFonts w:asciiTheme="minorHAnsi" w:hAnsiTheme="minorHAnsi" w:cstheme="minorHAnsi"/>
        </w:rPr>
        <w:t>, as in force at the time th</w:t>
      </w:r>
      <w:r w:rsidR="00E16B7C">
        <w:rPr>
          <w:rFonts w:asciiTheme="minorHAnsi" w:hAnsiTheme="minorHAnsi" w:cstheme="minorHAnsi"/>
        </w:rPr>
        <w:t>e I</w:t>
      </w:r>
      <w:r w:rsidR="00E16B7C" w:rsidRPr="00E16B7C">
        <w:rPr>
          <w:rFonts w:asciiTheme="minorHAnsi" w:hAnsiTheme="minorHAnsi" w:cstheme="minorHAnsi"/>
        </w:rPr>
        <w:t>nstrument was made</w:t>
      </w:r>
      <w:r w:rsidR="00B46A00">
        <w:rPr>
          <w:rFonts w:asciiTheme="minorHAnsi" w:hAnsiTheme="minorHAnsi" w:cstheme="minorHAnsi"/>
        </w:rPr>
        <w:t xml:space="preserve">. The CSGs </w:t>
      </w:r>
      <w:r w:rsidR="00157962">
        <w:rPr>
          <w:rFonts w:asciiTheme="minorHAnsi" w:hAnsiTheme="minorHAnsi" w:cstheme="minorHAnsi"/>
        </w:rPr>
        <w:t xml:space="preserve">define HDR as ‘a </w:t>
      </w:r>
      <w:r w:rsidR="00157962" w:rsidRPr="00157962">
        <w:rPr>
          <w:rFonts w:asciiTheme="minorHAnsi" w:hAnsiTheme="minorHAnsi" w:cstheme="minorHAnsi"/>
        </w:rPr>
        <w:t>higher degree by research which is a Research Doctorate or Research Masters course for which at least two-thirds of the student load for the course is required as research work</w:t>
      </w:r>
      <w:r w:rsidR="00157962">
        <w:rPr>
          <w:rFonts w:asciiTheme="minorHAnsi" w:hAnsiTheme="minorHAnsi" w:cstheme="minorHAnsi"/>
        </w:rPr>
        <w:t xml:space="preserve">’. </w:t>
      </w:r>
      <w:r w:rsidR="004C6604">
        <w:rPr>
          <w:rFonts w:asciiTheme="minorHAnsi" w:hAnsiTheme="minorHAnsi" w:cstheme="minorHAnsi"/>
        </w:rPr>
        <w:t xml:space="preserve">The CSGs is an instrument made </w:t>
      </w:r>
      <w:r w:rsidR="00657FF5">
        <w:rPr>
          <w:rFonts w:asciiTheme="minorHAnsi" w:hAnsiTheme="minorHAnsi" w:cstheme="minorHAnsi"/>
        </w:rPr>
        <w:t xml:space="preserve">under section 238-10 of HESA for the purposes of Part 2-4 of HESA. The version of the CSGs in force at the time the Instrument was made can be found here: </w:t>
      </w:r>
      <w:r w:rsidR="00850379" w:rsidRPr="002D05B3">
        <w:rPr>
          <w:rFonts w:asciiTheme="minorHAnsi" w:hAnsiTheme="minorHAnsi" w:cstheme="minorHAnsi"/>
        </w:rPr>
        <w:t xml:space="preserve">https://www.legislation.gov.au/F2016L01602/latest/text. </w:t>
      </w:r>
      <w:r w:rsidR="009613B9" w:rsidRPr="002D05B3">
        <w:rPr>
          <w:rFonts w:asciiTheme="minorHAnsi" w:hAnsiTheme="minorHAnsi" w:cstheme="minorHAnsi"/>
        </w:rPr>
        <w:t>It is</w:t>
      </w:r>
      <w:r w:rsidR="009613B9">
        <w:rPr>
          <w:rFonts w:asciiTheme="minorHAnsi" w:hAnsiTheme="minorHAnsi" w:cstheme="minorHAnsi"/>
        </w:rPr>
        <w:t xml:space="preserve"> necessary to incorporate this definition into the Instrument as the Instrument deals with </w:t>
      </w:r>
      <w:r w:rsidR="005B60A0">
        <w:rPr>
          <w:rFonts w:asciiTheme="minorHAnsi" w:hAnsiTheme="minorHAnsi" w:cstheme="minorHAnsi"/>
        </w:rPr>
        <w:t>prevent</w:t>
      </w:r>
      <w:r w:rsidR="008A62D5">
        <w:rPr>
          <w:rFonts w:asciiTheme="minorHAnsi" w:hAnsiTheme="minorHAnsi" w:cstheme="minorHAnsi"/>
        </w:rPr>
        <w:t xml:space="preserve">ing, or </w:t>
      </w:r>
      <w:r w:rsidR="005B60A0">
        <w:rPr>
          <w:rFonts w:asciiTheme="minorHAnsi" w:hAnsiTheme="minorHAnsi" w:cstheme="minorHAnsi"/>
        </w:rPr>
        <w:t>delay</w:t>
      </w:r>
      <w:r w:rsidR="008A62D5">
        <w:rPr>
          <w:rFonts w:asciiTheme="minorHAnsi" w:hAnsiTheme="minorHAnsi" w:cstheme="minorHAnsi"/>
        </w:rPr>
        <w:t>ing, the transfer of students enrolled in higher degrees by research (for the purposes of the CSGs</w:t>
      </w:r>
      <w:r w:rsidR="002E5D64">
        <w:rPr>
          <w:rFonts w:asciiTheme="minorHAnsi" w:hAnsiTheme="minorHAnsi" w:cstheme="minorHAnsi"/>
        </w:rPr>
        <w:t xml:space="preserve"> and HESA</w:t>
      </w:r>
      <w:r w:rsidR="008A62D5">
        <w:rPr>
          <w:rFonts w:asciiTheme="minorHAnsi" w:hAnsiTheme="minorHAnsi" w:cstheme="minorHAnsi"/>
        </w:rPr>
        <w:t>)</w:t>
      </w:r>
      <w:r w:rsidR="002E5D64">
        <w:rPr>
          <w:rFonts w:asciiTheme="minorHAnsi" w:hAnsiTheme="minorHAnsi" w:cstheme="minorHAnsi"/>
        </w:rPr>
        <w:t xml:space="preserve"> in certain circumstances. </w:t>
      </w:r>
    </w:p>
    <w:p w14:paraId="4F1126DB" w14:textId="5E8F272D" w:rsidR="00503F62" w:rsidRPr="000C310A" w:rsidRDefault="00503F62" w:rsidP="00503F62">
      <w:pPr>
        <w:pStyle w:val="Heading3"/>
        <w:spacing w:before="240"/>
        <w:rPr>
          <w:b/>
          <w:bCs/>
        </w:rPr>
      </w:pPr>
      <w:r w:rsidRPr="008C5CE9">
        <w:rPr>
          <w:b/>
          <w:bCs/>
        </w:rPr>
        <w:lastRenderedPageBreak/>
        <w:t xml:space="preserve">Section </w:t>
      </w:r>
      <w:r>
        <w:rPr>
          <w:b/>
          <w:bCs/>
        </w:rPr>
        <w:t xml:space="preserve">5: Transitional rules </w:t>
      </w:r>
      <w:r w:rsidR="0023070D">
        <w:rPr>
          <w:b/>
          <w:bCs/>
        </w:rPr>
        <w:t>in relation to funding agreement for Adelaide University</w:t>
      </w:r>
      <w:r>
        <w:rPr>
          <w:b/>
          <w:bCs/>
        </w:rPr>
        <w:t xml:space="preserve"> </w:t>
      </w:r>
    </w:p>
    <w:p w14:paraId="6A6B55AB" w14:textId="7EEEE5CE" w:rsidR="00167D55" w:rsidRDefault="00167D55"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The purpose of section 5 of the Instrument is to prescribe transitional rules to allow the Minister to enter into a funding agreement with Adelaide University, before Adelaide University becomes a Table A provider.</w:t>
      </w:r>
    </w:p>
    <w:p w14:paraId="572952EE" w14:textId="1F614108" w:rsidR="00503F62" w:rsidRDefault="00167D55"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Subsection 5(1) provides that the purpose of section 5 is to prescribe matters of a transitional nature relating to the amendments and repeals made by the Act, and to prescribe modifications to section 30-25</w:t>
      </w:r>
      <w:r w:rsidR="00526A74">
        <w:rPr>
          <w:rFonts w:asciiTheme="minorHAnsi" w:hAnsiTheme="minorHAnsi" w:cstheme="minorHAnsi"/>
        </w:rPr>
        <w:t xml:space="preserve"> and 30-28</w:t>
      </w:r>
      <w:r>
        <w:rPr>
          <w:rFonts w:asciiTheme="minorHAnsi" w:hAnsiTheme="minorHAnsi" w:cstheme="minorHAnsi"/>
        </w:rPr>
        <w:t xml:space="preserve"> of HESA. Section 30-25 of HESA relates to the Minister’s power to enter into a funding agreement with a higher education provider relating to grants under Part 2-2 of HESA. </w:t>
      </w:r>
      <w:r w:rsidR="00C76A88">
        <w:rPr>
          <w:rFonts w:asciiTheme="minorHAnsi" w:hAnsiTheme="minorHAnsi" w:cstheme="minorHAnsi"/>
        </w:rPr>
        <w:t xml:space="preserve">Section 30-28 of HESA </w:t>
      </w:r>
      <w:r w:rsidR="00486A87">
        <w:rPr>
          <w:rFonts w:asciiTheme="minorHAnsi" w:hAnsiTheme="minorHAnsi" w:cstheme="minorHAnsi"/>
        </w:rPr>
        <w:t xml:space="preserve">relates to the Secretary’s obligation to cause a copy of each funding agreement, </w:t>
      </w:r>
      <w:proofErr w:type="gramStart"/>
      <w:r w:rsidR="00486A87">
        <w:rPr>
          <w:rFonts w:asciiTheme="minorHAnsi" w:hAnsiTheme="minorHAnsi" w:cstheme="minorHAnsi"/>
        </w:rPr>
        <w:t>entered into</w:t>
      </w:r>
      <w:proofErr w:type="gramEnd"/>
      <w:r w:rsidR="00486A87">
        <w:rPr>
          <w:rFonts w:asciiTheme="minorHAnsi" w:hAnsiTheme="minorHAnsi" w:cstheme="minorHAnsi"/>
        </w:rPr>
        <w:t xml:space="preserve"> under section 30-25 </w:t>
      </w:r>
      <w:r w:rsidR="006E36C4">
        <w:rPr>
          <w:rFonts w:asciiTheme="minorHAnsi" w:hAnsiTheme="minorHAnsi" w:cstheme="minorHAnsi"/>
        </w:rPr>
        <w:t xml:space="preserve">of HESA </w:t>
      </w:r>
      <w:r w:rsidR="00486A87">
        <w:rPr>
          <w:rFonts w:asciiTheme="minorHAnsi" w:hAnsiTheme="minorHAnsi" w:cstheme="minorHAnsi"/>
        </w:rPr>
        <w:t xml:space="preserve">for a year, to be published on the Department’s website. </w:t>
      </w:r>
    </w:p>
    <w:p w14:paraId="51329E36" w14:textId="142DA667" w:rsidR="00167D55" w:rsidRDefault="00167D55"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Subsection 5(2) provides that the Minister may, on behalf of the Commonwealth, enter into a funding agreement with Adelaide University before the ‘merger time’ (i.e. before Adelaide University becomes a Table A provider by operation of Schedule 5 of the Act), and may unilaterally vary that agreement for the purposes of paragraph 5(3)(c). It is necessary for the Minister to have the power to unilaterally vary that agreement because the intention is for the funding agreement to initially be entered into in an incomplete and provisional form, but to be finalised before the merger time (see paragraph 5(3)(c)</w:t>
      </w:r>
      <w:r w:rsidR="007201E3">
        <w:rPr>
          <w:rFonts w:asciiTheme="minorHAnsi" w:hAnsiTheme="minorHAnsi" w:cstheme="minorHAnsi"/>
        </w:rPr>
        <w:t xml:space="preserve"> of the Instrument</w:t>
      </w:r>
      <w:r>
        <w:rPr>
          <w:rFonts w:asciiTheme="minorHAnsi" w:hAnsiTheme="minorHAnsi" w:cstheme="minorHAnsi"/>
        </w:rPr>
        <w:t>).</w:t>
      </w:r>
    </w:p>
    <w:p w14:paraId="50CFB8CB" w14:textId="1990AF5F" w:rsidR="00167D55" w:rsidRDefault="00167D55"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The note </w:t>
      </w:r>
      <w:r w:rsidR="007201E3">
        <w:rPr>
          <w:rFonts w:asciiTheme="minorHAnsi" w:hAnsiTheme="minorHAnsi" w:cstheme="minorHAnsi"/>
        </w:rPr>
        <w:t>under</w:t>
      </w:r>
      <w:r>
        <w:rPr>
          <w:rFonts w:asciiTheme="minorHAnsi" w:hAnsiTheme="minorHAnsi" w:cstheme="minorHAnsi"/>
        </w:rPr>
        <w:t xml:space="preserve"> this subsection explains that subsection 5(2) modifies subsection 30-25(1) of HESA which permits the Minister to only enter into a funding agreement with a ‘higher education provider’. Adelaide University will not be a higher education provider until the merger time, but section 5 modifies the operation of section 30-25 to permit the Minister entering into a funding agreement with Adelaide University before that time. </w:t>
      </w:r>
    </w:p>
    <w:p w14:paraId="0F28F213" w14:textId="13AF928E" w:rsidR="00167D55" w:rsidRDefault="00167D55"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Subsection 5(3) provides that the funding agreement may only commence on and from the merger time, must expire at the end of 2026 and may be entered into in an incomplete or provisional form, but must be amended into a complete and final form before the merger time. </w:t>
      </w:r>
    </w:p>
    <w:p w14:paraId="72F97027" w14:textId="3EB6BEAE" w:rsidR="00167D55" w:rsidRDefault="00167D55"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The note under paragraph 5(3)(c) explains that it </w:t>
      </w:r>
      <w:r w:rsidR="00E518C1">
        <w:rPr>
          <w:rFonts w:asciiTheme="minorHAnsi" w:hAnsiTheme="minorHAnsi" w:cstheme="minorHAnsi"/>
        </w:rPr>
        <w:t>is</w:t>
      </w:r>
      <w:r>
        <w:rPr>
          <w:rFonts w:asciiTheme="minorHAnsi" w:hAnsiTheme="minorHAnsi" w:cstheme="minorHAnsi"/>
        </w:rPr>
        <w:t xml:space="preserve"> possible for the funding agreement that is entered into before Adelaide University becomes a Table A provider, to </w:t>
      </w:r>
      <w:r w:rsidR="00E518C1">
        <w:rPr>
          <w:rFonts w:asciiTheme="minorHAnsi" w:hAnsiTheme="minorHAnsi" w:cstheme="minorHAnsi"/>
        </w:rPr>
        <w:t>be silent on matters such as the provider’s maximum basic grant amount for higher education courses, but those amounts must be included in the funding agreement once Adelaide University becomes a Table A provider.</w:t>
      </w:r>
    </w:p>
    <w:p w14:paraId="72BDA98A" w14:textId="2D785B14" w:rsidR="00252446" w:rsidRDefault="00252446"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Subsection 5(4) provides that</w:t>
      </w:r>
      <w:r w:rsidR="00085E7C">
        <w:rPr>
          <w:rFonts w:asciiTheme="minorHAnsi" w:hAnsiTheme="minorHAnsi" w:cstheme="minorHAnsi"/>
        </w:rPr>
        <w:t>,</w:t>
      </w:r>
      <w:r>
        <w:rPr>
          <w:rFonts w:asciiTheme="minorHAnsi" w:hAnsiTheme="minorHAnsi" w:cstheme="minorHAnsi"/>
        </w:rPr>
        <w:t xml:space="preserve"> if a funding agreement is entered into in an incomplete or provision</w:t>
      </w:r>
      <w:r w:rsidR="009036F5">
        <w:rPr>
          <w:rFonts w:asciiTheme="minorHAnsi" w:hAnsiTheme="minorHAnsi" w:cstheme="minorHAnsi"/>
        </w:rPr>
        <w:t>al</w:t>
      </w:r>
      <w:r>
        <w:rPr>
          <w:rFonts w:asciiTheme="minorHAnsi" w:hAnsiTheme="minorHAnsi" w:cstheme="minorHAnsi"/>
        </w:rPr>
        <w:t xml:space="preserve"> form in accordance with paragraph 5(3)(c), then despite section 30-28 of HESA (which requires the Secretary to publish funding agreements on the Department’s website within 28 days after the making of the agreement), the Secretary must instead cause a copy of the funding agreement to be published on the Department’s website within 28 days after the Minister has varied that agreement into a complete and final form.</w:t>
      </w:r>
    </w:p>
    <w:p w14:paraId="446A1853" w14:textId="4A8B4BC3" w:rsidR="00E518C1" w:rsidRPr="000C310A" w:rsidRDefault="00E518C1" w:rsidP="00E518C1">
      <w:pPr>
        <w:pStyle w:val="Heading3"/>
        <w:spacing w:before="240"/>
        <w:rPr>
          <w:b/>
          <w:bCs/>
        </w:rPr>
      </w:pPr>
      <w:r w:rsidRPr="008C5CE9">
        <w:rPr>
          <w:b/>
          <w:bCs/>
        </w:rPr>
        <w:lastRenderedPageBreak/>
        <w:t xml:space="preserve">Section </w:t>
      </w:r>
      <w:r>
        <w:rPr>
          <w:b/>
          <w:bCs/>
        </w:rPr>
        <w:t xml:space="preserve">6: Transitional rules in relation to transfer of enrolments </w:t>
      </w:r>
    </w:p>
    <w:p w14:paraId="35341267" w14:textId="1401EBDF" w:rsidR="00E518C1" w:rsidRDefault="00E518C1" w:rsidP="00E518C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The purpose of section 6 of the Instrument is to prescribe transitional rules to prevent or delay the transfer of enrolments of some students from the University of Adelaide and the University of South Australia (known as the ‘merging universities</w:t>
      </w:r>
      <w:r w:rsidR="005B60A0">
        <w:rPr>
          <w:rFonts w:asciiTheme="minorHAnsi" w:hAnsiTheme="minorHAnsi" w:cstheme="minorHAnsi"/>
        </w:rPr>
        <w:t>’</w:t>
      </w:r>
      <w:r>
        <w:rPr>
          <w:rFonts w:asciiTheme="minorHAnsi" w:hAnsiTheme="minorHAnsi" w:cstheme="minorHAnsi"/>
        </w:rPr>
        <w:t>), to Adelaide University</w:t>
      </w:r>
      <w:r w:rsidR="005B60A0">
        <w:rPr>
          <w:rFonts w:asciiTheme="minorHAnsi" w:hAnsiTheme="minorHAnsi" w:cstheme="minorHAnsi"/>
        </w:rPr>
        <w:t xml:space="preserve"> on the merger time</w:t>
      </w:r>
      <w:r>
        <w:rPr>
          <w:rFonts w:asciiTheme="minorHAnsi" w:hAnsiTheme="minorHAnsi" w:cstheme="minorHAnsi"/>
        </w:rPr>
        <w:t xml:space="preserve">. </w:t>
      </w:r>
    </w:p>
    <w:p w14:paraId="2C575D60" w14:textId="70827EB0" w:rsidR="00E518C1" w:rsidRDefault="00E518C1" w:rsidP="00E518C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Subsection 6(1) provides that the purpose of this section is to prescribe matters of a transitional nature relating to the amendments and repeals made by the Act and prescribe modifications of items 7 and 8 of Schedule 5 to the Act. </w:t>
      </w:r>
    </w:p>
    <w:p w14:paraId="7EB0D51E" w14:textId="23E5870B" w:rsidR="00E518C1" w:rsidRDefault="00E518C1" w:rsidP="00E518C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Subsections 6(2) and (3) set out the students that will not transfer to Adelaide University at the merger time (</w:t>
      </w:r>
      <w:r w:rsidR="009935F4">
        <w:rPr>
          <w:rFonts w:asciiTheme="minorHAnsi" w:hAnsiTheme="minorHAnsi" w:cstheme="minorHAnsi"/>
        </w:rPr>
        <w:t>intended to be</w:t>
      </w:r>
      <w:r>
        <w:rPr>
          <w:rFonts w:asciiTheme="minorHAnsi" w:hAnsiTheme="minorHAnsi" w:cstheme="minorHAnsi"/>
        </w:rPr>
        <w:t xml:space="preserve"> 1 January 2026). Subsections 6(2) and (3) provide that students will not transfer to Adelaide University at the merger time if they are enrolled in a course of study with a merging university immediately before the merger time or </w:t>
      </w:r>
      <w:r w:rsidR="00573CB6">
        <w:rPr>
          <w:rFonts w:asciiTheme="minorHAnsi" w:hAnsiTheme="minorHAnsi" w:cstheme="minorHAnsi"/>
        </w:rPr>
        <w:t>they are</w:t>
      </w:r>
      <w:r>
        <w:rPr>
          <w:rFonts w:asciiTheme="minorHAnsi" w:hAnsiTheme="minorHAnsi" w:cstheme="minorHAnsi"/>
        </w:rPr>
        <w:t xml:space="preserve"> a grandfathered student under HESA in relation to a course of study with a merging university immediately before the merger time, and, immediately before 1 January 2026, satisfy the following requirements</w:t>
      </w:r>
      <w:r w:rsidR="00D97880">
        <w:rPr>
          <w:rFonts w:asciiTheme="minorHAnsi" w:hAnsiTheme="minorHAnsi" w:cstheme="minorHAnsi"/>
        </w:rPr>
        <w:t>, the student</w:t>
      </w:r>
      <w:r>
        <w:rPr>
          <w:rFonts w:asciiTheme="minorHAnsi" w:hAnsiTheme="minorHAnsi" w:cstheme="minorHAnsi"/>
        </w:rPr>
        <w:t xml:space="preserve">: </w:t>
      </w:r>
    </w:p>
    <w:p w14:paraId="2D8DDE40" w14:textId="6419756B" w:rsidR="00E518C1" w:rsidRDefault="00E518C1" w:rsidP="00E518C1">
      <w:pPr>
        <w:pStyle w:val="ListParagraph"/>
        <w:numPr>
          <w:ilvl w:val="1"/>
          <w:numId w:val="1"/>
        </w:numPr>
        <w:spacing w:after="160" w:line="259" w:lineRule="auto"/>
        <w:rPr>
          <w:rFonts w:asciiTheme="minorHAnsi" w:hAnsiTheme="minorHAnsi" w:cstheme="minorHAnsi"/>
        </w:rPr>
      </w:pPr>
      <w:r>
        <w:rPr>
          <w:rFonts w:asciiTheme="minorHAnsi" w:hAnsiTheme="minorHAnsi" w:cstheme="minorHAnsi"/>
        </w:rPr>
        <w:t xml:space="preserve">has completed </w:t>
      </w:r>
      <w:proofErr w:type="gramStart"/>
      <w:r>
        <w:rPr>
          <w:rFonts w:asciiTheme="minorHAnsi" w:hAnsiTheme="minorHAnsi" w:cstheme="minorHAnsi"/>
        </w:rPr>
        <w:t>all of</w:t>
      </w:r>
      <w:proofErr w:type="gramEnd"/>
      <w:r>
        <w:rPr>
          <w:rFonts w:asciiTheme="minorHAnsi" w:hAnsiTheme="minorHAnsi" w:cstheme="minorHAnsi"/>
        </w:rPr>
        <w:t xml:space="preserve"> the requirements for the conferral of </w:t>
      </w:r>
      <w:r w:rsidR="00B845F0">
        <w:rPr>
          <w:rFonts w:asciiTheme="minorHAnsi" w:hAnsiTheme="minorHAnsi" w:cstheme="minorHAnsi"/>
        </w:rPr>
        <w:t>a higher education award</w:t>
      </w:r>
      <w:r>
        <w:rPr>
          <w:rFonts w:asciiTheme="minorHAnsi" w:hAnsiTheme="minorHAnsi" w:cstheme="minorHAnsi"/>
        </w:rPr>
        <w:t xml:space="preserve"> in their current course</w:t>
      </w:r>
      <w:r w:rsidR="00252446">
        <w:rPr>
          <w:rFonts w:asciiTheme="minorHAnsi" w:hAnsiTheme="minorHAnsi" w:cstheme="minorHAnsi"/>
        </w:rPr>
        <w:t>, or if their course is an enabling course, completed all the requirements of that course</w:t>
      </w:r>
      <w:r>
        <w:rPr>
          <w:rFonts w:asciiTheme="minorHAnsi" w:hAnsiTheme="minorHAnsi" w:cstheme="minorHAnsi"/>
        </w:rPr>
        <w:t xml:space="preserve">; or </w:t>
      </w:r>
    </w:p>
    <w:p w14:paraId="3369AD8B" w14:textId="6E52EF9D" w:rsidR="00E518C1" w:rsidRDefault="00252446" w:rsidP="00E518C1">
      <w:pPr>
        <w:pStyle w:val="ListParagraph"/>
        <w:numPr>
          <w:ilvl w:val="1"/>
          <w:numId w:val="1"/>
        </w:numPr>
        <w:spacing w:after="160" w:line="259" w:lineRule="auto"/>
        <w:rPr>
          <w:rFonts w:asciiTheme="minorHAnsi" w:hAnsiTheme="minorHAnsi" w:cstheme="minorHAnsi"/>
        </w:rPr>
      </w:pPr>
      <w:r>
        <w:rPr>
          <w:rFonts w:asciiTheme="minorHAnsi" w:hAnsiTheme="minorHAnsi" w:cstheme="minorHAnsi"/>
        </w:rPr>
        <w:t xml:space="preserve">is enrolled in and has commenced undertaking a unit of study as part of their current course, but </w:t>
      </w:r>
      <w:r w:rsidR="00E518C1">
        <w:rPr>
          <w:rFonts w:asciiTheme="minorHAnsi" w:hAnsiTheme="minorHAnsi" w:cstheme="minorHAnsi"/>
        </w:rPr>
        <w:t xml:space="preserve">has not met </w:t>
      </w:r>
      <w:proofErr w:type="gramStart"/>
      <w:r w:rsidR="00E518C1">
        <w:rPr>
          <w:rFonts w:asciiTheme="minorHAnsi" w:hAnsiTheme="minorHAnsi" w:cstheme="minorHAnsi"/>
        </w:rPr>
        <w:t>all of</w:t>
      </w:r>
      <w:proofErr w:type="gramEnd"/>
      <w:r w:rsidR="00E518C1">
        <w:rPr>
          <w:rFonts w:asciiTheme="minorHAnsi" w:hAnsiTheme="minorHAnsi" w:cstheme="minorHAnsi"/>
        </w:rPr>
        <w:t xml:space="preserve"> the requirements to complete </w:t>
      </w:r>
      <w:r>
        <w:rPr>
          <w:rFonts w:asciiTheme="minorHAnsi" w:hAnsiTheme="minorHAnsi" w:cstheme="minorHAnsi"/>
        </w:rPr>
        <w:t>that unit</w:t>
      </w:r>
      <w:r w:rsidR="00E518C1">
        <w:rPr>
          <w:rFonts w:asciiTheme="minorHAnsi" w:hAnsiTheme="minorHAnsi" w:cstheme="minorHAnsi"/>
        </w:rPr>
        <w:t xml:space="preserve">; or </w:t>
      </w:r>
    </w:p>
    <w:p w14:paraId="3B6E7467" w14:textId="3CE469FB" w:rsidR="00E518C1" w:rsidRDefault="00E518C1" w:rsidP="00E518C1">
      <w:pPr>
        <w:pStyle w:val="ListParagraph"/>
        <w:numPr>
          <w:ilvl w:val="1"/>
          <w:numId w:val="1"/>
        </w:numPr>
        <w:spacing w:after="160" w:line="259" w:lineRule="auto"/>
        <w:rPr>
          <w:rFonts w:asciiTheme="minorHAnsi" w:hAnsiTheme="minorHAnsi" w:cstheme="minorHAnsi"/>
        </w:rPr>
      </w:pPr>
      <w:r>
        <w:rPr>
          <w:rFonts w:asciiTheme="minorHAnsi" w:hAnsiTheme="minorHAnsi" w:cstheme="minorHAnsi"/>
        </w:rPr>
        <w:t>is enrolled in a higher degree by research course at the merging universities and has submitted a thesis for examination that remains under examination</w:t>
      </w:r>
    </w:p>
    <w:p w14:paraId="66280F85" w14:textId="3733FAB0" w:rsidR="00CD243C" w:rsidRPr="004F1D3F" w:rsidRDefault="00E518C1" w:rsidP="004F1D3F">
      <w:pPr>
        <w:pStyle w:val="ListParagraph"/>
        <w:numPr>
          <w:ilvl w:val="0"/>
          <w:numId w:val="1"/>
        </w:numPr>
        <w:spacing w:after="160" w:line="259" w:lineRule="auto"/>
        <w:rPr>
          <w:rFonts w:asciiTheme="minorHAnsi" w:eastAsiaTheme="minorEastAsia" w:hAnsiTheme="minorHAnsi"/>
          <w:szCs w:val="24"/>
        </w:rPr>
      </w:pPr>
      <w:r w:rsidRPr="004F1D3F">
        <w:rPr>
          <w:rFonts w:asciiTheme="minorHAnsi" w:eastAsiaTheme="minorEastAsia" w:hAnsiTheme="minorHAnsi"/>
          <w:szCs w:val="24"/>
        </w:rPr>
        <w:t>Subsection</w:t>
      </w:r>
      <w:r w:rsidR="00B845F0" w:rsidRPr="004F1D3F">
        <w:rPr>
          <w:rFonts w:asciiTheme="minorHAnsi" w:eastAsiaTheme="minorEastAsia" w:hAnsiTheme="minorHAnsi"/>
          <w:szCs w:val="24"/>
        </w:rPr>
        <w:t>s</w:t>
      </w:r>
      <w:r w:rsidRPr="004F1D3F">
        <w:rPr>
          <w:rFonts w:asciiTheme="minorHAnsi" w:eastAsiaTheme="minorEastAsia" w:hAnsiTheme="minorHAnsi"/>
          <w:szCs w:val="24"/>
        </w:rPr>
        <w:t xml:space="preserve"> 6(4)</w:t>
      </w:r>
      <w:r w:rsidR="00B845F0" w:rsidRPr="004F1D3F">
        <w:rPr>
          <w:rFonts w:asciiTheme="minorHAnsi" w:eastAsiaTheme="minorEastAsia" w:hAnsiTheme="minorHAnsi"/>
          <w:szCs w:val="24"/>
        </w:rPr>
        <w:t xml:space="preserve"> and (5)</w:t>
      </w:r>
      <w:r w:rsidRPr="004F1D3F">
        <w:rPr>
          <w:rFonts w:asciiTheme="minorHAnsi" w:eastAsiaTheme="minorEastAsia" w:hAnsiTheme="minorHAnsi"/>
          <w:szCs w:val="24"/>
        </w:rPr>
        <w:t xml:space="preserve"> then provide that certain students who did not transfer to Adelaide University at the merger time, due to subsections 6(2) and (3), will transfer to Adelaide University on 24 March 2026 if </w:t>
      </w:r>
      <w:r w:rsidR="00B845F0" w:rsidRPr="004F1D3F">
        <w:rPr>
          <w:rFonts w:asciiTheme="minorHAnsi" w:eastAsiaTheme="minorEastAsia" w:hAnsiTheme="minorHAnsi"/>
          <w:szCs w:val="24"/>
        </w:rPr>
        <w:t>the student has not, immediately before 24 March 2026, met all the requirements for the conferral of a higher education award in that course</w:t>
      </w:r>
      <w:r w:rsidR="00252446" w:rsidRPr="004F1D3F">
        <w:rPr>
          <w:rFonts w:asciiTheme="minorHAnsi" w:eastAsiaTheme="minorEastAsia" w:hAnsiTheme="minorHAnsi"/>
          <w:szCs w:val="24"/>
        </w:rPr>
        <w:t xml:space="preserve"> or, in relation to an enabling course, completed all the requirements of that course</w:t>
      </w:r>
      <w:r w:rsidR="00B845F0" w:rsidRPr="004F1D3F">
        <w:rPr>
          <w:rFonts w:asciiTheme="minorHAnsi" w:eastAsiaTheme="minorEastAsia" w:hAnsiTheme="minorHAnsi"/>
          <w:szCs w:val="24"/>
        </w:rPr>
        <w:t xml:space="preserve">. </w:t>
      </w:r>
    </w:p>
    <w:sectPr w:rsidR="00CD243C" w:rsidRPr="004F1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5219" w14:textId="77777777" w:rsidR="000B1E7F" w:rsidRDefault="000B1E7F" w:rsidP="00783FAB">
      <w:pPr>
        <w:spacing w:after="0" w:line="240" w:lineRule="auto"/>
      </w:pPr>
      <w:r>
        <w:separator/>
      </w:r>
    </w:p>
  </w:endnote>
  <w:endnote w:type="continuationSeparator" w:id="0">
    <w:p w14:paraId="5B172379" w14:textId="77777777" w:rsidR="000B1E7F" w:rsidRDefault="000B1E7F" w:rsidP="00783FAB">
      <w:pPr>
        <w:spacing w:after="0" w:line="240" w:lineRule="auto"/>
      </w:pPr>
      <w:r>
        <w:continuationSeparator/>
      </w:r>
    </w:p>
  </w:endnote>
  <w:endnote w:type="continuationNotice" w:id="1">
    <w:p w14:paraId="46F4DF2B" w14:textId="77777777" w:rsidR="000B1E7F" w:rsidRDefault="000B1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D070" w14:textId="77777777" w:rsidR="000B1E7F" w:rsidRDefault="000B1E7F" w:rsidP="00783FAB">
      <w:pPr>
        <w:spacing w:after="0" w:line="240" w:lineRule="auto"/>
      </w:pPr>
      <w:r>
        <w:separator/>
      </w:r>
    </w:p>
  </w:footnote>
  <w:footnote w:type="continuationSeparator" w:id="0">
    <w:p w14:paraId="5DBC36A8" w14:textId="77777777" w:rsidR="000B1E7F" w:rsidRDefault="000B1E7F" w:rsidP="00783FAB">
      <w:pPr>
        <w:spacing w:after="0" w:line="240" w:lineRule="auto"/>
      </w:pPr>
      <w:r>
        <w:continuationSeparator/>
      </w:r>
    </w:p>
  </w:footnote>
  <w:footnote w:type="continuationNotice" w:id="1">
    <w:p w14:paraId="76864E27" w14:textId="77777777" w:rsidR="000B1E7F" w:rsidRDefault="000B1E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B14"/>
    <w:multiLevelType w:val="hybridMultilevel"/>
    <w:tmpl w:val="C3D0B056"/>
    <w:lvl w:ilvl="0" w:tplc="939C38D8">
      <w:start w:val="1"/>
      <w:numFmt w:val="decimal"/>
      <w:pStyle w:val="MBPoint"/>
      <w:lvlText w:val="%1."/>
      <w:lvlJc w:val="left"/>
      <w:pPr>
        <w:ind w:left="417" w:hanging="360"/>
      </w:pPr>
      <w:rPr>
        <w:rFonts w:hint="default"/>
      </w:rPr>
    </w:lvl>
    <w:lvl w:ilvl="1" w:tplc="FF40FBBC">
      <w:start w:val="1"/>
      <w:numFmt w:val="lowerLetter"/>
      <w:lvlText w:val="%2."/>
      <w:lvlJc w:val="left"/>
      <w:pPr>
        <w:ind w:left="1137" w:hanging="360"/>
      </w:pPr>
    </w:lvl>
    <w:lvl w:ilvl="2" w:tplc="0DDE7D16" w:tentative="1">
      <w:start w:val="1"/>
      <w:numFmt w:val="lowerRoman"/>
      <w:lvlText w:val="%3."/>
      <w:lvlJc w:val="right"/>
      <w:pPr>
        <w:ind w:left="1857" w:hanging="180"/>
      </w:pPr>
    </w:lvl>
    <w:lvl w:ilvl="3" w:tplc="3098C41C" w:tentative="1">
      <w:start w:val="1"/>
      <w:numFmt w:val="decimal"/>
      <w:lvlText w:val="%4."/>
      <w:lvlJc w:val="left"/>
      <w:pPr>
        <w:ind w:left="2577" w:hanging="360"/>
      </w:pPr>
    </w:lvl>
    <w:lvl w:ilvl="4" w:tplc="DC0695F4" w:tentative="1">
      <w:start w:val="1"/>
      <w:numFmt w:val="lowerLetter"/>
      <w:lvlText w:val="%5."/>
      <w:lvlJc w:val="left"/>
      <w:pPr>
        <w:ind w:left="3297" w:hanging="360"/>
      </w:pPr>
    </w:lvl>
    <w:lvl w:ilvl="5" w:tplc="1BD64FC8" w:tentative="1">
      <w:start w:val="1"/>
      <w:numFmt w:val="lowerRoman"/>
      <w:lvlText w:val="%6."/>
      <w:lvlJc w:val="right"/>
      <w:pPr>
        <w:ind w:left="4017" w:hanging="180"/>
      </w:pPr>
    </w:lvl>
    <w:lvl w:ilvl="6" w:tplc="00145BDE" w:tentative="1">
      <w:start w:val="1"/>
      <w:numFmt w:val="decimal"/>
      <w:lvlText w:val="%7."/>
      <w:lvlJc w:val="left"/>
      <w:pPr>
        <w:ind w:left="4737" w:hanging="360"/>
      </w:pPr>
    </w:lvl>
    <w:lvl w:ilvl="7" w:tplc="CF78E838" w:tentative="1">
      <w:start w:val="1"/>
      <w:numFmt w:val="lowerLetter"/>
      <w:lvlText w:val="%8."/>
      <w:lvlJc w:val="left"/>
      <w:pPr>
        <w:ind w:left="5457" w:hanging="360"/>
      </w:pPr>
    </w:lvl>
    <w:lvl w:ilvl="8" w:tplc="4FC8003A" w:tentative="1">
      <w:start w:val="1"/>
      <w:numFmt w:val="lowerRoman"/>
      <w:lvlText w:val="%9."/>
      <w:lvlJc w:val="right"/>
      <w:pPr>
        <w:ind w:left="6177" w:hanging="180"/>
      </w:pPr>
    </w:lvl>
  </w:abstractNum>
  <w:abstractNum w:abstractNumId="1" w15:restartNumberingAfterBreak="0">
    <w:nsid w:val="08A268EF"/>
    <w:multiLevelType w:val="hybridMultilevel"/>
    <w:tmpl w:val="DEC00BA6"/>
    <w:lvl w:ilvl="0" w:tplc="286034C2">
      <w:start w:val="1"/>
      <w:numFmt w:val="bullet"/>
      <w:lvlText w:val=""/>
      <w:lvlJc w:val="left"/>
      <w:pPr>
        <w:ind w:left="1440" w:hanging="360"/>
      </w:pPr>
      <w:rPr>
        <w:rFonts w:ascii="Symbol" w:hAnsi="Symbol"/>
      </w:rPr>
    </w:lvl>
    <w:lvl w:ilvl="1" w:tplc="4F307998">
      <w:start w:val="1"/>
      <w:numFmt w:val="bullet"/>
      <w:lvlText w:val=""/>
      <w:lvlJc w:val="left"/>
      <w:pPr>
        <w:ind w:left="1440" w:hanging="360"/>
      </w:pPr>
      <w:rPr>
        <w:rFonts w:ascii="Symbol" w:hAnsi="Symbol"/>
      </w:rPr>
    </w:lvl>
    <w:lvl w:ilvl="2" w:tplc="440AB3B8">
      <w:start w:val="1"/>
      <w:numFmt w:val="bullet"/>
      <w:lvlText w:val=""/>
      <w:lvlJc w:val="left"/>
      <w:pPr>
        <w:ind w:left="1440" w:hanging="360"/>
      </w:pPr>
      <w:rPr>
        <w:rFonts w:ascii="Symbol" w:hAnsi="Symbol"/>
      </w:rPr>
    </w:lvl>
    <w:lvl w:ilvl="3" w:tplc="45E4B7A8">
      <w:start w:val="1"/>
      <w:numFmt w:val="bullet"/>
      <w:lvlText w:val=""/>
      <w:lvlJc w:val="left"/>
      <w:pPr>
        <w:ind w:left="1440" w:hanging="360"/>
      </w:pPr>
      <w:rPr>
        <w:rFonts w:ascii="Symbol" w:hAnsi="Symbol"/>
      </w:rPr>
    </w:lvl>
    <w:lvl w:ilvl="4" w:tplc="267A6770">
      <w:start w:val="1"/>
      <w:numFmt w:val="bullet"/>
      <w:lvlText w:val=""/>
      <w:lvlJc w:val="left"/>
      <w:pPr>
        <w:ind w:left="1440" w:hanging="360"/>
      </w:pPr>
      <w:rPr>
        <w:rFonts w:ascii="Symbol" w:hAnsi="Symbol"/>
      </w:rPr>
    </w:lvl>
    <w:lvl w:ilvl="5" w:tplc="CCA0C108">
      <w:start w:val="1"/>
      <w:numFmt w:val="bullet"/>
      <w:lvlText w:val=""/>
      <w:lvlJc w:val="left"/>
      <w:pPr>
        <w:ind w:left="1440" w:hanging="360"/>
      </w:pPr>
      <w:rPr>
        <w:rFonts w:ascii="Symbol" w:hAnsi="Symbol"/>
      </w:rPr>
    </w:lvl>
    <w:lvl w:ilvl="6" w:tplc="DFA4489C">
      <w:start w:val="1"/>
      <w:numFmt w:val="bullet"/>
      <w:lvlText w:val=""/>
      <w:lvlJc w:val="left"/>
      <w:pPr>
        <w:ind w:left="1440" w:hanging="360"/>
      </w:pPr>
      <w:rPr>
        <w:rFonts w:ascii="Symbol" w:hAnsi="Symbol"/>
      </w:rPr>
    </w:lvl>
    <w:lvl w:ilvl="7" w:tplc="0A02517E">
      <w:start w:val="1"/>
      <w:numFmt w:val="bullet"/>
      <w:lvlText w:val=""/>
      <w:lvlJc w:val="left"/>
      <w:pPr>
        <w:ind w:left="1440" w:hanging="360"/>
      </w:pPr>
      <w:rPr>
        <w:rFonts w:ascii="Symbol" w:hAnsi="Symbol"/>
      </w:rPr>
    </w:lvl>
    <w:lvl w:ilvl="8" w:tplc="E68AE744">
      <w:start w:val="1"/>
      <w:numFmt w:val="bullet"/>
      <w:lvlText w:val=""/>
      <w:lvlJc w:val="left"/>
      <w:pPr>
        <w:ind w:left="1440" w:hanging="360"/>
      </w:pPr>
      <w:rPr>
        <w:rFonts w:ascii="Symbol" w:hAnsi="Symbol"/>
      </w:rPr>
    </w:lvl>
  </w:abstractNum>
  <w:abstractNum w:abstractNumId="2" w15:restartNumberingAfterBreak="0">
    <w:nsid w:val="1A670DC8"/>
    <w:multiLevelType w:val="hybridMultilevel"/>
    <w:tmpl w:val="22EAEC1E"/>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2A02422"/>
    <w:multiLevelType w:val="hybridMultilevel"/>
    <w:tmpl w:val="B02AB634"/>
    <w:lvl w:ilvl="0" w:tplc="A092821A">
      <w:start w:val="1"/>
      <w:numFmt w:val="bullet"/>
      <w:lvlText w:val=""/>
      <w:lvlJc w:val="left"/>
      <w:pPr>
        <w:ind w:left="1440" w:hanging="360"/>
      </w:pPr>
      <w:rPr>
        <w:rFonts w:ascii="Symbol" w:hAnsi="Symbol"/>
      </w:rPr>
    </w:lvl>
    <w:lvl w:ilvl="1" w:tplc="9DE62E58">
      <w:start w:val="1"/>
      <w:numFmt w:val="bullet"/>
      <w:lvlText w:val=""/>
      <w:lvlJc w:val="left"/>
      <w:pPr>
        <w:ind w:left="1440" w:hanging="360"/>
      </w:pPr>
      <w:rPr>
        <w:rFonts w:ascii="Symbol" w:hAnsi="Symbol"/>
      </w:rPr>
    </w:lvl>
    <w:lvl w:ilvl="2" w:tplc="4A50413A">
      <w:start w:val="1"/>
      <w:numFmt w:val="bullet"/>
      <w:lvlText w:val=""/>
      <w:lvlJc w:val="left"/>
      <w:pPr>
        <w:ind w:left="1440" w:hanging="360"/>
      </w:pPr>
      <w:rPr>
        <w:rFonts w:ascii="Symbol" w:hAnsi="Symbol"/>
      </w:rPr>
    </w:lvl>
    <w:lvl w:ilvl="3" w:tplc="9D8227FA">
      <w:start w:val="1"/>
      <w:numFmt w:val="bullet"/>
      <w:lvlText w:val=""/>
      <w:lvlJc w:val="left"/>
      <w:pPr>
        <w:ind w:left="1440" w:hanging="360"/>
      </w:pPr>
      <w:rPr>
        <w:rFonts w:ascii="Symbol" w:hAnsi="Symbol"/>
      </w:rPr>
    </w:lvl>
    <w:lvl w:ilvl="4" w:tplc="F42E28E6">
      <w:start w:val="1"/>
      <w:numFmt w:val="bullet"/>
      <w:lvlText w:val=""/>
      <w:lvlJc w:val="left"/>
      <w:pPr>
        <w:ind w:left="1440" w:hanging="360"/>
      </w:pPr>
      <w:rPr>
        <w:rFonts w:ascii="Symbol" w:hAnsi="Symbol"/>
      </w:rPr>
    </w:lvl>
    <w:lvl w:ilvl="5" w:tplc="698A3B86">
      <w:start w:val="1"/>
      <w:numFmt w:val="bullet"/>
      <w:lvlText w:val=""/>
      <w:lvlJc w:val="left"/>
      <w:pPr>
        <w:ind w:left="1440" w:hanging="360"/>
      </w:pPr>
      <w:rPr>
        <w:rFonts w:ascii="Symbol" w:hAnsi="Symbol"/>
      </w:rPr>
    </w:lvl>
    <w:lvl w:ilvl="6" w:tplc="11BE2AEE">
      <w:start w:val="1"/>
      <w:numFmt w:val="bullet"/>
      <w:lvlText w:val=""/>
      <w:lvlJc w:val="left"/>
      <w:pPr>
        <w:ind w:left="1440" w:hanging="360"/>
      </w:pPr>
      <w:rPr>
        <w:rFonts w:ascii="Symbol" w:hAnsi="Symbol"/>
      </w:rPr>
    </w:lvl>
    <w:lvl w:ilvl="7" w:tplc="514412E6">
      <w:start w:val="1"/>
      <w:numFmt w:val="bullet"/>
      <w:lvlText w:val=""/>
      <w:lvlJc w:val="left"/>
      <w:pPr>
        <w:ind w:left="1440" w:hanging="360"/>
      </w:pPr>
      <w:rPr>
        <w:rFonts w:ascii="Symbol" w:hAnsi="Symbol"/>
      </w:rPr>
    </w:lvl>
    <w:lvl w:ilvl="8" w:tplc="6CDA88EC">
      <w:start w:val="1"/>
      <w:numFmt w:val="bullet"/>
      <w:lvlText w:val=""/>
      <w:lvlJc w:val="left"/>
      <w:pPr>
        <w:ind w:left="1440" w:hanging="360"/>
      </w:pPr>
      <w:rPr>
        <w:rFonts w:ascii="Symbol" w:hAnsi="Symbol"/>
      </w:rPr>
    </w:lvl>
  </w:abstractNum>
  <w:abstractNum w:abstractNumId="6" w15:restartNumberingAfterBreak="0">
    <w:nsid w:val="465D25DB"/>
    <w:multiLevelType w:val="hybridMultilevel"/>
    <w:tmpl w:val="001A65C0"/>
    <w:lvl w:ilvl="0" w:tplc="D0BE8FD2">
      <w:start w:val="1"/>
      <w:numFmt w:val="bullet"/>
      <w:lvlText w:val=""/>
      <w:lvlJc w:val="left"/>
      <w:pPr>
        <w:ind w:left="1440" w:hanging="360"/>
      </w:pPr>
      <w:rPr>
        <w:rFonts w:ascii="Symbol" w:hAnsi="Symbol"/>
      </w:rPr>
    </w:lvl>
    <w:lvl w:ilvl="1" w:tplc="EE5AB4DE">
      <w:start w:val="1"/>
      <w:numFmt w:val="bullet"/>
      <w:lvlText w:val=""/>
      <w:lvlJc w:val="left"/>
      <w:pPr>
        <w:ind w:left="1440" w:hanging="360"/>
      </w:pPr>
      <w:rPr>
        <w:rFonts w:ascii="Symbol" w:hAnsi="Symbol"/>
      </w:rPr>
    </w:lvl>
    <w:lvl w:ilvl="2" w:tplc="2FD6A158">
      <w:start w:val="1"/>
      <w:numFmt w:val="bullet"/>
      <w:lvlText w:val=""/>
      <w:lvlJc w:val="left"/>
      <w:pPr>
        <w:ind w:left="1440" w:hanging="360"/>
      </w:pPr>
      <w:rPr>
        <w:rFonts w:ascii="Symbol" w:hAnsi="Symbol"/>
      </w:rPr>
    </w:lvl>
    <w:lvl w:ilvl="3" w:tplc="29C48EB0">
      <w:start w:val="1"/>
      <w:numFmt w:val="bullet"/>
      <w:lvlText w:val=""/>
      <w:lvlJc w:val="left"/>
      <w:pPr>
        <w:ind w:left="1440" w:hanging="360"/>
      </w:pPr>
      <w:rPr>
        <w:rFonts w:ascii="Symbol" w:hAnsi="Symbol"/>
      </w:rPr>
    </w:lvl>
    <w:lvl w:ilvl="4" w:tplc="9556AD34">
      <w:start w:val="1"/>
      <w:numFmt w:val="bullet"/>
      <w:lvlText w:val=""/>
      <w:lvlJc w:val="left"/>
      <w:pPr>
        <w:ind w:left="1440" w:hanging="360"/>
      </w:pPr>
      <w:rPr>
        <w:rFonts w:ascii="Symbol" w:hAnsi="Symbol"/>
      </w:rPr>
    </w:lvl>
    <w:lvl w:ilvl="5" w:tplc="51FC8994">
      <w:start w:val="1"/>
      <w:numFmt w:val="bullet"/>
      <w:lvlText w:val=""/>
      <w:lvlJc w:val="left"/>
      <w:pPr>
        <w:ind w:left="1440" w:hanging="360"/>
      </w:pPr>
      <w:rPr>
        <w:rFonts w:ascii="Symbol" w:hAnsi="Symbol"/>
      </w:rPr>
    </w:lvl>
    <w:lvl w:ilvl="6" w:tplc="9D16D3D8">
      <w:start w:val="1"/>
      <w:numFmt w:val="bullet"/>
      <w:lvlText w:val=""/>
      <w:lvlJc w:val="left"/>
      <w:pPr>
        <w:ind w:left="1440" w:hanging="360"/>
      </w:pPr>
      <w:rPr>
        <w:rFonts w:ascii="Symbol" w:hAnsi="Symbol"/>
      </w:rPr>
    </w:lvl>
    <w:lvl w:ilvl="7" w:tplc="8DA69636">
      <w:start w:val="1"/>
      <w:numFmt w:val="bullet"/>
      <w:lvlText w:val=""/>
      <w:lvlJc w:val="left"/>
      <w:pPr>
        <w:ind w:left="1440" w:hanging="360"/>
      </w:pPr>
      <w:rPr>
        <w:rFonts w:ascii="Symbol" w:hAnsi="Symbol"/>
      </w:rPr>
    </w:lvl>
    <w:lvl w:ilvl="8" w:tplc="3BF80A0C">
      <w:start w:val="1"/>
      <w:numFmt w:val="bullet"/>
      <w:lvlText w:val=""/>
      <w:lvlJc w:val="left"/>
      <w:pPr>
        <w:ind w:left="1440" w:hanging="360"/>
      </w:pPr>
      <w:rPr>
        <w:rFonts w:ascii="Symbol" w:hAnsi="Symbol"/>
      </w:rPr>
    </w:lvl>
  </w:abstractNum>
  <w:abstractNum w:abstractNumId="7" w15:restartNumberingAfterBreak="0">
    <w:nsid w:val="47140E01"/>
    <w:multiLevelType w:val="hybridMultilevel"/>
    <w:tmpl w:val="E86E619C"/>
    <w:lvl w:ilvl="0" w:tplc="2B9C85F6">
      <w:start w:val="1"/>
      <w:numFmt w:val="bullet"/>
      <w:lvlText w:val=""/>
      <w:lvlJc w:val="left"/>
      <w:pPr>
        <w:ind w:left="1440" w:hanging="360"/>
      </w:pPr>
      <w:rPr>
        <w:rFonts w:ascii="Symbol" w:hAnsi="Symbol"/>
      </w:rPr>
    </w:lvl>
    <w:lvl w:ilvl="1" w:tplc="99AE1216">
      <w:start w:val="1"/>
      <w:numFmt w:val="bullet"/>
      <w:lvlText w:val=""/>
      <w:lvlJc w:val="left"/>
      <w:pPr>
        <w:ind w:left="1440" w:hanging="360"/>
      </w:pPr>
      <w:rPr>
        <w:rFonts w:ascii="Symbol" w:hAnsi="Symbol"/>
      </w:rPr>
    </w:lvl>
    <w:lvl w:ilvl="2" w:tplc="4156F904">
      <w:start w:val="1"/>
      <w:numFmt w:val="bullet"/>
      <w:lvlText w:val=""/>
      <w:lvlJc w:val="left"/>
      <w:pPr>
        <w:ind w:left="1440" w:hanging="360"/>
      </w:pPr>
      <w:rPr>
        <w:rFonts w:ascii="Symbol" w:hAnsi="Symbol"/>
      </w:rPr>
    </w:lvl>
    <w:lvl w:ilvl="3" w:tplc="A0FC7AA8">
      <w:start w:val="1"/>
      <w:numFmt w:val="bullet"/>
      <w:lvlText w:val=""/>
      <w:lvlJc w:val="left"/>
      <w:pPr>
        <w:ind w:left="1440" w:hanging="360"/>
      </w:pPr>
      <w:rPr>
        <w:rFonts w:ascii="Symbol" w:hAnsi="Symbol"/>
      </w:rPr>
    </w:lvl>
    <w:lvl w:ilvl="4" w:tplc="E9505ECE">
      <w:start w:val="1"/>
      <w:numFmt w:val="bullet"/>
      <w:lvlText w:val=""/>
      <w:lvlJc w:val="left"/>
      <w:pPr>
        <w:ind w:left="1440" w:hanging="360"/>
      </w:pPr>
      <w:rPr>
        <w:rFonts w:ascii="Symbol" w:hAnsi="Symbol"/>
      </w:rPr>
    </w:lvl>
    <w:lvl w:ilvl="5" w:tplc="9D9C0696">
      <w:start w:val="1"/>
      <w:numFmt w:val="bullet"/>
      <w:lvlText w:val=""/>
      <w:lvlJc w:val="left"/>
      <w:pPr>
        <w:ind w:left="1440" w:hanging="360"/>
      </w:pPr>
      <w:rPr>
        <w:rFonts w:ascii="Symbol" w:hAnsi="Symbol"/>
      </w:rPr>
    </w:lvl>
    <w:lvl w:ilvl="6" w:tplc="F02C4A58">
      <w:start w:val="1"/>
      <w:numFmt w:val="bullet"/>
      <w:lvlText w:val=""/>
      <w:lvlJc w:val="left"/>
      <w:pPr>
        <w:ind w:left="1440" w:hanging="360"/>
      </w:pPr>
      <w:rPr>
        <w:rFonts w:ascii="Symbol" w:hAnsi="Symbol"/>
      </w:rPr>
    </w:lvl>
    <w:lvl w:ilvl="7" w:tplc="675CC556">
      <w:start w:val="1"/>
      <w:numFmt w:val="bullet"/>
      <w:lvlText w:val=""/>
      <w:lvlJc w:val="left"/>
      <w:pPr>
        <w:ind w:left="1440" w:hanging="360"/>
      </w:pPr>
      <w:rPr>
        <w:rFonts w:ascii="Symbol" w:hAnsi="Symbol"/>
      </w:rPr>
    </w:lvl>
    <w:lvl w:ilvl="8" w:tplc="071294CE">
      <w:start w:val="1"/>
      <w:numFmt w:val="bullet"/>
      <w:lvlText w:val=""/>
      <w:lvlJc w:val="left"/>
      <w:pPr>
        <w:ind w:left="1440" w:hanging="360"/>
      </w:pPr>
      <w:rPr>
        <w:rFonts w:ascii="Symbol" w:hAnsi="Symbol"/>
      </w:rPr>
    </w:lvl>
  </w:abstractNum>
  <w:abstractNum w:abstractNumId="8" w15:restartNumberingAfterBreak="0">
    <w:nsid w:val="51C23874"/>
    <w:multiLevelType w:val="hybridMultilevel"/>
    <w:tmpl w:val="1092EDF6"/>
    <w:lvl w:ilvl="0" w:tplc="87CE7756">
      <w:start w:val="1"/>
      <w:numFmt w:val="bullet"/>
      <w:lvlText w:val=""/>
      <w:lvlJc w:val="left"/>
      <w:pPr>
        <w:ind w:left="1440" w:hanging="360"/>
      </w:pPr>
      <w:rPr>
        <w:rFonts w:ascii="Symbol" w:hAnsi="Symbol"/>
      </w:rPr>
    </w:lvl>
    <w:lvl w:ilvl="1" w:tplc="7D72FF96">
      <w:start w:val="1"/>
      <w:numFmt w:val="bullet"/>
      <w:lvlText w:val=""/>
      <w:lvlJc w:val="left"/>
      <w:pPr>
        <w:ind w:left="1440" w:hanging="360"/>
      </w:pPr>
      <w:rPr>
        <w:rFonts w:ascii="Symbol" w:hAnsi="Symbol"/>
      </w:rPr>
    </w:lvl>
    <w:lvl w:ilvl="2" w:tplc="A7087F2A">
      <w:start w:val="1"/>
      <w:numFmt w:val="bullet"/>
      <w:lvlText w:val=""/>
      <w:lvlJc w:val="left"/>
      <w:pPr>
        <w:ind w:left="1440" w:hanging="360"/>
      </w:pPr>
      <w:rPr>
        <w:rFonts w:ascii="Symbol" w:hAnsi="Symbol"/>
      </w:rPr>
    </w:lvl>
    <w:lvl w:ilvl="3" w:tplc="ED06B9B8">
      <w:start w:val="1"/>
      <w:numFmt w:val="bullet"/>
      <w:lvlText w:val=""/>
      <w:lvlJc w:val="left"/>
      <w:pPr>
        <w:ind w:left="1440" w:hanging="360"/>
      </w:pPr>
      <w:rPr>
        <w:rFonts w:ascii="Symbol" w:hAnsi="Symbol"/>
      </w:rPr>
    </w:lvl>
    <w:lvl w:ilvl="4" w:tplc="5FD844B2">
      <w:start w:val="1"/>
      <w:numFmt w:val="bullet"/>
      <w:lvlText w:val=""/>
      <w:lvlJc w:val="left"/>
      <w:pPr>
        <w:ind w:left="1440" w:hanging="360"/>
      </w:pPr>
      <w:rPr>
        <w:rFonts w:ascii="Symbol" w:hAnsi="Symbol"/>
      </w:rPr>
    </w:lvl>
    <w:lvl w:ilvl="5" w:tplc="DBD62A16">
      <w:start w:val="1"/>
      <w:numFmt w:val="bullet"/>
      <w:lvlText w:val=""/>
      <w:lvlJc w:val="left"/>
      <w:pPr>
        <w:ind w:left="1440" w:hanging="360"/>
      </w:pPr>
      <w:rPr>
        <w:rFonts w:ascii="Symbol" w:hAnsi="Symbol"/>
      </w:rPr>
    </w:lvl>
    <w:lvl w:ilvl="6" w:tplc="FAFE66E0">
      <w:start w:val="1"/>
      <w:numFmt w:val="bullet"/>
      <w:lvlText w:val=""/>
      <w:lvlJc w:val="left"/>
      <w:pPr>
        <w:ind w:left="1440" w:hanging="360"/>
      </w:pPr>
      <w:rPr>
        <w:rFonts w:ascii="Symbol" w:hAnsi="Symbol"/>
      </w:rPr>
    </w:lvl>
    <w:lvl w:ilvl="7" w:tplc="3782BE24">
      <w:start w:val="1"/>
      <w:numFmt w:val="bullet"/>
      <w:lvlText w:val=""/>
      <w:lvlJc w:val="left"/>
      <w:pPr>
        <w:ind w:left="1440" w:hanging="360"/>
      </w:pPr>
      <w:rPr>
        <w:rFonts w:ascii="Symbol" w:hAnsi="Symbol"/>
      </w:rPr>
    </w:lvl>
    <w:lvl w:ilvl="8" w:tplc="E7F8DB1C">
      <w:start w:val="1"/>
      <w:numFmt w:val="bullet"/>
      <w:lvlText w:val=""/>
      <w:lvlJc w:val="left"/>
      <w:pPr>
        <w:ind w:left="1440" w:hanging="360"/>
      </w:pPr>
      <w:rPr>
        <w:rFonts w:ascii="Symbol" w:hAnsi="Symbol"/>
      </w:rPr>
    </w:lvl>
  </w:abstractNum>
  <w:abstractNum w:abstractNumId="9" w15:restartNumberingAfterBreak="0">
    <w:nsid w:val="61386F56"/>
    <w:multiLevelType w:val="hybridMultilevel"/>
    <w:tmpl w:val="312CD0D0"/>
    <w:lvl w:ilvl="0" w:tplc="35E29AE4">
      <w:start w:val="1"/>
      <w:numFmt w:val="bullet"/>
      <w:lvlText w:val=""/>
      <w:lvlJc w:val="left"/>
      <w:pPr>
        <w:ind w:left="1440" w:hanging="360"/>
      </w:pPr>
      <w:rPr>
        <w:rFonts w:ascii="Symbol" w:hAnsi="Symbol"/>
      </w:rPr>
    </w:lvl>
    <w:lvl w:ilvl="1" w:tplc="8EB2A9DE">
      <w:start w:val="1"/>
      <w:numFmt w:val="bullet"/>
      <w:lvlText w:val=""/>
      <w:lvlJc w:val="left"/>
      <w:pPr>
        <w:ind w:left="1440" w:hanging="360"/>
      </w:pPr>
      <w:rPr>
        <w:rFonts w:ascii="Symbol" w:hAnsi="Symbol"/>
      </w:rPr>
    </w:lvl>
    <w:lvl w:ilvl="2" w:tplc="5448D978">
      <w:start w:val="1"/>
      <w:numFmt w:val="bullet"/>
      <w:lvlText w:val=""/>
      <w:lvlJc w:val="left"/>
      <w:pPr>
        <w:ind w:left="1440" w:hanging="360"/>
      </w:pPr>
      <w:rPr>
        <w:rFonts w:ascii="Symbol" w:hAnsi="Symbol"/>
      </w:rPr>
    </w:lvl>
    <w:lvl w:ilvl="3" w:tplc="702A5C44">
      <w:start w:val="1"/>
      <w:numFmt w:val="bullet"/>
      <w:lvlText w:val=""/>
      <w:lvlJc w:val="left"/>
      <w:pPr>
        <w:ind w:left="1440" w:hanging="360"/>
      </w:pPr>
      <w:rPr>
        <w:rFonts w:ascii="Symbol" w:hAnsi="Symbol"/>
      </w:rPr>
    </w:lvl>
    <w:lvl w:ilvl="4" w:tplc="261A3BD8">
      <w:start w:val="1"/>
      <w:numFmt w:val="bullet"/>
      <w:lvlText w:val=""/>
      <w:lvlJc w:val="left"/>
      <w:pPr>
        <w:ind w:left="1440" w:hanging="360"/>
      </w:pPr>
      <w:rPr>
        <w:rFonts w:ascii="Symbol" w:hAnsi="Symbol"/>
      </w:rPr>
    </w:lvl>
    <w:lvl w:ilvl="5" w:tplc="1C76443C">
      <w:start w:val="1"/>
      <w:numFmt w:val="bullet"/>
      <w:lvlText w:val=""/>
      <w:lvlJc w:val="left"/>
      <w:pPr>
        <w:ind w:left="1440" w:hanging="360"/>
      </w:pPr>
      <w:rPr>
        <w:rFonts w:ascii="Symbol" w:hAnsi="Symbol"/>
      </w:rPr>
    </w:lvl>
    <w:lvl w:ilvl="6" w:tplc="FFF270AE">
      <w:start w:val="1"/>
      <w:numFmt w:val="bullet"/>
      <w:lvlText w:val=""/>
      <w:lvlJc w:val="left"/>
      <w:pPr>
        <w:ind w:left="1440" w:hanging="360"/>
      </w:pPr>
      <w:rPr>
        <w:rFonts w:ascii="Symbol" w:hAnsi="Symbol"/>
      </w:rPr>
    </w:lvl>
    <w:lvl w:ilvl="7" w:tplc="324015EC">
      <w:start w:val="1"/>
      <w:numFmt w:val="bullet"/>
      <w:lvlText w:val=""/>
      <w:lvlJc w:val="left"/>
      <w:pPr>
        <w:ind w:left="1440" w:hanging="360"/>
      </w:pPr>
      <w:rPr>
        <w:rFonts w:ascii="Symbol" w:hAnsi="Symbol"/>
      </w:rPr>
    </w:lvl>
    <w:lvl w:ilvl="8" w:tplc="3E244460">
      <w:start w:val="1"/>
      <w:numFmt w:val="bullet"/>
      <w:lvlText w:val=""/>
      <w:lvlJc w:val="left"/>
      <w:pPr>
        <w:ind w:left="1440" w:hanging="360"/>
      </w:pPr>
      <w:rPr>
        <w:rFonts w:ascii="Symbol" w:hAnsi="Symbol"/>
      </w:rPr>
    </w:lvl>
  </w:abstractNum>
  <w:abstractNum w:abstractNumId="10" w15:restartNumberingAfterBreak="0">
    <w:nsid w:val="65D431D9"/>
    <w:multiLevelType w:val="multilevel"/>
    <w:tmpl w:val="3F6A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276765"/>
    <w:multiLevelType w:val="hybridMultilevel"/>
    <w:tmpl w:val="A98E3D8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3C6B54"/>
    <w:multiLevelType w:val="hybridMultilevel"/>
    <w:tmpl w:val="6220E1F8"/>
    <w:lvl w:ilvl="0" w:tplc="8E92047C">
      <w:start w:val="1"/>
      <w:numFmt w:val="bullet"/>
      <w:lvlText w:val=""/>
      <w:lvlJc w:val="left"/>
      <w:pPr>
        <w:ind w:left="1440" w:hanging="360"/>
      </w:pPr>
      <w:rPr>
        <w:rFonts w:ascii="Symbol" w:hAnsi="Symbol"/>
      </w:rPr>
    </w:lvl>
    <w:lvl w:ilvl="1" w:tplc="49164186">
      <w:start w:val="1"/>
      <w:numFmt w:val="bullet"/>
      <w:lvlText w:val=""/>
      <w:lvlJc w:val="left"/>
      <w:pPr>
        <w:ind w:left="1440" w:hanging="360"/>
      </w:pPr>
      <w:rPr>
        <w:rFonts w:ascii="Symbol" w:hAnsi="Symbol"/>
      </w:rPr>
    </w:lvl>
    <w:lvl w:ilvl="2" w:tplc="0ADE6534">
      <w:start w:val="1"/>
      <w:numFmt w:val="bullet"/>
      <w:lvlText w:val=""/>
      <w:lvlJc w:val="left"/>
      <w:pPr>
        <w:ind w:left="1440" w:hanging="360"/>
      </w:pPr>
      <w:rPr>
        <w:rFonts w:ascii="Symbol" w:hAnsi="Symbol"/>
      </w:rPr>
    </w:lvl>
    <w:lvl w:ilvl="3" w:tplc="DB4216B4">
      <w:start w:val="1"/>
      <w:numFmt w:val="bullet"/>
      <w:lvlText w:val=""/>
      <w:lvlJc w:val="left"/>
      <w:pPr>
        <w:ind w:left="1440" w:hanging="360"/>
      </w:pPr>
      <w:rPr>
        <w:rFonts w:ascii="Symbol" w:hAnsi="Symbol"/>
      </w:rPr>
    </w:lvl>
    <w:lvl w:ilvl="4" w:tplc="3C085AF0">
      <w:start w:val="1"/>
      <w:numFmt w:val="bullet"/>
      <w:lvlText w:val=""/>
      <w:lvlJc w:val="left"/>
      <w:pPr>
        <w:ind w:left="1440" w:hanging="360"/>
      </w:pPr>
      <w:rPr>
        <w:rFonts w:ascii="Symbol" w:hAnsi="Symbol"/>
      </w:rPr>
    </w:lvl>
    <w:lvl w:ilvl="5" w:tplc="39FCFA9E">
      <w:start w:val="1"/>
      <w:numFmt w:val="bullet"/>
      <w:lvlText w:val=""/>
      <w:lvlJc w:val="left"/>
      <w:pPr>
        <w:ind w:left="1440" w:hanging="360"/>
      </w:pPr>
      <w:rPr>
        <w:rFonts w:ascii="Symbol" w:hAnsi="Symbol"/>
      </w:rPr>
    </w:lvl>
    <w:lvl w:ilvl="6" w:tplc="07EAD65C">
      <w:start w:val="1"/>
      <w:numFmt w:val="bullet"/>
      <w:lvlText w:val=""/>
      <w:lvlJc w:val="left"/>
      <w:pPr>
        <w:ind w:left="1440" w:hanging="360"/>
      </w:pPr>
      <w:rPr>
        <w:rFonts w:ascii="Symbol" w:hAnsi="Symbol"/>
      </w:rPr>
    </w:lvl>
    <w:lvl w:ilvl="7" w:tplc="09B24AE4">
      <w:start w:val="1"/>
      <w:numFmt w:val="bullet"/>
      <w:lvlText w:val=""/>
      <w:lvlJc w:val="left"/>
      <w:pPr>
        <w:ind w:left="1440" w:hanging="360"/>
      </w:pPr>
      <w:rPr>
        <w:rFonts w:ascii="Symbol" w:hAnsi="Symbol"/>
      </w:rPr>
    </w:lvl>
    <w:lvl w:ilvl="8" w:tplc="68D2AAFA">
      <w:start w:val="1"/>
      <w:numFmt w:val="bullet"/>
      <w:lvlText w:val=""/>
      <w:lvlJc w:val="left"/>
      <w:pPr>
        <w:ind w:left="1440" w:hanging="360"/>
      </w:pPr>
      <w:rPr>
        <w:rFonts w:ascii="Symbol" w:hAnsi="Symbol"/>
      </w:rPr>
    </w:lvl>
  </w:abstractNum>
  <w:abstractNum w:abstractNumId="13" w15:restartNumberingAfterBreak="0">
    <w:nsid w:val="744E3820"/>
    <w:multiLevelType w:val="hybridMultilevel"/>
    <w:tmpl w:val="CE2863C4"/>
    <w:lvl w:ilvl="0" w:tplc="BD42236E">
      <w:start w:val="1"/>
      <w:numFmt w:val="bullet"/>
      <w:lvlText w:val=""/>
      <w:lvlJc w:val="left"/>
      <w:pPr>
        <w:ind w:left="1440" w:hanging="360"/>
      </w:pPr>
      <w:rPr>
        <w:rFonts w:ascii="Symbol" w:hAnsi="Symbol"/>
      </w:rPr>
    </w:lvl>
    <w:lvl w:ilvl="1" w:tplc="BE1CD7B4">
      <w:start w:val="1"/>
      <w:numFmt w:val="bullet"/>
      <w:lvlText w:val=""/>
      <w:lvlJc w:val="left"/>
      <w:pPr>
        <w:ind w:left="1440" w:hanging="360"/>
      </w:pPr>
      <w:rPr>
        <w:rFonts w:ascii="Symbol" w:hAnsi="Symbol"/>
      </w:rPr>
    </w:lvl>
    <w:lvl w:ilvl="2" w:tplc="C1DCD0F2">
      <w:start w:val="1"/>
      <w:numFmt w:val="bullet"/>
      <w:lvlText w:val=""/>
      <w:lvlJc w:val="left"/>
      <w:pPr>
        <w:ind w:left="1440" w:hanging="360"/>
      </w:pPr>
      <w:rPr>
        <w:rFonts w:ascii="Symbol" w:hAnsi="Symbol"/>
      </w:rPr>
    </w:lvl>
    <w:lvl w:ilvl="3" w:tplc="72F6C970">
      <w:start w:val="1"/>
      <w:numFmt w:val="bullet"/>
      <w:lvlText w:val=""/>
      <w:lvlJc w:val="left"/>
      <w:pPr>
        <w:ind w:left="1440" w:hanging="360"/>
      </w:pPr>
      <w:rPr>
        <w:rFonts w:ascii="Symbol" w:hAnsi="Symbol"/>
      </w:rPr>
    </w:lvl>
    <w:lvl w:ilvl="4" w:tplc="4F420D44">
      <w:start w:val="1"/>
      <w:numFmt w:val="bullet"/>
      <w:lvlText w:val=""/>
      <w:lvlJc w:val="left"/>
      <w:pPr>
        <w:ind w:left="1440" w:hanging="360"/>
      </w:pPr>
      <w:rPr>
        <w:rFonts w:ascii="Symbol" w:hAnsi="Symbol"/>
      </w:rPr>
    </w:lvl>
    <w:lvl w:ilvl="5" w:tplc="2D8CC580">
      <w:start w:val="1"/>
      <w:numFmt w:val="bullet"/>
      <w:lvlText w:val=""/>
      <w:lvlJc w:val="left"/>
      <w:pPr>
        <w:ind w:left="1440" w:hanging="360"/>
      </w:pPr>
      <w:rPr>
        <w:rFonts w:ascii="Symbol" w:hAnsi="Symbol"/>
      </w:rPr>
    </w:lvl>
    <w:lvl w:ilvl="6" w:tplc="4BBA9708">
      <w:start w:val="1"/>
      <w:numFmt w:val="bullet"/>
      <w:lvlText w:val=""/>
      <w:lvlJc w:val="left"/>
      <w:pPr>
        <w:ind w:left="1440" w:hanging="360"/>
      </w:pPr>
      <w:rPr>
        <w:rFonts w:ascii="Symbol" w:hAnsi="Symbol"/>
      </w:rPr>
    </w:lvl>
    <w:lvl w:ilvl="7" w:tplc="AD4E2A10">
      <w:start w:val="1"/>
      <w:numFmt w:val="bullet"/>
      <w:lvlText w:val=""/>
      <w:lvlJc w:val="left"/>
      <w:pPr>
        <w:ind w:left="1440" w:hanging="360"/>
      </w:pPr>
      <w:rPr>
        <w:rFonts w:ascii="Symbol" w:hAnsi="Symbol"/>
      </w:rPr>
    </w:lvl>
    <w:lvl w:ilvl="8" w:tplc="0DD04CA0">
      <w:start w:val="1"/>
      <w:numFmt w:val="bullet"/>
      <w:lvlText w:val=""/>
      <w:lvlJc w:val="left"/>
      <w:pPr>
        <w:ind w:left="1440" w:hanging="360"/>
      </w:pPr>
      <w:rPr>
        <w:rFonts w:ascii="Symbol" w:hAnsi="Symbol"/>
      </w:rPr>
    </w:lvl>
  </w:abstractNum>
  <w:abstractNum w:abstractNumId="14"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8690668">
    <w:abstractNumId w:val="2"/>
  </w:num>
  <w:num w:numId="2" w16cid:durableId="1372879744">
    <w:abstractNumId w:val="14"/>
  </w:num>
  <w:num w:numId="3" w16cid:durableId="116682397">
    <w:abstractNumId w:val="3"/>
  </w:num>
  <w:num w:numId="4" w16cid:durableId="1758986503">
    <w:abstractNumId w:val="4"/>
  </w:num>
  <w:num w:numId="5" w16cid:durableId="1386181171">
    <w:abstractNumId w:val="10"/>
  </w:num>
  <w:num w:numId="6" w16cid:durableId="816067449">
    <w:abstractNumId w:val="8"/>
  </w:num>
  <w:num w:numId="7" w16cid:durableId="334113426">
    <w:abstractNumId w:val="7"/>
  </w:num>
  <w:num w:numId="8" w16cid:durableId="1822429083">
    <w:abstractNumId w:val="6"/>
  </w:num>
  <w:num w:numId="9" w16cid:durableId="1370103385">
    <w:abstractNumId w:val="1"/>
  </w:num>
  <w:num w:numId="10" w16cid:durableId="1392584393">
    <w:abstractNumId w:val="9"/>
  </w:num>
  <w:num w:numId="11" w16cid:durableId="698437361">
    <w:abstractNumId w:val="5"/>
  </w:num>
  <w:num w:numId="12" w16cid:durableId="1559585910">
    <w:abstractNumId w:val="12"/>
  </w:num>
  <w:num w:numId="13" w16cid:durableId="2058504094">
    <w:abstractNumId w:val="13"/>
  </w:num>
  <w:num w:numId="14" w16cid:durableId="1241676981">
    <w:abstractNumId w:val="11"/>
  </w:num>
  <w:num w:numId="15" w16cid:durableId="1924534585">
    <w:abstractNumId w:val="0"/>
  </w:num>
  <w:num w:numId="16" w16cid:durableId="27416980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37B"/>
    <w:rsid w:val="000009D4"/>
    <w:rsid w:val="00000F56"/>
    <w:rsid w:val="00003184"/>
    <w:rsid w:val="000036EB"/>
    <w:rsid w:val="0000395C"/>
    <w:rsid w:val="00011E4D"/>
    <w:rsid w:val="000138CF"/>
    <w:rsid w:val="000140D5"/>
    <w:rsid w:val="000146FA"/>
    <w:rsid w:val="0001554B"/>
    <w:rsid w:val="00016AFF"/>
    <w:rsid w:val="00017F54"/>
    <w:rsid w:val="00030249"/>
    <w:rsid w:val="000305EA"/>
    <w:rsid w:val="0003085B"/>
    <w:rsid w:val="00031E3C"/>
    <w:rsid w:val="00032CB3"/>
    <w:rsid w:val="0003358F"/>
    <w:rsid w:val="00036FAE"/>
    <w:rsid w:val="00042B6A"/>
    <w:rsid w:val="00043710"/>
    <w:rsid w:val="00044395"/>
    <w:rsid w:val="00044508"/>
    <w:rsid w:val="00047561"/>
    <w:rsid w:val="00047668"/>
    <w:rsid w:val="00047A2A"/>
    <w:rsid w:val="0005020B"/>
    <w:rsid w:val="00050E60"/>
    <w:rsid w:val="0005112A"/>
    <w:rsid w:val="00057815"/>
    <w:rsid w:val="00057A1E"/>
    <w:rsid w:val="00057C67"/>
    <w:rsid w:val="00060CCE"/>
    <w:rsid w:val="000614A1"/>
    <w:rsid w:val="000615A3"/>
    <w:rsid w:val="00062794"/>
    <w:rsid w:val="0006484E"/>
    <w:rsid w:val="000668B0"/>
    <w:rsid w:val="00071E90"/>
    <w:rsid w:val="00074596"/>
    <w:rsid w:val="00076E76"/>
    <w:rsid w:val="000815AA"/>
    <w:rsid w:val="000839D2"/>
    <w:rsid w:val="00083F41"/>
    <w:rsid w:val="000846B7"/>
    <w:rsid w:val="00085E7C"/>
    <w:rsid w:val="000A2A28"/>
    <w:rsid w:val="000A2D3A"/>
    <w:rsid w:val="000A3124"/>
    <w:rsid w:val="000A3351"/>
    <w:rsid w:val="000A35D6"/>
    <w:rsid w:val="000A7F4E"/>
    <w:rsid w:val="000A7F73"/>
    <w:rsid w:val="000B0039"/>
    <w:rsid w:val="000B1B40"/>
    <w:rsid w:val="000B1BE1"/>
    <w:rsid w:val="000B1E7F"/>
    <w:rsid w:val="000B1F66"/>
    <w:rsid w:val="000B3914"/>
    <w:rsid w:val="000B4558"/>
    <w:rsid w:val="000B4F9C"/>
    <w:rsid w:val="000B6430"/>
    <w:rsid w:val="000C224C"/>
    <w:rsid w:val="000C263C"/>
    <w:rsid w:val="000C310A"/>
    <w:rsid w:val="000C34FD"/>
    <w:rsid w:val="000C4D6B"/>
    <w:rsid w:val="000D1472"/>
    <w:rsid w:val="000D3353"/>
    <w:rsid w:val="000D5E6D"/>
    <w:rsid w:val="000E3516"/>
    <w:rsid w:val="000E57DB"/>
    <w:rsid w:val="000E6FD6"/>
    <w:rsid w:val="000F1811"/>
    <w:rsid w:val="000F7A8C"/>
    <w:rsid w:val="00101562"/>
    <w:rsid w:val="00103015"/>
    <w:rsid w:val="00103253"/>
    <w:rsid w:val="0010371E"/>
    <w:rsid w:val="0010421E"/>
    <w:rsid w:val="001042BA"/>
    <w:rsid w:val="00105198"/>
    <w:rsid w:val="00111226"/>
    <w:rsid w:val="00111255"/>
    <w:rsid w:val="00114F67"/>
    <w:rsid w:val="00120A34"/>
    <w:rsid w:val="00121E65"/>
    <w:rsid w:val="00124260"/>
    <w:rsid w:val="00125A8E"/>
    <w:rsid w:val="001272BD"/>
    <w:rsid w:val="00127CD8"/>
    <w:rsid w:val="001301AD"/>
    <w:rsid w:val="00131B61"/>
    <w:rsid w:val="001334D9"/>
    <w:rsid w:val="0013350F"/>
    <w:rsid w:val="001346AC"/>
    <w:rsid w:val="00135DB5"/>
    <w:rsid w:val="001377D9"/>
    <w:rsid w:val="00137ACD"/>
    <w:rsid w:val="00140DAD"/>
    <w:rsid w:val="00140E3D"/>
    <w:rsid w:val="001421FE"/>
    <w:rsid w:val="00142B2D"/>
    <w:rsid w:val="001437EA"/>
    <w:rsid w:val="00144950"/>
    <w:rsid w:val="00145BE1"/>
    <w:rsid w:val="00150FBF"/>
    <w:rsid w:val="00151CA1"/>
    <w:rsid w:val="0015276C"/>
    <w:rsid w:val="00152947"/>
    <w:rsid w:val="00154C9F"/>
    <w:rsid w:val="0015508C"/>
    <w:rsid w:val="00157962"/>
    <w:rsid w:val="00160153"/>
    <w:rsid w:val="00161A1F"/>
    <w:rsid w:val="00162E62"/>
    <w:rsid w:val="00167D55"/>
    <w:rsid w:val="0017006A"/>
    <w:rsid w:val="00172064"/>
    <w:rsid w:val="00173A64"/>
    <w:rsid w:val="00173E0C"/>
    <w:rsid w:val="001779E5"/>
    <w:rsid w:val="0018201D"/>
    <w:rsid w:val="001829FA"/>
    <w:rsid w:val="00185491"/>
    <w:rsid w:val="00185537"/>
    <w:rsid w:val="00186D4B"/>
    <w:rsid w:val="0019381E"/>
    <w:rsid w:val="00195030"/>
    <w:rsid w:val="00197911"/>
    <w:rsid w:val="00197AE1"/>
    <w:rsid w:val="00197C3F"/>
    <w:rsid w:val="001A2FE9"/>
    <w:rsid w:val="001A4389"/>
    <w:rsid w:val="001A44EC"/>
    <w:rsid w:val="001B3C7A"/>
    <w:rsid w:val="001B3E03"/>
    <w:rsid w:val="001B43DF"/>
    <w:rsid w:val="001B5F2A"/>
    <w:rsid w:val="001C3348"/>
    <w:rsid w:val="001C48B7"/>
    <w:rsid w:val="001C5D6A"/>
    <w:rsid w:val="001D00E3"/>
    <w:rsid w:val="001D0AF3"/>
    <w:rsid w:val="001D1D8A"/>
    <w:rsid w:val="001D36EE"/>
    <w:rsid w:val="001D501E"/>
    <w:rsid w:val="001D7400"/>
    <w:rsid w:val="001E07CE"/>
    <w:rsid w:val="001E52EB"/>
    <w:rsid w:val="001E5A0B"/>
    <w:rsid w:val="001F0138"/>
    <w:rsid w:val="001F127D"/>
    <w:rsid w:val="001F1E30"/>
    <w:rsid w:val="001F3626"/>
    <w:rsid w:val="001F7336"/>
    <w:rsid w:val="00200358"/>
    <w:rsid w:val="002005CD"/>
    <w:rsid w:val="00200C17"/>
    <w:rsid w:val="00201F75"/>
    <w:rsid w:val="002023D2"/>
    <w:rsid w:val="00202EC1"/>
    <w:rsid w:val="00204283"/>
    <w:rsid w:val="00204EEF"/>
    <w:rsid w:val="002058CE"/>
    <w:rsid w:val="00205DBD"/>
    <w:rsid w:val="00206D4B"/>
    <w:rsid w:val="00207297"/>
    <w:rsid w:val="0021337D"/>
    <w:rsid w:val="00215429"/>
    <w:rsid w:val="00216A1C"/>
    <w:rsid w:val="00220A36"/>
    <w:rsid w:val="00223F82"/>
    <w:rsid w:val="00224C52"/>
    <w:rsid w:val="0023070D"/>
    <w:rsid w:val="0023125C"/>
    <w:rsid w:val="00232304"/>
    <w:rsid w:val="00235ED1"/>
    <w:rsid w:val="002378EE"/>
    <w:rsid w:val="002445E3"/>
    <w:rsid w:val="00246888"/>
    <w:rsid w:val="00247EBF"/>
    <w:rsid w:val="00252446"/>
    <w:rsid w:val="00253191"/>
    <w:rsid w:val="00255FCF"/>
    <w:rsid w:val="00261499"/>
    <w:rsid w:val="002672A4"/>
    <w:rsid w:val="002747E8"/>
    <w:rsid w:val="00274EEA"/>
    <w:rsid w:val="002759C4"/>
    <w:rsid w:val="0027686D"/>
    <w:rsid w:val="002808A9"/>
    <w:rsid w:val="002815BE"/>
    <w:rsid w:val="00284C9D"/>
    <w:rsid w:val="00284D7C"/>
    <w:rsid w:val="00292863"/>
    <w:rsid w:val="00293EF8"/>
    <w:rsid w:val="00294430"/>
    <w:rsid w:val="00296CA7"/>
    <w:rsid w:val="00296FAF"/>
    <w:rsid w:val="00297CEB"/>
    <w:rsid w:val="00297EAB"/>
    <w:rsid w:val="002A15F1"/>
    <w:rsid w:val="002A3F9D"/>
    <w:rsid w:val="002A3FA3"/>
    <w:rsid w:val="002A4961"/>
    <w:rsid w:val="002B0F4D"/>
    <w:rsid w:val="002B313C"/>
    <w:rsid w:val="002B411E"/>
    <w:rsid w:val="002B5C28"/>
    <w:rsid w:val="002B7CC4"/>
    <w:rsid w:val="002C08CD"/>
    <w:rsid w:val="002C1CF2"/>
    <w:rsid w:val="002C1F84"/>
    <w:rsid w:val="002C40FB"/>
    <w:rsid w:val="002C69B1"/>
    <w:rsid w:val="002D05B3"/>
    <w:rsid w:val="002D1504"/>
    <w:rsid w:val="002D2ADC"/>
    <w:rsid w:val="002D4EA4"/>
    <w:rsid w:val="002D564A"/>
    <w:rsid w:val="002D6282"/>
    <w:rsid w:val="002E12E6"/>
    <w:rsid w:val="002E3399"/>
    <w:rsid w:val="002E50A6"/>
    <w:rsid w:val="002E5D64"/>
    <w:rsid w:val="002E66F6"/>
    <w:rsid w:val="002F0FD2"/>
    <w:rsid w:val="002F3F0B"/>
    <w:rsid w:val="002F76C6"/>
    <w:rsid w:val="003003EA"/>
    <w:rsid w:val="0030256D"/>
    <w:rsid w:val="00303011"/>
    <w:rsid w:val="00304A88"/>
    <w:rsid w:val="00304E64"/>
    <w:rsid w:val="00307358"/>
    <w:rsid w:val="00307D6F"/>
    <w:rsid w:val="0031070C"/>
    <w:rsid w:val="00313612"/>
    <w:rsid w:val="00315480"/>
    <w:rsid w:val="00316053"/>
    <w:rsid w:val="003170AC"/>
    <w:rsid w:val="00322FBE"/>
    <w:rsid w:val="00326C24"/>
    <w:rsid w:val="0033070E"/>
    <w:rsid w:val="00333A79"/>
    <w:rsid w:val="003440C7"/>
    <w:rsid w:val="0034640E"/>
    <w:rsid w:val="00350779"/>
    <w:rsid w:val="00353D81"/>
    <w:rsid w:val="00354743"/>
    <w:rsid w:val="00354745"/>
    <w:rsid w:val="0035636B"/>
    <w:rsid w:val="0036129F"/>
    <w:rsid w:val="003619A8"/>
    <w:rsid w:val="00365D2C"/>
    <w:rsid w:val="00367C2D"/>
    <w:rsid w:val="00370040"/>
    <w:rsid w:val="0037028F"/>
    <w:rsid w:val="003706E0"/>
    <w:rsid w:val="003719BF"/>
    <w:rsid w:val="00372D85"/>
    <w:rsid w:val="00374731"/>
    <w:rsid w:val="00375010"/>
    <w:rsid w:val="0037728A"/>
    <w:rsid w:val="00377427"/>
    <w:rsid w:val="00377BDD"/>
    <w:rsid w:val="00382300"/>
    <w:rsid w:val="00383ABF"/>
    <w:rsid w:val="00386B68"/>
    <w:rsid w:val="00386E17"/>
    <w:rsid w:val="00386ED2"/>
    <w:rsid w:val="003873B2"/>
    <w:rsid w:val="0038758C"/>
    <w:rsid w:val="003913F1"/>
    <w:rsid w:val="003926BB"/>
    <w:rsid w:val="00393A61"/>
    <w:rsid w:val="00394454"/>
    <w:rsid w:val="00394825"/>
    <w:rsid w:val="00395655"/>
    <w:rsid w:val="003A0965"/>
    <w:rsid w:val="003A373E"/>
    <w:rsid w:val="003A3BE6"/>
    <w:rsid w:val="003A3D0E"/>
    <w:rsid w:val="003A4424"/>
    <w:rsid w:val="003A530C"/>
    <w:rsid w:val="003A5841"/>
    <w:rsid w:val="003A656C"/>
    <w:rsid w:val="003A7B17"/>
    <w:rsid w:val="003B2436"/>
    <w:rsid w:val="003B29B0"/>
    <w:rsid w:val="003B2DA8"/>
    <w:rsid w:val="003B3044"/>
    <w:rsid w:val="003B4997"/>
    <w:rsid w:val="003B50B3"/>
    <w:rsid w:val="003B6C2D"/>
    <w:rsid w:val="003B7464"/>
    <w:rsid w:val="003C0CC3"/>
    <w:rsid w:val="003C0D20"/>
    <w:rsid w:val="003C16A9"/>
    <w:rsid w:val="003C202D"/>
    <w:rsid w:val="003D02A5"/>
    <w:rsid w:val="003D1DC8"/>
    <w:rsid w:val="003D1E5E"/>
    <w:rsid w:val="003D464A"/>
    <w:rsid w:val="003D47C4"/>
    <w:rsid w:val="003D724F"/>
    <w:rsid w:val="003D77B3"/>
    <w:rsid w:val="003D7CE2"/>
    <w:rsid w:val="003E17AF"/>
    <w:rsid w:val="003E4413"/>
    <w:rsid w:val="003E4724"/>
    <w:rsid w:val="003E5B26"/>
    <w:rsid w:val="003E7077"/>
    <w:rsid w:val="003F09F7"/>
    <w:rsid w:val="003F1AA1"/>
    <w:rsid w:val="003F24BC"/>
    <w:rsid w:val="003F6A2A"/>
    <w:rsid w:val="003F6CD5"/>
    <w:rsid w:val="00401B80"/>
    <w:rsid w:val="00402CC7"/>
    <w:rsid w:val="00402D70"/>
    <w:rsid w:val="00403CE4"/>
    <w:rsid w:val="004075A3"/>
    <w:rsid w:val="00410A3F"/>
    <w:rsid w:val="0041144F"/>
    <w:rsid w:val="00411887"/>
    <w:rsid w:val="004143B1"/>
    <w:rsid w:val="00415A55"/>
    <w:rsid w:val="004228EE"/>
    <w:rsid w:val="0042419C"/>
    <w:rsid w:val="00425A1E"/>
    <w:rsid w:val="00425FCB"/>
    <w:rsid w:val="00430F1B"/>
    <w:rsid w:val="004327E1"/>
    <w:rsid w:val="00434240"/>
    <w:rsid w:val="00434641"/>
    <w:rsid w:val="00434CDD"/>
    <w:rsid w:val="00434EE3"/>
    <w:rsid w:val="004355D0"/>
    <w:rsid w:val="004355E8"/>
    <w:rsid w:val="00436435"/>
    <w:rsid w:val="00445460"/>
    <w:rsid w:val="0044616C"/>
    <w:rsid w:val="00446B03"/>
    <w:rsid w:val="0044797F"/>
    <w:rsid w:val="00454E65"/>
    <w:rsid w:val="00455C2A"/>
    <w:rsid w:val="00456156"/>
    <w:rsid w:val="004563A2"/>
    <w:rsid w:val="0046727C"/>
    <w:rsid w:val="00472F61"/>
    <w:rsid w:val="0047763B"/>
    <w:rsid w:val="00481DE1"/>
    <w:rsid w:val="00484DBC"/>
    <w:rsid w:val="00485776"/>
    <w:rsid w:val="00485905"/>
    <w:rsid w:val="00486A87"/>
    <w:rsid w:val="00490BA0"/>
    <w:rsid w:val="00490CFB"/>
    <w:rsid w:val="00493113"/>
    <w:rsid w:val="00494834"/>
    <w:rsid w:val="0049486C"/>
    <w:rsid w:val="004974FA"/>
    <w:rsid w:val="004A2F70"/>
    <w:rsid w:val="004A364D"/>
    <w:rsid w:val="004A409F"/>
    <w:rsid w:val="004A40E3"/>
    <w:rsid w:val="004A48D9"/>
    <w:rsid w:val="004A5DCF"/>
    <w:rsid w:val="004A61D9"/>
    <w:rsid w:val="004A6B2D"/>
    <w:rsid w:val="004B2388"/>
    <w:rsid w:val="004B25E7"/>
    <w:rsid w:val="004B2C3F"/>
    <w:rsid w:val="004B3D95"/>
    <w:rsid w:val="004B58D5"/>
    <w:rsid w:val="004B6135"/>
    <w:rsid w:val="004C35AB"/>
    <w:rsid w:val="004C6604"/>
    <w:rsid w:val="004C7E00"/>
    <w:rsid w:val="004D07B0"/>
    <w:rsid w:val="004D1659"/>
    <w:rsid w:val="004D5695"/>
    <w:rsid w:val="004D665B"/>
    <w:rsid w:val="004D7B86"/>
    <w:rsid w:val="004E21F8"/>
    <w:rsid w:val="004E26A9"/>
    <w:rsid w:val="004E3131"/>
    <w:rsid w:val="004F1D3F"/>
    <w:rsid w:val="004F2C81"/>
    <w:rsid w:val="004F53E6"/>
    <w:rsid w:val="004F54FF"/>
    <w:rsid w:val="00502D64"/>
    <w:rsid w:val="00503218"/>
    <w:rsid w:val="00503F62"/>
    <w:rsid w:val="00505873"/>
    <w:rsid w:val="00506F28"/>
    <w:rsid w:val="00510ECE"/>
    <w:rsid w:val="005146EC"/>
    <w:rsid w:val="00515BBE"/>
    <w:rsid w:val="005169CB"/>
    <w:rsid w:val="00517337"/>
    <w:rsid w:val="005173FC"/>
    <w:rsid w:val="00522571"/>
    <w:rsid w:val="00524226"/>
    <w:rsid w:val="0052516E"/>
    <w:rsid w:val="00526A74"/>
    <w:rsid w:val="00527330"/>
    <w:rsid w:val="00536596"/>
    <w:rsid w:val="005366FF"/>
    <w:rsid w:val="0053794A"/>
    <w:rsid w:val="00537A32"/>
    <w:rsid w:val="00542207"/>
    <w:rsid w:val="00544420"/>
    <w:rsid w:val="0054602B"/>
    <w:rsid w:val="00546375"/>
    <w:rsid w:val="00546B07"/>
    <w:rsid w:val="005620CA"/>
    <w:rsid w:val="00564B42"/>
    <w:rsid w:val="00572401"/>
    <w:rsid w:val="005732E6"/>
    <w:rsid w:val="00573CB6"/>
    <w:rsid w:val="005764AC"/>
    <w:rsid w:val="00576596"/>
    <w:rsid w:val="00577C30"/>
    <w:rsid w:val="00580F97"/>
    <w:rsid w:val="005812FF"/>
    <w:rsid w:val="005819C8"/>
    <w:rsid w:val="00581A71"/>
    <w:rsid w:val="005837B5"/>
    <w:rsid w:val="0058422E"/>
    <w:rsid w:val="00584B84"/>
    <w:rsid w:val="0058532F"/>
    <w:rsid w:val="0058561B"/>
    <w:rsid w:val="005905A0"/>
    <w:rsid w:val="005910FD"/>
    <w:rsid w:val="00591EC0"/>
    <w:rsid w:val="00597535"/>
    <w:rsid w:val="005A54B4"/>
    <w:rsid w:val="005A7050"/>
    <w:rsid w:val="005A7E68"/>
    <w:rsid w:val="005B3CBC"/>
    <w:rsid w:val="005B486F"/>
    <w:rsid w:val="005B510A"/>
    <w:rsid w:val="005B60A0"/>
    <w:rsid w:val="005B7902"/>
    <w:rsid w:val="005C0659"/>
    <w:rsid w:val="005C0740"/>
    <w:rsid w:val="005C108B"/>
    <w:rsid w:val="005C17DD"/>
    <w:rsid w:val="005C18D0"/>
    <w:rsid w:val="005C3DA5"/>
    <w:rsid w:val="005C6387"/>
    <w:rsid w:val="005E2026"/>
    <w:rsid w:val="005E3513"/>
    <w:rsid w:val="005E75E1"/>
    <w:rsid w:val="005F11C4"/>
    <w:rsid w:val="005F4511"/>
    <w:rsid w:val="005F4914"/>
    <w:rsid w:val="005F5DF6"/>
    <w:rsid w:val="005F5FA1"/>
    <w:rsid w:val="005F7D42"/>
    <w:rsid w:val="0060088C"/>
    <w:rsid w:val="00600D5F"/>
    <w:rsid w:val="00603D52"/>
    <w:rsid w:val="00604F05"/>
    <w:rsid w:val="00611D31"/>
    <w:rsid w:val="006156C6"/>
    <w:rsid w:val="006160C4"/>
    <w:rsid w:val="00616F27"/>
    <w:rsid w:val="006202A1"/>
    <w:rsid w:val="0062319E"/>
    <w:rsid w:val="00625432"/>
    <w:rsid w:val="00626E42"/>
    <w:rsid w:val="00627D91"/>
    <w:rsid w:val="00627EDA"/>
    <w:rsid w:val="00636200"/>
    <w:rsid w:val="006421CF"/>
    <w:rsid w:val="00645DC7"/>
    <w:rsid w:val="0064724F"/>
    <w:rsid w:val="006507CB"/>
    <w:rsid w:val="00651D68"/>
    <w:rsid w:val="00652D30"/>
    <w:rsid w:val="00656314"/>
    <w:rsid w:val="00657FF5"/>
    <w:rsid w:val="00661BE8"/>
    <w:rsid w:val="006639FB"/>
    <w:rsid w:val="00667982"/>
    <w:rsid w:val="00667B6F"/>
    <w:rsid w:val="00667F82"/>
    <w:rsid w:val="006700AA"/>
    <w:rsid w:val="00671007"/>
    <w:rsid w:val="0067332D"/>
    <w:rsid w:val="00673F5A"/>
    <w:rsid w:val="00677866"/>
    <w:rsid w:val="00677A0D"/>
    <w:rsid w:val="00681F8E"/>
    <w:rsid w:val="00683087"/>
    <w:rsid w:val="00685653"/>
    <w:rsid w:val="00692E8B"/>
    <w:rsid w:val="006930D1"/>
    <w:rsid w:val="006931AD"/>
    <w:rsid w:val="006940BB"/>
    <w:rsid w:val="00696CF0"/>
    <w:rsid w:val="00697001"/>
    <w:rsid w:val="006A1788"/>
    <w:rsid w:val="006A1D94"/>
    <w:rsid w:val="006A666D"/>
    <w:rsid w:val="006B2427"/>
    <w:rsid w:val="006B2D99"/>
    <w:rsid w:val="006B457E"/>
    <w:rsid w:val="006B50EE"/>
    <w:rsid w:val="006B6E38"/>
    <w:rsid w:val="006C1CE3"/>
    <w:rsid w:val="006C6DB0"/>
    <w:rsid w:val="006C7EE1"/>
    <w:rsid w:val="006D3958"/>
    <w:rsid w:val="006D58E2"/>
    <w:rsid w:val="006D7B6B"/>
    <w:rsid w:val="006E36C4"/>
    <w:rsid w:val="006E3838"/>
    <w:rsid w:val="006E3C40"/>
    <w:rsid w:val="006E7699"/>
    <w:rsid w:val="006F1147"/>
    <w:rsid w:val="006F27AC"/>
    <w:rsid w:val="006F2BBC"/>
    <w:rsid w:val="006F3E5C"/>
    <w:rsid w:val="006F4B13"/>
    <w:rsid w:val="006F5B58"/>
    <w:rsid w:val="006F627D"/>
    <w:rsid w:val="0070009D"/>
    <w:rsid w:val="00701544"/>
    <w:rsid w:val="00701CB8"/>
    <w:rsid w:val="00701E47"/>
    <w:rsid w:val="0070388F"/>
    <w:rsid w:val="00706A99"/>
    <w:rsid w:val="00707E57"/>
    <w:rsid w:val="00707F49"/>
    <w:rsid w:val="007103B5"/>
    <w:rsid w:val="0071389E"/>
    <w:rsid w:val="00717D94"/>
    <w:rsid w:val="00720025"/>
    <w:rsid w:val="007201E3"/>
    <w:rsid w:val="007213BB"/>
    <w:rsid w:val="00723EDC"/>
    <w:rsid w:val="0072758F"/>
    <w:rsid w:val="00730694"/>
    <w:rsid w:val="007314EF"/>
    <w:rsid w:val="00731A1C"/>
    <w:rsid w:val="00731F3A"/>
    <w:rsid w:val="00733372"/>
    <w:rsid w:val="0073763E"/>
    <w:rsid w:val="007402CD"/>
    <w:rsid w:val="007413CE"/>
    <w:rsid w:val="007427F1"/>
    <w:rsid w:val="007452A0"/>
    <w:rsid w:val="00745376"/>
    <w:rsid w:val="00745FCA"/>
    <w:rsid w:val="00747943"/>
    <w:rsid w:val="00752BD5"/>
    <w:rsid w:val="00753090"/>
    <w:rsid w:val="00754DC8"/>
    <w:rsid w:val="0075573F"/>
    <w:rsid w:val="00756861"/>
    <w:rsid w:val="00756D99"/>
    <w:rsid w:val="00756F20"/>
    <w:rsid w:val="00757D18"/>
    <w:rsid w:val="00760772"/>
    <w:rsid w:val="00760DDE"/>
    <w:rsid w:val="00760E2C"/>
    <w:rsid w:val="007620AE"/>
    <w:rsid w:val="00763679"/>
    <w:rsid w:val="00772715"/>
    <w:rsid w:val="00774144"/>
    <w:rsid w:val="0077536C"/>
    <w:rsid w:val="00782538"/>
    <w:rsid w:val="007828DD"/>
    <w:rsid w:val="00783FAB"/>
    <w:rsid w:val="00785B13"/>
    <w:rsid w:val="0079184C"/>
    <w:rsid w:val="00791AAC"/>
    <w:rsid w:val="00795969"/>
    <w:rsid w:val="00796B83"/>
    <w:rsid w:val="007A0171"/>
    <w:rsid w:val="007A0558"/>
    <w:rsid w:val="007A15F9"/>
    <w:rsid w:val="007A1D14"/>
    <w:rsid w:val="007A6AF0"/>
    <w:rsid w:val="007A75D8"/>
    <w:rsid w:val="007B0CE8"/>
    <w:rsid w:val="007B208D"/>
    <w:rsid w:val="007B44CD"/>
    <w:rsid w:val="007B4836"/>
    <w:rsid w:val="007C3355"/>
    <w:rsid w:val="007C5020"/>
    <w:rsid w:val="007C5845"/>
    <w:rsid w:val="007D0F52"/>
    <w:rsid w:val="007D12B2"/>
    <w:rsid w:val="007D1F16"/>
    <w:rsid w:val="007D24DE"/>
    <w:rsid w:val="007D2E9E"/>
    <w:rsid w:val="007D4E08"/>
    <w:rsid w:val="007E00A8"/>
    <w:rsid w:val="007E16D6"/>
    <w:rsid w:val="007E2197"/>
    <w:rsid w:val="007E2FA8"/>
    <w:rsid w:val="007E3446"/>
    <w:rsid w:val="007E3447"/>
    <w:rsid w:val="007E36E5"/>
    <w:rsid w:val="007E47D2"/>
    <w:rsid w:val="007E6EC6"/>
    <w:rsid w:val="007F3C5C"/>
    <w:rsid w:val="007F51C0"/>
    <w:rsid w:val="007F563E"/>
    <w:rsid w:val="00803447"/>
    <w:rsid w:val="008034B8"/>
    <w:rsid w:val="008035CF"/>
    <w:rsid w:val="0080510C"/>
    <w:rsid w:val="0080584E"/>
    <w:rsid w:val="00805FEB"/>
    <w:rsid w:val="00811C65"/>
    <w:rsid w:val="00811E34"/>
    <w:rsid w:val="00812C37"/>
    <w:rsid w:val="008134D5"/>
    <w:rsid w:val="00813A38"/>
    <w:rsid w:val="00816037"/>
    <w:rsid w:val="00823B66"/>
    <w:rsid w:val="00824A98"/>
    <w:rsid w:val="0082544B"/>
    <w:rsid w:val="00825FA2"/>
    <w:rsid w:val="00827E09"/>
    <w:rsid w:val="008310AA"/>
    <w:rsid w:val="00831609"/>
    <w:rsid w:val="00834114"/>
    <w:rsid w:val="00835107"/>
    <w:rsid w:val="00836B85"/>
    <w:rsid w:val="00843812"/>
    <w:rsid w:val="00844D23"/>
    <w:rsid w:val="0084584D"/>
    <w:rsid w:val="00850379"/>
    <w:rsid w:val="008517D8"/>
    <w:rsid w:val="00855239"/>
    <w:rsid w:val="00855F55"/>
    <w:rsid w:val="00856721"/>
    <w:rsid w:val="00856BC4"/>
    <w:rsid w:val="008576C8"/>
    <w:rsid w:val="0086588B"/>
    <w:rsid w:val="0086669D"/>
    <w:rsid w:val="00867101"/>
    <w:rsid w:val="00873029"/>
    <w:rsid w:val="0087416D"/>
    <w:rsid w:val="008755D8"/>
    <w:rsid w:val="008775A2"/>
    <w:rsid w:val="0088497A"/>
    <w:rsid w:val="0089124E"/>
    <w:rsid w:val="008916E1"/>
    <w:rsid w:val="00891898"/>
    <w:rsid w:val="00892714"/>
    <w:rsid w:val="00897AFA"/>
    <w:rsid w:val="008A0DC1"/>
    <w:rsid w:val="008A1C12"/>
    <w:rsid w:val="008A1F97"/>
    <w:rsid w:val="008A6224"/>
    <w:rsid w:val="008A62D5"/>
    <w:rsid w:val="008A642C"/>
    <w:rsid w:val="008B478B"/>
    <w:rsid w:val="008B61B7"/>
    <w:rsid w:val="008C48EF"/>
    <w:rsid w:val="008C497B"/>
    <w:rsid w:val="008C5CE9"/>
    <w:rsid w:val="008C76FD"/>
    <w:rsid w:val="008D6F46"/>
    <w:rsid w:val="008D72EA"/>
    <w:rsid w:val="008D7625"/>
    <w:rsid w:val="008D77EE"/>
    <w:rsid w:val="008E30D6"/>
    <w:rsid w:val="008E30D9"/>
    <w:rsid w:val="008E54BF"/>
    <w:rsid w:val="008E68D3"/>
    <w:rsid w:val="008E79DF"/>
    <w:rsid w:val="008F002D"/>
    <w:rsid w:val="008F0BBA"/>
    <w:rsid w:val="008F43E8"/>
    <w:rsid w:val="008F6732"/>
    <w:rsid w:val="008F75B8"/>
    <w:rsid w:val="009009AE"/>
    <w:rsid w:val="00902A26"/>
    <w:rsid w:val="00903257"/>
    <w:rsid w:val="009036F5"/>
    <w:rsid w:val="009048A2"/>
    <w:rsid w:val="00905C61"/>
    <w:rsid w:val="00907D61"/>
    <w:rsid w:val="00910064"/>
    <w:rsid w:val="0091012B"/>
    <w:rsid w:val="009114DC"/>
    <w:rsid w:val="00911D92"/>
    <w:rsid w:val="009121D3"/>
    <w:rsid w:val="009176F5"/>
    <w:rsid w:val="009223A1"/>
    <w:rsid w:val="00924159"/>
    <w:rsid w:val="0092504D"/>
    <w:rsid w:val="009258C9"/>
    <w:rsid w:val="00931ED7"/>
    <w:rsid w:val="00933AD6"/>
    <w:rsid w:val="00933BB0"/>
    <w:rsid w:val="009421AA"/>
    <w:rsid w:val="0094476A"/>
    <w:rsid w:val="0094774B"/>
    <w:rsid w:val="00951019"/>
    <w:rsid w:val="00954698"/>
    <w:rsid w:val="00960872"/>
    <w:rsid w:val="009613B9"/>
    <w:rsid w:val="00965266"/>
    <w:rsid w:val="009678D0"/>
    <w:rsid w:val="0097078C"/>
    <w:rsid w:val="00970AAB"/>
    <w:rsid w:val="00974504"/>
    <w:rsid w:val="00975A4A"/>
    <w:rsid w:val="00976413"/>
    <w:rsid w:val="009767B4"/>
    <w:rsid w:val="00977D37"/>
    <w:rsid w:val="009807AE"/>
    <w:rsid w:val="009837A0"/>
    <w:rsid w:val="00990334"/>
    <w:rsid w:val="00991158"/>
    <w:rsid w:val="0099199E"/>
    <w:rsid w:val="0099258B"/>
    <w:rsid w:val="009935F4"/>
    <w:rsid w:val="00995C44"/>
    <w:rsid w:val="009A04A5"/>
    <w:rsid w:val="009A359E"/>
    <w:rsid w:val="009A35A0"/>
    <w:rsid w:val="009A6696"/>
    <w:rsid w:val="009A717F"/>
    <w:rsid w:val="009A7CFA"/>
    <w:rsid w:val="009B0C51"/>
    <w:rsid w:val="009B2183"/>
    <w:rsid w:val="009B29AC"/>
    <w:rsid w:val="009B394E"/>
    <w:rsid w:val="009B4B7F"/>
    <w:rsid w:val="009C0911"/>
    <w:rsid w:val="009C0B21"/>
    <w:rsid w:val="009C0F35"/>
    <w:rsid w:val="009C10C1"/>
    <w:rsid w:val="009C4F55"/>
    <w:rsid w:val="009C5E5D"/>
    <w:rsid w:val="009C6A4B"/>
    <w:rsid w:val="009C6D01"/>
    <w:rsid w:val="009D0999"/>
    <w:rsid w:val="009D23FB"/>
    <w:rsid w:val="009D3432"/>
    <w:rsid w:val="009D7562"/>
    <w:rsid w:val="009E0803"/>
    <w:rsid w:val="009E0A3A"/>
    <w:rsid w:val="009E4BA2"/>
    <w:rsid w:val="009E7C1C"/>
    <w:rsid w:val="009F0C2D"/>
    <w:rsid w:val="009F13BF"/>
    <w:rsid w:val="009F1D34"/>
    <w:rsid w:val="009F1DDC"/>
    <w:rsid w:val="009F307E"/>
    <w:rsid w:val="009F3AF4"/>
    <w:rsid w:val="009F4C47"/>
    <w:rsid w:val="009F528F"/>
    <w:rsid w:val="009F6AC9"/>
    <w:rsid w:val="00A04D78"/>
    <w:rsid w:val="00A105DA"/>
    <w:rsid w:val="00A11CE8"/>
    <w:rsid w:val="00A146DF"/>
    <w:rsid w:val="00A15B67"/>
    <w:rsid w:val="00A20031"/>
    <w:rsid w:val="00A202D5"/>
    <w:rsid w:val="00A223C1"/>
    <w:rsid w:val="00A23CDC"/>
    <w:rsid w:val="00A23F8D"/>
    <w:rsid w:val="00A24596"/>
    <w:rsid w:val="00A24B24"/>
    <w:rsid w:val="00A25E6C"/>
    <w:rsid w:val="00A266AF"/>
    <w:rsid w:val="00A34020"/>
    <w:rsid w:val="00A34629"/>
    <w:rsid w:val="00A40E3D"/>
    <w:rsid w:val="00A40EA6"/>
    <w:rsid w:val="00A432F5"/>
    <w:rsid w:val="00A43C61"/>
    <w:rsid w:val="00A453A9"/>
    <w:rsid w:val="00A46B61"/>
    <w:rsid w:val="00A47C4E"/>
    <w:rsid w:val="00A52753"/>
    <w:rsid w:val="00A550E8"/>
    <w:rsid w:val="00A556D1"/>
    <w:rsid w:val="00A56E8B"/>
    <w:rsid w:val="00A57E40"/>
    <w:rsid w:val="00A6145F"/>
    <w:rsid w:val="00A6611C"/>
    <w:rsid w:val="00A71133"/>
    <w:rsid w:val="00A7209C"/>
    <w:rsid w:val="00A741C5"/>
    <w:rsid w:val="00A761C7"/>
    <w:rsid w:val="00A768B4"/>
    <w:rsid w:val="00A77D42"/>
    <w:rsid w:val="00A82E17"/>
    <w:rsid w:val="00A8391C"/>
    <w:rsid w:val="00A85075"/>
    <w:rsid w:val="00A871B2"/>
    <w:rsid w:val="00A9007B"/>
    <w:rsid w:val="00A90245"/>
    <w:rsid w:val="00A93F1F"/>
    <w:rsid w:val="00A962E3"/>
    <w:rsid w:val="00AA0C4F"/>
    <w:rsid w:val="00AA12F7"/>
    <w:rsid w:val="00AA3173"/>
    <w:rsid w:val="00AA3A3E"/>
    <w:rsid w:val="00AA5AF2"/>
    <w:rsid w:val="00AA749D"/>
    <w:rsid w:val="00AB19B6"/>
    <w:rsid w:val="00AB1D5C"/>
    <w:rsid w:val="00AB2797"/>
    <w:rsid w:val="00AC1430"/>
    <w:rsid w:val="00AC6ABA"/>
    <w:rsid w:val="00AD1C80"/>
    <w:rsid w:val="00AD2E24"/>
    <w:rsid w:val="00AD5627"/>
    <w:rsid w:val="00AD65C9"/>
    <w:rsid w:val="00AD6639"/>
    <w:rsid w:val="00AE3375"/>
    <w:rsid w:val="00AE3A8E"/>
    <w:rsid w:val="00AE4A25"/>
    <w:rsid w:val="00AE5CCB"/>
    <w:rsid w:val="00AE7179"/>
    <w:rsid w:val="00AF58D0"/>
    <w:rsid w:val="00AF6215"/>
    <w:rsid w:val="00AF6D17"/>
    <w:rsid w:val="00AF6F6E"/>
    <w:rsid w:val="00AF7658"/>
    <w:rsid w:val="00B0055D"/>
    <w:rsid w:val="00B00A18"/>
    <w:rsid w:val="00B04D90"/>
    <w:rsid w:val="00B0725F"/>
    <w:rsid w:val="00B11323"/>
    <w:rsid w:val="00B12096"/>
    <w:rsid w:val="00B13A2F"/>
    <w:rsid w:val="00B145D2"/>
    <w:rsid w:val="00B16422"/>
    <w:rsid w:val="00B1682E"/>
    <w:rsid w:val="00B178D3"/>
    <w:rsid w:val="00B17DE1"/>
    <w:rsid w:val="00B202E0"/>
    <w:rsid w:val="00B20C0B"/>
    <w:rsid w:val="00B20F86"/>
    <w:rsid w:val="00B22F73"/>
    <w:rsid w:val="00B24210"/>
    <w:rsid w:val="00B24C63"/>
    <w:rsid w:val="00B27DCD"/>
    <w:rsid w:val="00B30E95"/>
    <w:rsid w:val="00B339F8"/>
    <w:rsid w:val="00B350AB"/>
    <w:rsid w:val="00B4065C"/>
    <w:rsid w:val="00B43512"/>
    <w:rsid w:val="00B43800"/>
    <w:rsid w:val="00B46A00"/>
    <w:rsid w:val="00B50757"/>
    <w:rsid w:val="00B52CD8"/>
    <w:rsid w:val="00B5429F"/>
    <w:rsid w:val="00B55787"/>
    <w:rsid w:val="00B57F79"/>
    <w:rsid w:val="00B60450"/>
    <w:rsid w:val="00B604EB"/>
    <w:rsid w:val="00B6108C"/>
    <w:rsid w:val="00B67F7B"/>
    <w:rsid w:val="00B70B46"/>
    <w:rsid w:val="00B739E2"/>
    <w:rsid w:val="00B759E2"/>
    <w:rsid w:val="00B76066"/>
    <w:rsid w:val="00B8151D"/>
    <w:rsid w:val="00B819AA"/>
    <w:rsid w:val="00B845F0"/>
    <w:rsid w:val="00B87CCA"/>
    <w:rsid w:val="00B91A2D"/>
    <w:rsid w:val="00B9437B"/>
    <w:rsid w:val="00B95D11"/>
    <w:rsid w:val="00B9633B"/>
    <w:rsid w:val="00B96870"/>
    <w:rsid w:val="00BA1A52"/>
    <w:rsid w:val="00BA30BD"/>
    <w:rsid w:val="00BA54AA"/>
    <w:rsid w:val="00BA654E"/>
    <w:rsid w:val="00BA7A46"/>
    <w:rsid w:val="00BB2109"/>
    <w:rsid w:val="00BB2276"/>
    <w:rsid w:val="00BB2C6B"/>
    <w:rsid w:val="00BB38D4"/>
    <w:rsid w:val="00BB4D85"/>
    <w:rsid w:val="00BB5DDF"/>
    <w:rsid w:val="00BB61E4"/>
    <w:rsid w:val="00BB631E"/>
    <w:rsid w:val="00BB71A8"/>
    <w:rsid w:val="00BC1E10"/>
    <w:rsid w:val="00BC4BD5"/>
    <w:rsid w:val="00BC50A3"/>
    <w:rsid w:val="00BC677E"/>
    <w:rsid w:val="00BD1253"/>
    <w:rsid w:val="00BD2475"/>
    <w:rsid w:val="00BD2ED2"/>
    <w:rsid w:val="00BD41D4"/>
    <w:rsid w:val="00BD465A"/>
    <w:rsid w:val="00BD47A9"/>
    <w:rsid w:val="00BD5316"/>
    <w:rsid w:val="00BD5A86"/>
    <w:rsid w:val="00BD638A"/>
    <w:rsid w:val="00BD6A79"/>
    <w:rsid w:val="00BD6AC2"/>
    <w:rsid w:val="00BD7CDC"/>
    <w:rsid w:val="00BE02B6"/>
    <w:rsid w:val="00BE1A4C"/>
    <w:rsid w:val="00BE214C"/>
    <w:rsid w:val="00BE3046"/>
    <w:rsid w:val="00BE3750"/>
    <w:rsid w:val="00BE68F9"/>
    <w:rsid w:val="00BF0BAA"/>
    <w:rsid w:val="00BF2A9B"/>
    <w:rsid w:val="00BF3425"/>
    <w:rsid w:val="00BF3DAE"/>
    <w:rsid w:val="00BF7B68"/>
    <w:rsid w:val="00C02595"/>
    <w:rsid w:val="00C11C06"/>
    <w:rsid w:val="00C12197"/>
    <w:rsid w:val="00C13110"/>
    <w:rsid w:val="00C1330A"/>
    <w:rsid w:val="00C145EB"/>
    <w:rsid w:val="00C14D62"/>
    <w:rsid w:val="00C15A04"/>
    <w:rsid w:val="00C2416A"/>
    <w:rsid w:val="00C24717"/>
    <w:rsid w:val="00C2662A"/>
    <w:rsid w:val="00C30704"/>
    <w:rsid w:val="00C30E45"/>
    <w:rsid w:val="00C325A5"/>
    <w:rsid w:val="00C3420C"/>
    <w:rsid w:val="00C36A15"/>
    <w:rsid w:val="00C3701B"/>
    <w:rsid w:val="00C37043"/>
    <w:rsid w:val="00C4260A"/>
    <w:rsid w:val="00C4300F"/>
    <w:rsid w:val="00C4338B"/>
    <w:rsid w:val="00C45661"/>
    <w:rsid w:val="00C5010C"/>
    <w:rsid w:val="00C5192F"/>
    <w:rsid w:val="00C62BC1"/>
    <w:rsid w:val="00C63BA4"/>
    <w:rsid w:val="00C64879"/>
    <w:rsid w:val="00C66953"/>
    <w:rsid w:val="00C70A32"/>
    <w:rsid w:val="00C712E2"/>
    <w:rsid w:val="00C72E9B"/>
    <w:rsid w:val="00C73133"/>
    <w:rsid w:val="00C731FA"/>
    <w:rsid w:val="00C7375E"/>
    <w:rsid w:val="00C7617C"/>
    <w:rsid w:val="00C76A88"/>
    <w:rsid w:val="00C818AB"/>
    <w:rsid w:val="00C82C91"/>
    <w:rsid w:val="00C82F0C"/>
    <w:rsid w:val="00C834C2"/>
    <w:rsid w:val="00C846A2"/>
    <w:rsid w:val="00C85F9C"/>
    <w:rsid w:val="00C866C4"/>
    <w:rsid w:val="00C90E38"/>
    <w:rsid w:val="00C90EFC"/>
    <w:rsid w:val="00C90FC4"/>
    <w:rsid w:val="00C922EC"/>
    <w:rsid w:val="00C93D03"/>
    <w:rsid w:val="00C954B7"/>
    <w:rsid w:val="00C9591A"/>
    <w:rsid w:val="00C97E14"/>
    <w:rsid w:val="00CA1549"/>
    <w:rsid w:val="00CA207E"/>
    <w:rsid w:val="00CA46AC"/>
    <w:rsid w:val="00CA4F71"/>
    <w:rsid w:val="00CB24D6"/>
    <w:rsid w:val="00CB337B"/>
    <w:rsid w:val="00CB45D5"/>
    <w:rsid w:val="00CB6C71"/>
    <w:rsid w:val="00CB7A83"/>
    <w:rsid w:val="00CC3AE0"/>
    <w:rsid w:val="00CC3C0B"/>
    <w:rsid w:val="00CC3CD3"/>
    <w:rsid w:val="00CC4C6D"/>
    <w:rsid w:val="00CC6A70"/>
    <w:rsid w:val="00CD20F8"/>
    <w:rsid w:val="00CD243C"/>
    <w:rsid w:val="00CD3705"/>
    <w:rsid w:val="00CD6E72"/>
    <w:rsid w:val="00CD729A"/>
    <w:rsid w:val="00CE3EA5"/>
    <w:rsid w:val="00CE47E8"/>
    <w:rsid w:val="00CE6BB3"/>
    <w:rsid w:val="00CF02AC"/>
    <w:rsid w:val="00CF1C96"/>
    <w:rsid w:val="00CF4AC4"/>
    <w:rsid w:val="00CF5A8C"/>
    <w:rsid w:val="00CF64D1"/>
    <w:rsid w:val="00D010D3"/>
    <w:rsid w:val="00D04B04"/>
    <w:rsid w:val="00D05A8C"/>
    <w:rsid w:val="00D119DD"/>
    <w:rsid w:val="00D11E3C"/>
    <w:rsid w:val="00D12179"/>
    <w:rsid w:val="00D14A9D"/>
    <w:rsid w:val="00D17A67"/>
    <w:rsid w:val="00D17FC6"/>
    <w:rsid w:val="00D217D1"/>
    <w:rsid w:val="00D2517F"/>
    <w:rsid w:val="00D25AB4"/>
    <w:rsid w:val="00D3758C"/>
    <w:rsid w:val="00D46134"/>
    <w:rsid w:val="00D468A9"/>
    <w:rsid w:val="00D502B7"/>
    <w:rsid w:val="00D50946"/>
    <w:rsid w:val="00D5387E"/>
    <w:rsid w:val="00D541B1"/>
    <w:rsid w:val="00D54C75"/>
    <w:rsid w:val="00D56A3B"/>
    <w:rsid w:val="00D61A73"/>
    <w:rsid w:val="00D62A2E"/>
    <w:rsid w:val="00D63270"/>
    <w:rsid w:val="00D63CDD"/>
    <w:rsid w:val="00D6472B"/>
    <w:rsid w:val="00D65EDC"/>
    <w:rsid w:val="00D66B65"/>
    <w:rsid w:val="00D70EAE"/>
    <w:rsid w:val="00D73415"/>
    <w:rsid w:val="00D73C23"/>
    <w:rsid w:val="00D74B9B"/>
    <w:rsid w:val="00D773CB"/>
    <w:rsid w:val="00D805AC"/>
    <w:rsid w:val="00D80862"/>
    <w:rsid w:val="00D8103E"/>
    <w:rsid w:val="00D818BA"/>
    <w:rsid w:val="00D842A2"/>
    <w:rsid w:val="00D84946"/>
    <w:rsid w:val="00D902D3"/>
    <w:rsid w:val="00D90C2E"/>
    <w:rsid w:val="00D93637"/>
    <w:rsid w:val="00D93741"/>
    <w:rsid w:val="00D97880"/>
    <w:rsid w:val="00D97F55"/>
    <w:rsid w:val="00DA1AC0"/>
    <w:rsid w:val="00DA552F"/>
    <w:rsid w:val="00DA6CF7"/>
    <w:rsid w:val="00DB1C9E"/>
    <w:rsid w:val="00DB2434"/>
    <w:rsid w:val="00DB461B"/>
    <w:rsid w:val="00DB4D35"/>
    <w:rsid w:val="00DB6247"/>
    <w:rsid w:val="00DB6E9C"/>
    <w:rsid w:val="00DC1795"/>
    <w:rsid w:val="00DC2F94"/>
    <w:rsid w:val="00DC3E8C"/>
    <w:rsid w:val="00DC4A82"/>
    <w:rsid w:val="00DC4B5E"/>
    <w:rsid w:val="00DC5616"/>
    <w:rsid w:val="00DD1234"/>
    <w:rsid w:val="00DD408F"/>
    <w:rsid w:val="00DD51A3"/>
    <w:rsid w:val="00DD5F43"/>
    <w:rsid w:val="00DD651A"/>
    <w:rsid w:val="00DD6579"/>
    <w:rsid w:val="00DD7496"/>
    <w:rsid w:val="00DD7B03"/>
    <w:rsid w:val="00DE02BB"/>
    <w:rsid w:val="00DE1334"/>
    <w:rsid w:val="00DE16DD"/>
    <w:rsid w:val="00DE2E9C"/>
    <w:rsid w:val="00DE41A4"/>
    <w:rsid w:val="00DE5F92"/>
    <w:rsid w:val="00DE715E"/>
    <w:rsid w:val="00DE7C37"/>
    <w:rsid w:val="00DF13F3"/>
    <w:rsid w:val="00DF220F"/>
    <w:rsid w:val="00DF3683"/>
    <w:rsid w:val="00DF46B2"/>
    <w:rsid w:val="00DF61B7"/>
    <w:rsid w:val="00E0157F"/>
    <w:rsid w:val="00E01C32"/>
    <w:rsid w:val="00E01F85"/>
    <w:rsid w:val="00E0227A"/>
    <w:rsid w:val="00E05174"/>
    <w:rsid w:val="00E122A3"/>
    <w:rsid w:val="00E1257E"/>
    <w:rsid w:val="00E16B7C"/>
    <w:rsid w:val="00E24E50"/>
    <w:rsid w:val="00E251EE"/>
    <w:rsid w:val="00E26199"/>
    <w:rsid w:val="00E2620B"/>
    <w:rsid w:val="00E302D5"/>
    <w:rsid w:val="00E33927"/>
    <w:rsid w:val="00E33FED"/>
    <w:rsid w:val="00E43542"/>
    <w:rsid w:val="00E518C1"/>
    <w:rsid w:val="00E5541C"/>
    <w:rsid w:val="00E55D04"/>
    <w:rsid w:val="00E60A2A"/>
    <w:rsid w:val="00E62C51"/>
    <w:rsid w:val="00E631F9"/>
    <w:rsid w:val="00E6493F"/>
    <w:rsid w:val="00E662FD"/>
    <w:rsid w:val="00E721CE"/>
    <w:rsid w:val="00E7250F"/>
    <w:rsid w:val="00E72FD0"/>
    <w:rsid w:val="00E757D0"/>
    <w:rsid w:val="00E767BE"/>
    <w:rsid w:val="00E81357"/>
    <w:rsid w:val="00E83BBC"/>
    <w:rsid w:val="00E83D52"/>
    <w:rsid w:val="00E84340"/>
    <w:rsid w:val="00E8671C"/>
    <w:rsid w:val="00E90298"/>
    <w:rsid w:val="00E916A2"/>
    <w:rsid w:val="00E91930"/>
    <w:rsid w:val="00E97BC9"/>
    <w:rsid w:val="00EA576D"/>
    <w:rsid w:val="00EA6D4F"/>
    <w:rsid w:val="00EA6FB1"/>
    <w:rsid w:val="00EA716A"/>
    <w:rsid w:val="00EA7EA8"/>
    <w:rsid w:val="00EB3CAE"/>
    <w:rsid w:val="00EC0A15"/>
    <w:rsid w:val="00EC6A97"/>
    <w:rsid w:val="00EC7ACE"/>
    <w:rsid w:val="00ED41EB"/>
    <w:rsid w:val="00EE0DF5"/>
    <w:rsid w:val="00EE412B"/>
    <w:rsid w:val="00EE4D98"/>
    <w:rsid w:val="00EF08FD"/>
    <w:rsid w:val="00EF4605"/>
    <w:rsid w:val="00EF4ACB"/>
    <w:rsid w:val="00EF68C3"/>
    <w:rsid w:val="00F00674"/>
    <w:rsid w:val="00F03321"/>
    <w:rsid w:val="00F034F1"/>
    <w:rsid w:val="00F03635"/>
    <w:rsid w:val="00F0455E"/>
    <w:rsid w:val="00F0609A"/>
    <w:rsid w:val="00F06562"/>
    <w:rsid w:val="00F1230D"/>
    <w:rsid w:val="00F14BCE"/>
    <w:rsid w:val="00F16C61"/>
    <w:rsid w:val="00F21042"/>
    <w:rsid w:val="00F21FAC"/>
    <w:rsid w:val="00F229BF"/>
    <w:rsid w:val="00F24D53"/>
    <w:rsid w:val="00F273A1"/>
    <w:rsid w:val="00F31637"/>
    <w:rsid w:val="00F3264E"/>
    <w:rsid w:val="00F36014"/>
    <w:rsid w:val="00F36E18"/>
    <w:rsid w:val="00F37BC2"/>
    <w:rsid w:val="00F43DAD"/>
    <w:rsid w:val="00F45857"/>
    <w:rsid w:val="00F459C0"/>
    <w:rsid w:val="00F513EB"/>
    <w:rsid w:val="00F516BA"/>
    <w:rsid w:val="00F5236B"/>
    <w:rsid w:val="00F5252A"/>
    <w:rsid w:val="00F54266"/>
    <w:rsid w:val="00F552D2"/>
    <w:rsid w:val="00F5679F"/>
    <w:rsid w:val="00F60D6A"/>
    <w:rsid w:val="00F60F15"/>
    <w:rsid w:val="00F62708"/>
    <w:rsid w:val="00F645F6"/>
    <w:rsid w:val="00F6460E"/>
    <w:rsid w:val="00F64CB4"/>
    <w:rsid w:val="00F65889"/>
    <w:rsid w:val="00F67C36"/>
    <w:rsid w:val="00F72398"/>
    <w:rsid w:val="00F72814"/>
    <w:rsid w:val="00F7299F"/>
    <w:rsid w:val="00F74CC9"/>
    <w:rsid w:val="00F7573F"/>
    <w:rsid w:val="00F77106"/>
    <w:rsid w:val="00F8338A"/>
    <w:rsid w:val="00F85B48"/>
    <w:rsid w:val="00F861AE"/>
    <w:rsid w:val="00F86E01"/>
    <w:rsid w:val="00F871D7"/>
    <w:rsid w:val="00F87FB6"/>
    <w:rsid w:val="00F90065"/>
    <w:rsid w:val="00F90098"/>
    <w:rsid w:val="00F909A3"/>
    <w:rsid w:val="00F9205E"/>
    <w:rsid w:val="00F92FA5"/>
    <w:rsid w:val="00F935BD"/>
    <w:rsid w:val="00F95E98"/>
    <w:rsid w:val="00F96051"/>
    <w:rsid w:val="00F96889"/>
    <w:rsid w:val="00F97BF3"/>
    <w:rsid w:val="00FA1547"/>
    <w:rsid w:val="00FA21B8"/>
    <w:rsid w:val="00FA6309"/>
    <w:rsid w:val="00FA6319"/>
    <w:rsid w:val="00FA772C"/>
    <w:rsid w:val="00FA7C7B"/>
    <w:rsid w:val="00FB14CA"/>
    <w:rsid w:val="00FB26DE"/>
    <w:rsid w:val="00FB45EF"/>
    <w:rsid w:val="00FB46DD"/>
    <w:rsid w:val="00FB59D6"/>
    <w:rsid w:val="00FB656A"/>
    <w:rsid w:val="00FB7019"/>
    <w:rsid w:val="00FC522B"/>
    <w:rsid w:val="00FC5DD9"/>
    <w:rsid w:val="00FD0798"/>
    <w:rsid w:val="00FD0A30"/>
    <w:rsid w:val="00FD1A80"/>
    <w:rsid w:val="00FE18D0"/>
    <w:rsid w:val="00FE2D77"/>
    <w:rsid w:val="00FE2DF7"/>
    <w:rsid w:val="00FE2F0A"/>
    <w:rsid w:val="00FE3BB7"/>
    <w:rsid w:val="00FF2A10"/>
    <w:rsid w:val="00FF3968"/>
    <w:rsid w:val="00FF557B"/>
    <w:rsid w:val="00FF57B7"/>
    <w:rsid w:val="00FF6E25"/>
    <w:rsid w:val="00FF739B"/>
    <w:rsid w:val="04F1C576"/>
    <w:rsid w:val="055F929F"/>
    <w:rsid w:val="0A17E794"/>
    <w:rsid w:val="0B4BFD88"/>
    <w:rsid w:val="135B9A0D"/>
    <w:rsid w:val="19EEDD4F"/>
    <w:rsid w:val="1C052383"/>
    <w:rsid w:val="1FF20D12"/>
    <w:rsid w:val="203929EF"/>
    <w:rsid w:val="28AED7C1"/>
    <w:rsid w:val="2970C338"/>
    <w:rsid w:val="31B7FF91"/>
    <w:rsid w:val="37AC7873"/>
    <w:rsid w:val="38700BB4"/>
    <w:rsid w:val="3CA49231"/>
    <w:rsid w:val="3D9AED3D"/>
    <w:rsid w:val="3F2D509A"/>
    <w:rsid w:val="4153FE7B"/>
    <w:rsid w:val="41987513"/>
    <w:rsid w:val="419AC2ED"/>
    <w:rsid w:val="45693A5D"/>
    <w:rsid w:val="47384C0E"/>
    <w:rsid w:val="4C2BA888"/>
    <w:rsid w:val="4E77FB6D"/>
    <w:rsid w:val="51604774"/>
    <w:rsid w:val="519F2E96"/>
    <w:rsid w:val="59147F0D"/>
    <w:rsid w:val="595417DD"/>
    <w:rsid w:val="5D2B87DA"/>
    <w:rsid w:val="60D5C4AA"/>
    <w:rsid w:val="695295F9"/>
    <w:rsid w:val="6B2DCD9B"/>
    <w:rsid w:val="6DFE54CC"/>
    <w:rsid w:val="6F2337A0"/>
    <w:rsid w:val="70702752"/>
    <w:rsid w:val="76BFB3D6"/>
    <w:rsid w:val="784684A0"/>
    <w:rsid w:val="78A8EE55"/>
    <w:rsid w:val="790654AF"/>
    <w:rsid w:val="7C704EBF"/>
    <w:rsid w:val="7DD82A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B888580B-70E2-47A9-A5CE-85B4FA43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paragraph" w:customStyle="1" w:styleId="Definition">
    <w:name w:val="Definition"/>
    <w:basedOn w:val="Normal"/>
    <w:uiPriority w:val="1"/>
    <w:rsid w:val="60D5C4AA"/>
    <w:pPr>
      <w:spacing w:before="180"/>
      <w:ind w:left="1134"/>
    </w:pPr>
    <w:rPr>
      <w:rFonts w:eastAsiaTheme="minorEastAsia"/>
      <w:sz w:val="22"/>
      <w:lang w:eastAsia="en-AU"/>
    </w:rPr>
  </w:style>
  <w:style w:type="paragraph" w:customStyle="1" w:styleId="MBPoint">
    <w:name w:val="MB Point"/>
    <w:basedOn w:val="ListParagraph"/>
    <w:link w:val="MBPointChar"/>
    <w:qFormat/>
    <w:rsid w:val="00B04D90"/>
    <w:pPr>
      <w:numPr>
        <w:numId w:val="15"/>
      </w:numPr>
      <w:spacing w:after="60" w:line="240" w:lineRule="auto"/>
      <w:contextualSpacing w:val="0"/>
    </w:pPr>
    <w:rPr>
      <w:rFonts w:ascii="Arial" w:hAnsi="Arial" w:cs="Times New Roman"/>
      <w:sz w:val="22"/>
      <w:szCs w:val="24"/>
    </w:rPr>
  </w:style>
  <w:style w:type="character" w:customStyle="1" w:styleId="MBPointChar">
    <w:name w:val="MB Point Char"/>
    <w:basedOn w:val="DefaultParagraphFont"/>
    <w:link w:val="MBPoint"/>
    <w:rsid w:val="00B04D90"/>
    <w:rPr>
      <w:rFonts w:ascii="Arial" w:hAnsi="Arial"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754981409">
      <w:bodyDiv w:val="1"/>
      <w:marLeft w:val="0"/>
      <w:marRight w:val="0"/>
      <w:marTop w:val="0"/>
      <w:marBottom w:val="0"/>
      <w:divBdr>
        <w:top w:val="none" w:sz="0" w:space="0" w:color="auto"/>
        <w:left w:val="none" w:sz="0" w:space="0" w:color="auto"/>
        <w:bottom w:val="none" w:sz="0" w:space="0" w:color="auto"/>
        <w:right w:val="none" w:sz="0" w:space="0" w:color="auto"/>
      </w:divBdr>
      <w:divsChild>
        <w:div w:id="1614744284">
          <w:marLeft w:val="0"/>
          <w:marRight w:val="0"/>
          <w:marTop w:val="0"/>
          <w:marBottom w:val="0"/>
          <w:divBdr>
            <w:top w:val="none" w:sz="0" w:space="0" w:color="auto"/>
            <w:left w:val="none" w:sz="0" w:space="0" w:color="auto"/>
            <w:bottom w:val="none" w:sz="0" w:space="0" w:color="auto"/>
            <w:right w:val="none" w:sz="0" w:space="0" w:color="auto"/>
          </w:divBdr>
        </w:div>
        <w:div w:id="1713267691">
          <w:marLeft w:val="0"/>
          <w:marRight w:val="0"/>
          <w:marTop w:val="0"/>
          <w:marBottom w:val="0"/>
          <w:divBdr>
            <w:top w:val="none" w:sz="0" w:space="0" w:color="auto"/>
            <w:left w:val="none" w:sz="0" w:space="0" w:color="auto"/>
            <w:bottom w:val="none" w:sz="0" w:space="0" w:color="auto"/>
            <w:right w:val="none" w:sz="0" w:space="0" w:color="auto"/>
          </w:divBdr>
        </w:div>
      </w:divsChild>
    </w:div>
    <w:div w:id="1124038293">
      <w:bodyDiv w:val="1"/>
      <w:marLeft w:val="0"/>
      <w:marRight w:val="0"/>
      <w:marTop w:val="0"/>
      <w:marBottom w:val="0"/>
      <w:divBdr>
        <w:top w:val="none" w:sz="0" w:space="0" w:color="auto"/>
        <w:left w:val="none" w:sz="0" w:space="0" w:color="auto"/>
        <w:bottom w:val="none" w:sz="0" w:space="0" w:color="auto"/>
        <w:right w:val="none" w:sz="0" w:space="0" w:color="auto"/>
      </w:divBdr>
    </w:div>
    <w:div w:id="1209418463">
      <w:bodyDiv w:val="1"/>
      <w:marLeft w:val="0"/>
      <w:marRight w:val="0"/>
      <w:marTop w:val="0"/>
      <w:marBottom w:val="0"/>
      <w:divBdr>
        <w:top w:val="none" w:sz="0" w:space="0" w:color="auto"/>
        <w:left w:val="none" w:sz="0" w:space="0" w:color="auto"/>
        <w:bottom w:val="none" w:sz="0" w:space="0" w:color="auto"/>
        <w:right w:val="none" w:sz="0" w:space="0" w:color="auto"/>
      </w:divBdr>
    </w:div>
    <w:div w:id="1343513924">
      <w:bodyDiv w:val="1"/>
      <w:marLeft w:val="0"/>
      <w:marRight w:val="0"/>
      <w:marTop w:val="0"/>
      <w:marBottom w:val="0"/>
      <w:divBdr>
        <w:top w:val="none" w:sz="0" w:space="0" w:color="auto"/>
        <w:left w:val="none" w:sz="0" w:space="0" w:color="auto"/>
        <w:bottom w:val="none" w:sz="0" w:space="0" w:color="auto"/>
        <w:right w:val="none" w:sz="0" w:space="0" w:color="auto"/>
      </w:divBdr>
    </w:div>
    <w:div w:id="1349912605">
      <w:bodyDiv w:val="1"/>
      <w:marLeft w:val="0"/>
      <w:marRight w:val="0"/>
      <w:marTop w:val="0"/>
      <w:marBottom w:val="0"/>
      <w:divBdr>
        <w:top w:val="none" w:sz="0" w:space="0" w:color="auto"/>
        <w:left w:val="none" w:sz="0" w:space="0" w:color="auto"/>
        <w:bottom w:val="none" w:sz="0" w:space="0" w:color="auto"/>
        <w:right w:val="none" w:sz="0" w:space="0" w:color="auto"/>
      </w:divBdr>
    </w:div>
    <w:div w:id="1406564212">
      <w:bodyDiv w:val="1"/>
      <w:marLeft w:val="0"/>
      <w:marRight w:val="0"/>
      <w:marTop w:val="0"/>
      <w:marBottom w:val="0"/>
      <w:divBdr>
        <w:top w:val="none" w:sz="0" w:space="0" w:color="auto"/>
        <w:left w:val="none" w:sz="0" w:space="0" w:color="auto"/>
        <w:bottom w:val="none" w:sz="0" w:space="0" w:color="auto"/>
        <w:right w:val="none" w:sz="0" w:space="0" w:color="auto"/>
      </w:divBdr>
      <w:divsChild>
        <w:div w:id="732391143">
          <w:marLeft w:val="0"/>
          <w:marRight w:val="0"/>
          <w:marTop w:val="0"/>
          <w:marBottom w:val="0"/>
          <w:divBdr>
            <w:top w:val="none" w:sz="0" w:space="0" w:color="auto"/>
            <w:left w:val="none" w:sz="0" w:space="0" w:color="auto"/>
            <w:bottom w:val="none" w:sz="0" w:space="0" w:color="auto"/>
            <w:right w:val="none" w:sz="0" w:space="0" w:color="auto"/>
          </w:divBdr>
        </w:div>
        <w:div w:id="2003313609">
          <w:marLeft w:val="0"/>
          <w:marRight w:val="0"/>
          <w:marTop w:val="0"/>
          <w:marBottom w:val="0"/>
          <w:divBdr>
            <w:top w:val="none" w:sz="0" w:space="0" w:color="auto"/>
            <w:left w:val="none" w:sz="0" w:space="0" w:color="auto"/>
            <w:bottom w:val="none" w:sz="0" w:space="0" w:color="auto"/>
            <w:right w:val="none" w:sz="0" w:space="0" w:color="auto"/>
          </w:divBdr>
        </w:div>
      </w:divsChild>
    </w:div>
    <w:div w:id="20825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6760764-669C-461C-B8CA-D0E9272D67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EBB476FF9013846AF57679B89BBE91E" ma:contentTypeVersion="" ma:contentTypeDescription="PDMS Document Site Content Type" ma:contentTypeScope="" ma:versionID="14dc105df431965a5344b02c6d4885d4">
  <xsd:schema xmlns:xsd="http://www.w3.org/2001/XMLSchema" xmlns:xs="http://www.w3.org/2001/XMLSchema" xmlns:p="http://schemas.microsoft.com/office/2006/metadata/properties" xmlns:ns2="26760764-669C-461C-B8CA-D0E9272D678B" targetNamespace="http://schemas.microsoft.com/office/2006/metadata/properties" ma:root="true" ma:fieldsID="5d4c6e5facca1c41ae0a08ed2f581c46" ns2:_="">
    <xsd:import namespace="26760764-669C-461C-B8CA-D0E9272D678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60764-669C-461C-B8CA-D0E9272D678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F429-4198-4ECD-8E59-23F01B09005A}">
  <ds:schemaRefs>
    <ds:schemaRef ds:uri="http://schemas.microsoft.com/office/2006/documentManagement/types"/>
    <ds:schemaRef ds:uri="26760764-669C-461C-B8CA-D0E9272D678B"/>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F0FA02F-0E08-4AEB-8218-76E072137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60764-669C-461C-B8CA-D0E9272D6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2358</Words>
  <Characters>13445</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Jessica</dc:creator>
  <cp:keywords/>
  <cp:lastModifiedBy>NIGHTINGALE,Craig</cp:lastModifiedBy>
  <cp:revision>2</cp:revision>
  <cp:lastPrinted>2019-11-19T13:12:00Z</cp:lastPrinted>
  <dcterms:created xsi:type="dcterms:W3CDTF">2025-08-15T00:25:00Z</dcterms:created>
  <dcterms:modified xsi:type="dcterms:W3CDTF">2025-08-15T00:25:00Z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0x010100266966F133664895A6EE3632470D45F500FEBB476FF9013846AF57679B89BBE91E</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y fmtid="{D5CDD505-2E9C-101B-9397-08002B2CF9AE}" pid="18" name="MediaServiceImageTags">
    <vt:lpwstr/>
  </property>
</Properties>
</file>