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5D10" w14:textId="7A90F34D" w:rsidR="002113B5" w:rsidRPr="00E9130A" w:rsidRDefault="002113B5" w:rsidP="002113B5">
      <w:pPr>
        <w:pStyle w:val="Header"/>
        <w:tabs>
          <w:tab w:val="clear" w:pos="4153"/>
          <w:tab w:val="clear" w:pos="8306"/>
        </w:tabs>
        <w:jc w:val="center"/>
        <w:rPr>
          <w:b/>
          <w:bCs/>
        </w:rPr>
      </w:pPr>
      <w:r>
        <w:rPr>
          <w:b/>
          <w:bCs/>
        </w:rPr>
        <w:t xml:space="preserve">Australia New Zealand Food Standards Code – Schedule 20 – Maximum Residue Limits Variation Instrument </w:t>
      </w:r>
      <w:r w:rsidRPr="00E9130A">
        <w:rPr>
          <w:b/>
          <w:bCs/>
        </w:rPr>
        <w:t xml:space="preserve">No. APVMA </w:t>
      </w:r>
      <w:r w:rsidR="004D0AA8" w:rsidRPr="00E9130A">
        <w:rPr>
          <w:b/>
          <w:bCs/>
        </w:rPr>
        <w:t>2</w:t>
      </w:r>
      <w:r w:rsidRPr="00E9130A">
        <w:rPr>
          <w:b/>
          <w:bCs/>
        </w:rPr>
        <w:t xml:space="preserve"> </w:t>
      </w:r>
      <w:r w:rsidR="004D0AA8" w:rsidRPr="00E9130A">
        <w:rPr>
          <w:b/>
          <w:bCs/>
        </w:rPr>
        <w:t>2025</w:t>
      </w:r>
    </w:p>
    <w:p w14:paraId="009C8558" w14:textId="77777777" w:rsidR="00AB6D21" w:rsidRPr="00E9130A" w:rsidRDefault="00AB6D21" w:rsidP="00AB6D21">
      <w:pPr>
        <w:spacing w:before="280"/>
        <w:contextualSpacing/>
        <w:jc w:val="center"/>
        <w:rPr>
          <w:b/>
          <w:caps/>
          <w:spacing w:val="-10"/>
          <w:kern w:val="28"/>
          <w:szCs w:val="56"/>
        </w:rPr>
      </w:pPr>
      <w:r w:rsidRPr="00E9130A">
        <w:rPr>
          <w:b/>
          <w:caps/>
          <w:spacing w:val="-10"/>
          <w:kern w:val="28"/>
          <w:szCs w:val="56"/>
        </w:rPr>
        <w:t>Explanatory Statement</w:t>
      </w:r>
    </w:p>
    <w:p w14:paraId="0FB427BF" w14:textId="77777777" w:rsidR="00AB6D21" w:rsidRPr="00E9130A" w:rsidRDefault="00AB6D21" w:rsidP="00460FEB">
      <w:pPr>
        <w:jc w:val="center"/>
        <w:rPr>
          <w:rFonts w:eastAsia="Calibri"/>
          <w:sz w:val="22"/>
          <w:szCs w:val="22"/>
        </w:rPr>
      </w:pPr>
      <w:r w:rsidRPr="00E9130A">
        <w:rPr>
          <w:rFonts w:eastAsia="Calibri"/>
          <w:sz w:val="22"/>
          <w:szCs w:val="22"/>
        </w:rPr>
        <w:t>Issued by the Australian Pesticides and Veterinary Medicines Authority</w:t>
      </w:r>
    </w:p>
    <w:p w14:paraId="0D659103" w14:textId="037E77EA" w:rsidR="00AB6D21" w:rsidRPr="00E9130A" w:rsidRDefault="00AB6D21" w:rsidP="00BA6584">
      <w:pPr>
        <w:pBdr>
          <w:bottom w:val="single" w:sz="4" w:space="1" w:color="auto"/>
        </w:pBdr>
        <w:rPr>
          <w:rFonts w:eastAsia="Calibri"/>
          <w:sz w:val="16"/>
          <w:szCs w:val="16"/>
        </w:rPr>
      </w:pPr>
    </w:p>
    <w:p w14:paraId="3AE759A6" w14:textId="77777777" w:rsidR="002B3719" w:rsidRPr="00E9130A" w:rsidRDefault="002B3719" w:rsidP="004B3720">
      <w:pPr>
        <w:pStyle w:val="Heading1"/>
        <w:spacing w:before="240"/>
      </w:pPr>
      <w:bookmarkStart w:id="0" w:name="_Hlk204253884"/>
      <w:r w:rsidRPr="00E9130A">
        <w:t>Introduction</w:t>
      </w:r>
    </w:p>
    <w:p w14:paraId="586716C9" w14:textId="3FF75AC5" w:rsidR="002B3719" w:rsidRPr="00E9130A" w:rsidRDefault="002B3719" w:rsidP="004B3720">
      <w:pPr>
        <w:spacing w:before="240"/>
      </w:pPr>
      <w:r w:rsidRPr="00E9130A">
        <w:t>The Australian Pesticides and Veterinary Medicines Authority (</w:t>
      </w:r>
      <w:r w:rsidRPr="00E9130A">
        <w:rPr>
          <w:b/>
          <w:bCs/>
        </w:rPr>
        <w:t>APVMA</w:t>
      </w:r>
      <w:r w:rsidRPr="00E9130A">
        <w:t xml:space="preserve">) is a statutory authority continued in existence under section 6 of the </w:t>
      </w:r>
      <w:r w:rsidRPr="00E9130A">
        <w:rPr>
          <w:i/>
          <w:iCs/>
        </w:rPr>
        <w:t>Agricultural and Veterinary Chemicals (Administration) Act 1992</w:t>
      </w:r>
      <w:r w:rsidRPr="00E9130A">
        <w:t>. Its functions and powers include administering the national system for regulation of agricultural and veterinary chemical products (</w:t>
      </w:r>
      <w:r w:rsidRPr="00E9130A">
        <w:rPr>
          <w:b/>
          <w:bCs/>
        </w:rPr>
        <w:t>agvet chemicals</w:t>
      </w:r>
      <w:r w:rsidRPr="00E9130A">
        <w:t xml:space="preserve">), and exercising the powers and functions conferred on it by the Agricultural and Veterinary Chemicals Code, as scheduled to the </w:t>
      </w:r>
      <w:r w:rsidRPr="00E9130A">
        <w:rPr>
          <w:i/>
          <w:iCs/>
        </w:rPr>
        <w:t>Agricultural and Veterinary Chemicals Code Act 1994</w:t>
      </w:r>
      <w:r w:rsidRPr="00E9130A">
        <w:t xml:space="preserve">. </w:t>
      </w:r>
    </w:p>
    <w:p w14:paraId="05E202ED" w14:textId="252BFFB0" w:rsidR="002B3719" w:rsidRPr="00E9130A" w:rsidRDefault="002B3719" w:rsidP="004B3720">
      <w:pPr>
        <w:spacing w:before="240"/>
      </w:pPr>
      <w:r w:rsidRPr="00E9130A">
        <w:t xml:space="preserve">The APVMA is also responsible for ensuring agvet chemicals used in Australia are not harmful to </w:t>
      </w:r>
      <w:r w:rsidR="00A822E4" w:rsidRPr="00E9130A">
        <w:t xml:space="preserve">human </w:t>
      </w:r>
      <w:r w:rsidRPr="00E9130A">
        <w:t xml:space="preserve">health due to residues in food. The APVMA has the powers to </w:t>
      </w:r>
      <w:r w:rsidR="00A024B6" w:rsidRPr="00E9130A">
        <w:t xml:space="preserve">set or </w:t>
      </w:r>
      <w:r w:rsidRPr="00E9130A">
        <w:t>vary maximum residue limits (</w:t>
      </w:r>
      <w:r w:rsidRPr="00E9130A">
        <w:rPr>
          <w:b/>
          <w:bCs/>
        </w:rPr>
        <w:t>MRLs</w:t>
      </w:r>
      <w:r w:rsidRPr="00E9130A">
        <w:t xml:space="preserve">) under the </w:t>
      </w:r>
      <w:r w:rsidRPr="00E9130A">
        <w:rPr>
          <w:i/>
          <w:iCs/>
        </w:rPr>
        <w:t>Food Standards Australia New Zealand Act 1991</w:t>
      </w:r>
      <w:r w:rsidRPr="00E9130A">
        <w:t xml:space="preserve"> (</w:t>
      </w:r>
      <w:r w:rsidRPr="00E9130A">
        <w:rPr>
          <w:b/>
          <w:bCs/>
        </w:rPr>
        <w:t>FSANZ Act</w:t>
      </w:r>
      <w:r w:rsidRPr="00E9130A">
        <w:t xml:space="preserve">) for this purpose. </w:t>
      </w:r>
    </w:p>
    <w:p w14:paraId="1B4446B2" w14:textId="08F38593" w:rsidR="00DB479A" w:rsidRPr="00E9130A" w:rsidRDefault="00DB479A" w:rsidP="004B3720">
      <w:pPr>
        <w:pStyle w:val="Heading1"/>
        <w:spacing w:before="240"/>
        <w:rPr>
          <w:b w:val="0"/>
          <w:bCs w:val="0"/>
          <w:i/>
          <w:iCs/>
        </w:rPr>
      </w:pPr>
      <w:r w:rsidRPr="00E9130A">
        <w:rPr>
          <w:b w:val="0"/>
          <w:bCs w:val="0"/>
          <w:i/>
          <w:iCs/>
        </w:rPr>
        <w:t>Setting MRLs</w:t>
      </w:r>
    </w:p>
    <w:p w14:paraId="163CA83C" w14:textId="481711F7" w:rsidR="00A822E4" w:rsidRPr="00E9130A" w:rsidRDefault="002B3719" w:rsidP="004B3720">
      <w:pPr>
        <w:spacing w:before="240"/>
      </w:pPr>
      <w:r w:rsidRPr="00E9130A">
        <w:t xml:space="preserve">In evaluating the safety </w:t>
      </w:r>
      <w:r w:rsidR="00A822E4" w:rsidRPr="00E9130A">
        <w:t xml:space="preserve">and efficacy </w:t>
      </w:r>
      <w:r w:rsidRPr="00E9130A">
        <w:t>of agvet chemicals, the APVMA’s assessment includes a determination of MRL</w:t>
      </w:r>
      <w:r w:rsidR="00A822E4" w:rsidRPr="00E9130A">
        <w:t>s</w:t>
      </w:r>
      <w:r w:rsidRPr="00E9130A">
        <w:t xml:space="preserve"> </w:t>
      </w:r>
      <w:r w:rsidR="002B1EAD" w:rsidRPr="00E9130A">
        <w:t xml:space="preserve">for agvet chemicals </w:t>
      </w:r>
      <w:r w:rsidRPr="00E9130A">
        <w:t xml:space="preserve">in relation to relevant </w:t>
      </w:r>
      <w:r w:rsidR="00A822E4" w:rsidRPr="00E9130A">
        <w:t xml:space="preserve">plant </w:t>
      </w:r>
      <w:r w:rsidRPr="00E9130A">
        <w:t>and animal</w:t>
      </w:r>
      <w:r w:rsidR="00A822E4" w:rsidRPr="00E9130A">
        <w:t xml:space="preserve"> commodit</w:t>
      </w:r>
      <w:r w:rsidR="003D3D89" w:rsidRPr="00E9130A">
        <w:t>ies</w:t>
      </w:r>
      <w:r w:rsidRPr="00E9130A">
        <w:t xml:space="preserve">. </w:t>
      </w:r>
    </w:p>
    <w:p w14:paraId="430156F6" w14:textId="0893A6E9" w:rsidR="007C2DFB" w:rsidRPr="00E9130A" w:rsidRDefault="002B3719" w:rsidP="004B3720">
      <w:pPr>
        <w:spacing w:before="240"/>
      </w:pPr>
      <w:r w:rsidRPr="00E9130A">
        <w:t xml:space="preserve">The APVMA uses data from residue trials </w:t>
      </w:r>
      <w:r w:rsidR="00A822E4" w:rsidRPr="00E9130A">
        <w:t xml:space="preserve">to </w:t>
      </w:r>
      <w:r w:rsidRPr="00E9130A">
        <w:t xml:space="preserve">calculate whether the application of the minimum amount of agvet chemical that is required to achieve effective pest or disease control will leave any residue in the plant or animal commodity. </w:t>
      </w:r>
      <w:r w:rsidR="00A822E4" w:rsidRPr="00E9130A">
        <w:t>T</w:t>
      </w:r>
      <w:r w:rsidRPr="00E9130A">
        <w:t xml:space="preserve">he APVMA </w:t>
      </w:r>
      <w:r w:rsidR="00DB479A" w:rsidRPr="00E9130A">
        <w:t xml:space="preserve">also </w:t>
      </w:r>
      <w:r w:rsidRPr="00E9130A">
        <w:t xml:space="preserve">uses </w:t>
      </w:r>
      <w:r w:rsidR="006B34F4" w:rsidRPr="00E9130A">
        <w:t xml:space="preserve">a </w:t>
      </w:r>
      <w:r w:rsidRPr="00E9130A">
        <w:t>toxicological evaluation and a dietary exposure assessment to examine the potential occurrence of adverse effects on human health</w:t>
      </w:r>
      <w:r w:rsidR="00A822E4" w:rsidRPr="00E9130A">
        <w:t xml:space="preserve"> where the plant or animal commodit</w:t>
      </w:r>
      <w:r w:rsidR="00337D38" w:rsidRPr="00E9130A">
        <w:t>ies</w:t>
      </w:r>
      <w:r w:rsidR="00A822E4" w:rsidRPr="00E9130A">
        <w:t xml:space="preserve"> will be consumed as food</w:t>
      </w:r>
      <w:r w:rsidRPr="00E9130A">
        <w:t>.</w:t>
      </w:r>
    </w:p>
    <w:p w14:paraId="7328E553" w14:textId="54628E92" w:rsidR="00A822E4" w:rsidRPr="00E9130A" w:rsidRDefault="007C2DFB" w:rsidP="004B3720">
      <w:pPr>
        <w:spacing w:before="240"/>
      </w:pPr>
      <w:r w:rsidRPr="00E9130A">
        <w:t xml:space="preserve">If a residue from agvet chemical use is present, the APVMA sets a MRL through the </w:t>
      </w:r>
      <w:r w:rsidR="006A6F37" w:rsidRPr="00E9130A">
        <w:rPr>
          <w:i/>
          <w:iCs/>
        </w:rPr>
        <w:t>Agricultural and Veterinary Chemicals (</w:t>
      </w:r>
      <w:bookmarkStart w:id="1" w:name="_Hlk205383073"/>
      <w:r w:rsidR="006A6F37" w:rsidRPr="00E9130A">
        <w:rPr>
          <w:i/>
          <w:iCs/>
        </w:rPr>
        <w:t>MRL Standard for Residues of Chemical Products</w:t>
      </w:r>
      <w:bookmarkEnd w:id="1"/>
      <w:r w:rsidR="006A6F37" w:rsidRPr="00E9130A">
        <w:rPr>
          <w:i/>
          <w:iCs/>
        </w:rPr>
        <w:t xml:space="preserve">) Instrument 2023 </w:t>
      </w:r>
      <w:r w:rsidRPr="00E9130A">
        <w:t>(</w:t>
      </w:r>
      <w:bookmarkStart w:id="2" w:name="_Hlk205385440"/>
      <w:r w:rsidR="006A6F37" w:rsidRPr="00E9130A">
        <w:rPr>
          <w:b/>
          <w:bCs/>
        </w:rPr>
        <w:t>MRL Standard for Residues of Chemical Product</w:t>
      </w:r>
      <w:r w:rsidR="0051203A" w:rsidRPr="00E9130A">
        <w:rPr>
          <w:b/>
          <w:bCs/>
        </w:rPr>
        <w:t>s</w:t>
      </w:r>
      <w:bookmarkEnd w:id="2"/>
      <w:r w:rsidRPr="00E9130A">
        <w:t xml:space="preserve">) and </w:t>
      </w:r>
      <w:r w:rsidR="00F44179" w:rsidRPr="00E9130A">
        <w:t xml:space="preserve">the </w:t>
      </w:r>
      <w:r w:rsidR="0051203A" w:rsidRPr="00E9130A">
        <w:rPr>
          <w:i/>
          <w:iCs/>
        </w:rPr>
        <w:t xml:space="preserve">Australia New Zealand Food Standards Code – Schedule 20 – Maximum residue limits </w:t>
      </w:r>
      <w:r w:rsidR="0051203A" w:rsidRPr="00E9130A">
        <w:t>(</w:t>
      </w:r>
      <w:bookmarkStart w:id="3" w:name="_Hlk205384624"/>
      <w:r w:rsidR="0051203A" w:rsidRPr="00E9130A">
        <w:rPr>
          <w:b/>
          <w:bCs/>
        </w:rPr>
        <w:t>Maximum Residue Limits Standard</w:t>
      </w:r>
      <w:bookmarkEnd w:id="3"/>
      <w:r w:rsidR="0051203A" w:rsidRPr="00E9130A">
        <w:t>)</w:t>
      </w:r>
      <w:r w:rsidR="00A822E4" w:rsidRPr="00E9130A">
        <w:t xml:space="preserve">. </w:t>
      </w:r>
    </w:p>
    <w:p w14:paraId="66C1D8F9" w14:textId="4D6FEE8D" w:rsidR="009527B3" w:rsidRPr="00E9130A" w:rsidRDefault="004B3720" w:rsidP="004B3720">
      <w:pPr>
        <w:spacing w:before="240"/>
        <w:rPr>
          <w:szCs w:val="22"/>
        </w:rPr>
      </w:pPr>
      <w:r w:rsidRPr="00E9130A">
        <w:t xml:space="preserve">The </w:t>
      </w:r>
      <w:r w:rsidR="00F44179" w:rsidRPr="00E9130A">
        <w:t>Maximum Residue Limits Standard</w:t>
      </w:r>
      <w:r w:rsidR="00F44179" w:rsidRPr="00E9130A" w:rsidDel="00F44179">
        <w:t xml:space="preserve"> </w:t>
      </w:r>
      <w:r w:rsidRPr="00E9130A">
        <w:t xml:space="preserve">identifies agvet chemicals, and their permitted residues for the purposes of section 1.4.2—4 of the </w:t>
      </w:r>
      <w:r w:rsidR="00361C30" w:rsidRPr="00E9130A">
        <w:rPr>
          <w:i/>
          <w:iCs/>
        </w:rPr>
        <w:t>Australia New Zealand Food Standards Code</w:t>
      </w:r>
      <w:r w:rsidR="00361C30" w:rsidRPr="00E9130A">
        <w:t> (</w:t>
      </w:r>
      <w:r w:rsidR="00361C30" w:rsidRPr="00E9130A">
        <w:rPr>
          <w:b/>
          <w:bCs/>
        </w:rPr>
        <w:t>Food Standards Code</w:t>
      </w:r>
      <w:r w:rsidR="00361C30" w:rsidRPr="00E9130A">
        <w:t>)</w:t>
      </w:r>
      <w:r w:rsidRPr="00E9130A">
        <w:t>. Section 1.4.2—4 provides that a food listed in the</w:t>
      </w:r>
      <w:r w:rsidR="0017195E" w:rsidRPr="00E9130A">
        <w:t xml:space="preserve"> </w:t>
      </w:r>
      <w:r w:rsidR="00F44179" w:rsidRPr="00E9130A">
        <w:t xml:space="preserve">Maximum Residue Limits Standard </w:t>
      </w:r>
      <w:r w:rsidRPr="00E9130A">
        <w:t>may contain a permitted residue of an agvet chemical that is listed in that Standard for that food.</w:t>
      </w:r>
      <w:r w:rsidR="009527B3" w:rsidRPr="00E9130A">
        <w:t xml:space="preserve"> </w:t>
      </w:r>
    </w:p>
    <w:p w14:paraId="35D10EC5" w14:textId="0ECAFE05" w:rsidR="00BA3EB4" w:rsidRPr="00E9130A" w:rsidRDefault="004B3720" w:rsidP="004B3720">
      <w:pPr>
        <w:spacing w:before="240"/>
        <w:rPr>
          <w:szCs w:val="22"/>
        </w:rPr>
      </w:pPr>
      <w:r w:rsidRPr="00E9130A">
        <w:rPr>
          <w:szCs w:val="22"/>
        </w:rPr>
        <w:t xml:space="preserve">From time to time the APVMA varies the MRLs it has set. </w:t>
      </w:r>
      <w:r w:rsidR="002B3719" w:rsidRPr="00E9130A">
        <w:rPr>
          <w:szCs w:val="22"/>
        </w:rPr>
        <w:t xml:space="preserve">Variations in MRLs reflect the changing use patterns of agvet chemicals available to chemical users including food producers. These changes include both the development of new products </w:t>
      </w:r>
      <w:r w:rsidR="00A56239" w:rsidRPr="00E9130A">
        <w:rPr>
          <w:szCs w:val="22"/>
        </w:rPr>
        <w:t xml:space="preserve">or new uses on </w:t>
      </w:r>
      <w:r w:rsidR="002B3719" w:rsidRPr="00E9130A">
        <w:rPr>
          <w:szCs w:val="22"/>
        </w:rPr>
        <w:t>crop</w:t>
      </w:r>
      <w:r w:rsidR="00F44179" w:rsidRPr="00E9130A">
        <w:rPr>
          <w:szCs w:val="22"/>
        </w:rPr>
        <w:t>s</w:t>
      </w:r>
      <w:r w:rsidR="002B3719" w:rsidRPr="00E9130A">
        <w:rPr>
          <w:szCs w:val="22"/>
        </w:rPr>
        <w:t>, and the withdrawal of older products following review by the APVMA.</w:t>
      </w:r>
    </w:p>
    <w:p w14:paraId="6EAF229C" w14:textId="4256B78C" w:rsidR="002B3719" w:rsidRPr="00E9130A" w:rsidRDefault="002B3719" w:rsidP="004B3720">
      <w:pPr>
        <w:spacing w:before="240"/>
        <w:rPr>
          <w:szCs w:val="22"/>
        </w:rPr>
      </w:pPr>
    </w:p>
    <w:p w14:paraId="2B3649AA" w14:textId="77777777" w:rsidR="00460FEB" w:rsidRPr="00E9130A" w:rsidRDefault="00460FEB" w:rsidP="004B3720">
      <w:pPr>
        <w:pStyle w:val="Heading1"/>
        <w:spacing w:before="240"/>
      </w:pPr>
      <w:r w:rsidRPr="00E9130A">
        <w:t>Authority</w:t>
      </w:r>
    </w:p>
    <w:p w14:paraId="4451B0B7" w14:textId="6D57061A" w:rsidR="003D3D89" w:rsidRPr="00E9130A" w:rsidRDefault="00460FEB" w:rsidP="004B3720">
      <w:pPr>
        <w:spacing w:before="240"/>
      </w:pPr>
      <w:r w:rsidRPr="00E9130A">
        <w:t>Section 82 of the FSANZ Act authorises the APVMA to amend the</w:t>
      </w:r>
      <w:r w:rsidR="0017195E" w:rsidRPr="00E9130A">
        <w:t xml:space="preserve"> </w:t>
      </w:r>
      <w:r w:rsidR="00F44179" w:rsidRPr="00E9130A">
        <w:t>Maximum Residue Limits Standard</w:t>
      </w:r>
      <w:r w:rsidRPr="00E9130A">
        <w:t xml:space="preserve"> to </w:t>
      </w:r>
      <w:bookmarkStart w:id="4" w:name="_Hlk205385312"/>
      <w:r w:rsidRPr="00E9130A">
        <w:t xml:space="preserve">set or vary </w:t>
      </w:r>
      <w:bookmarkEnd w:id="4"/>
      <w:r w:rsidRPr="00E9130A">
        <w:t>MRLs</w:t>
      </w:r>
      <w:r w:rsidR="009527B3" w:rsidRPr="00E9130A">
        <w:t>.</w:t>
      </w:r>
    </w:p>
    <w:p w14:paraId="1CA91814" w14:textId="028C4EC2" w:rsidR="00460FEB" w:rsidRPr="00E9130A" w:rsidRDefault="00460FEB" w:rsidP="004B3720">
      <w:pPr>
        <w:spacing w:before="240"/>
      </w:pPr>
      <w:r w:rsidRPr="00E9130A">
        <w:t xml:space="preserve">The APVMA may, in accordance with subsection 82(1) of the FSANZ Act, vary the Maximum Residue Limits Standard to include or change a permitted MRL. </w:t>
      </w:r>
    </w:p>
    <w:p w14:paraId="1E0D6C51" w14:textId="46686735" w:rsidR="00460FEB" w:rsidRPr="00E9130A" w:rsidRDefault="00460FEB" w:rsidP="004B3720">
      <w:pPr>
        <w:spacing w:before="240"/>
      </w:pPr>
      <w:r w:rsidRPr="00E9130A">
        <w:t>The Maximum Residue Limits Standard only applies to MRLs for agvet chemicals in food in Australia. The Australia New Zealand Joint Food Standards Agreement between the Government of Australia and the Government of New Zealand establishing a system for the development of joint food standards for Australia and New Zealand excludes MRLs for residues of agvet chemicals in food as a joint standard in the joint Australia New Zealand food standards system. Australia and New Zealand independently and separately develop MRLs for agvet chemicals in food.</w:t>
      </w:r>
    </w:p>
    <w:p w14:paraId="040129FC" w14:textId="7AE50D3C" w:rsidR="00460FEB" w:rsidRPr="00E9130A" w:rsidRDefault="00460FEB" w:rsidP="004B3720">
      <w:pPr>
        <w:spacing w:before="240"/>
      </w:pPr>
      <w:r w:rsidRPr="00E9130A">
        <w:t xml:space="preserve">The </w:t>
      </w:r>
      <w:r w:rsidRPr="00E9130A">
        <w:rPr>
          <w:i/>
          <w:iCs/>
        </w:rPr>
        <w:t>Australia New Zealand Food Standards Code</w:t>
      </w:r>
      <w:r w:rsidRPr="00E9130A">
        <w:t xml:space="preserve"> – Schedule 20 – Maximum Residue Limits Variation Instrument No. APVMA </w:t>
      </w:r>
      <w:r w:rsidR="004D0AA8" w:rsidRPr="00E9130A">
        <w:t>2</w:t>
      </w:r>
      <w:r w:rsidRPr="00E9130A">
        <w:t xml:space="preserve"> </w:t>
      </w:r>
      <w:r w:rsidR="004D0AA8" w:rsidRPr="00E9130A">
        <w:t>2025</w:t>
      </w:r>
      <w:r w:rsidRPr="00E9130A">
        <w:t xml:space="preserve"> (</w:t>
      </w:r>
      <w:r w:rsidRPr="00E9130A">
        <w:rPr>
          <w:b/>
          <w:bCs/>
        </w:rPr>
        <w:t>Amending Instrument</w:t>
      </w:r>
      <w:r w:rsidRPr="00E9130A">
        <w:t>) is a legislative instrument (subsection 82(2) of the FSANZ Act).</w:t>
      </w:r>
    </w:p>
    <w:p w14:paraId="6A299C55" w14:textId="6265D8D3" w:rsidR="00460FEB" w:rsidRPr="00E9130A" w:rsidRDefault="00460FEB" w:rsidP="004B3720">
      <w:pPr>
        <w:pStyle w:val="Heading1"/>
        <w:spacing w:before="240"/>
        <w:rPr>
          <w:szCs w:val="26"/>
        </w:rPr>
      </w:pPr>
      <w:r w:rsidRPr="00E9130A">
        <w:t>Purpose</w:t>
      </w:r>
    </w:p>
    <w:p w14:paraId="352C9E6E" w14:textId="449CE8B8" w:rsidR="00460FEB" w:rsidRPr="00E9130A" w:rsidRDefault="00460FEB" w:rsidP="004B3720">
      <w:pPr>
        <w:spacing w:before="240"/>
      </w:pPr>
      <w:r w:rsidRPr="00E9130A">
        <w:rPr>
          <w:iCs/>
        </w:rPr>
        <w:t xml:space="preserve">The purpose of the Amending </w:t>
      </w:r>
      <w:r w:rsidRPr="00E9130A">
        <w:t xml:space="preserve">Instrument is to </w:t>
      </w:r>
      <w:r w:rsidR="00885F5D" w:rsidRPr="00E9130A">
        <w:t>amend</w:t>
      </w:r>
      <w:r w:rsidRPr="00E9130A">
        <w:t xml:space="preserve"> the Maximum Residue Limits</w:t>
      </w:r>
      <w:r w:rsidR="00885F5D" w:rsidRPr="00E9130A">
        <w:t xml:space="preserve"> Standard</w:t>
      </w:r>
      <w:r w:rsidRPr="00E9130A">
        <w:t xml:space="preserve"> to </w:t>
      </w:r>
      <w:r w:rsidR="00B87651" w:rsidRPr="00E9130A">
        <w:t>set or vary</w:t>
      </w:r>
      <w:r w:rsidR="00885F5D" w:rsidRPr="00E9130A">
        <w:t xml:space="preserve"> </w:t>
      </w:r>
      <w:r w:rsidRPr="00E9130A">
        <w:t>MRL</w:t>
      </w:r>
      <w:r w:rsidR="00951817" w:rsidRPr="00E9130A">
        <w:t>s</w:t>
      </w:r>
      <w:r w:rsidRPr="00E9130A">
        <w:t xml:space="preserve">. The Amending Instrument will </w:t>
      </w:r>
      <w:r w:rsidR="00361C30" w:rsidRPr="00E9130A">
        <w:t xml:space="preserve">set or </w:t>
      </w:r>
      <w:r w:rsidR="00885F5D" w:rsidRPr="00E9130A">
        <w:t>vary</w:t>
      </w:r>
      <w:r w:rsidR="00361C30" w:rsidRPr="00E9130A">
        <w:t xml:space="preserve"> MRLs in</w:t>
      </w:r>
      <w:r w:rsidRPr="00E9130A">
        <w:t xml:space="preserve"> the Maximum Residue Limits Standard to align with MRLs approved by the APVMA as part of the registration of agvet chemical products and published in the </w:t>
      </w:r>
      <w:r w:rsidR="00B87651" w:rsidRPr="00E9130A">
        <w:t>MRL Standard for Residues of Chemical Products</w:t>
      </w:r>
      <w:r w:rsidR="00DD2246" w:rsidRPr="00E9130A">
        <w:t xml:space="preserve"> </w:t>
      </w:r>
      <w:r w:rsidRPr="00E9130A">
        <w:t xml:space="preserve">(available at </w:t>
      </w:r>
      <w:r w:rsidR="00B87651" w:rsidRPr="00E9130A">
        <w:rPr>
          <w:u w:val="single"/>
        </w:rPr>
        <w:t>https://www.legislation.gov.au/F2023L01350/latest/versions</w:t>
      </w:r>
      <w:r w:rsidR="00361C30" w:rsidRPr="00E9130A">
        <w:rPr>
          <w:u w:val="single"/>
        </w:rPr>
        <w:t>)</w:t>
      </w:r>
      <w:r w:rsidR="00A024B6" w:rsidRPr="00E9130A">
        <w:t xml:space="preserve">. </w:t>
      </w:r>
    </w:p>
    <w:p w14:paraId="2A8F2173" w14:textId="1E8E8C14" w:rsidR="00504014" w:rsidRPr="00E9130A" w:rsidRDefault="00504014" w:rsidP="004B3720">
      <w:pPr>
        <w:spacing w:before="240"/>
      </w:pPr>
      <w:r w:rsidRPr="00E9130A">
        <w:t>Recent dietary exposure assessments undertaken by the APVMA as part of the registration of the relevant chemical products indicate that the MRL variation</w:t>
      </w:r>
      <w:r w:rsidR="009527B3" w:rsidRPr="00E9130A">
        <w:t>s or inclusion</w:t>
      </w:r>
      <w:r w:rsidRPr="00E9130A">
        <w:t>s being made by th</w:t>
      </w:r>
      <w:r w:rsidR="009527B3" w:rsidRPr="00E9130A">
        <w:t>e Amending I</w:t>
      </w:r>
      <w:r w:rsidRPr="00E9130A">
        <w:t xml:space="preserve">nstrument do not present any </w:t>
      </w:r>
      <w:r w:rsidR="009527B3" w:rsidRPr="00E9130A">
        <w:t>human</w:t>
      </w:r>
      <w:r w:rsidRPr="00E9130A">
        <w:t xml:space="preserve"> health and safety concerns.</w:t>
      </w:r>
    </w:p>
    <w:p w14:paraId="3E544EAB" w14:textId="53A04735" w:rsidR="009527B3" w:rsidRPr="00E9130A" w:rsidRDefault="009527B3" w:rsidP="009527B3">
      <w:pPr>
        <w:spacing w:before="240"/>
      </w:pPr>
      <w:r w:rsidRPr="00E9130A">
        <w:rPr>
          <w:szCs w:val="22"/>
        </w:rPr>
        <w:t xml:space="preserve">Inclusion of MRLs in foods in the </w:t>
      </w:r>
      <w:r w:rsidR="00885F5D" w:rsidRPr="00E9130A">
        <w:rPr>
          <w:szCs w:val="22"/>
        </w:rPr>
        <w:t xml:space="preserve">Maximum Residue Limits Standard </w:t>
      </w:r>
      <w:r w:rsidRPr="00E9130A">
        <w:rPr>
          <w:szCs w:val="22"/>
        </w:rPr>
        <w:t>permits the sale of food containing legitimate residues, where any residues do not exceed these limits.</w:t>
      </w:r>
    </w:p>
    <w:p w14:paraId="5DDB34F0" w14:textId="2796D97E" w:rsidR="00460FEB" w:rsidRPr="00E9130A" w:rsidRDefault="00460FEB" w:rsidP="004B3720">
      <w:pPr>
        <w:pStyle w:val="Heading1"/>
        <w:spacing w:before="240"/>
      </w:pPr>
      <w:r w:rsidRPr="00E9130A">
        <w:t>Impact Analysis</w:t>
      </w:r>
    </w:p>
    <w:p w14:paraId="610C683F" w14:textId="77777777" w:rsidR="00460FEB" w:rsidRPr="00E9130A" w:rsidRDefault="00460FEB" w:rsidP="004B3720">
      <w:pPr>
        <w:spacing w:before="240"/>
        <w:rPr>
          <w:iCs/>
        </w:rPr>
      </w:pPr>
      <w:r w:rsidRPr="00E9130A">
        <w:rPr>
          <w:iCs/>
        </w:rPr>
        <w:t>The Office of Impact Analysis (OIA) has granted Food Standards Australia New Zealand (</w:t>
      </w:r>
      <w:r w:rsidRPr="00E9130A">
        <w:rPr>
          <w:b/>
          <w:bCs/>
          <w:iCs/>
        </w:rPr>
        <w:t>FSANZ</w:t>
      </w:r>
      <w:r w:rsidRPr="00E9130A">
        <w:rPr>
          <w:iCs/>
        </w:rPr>
        <w:t>) a standing exemption for the necessity for the OIA to assess if a full impact analysis is required for variations related to MRLs (OIA23-06225 (formerly 12065)).</w:t>
      </w:r>
    </w:p>
    <w:p w14:paraId="34082AEE" w14:textId="77777777" w:rsidR="00460FEB" w:rsidRPr="00E9130A" w:rsidRDefault="00460FEB" w:rsidP="004B3720">
      <w:pPr>
        <w:spacing w:before="240"/>
        <w:rPr>
          <w:szCs w:val="22"/>
        </w:rPr>
      </w:pPr>
      <w:r w:rsidRPr="00E9130A">
        <w:rPr>
          <w:szCs w:val="22"/>
        </w:rPr>
        <w:t xml:space="preserve">Similarly, the OIA has granted the APVMA a standing exemption for the making of an existing MRLs standard as a legislative instrument (OIA23-06119 (formerly 14469)). The proposal to vary MRLs in the Food Standards Code is likely to have negligible impacts on business, individuals, regulatory agencies or the economy.  </w:t>
      </w:r>
    </w:p>
    <w:p w14:paraId="60097BDB" w14:textId="73092697" w:rsidR="00460FEB" w:rsidRPr="00E9130A" w:rsidRDefault="00460FEB" w:rsidP="004B3720">
      <w:pPr>
        <w:pStyle w:val="Heading1"/>
        <w:spacing w:before="240"/>
      </w:pPr>
      <w:r w:rsidRPr="00E9130A">
        <w:lastRenderedPageBreak/>
        <w:t>Consultation</w:t>
      </w:r>
    </w:p>
    <w:p w14:paraId="69F65214" w14:textId="1E575852" w:rsidR="00460FEB" w:rsidRPr="00E9130A" w:rsidRDefault="00460FEB" w:rsidP="004B3720">
      <w:pPr>
        <w:spacing w:before="240"/>
        <w:rPr>
          <w:rFonts w:eastAsia="Calibri"/>
        </w:rPr>
      </w:pPr>
      <w:r w:rsidRPr="00E9130A">
        <w:rPr>
          <w:rFonts w:eastAsia="Calibri"/>
        </w:rPr>
        <w:t xml:space="preserve">In accordance with section 82(3) of the FSANZ Act, the APVMA notified FSANZ on </w:t>
      </w:r>
      <w:r w:rsidR="004D0AA8" w:rsidRPr="00E9130A">
        <w:rPr>
          <w:rFonts w:eastAsia="Calibri"/>
        </w:rPr>
        <w:t>14 August 2025</w:t>
      </w:r>
      <w:r w:rsidRPr="00E9130A">
        <w:rPr>
          <w:rFonts w:eastAsia="Calibri"/>
        </w:rPr>
        <w:t xml:space="preserve"> before varying the Maximum Residue Limits Standard by way of the Amending Instrument. In accordance with section 82(4)(b) of that Act, and with FSANZ agreement, the APVMA prepared a dietary exposure assessment in relation to the proposed variation, provid</w:t>
      </w:r>
      <w:r w:rsidR="00101E28" w:rsidRPr="00E9130A">
        <w:rPr>
          <w:rFonts w:eastAsia="Calibri"/>
        </w:rPr>
        <w:t>ed</w:t>
      </w:r>
      <w:r w:rsidRPr="00E9130A">
        <w:rPr>
          <w:rFonts w:eastAsia="Calibri"/>
        </w:rPr>
        <w:t xml:space="preserve"> a copy of that assessment to the FSANZ for review.  In accordance with section 82(5)(b) of that Act, the APVMA considered the assessment and the comments on the assessment provided by FSANZ. </w:t>
      </w:r>
    </w:p>
    <w:p w14:paraId="29B7B264" w14:textId="73B2E4F0" w:rsidR="00460FEB" w:rsidRPr="00E9130A" w:rsidRDefault="00460FEB" w:rsidP="004B3720">
      <w:pPr>
        <w:spacing w:before="240"/>
        <w:rPr>
          <w:rFonts w:eastAsia="Calibri"/>
        </w:rPr>
      </w:pPr>
      <w:r w:rsidRPr="00E9130A">
        <w:rPr>
          <w:rFonts w:eastAsia="Calibri"/>
        </w:rPr>
        <w:t xml:space="preserve">The APVMA </w:t>
      </w:r>
      <w:r w:rsidR="00ED0C53" w:rsidRPr="00E9130A">
        <w:rPr>
          <w:rFonts w:eastAsia="Calibri"/>
        </w:rPr>
        <w:t>conducted</w:t>
      </w:r>
      <w:r w:rsidR="0039114F" w:rsidRPr="00E9130A">
        <w:rPr>
          <w:rFonts w:eastAsia="Calibri"/>
        </w:rPr>
        <w:t xml:space="preserve"> a</w:t>
      </w:r>
      <w:r w:rsidRPr="00E9130A">
        <w:rPr>
          <w:rFonts w:eastAsia="Calibri"/>
        </w:rPr>
        <w:t xml:space="preserve"> public consultation as part of its evaluation process for the registration of new agvet chemical products or as part of a major extension of the use of existing products to new crops and target animals. During this consultation phase</w:t>
      </w:r>
      <w:r w:rsidR="0039114F" w:rsidRPr="00E9130A">
        <w:rPr>
          <w:rFonts w:eastAsia="Calibri"/>
        </w:rPr>
        <w:t>,</w:t>
      </w:r>
      <w:r w:rsidRPr="00E9130A">
        <w:rPr>
          <w:rFonts w:eastAsia="Calibri"/>
        </w:rPr>
        <w:t xml:space="preserve"> any person could comment or raise concerns about any relevant aspect of the intended registration, sale or use of the agvet chemical product, including proposed MRLs and the dietary exposure assessment. </w:t>
      </w:r>
    </w:p>
    <w:p w14:paraId="07437A1A" w14:textId="6BD0BE61" w:rsidR="00460FEB" w:rsidRPr="00E9130A" w:rsidRDefault="00460FEB" w:rsidP="004B3720">
      <w:pPr>
        <w:spacing w:before="240"/>
      </w:pPr>
      <w:r w:rsidRPr="00E9130A">
        <w:rPr>
          <w:szCs w:val="22"/>
        </w:rPr>
        <w:t xml:space="preserve">More specifically, by way of notice in the Agricultural and Veterinary Chemicals </w:t>
      </w:r>
      <w:r w:rsidRPr="00E9130A">
        <w:rPr>
          <w:i/>
          <w:iCs/>
          <w:szCs w:val="22"/>
        </w:rPr>
        <w:t>Gazette</w:t>
      </w:r>
      <w:r w:rsidRPr="00E9130A">
        <w:rPr>
          <w:szCs w:val="22"/>
        </w:rPr>
        <w:t xml:space="preserve"> (No. APVMA </w:t>
      </w:r>
      <w:r w:rsidR="004D0AA8" w:rsidRPr="00E9130A">
        <w:rPr>
          <w:szCs w:val="22"/>
        </w:rPr>
        <w:t>25</w:t>
      </w:r>
      <w:r w:rsidRPr="00E9130A">
        <w:rPr>
          <w:szCs w:val="22"/>
        </w:rPr>
        <w:t xml:space="preserve">) on </w:t>
      </w:r>
      <w:r w:rsidR="004D0AA8" w:rsidRPr="00E9130A">
        <w:rPr>
          <w:szCs w:val="22"/>
        </w:rPr>
        <w:t>10</w:t>
      </w:r>
      <w:r w:rsidRPr="00E9130A">
        <w:rPr>
          <w:szCs w:val="22"/>
        </w:rPr>
        <w:t xml:space="preserve"> </w:t>
      </w:r>
      <w:r w:rsidR="004D0AA8" w:rsidRPr="00E9130A">
        <w:rPr>
          <w:szCs w:val="22"/>
        </w:rPr>
        <w:t>December</w:t>
      </w:r>
      <w:r w:rsidRPr="00E9130A">
        <w:rPr>
          <w:szCs w:val="22"/>
        </w:rPr>
        <w:t xml:space="preserve"> </w:t>
      </w:r>
      <w:r w:rsidR="004D0AA8" w:rsidRPr="00E9130A">
        <w:rPr>
          <w:szCs w:val="22"/>
        </w:rPr>
        <w:t>202</w:t>
      </w:r>
      <w:r w:rsidR="00085EA1">
        <w:rPr>
          <w:szCs w:val="22"/>
        </w:rPr>
        <w:t>4</w:t>
      </w:r>
      <w:r w:rsidR="00E31400" w:rsidRPr="00E9130A">
        <w:rPr>
          <w:szCs w:val="22"/>
        </w:rPr>
        <w:t xml:space="preserve">, </w:t>
      </w:r>
      <w:r w:rsidRPr="00E9130A">
        <w:rPr>
          <w:szCs w:val="22"/>
        </w:rPr>
        <w:t>the APVMA notified that it was proposing to vary the Maximum Residue Limits Standard to include or change a permitted MRL in that Standard and it invited public comment</w:t>
      </w:r>
      <w:r w:rsidR="00CF789A" w:rsidRPr="00E9130A">
        <w:rPr>
          <w:szCs w:val="22"/>
        </w:rPr>
        <w:t>s</w:t>
      </w:r>
      <w:r w:rsidRPr="00E9130A">
        <w:rPr>
          <w:szCs w:val="22"/>
        </w:rPr>
        <w:t xml:space="preserve"> on the proposal. The APVMA</w:t>
      </w:r>
      <w:r w:rsidR="007D5798" w:rsidRPr="00E9130A">
        <w:rPr>
          <w:szCs w:val="22"/>
        </w:rPr>
        <w:t xml:space="preserve"> received a number of comments within the given response period</w:t>
      </w:r>
      <w:r w:rsidRPr="00E9130A">
        <w:rPr>
          <w:szCs w:val="22"/>
        </w:rPr>
        <w:t xml:space="preserve">. All comments on the proposed variations were considered and addressed. </w:t>
      </w:r>
    </w:p>
    <w:p w14:paraId="42AFEDC5" w14:textId="60867479" w:rsidR="00460FEB" w:rsidRPr="00E9130A" w:rsidRDefault="00460FEB" w:rsidP="004B3720">
      <w:pPr>
        <w:spacing w:before="240"/>
        <w:rPr>
          <w:caps/>
          <w:szCs w:val="32"/>
        </w:rPr>
      </w:pPr>
      <w:r w:rsidRPr="00E9130A">
        <w:rPr>
          <w:szCs w:val="22"/>
        </w:rPr>
        <w:t>A Sanitary and Phytosanitary notification to the World Trade Organization (</w:t>
      </w:r>
      <w:r w:rsidRPr="00E9130A">
        <w:rPr>
          <w:b/>
          <w:bCs/>
          <w:szCs w:val="22"/>
        </w:rPr>
        <w:t>WTO</w:t>
      </w:r>
      <w:r w:rsidRPr="00E9130A">
        <w:rPr>
          <w:szCs w:val="22"/>
        </w:rPr>
        <w:t>) was also made in relation to the proposed variations to MRLs in the Maximum Residue Limits Standard. The APVMA receive</w:t>
      </w:r>
      <w:r w:rsidR="007D5798" w:rsidRPr="00E9130A">
        <w:rPr>
          <w:szCs w:val="22"/>
        </w:rPr>
        <w:t>d a number of submissions from the notification</w:t>
      </w:r>
      <w:r w:rsidRPr="00E9130A">
        <w:rPr>
          <w:szCs w:val="22"/>
        </w:rPr>
        <w:t xml:space="preserve">. Every submission on the proposed variations was considered and addressed. </w:t>
      </w:r>
    </w:p>
    <w:p w14:paraId="018FC103" w14:textId="517FA0BE" w:rsidR="00460FEB" w:rsidRPr="00E9130A" w:rsidRDefault="00460FEB" w:rsidP="004B3720">
      <w:pPr>
        <w:pStyle w:val="Heading1"/>
        <w:spacing w:before="240"/>
      </w:pPr>
      <w:r w:rsidRPr="00E9130A">
        <w:t>Disallowance and sunsetting</w:t>
      </w:r>
    </w:p>
    <w:p w14:paraId="40BE5365" w14:textId="10A58040" w:rsidR="00460FEB" w:rsidRPr="00E9130A" w:rsidRDefault="00460FEB" w:rsidP="004B3720">
      <w:pPr>
        <w:spacing w:before="240"/>
        <w:rPr>
          <w:szCs w:val="26"/>
        </w:rPr>
      </w:pPr>
      <w:r w:rsidRPr="00E9130A">
        <w:rPr>
          <w:szCs w:val="26"/>
        </w:rPr>
        <w:t xml:space="preserve">The Amending Instrument is not subject to the disallowance or sunsetting provisions of </w:t>
      </w:r>
      <w:r w:rsidRPr="00E9130A">
        <w:rPr>
          <w:rFonts w:eastAsia="Calibri"/>
        </w:rPr>
        <w:t xml:space="preserve">the </w:t>
      </w:r>
      <w:r w:rsidRPr="00E9130A">
        <w:rPr>
          <w:rFonts w:eastAsia="Calibri"/>
          <w:i/>
          <w:iCs/>
        </w:rPr>
        <w:t xml:space="preserve">Legislation Act 2003 </w:t>
      </w:r>
      <w:r w:rsidRPr="00E9130A">
        <w:rPr>
          <w:rFonts w:eastAsia="Calibri"/>
        </w:rPr>
        <w:t>(</w:t>
      </w:r>
      <w:r w:rsidRPr="00E9130A">
        <w:rPr>
          <w:rFonts w:eastAsia="Calibri"/>
          <w:b/>
          <w:bCs/>
        </w:rPr>
        <w:t>Legislation Act</w:t>
      </w:r>
      <w:r w:rsidRPr="00E9130A">
        <w:rPr>
          <w:rFonts w:eastAsia="Calibri"/>
        </w:rPr>
        <w:t>)</w:t>
      </w:r>
      <w:r w:rsidRPr="00E9130A">
        <w:rPr>
          <w:szCs w:val="26"/>
        </w:rPr>
        <w:t xml:space="preserve">. Subsections 44(1) and 54(1) of the Legislation Act provide that a legislative instrument is not disallowable or subject to sunsetting if the enabling legislation for the instrument (in this case, the FSANZ Act) facilitates the establishment or operation of an intergovernmental scheme involving the Commonwealth and one or more States; and (b) authorises the instrument to be made for the purposes of the scheme. </w:t>
      </w:r>
    </w:p>
    <w:p w14:paraId="60922D1F" w14:textId="6C2BBE23" w:rsidR="00460FEB" w:rsidRPr="00E9130A" w:rsidRDefault="00460FEB" w:rsidP="004B3720">
      <w:pPr>
        <w:spacing w:before="240"/>
        <w:rPr>
          <w:szCs w:val="26"/>
        </w:rPr>
      </w:pPr>
      <w:r w:rsidRPr="00E9130A">
        <w:rPr>
          <w:szCs w:val="26"/>
        </w:rPr>
        <w:t>The FSANZ Act gives effect to an intergovernmental agreement (the Food Regulation Agreement) and facilitates the establishment or operation of an intergovernmental scheme (national uniform food regulation). For these purposes, the Act establishes FSANZ to develop food standards for consideration and endorsement by the Food Ministers Meeting (</w:t>
      </w:r>
      <w:r w:rsidRPr="00E9130A">
        <w:rPr>
          <w:b/>
          <w:bCs/>
          <w:szCs w:val="26"/>
        </w:rPr>
        <w:t>FMM</w:t>
      </w:r>
      <w:r w:rsidRPr="00E9130A">
        <w:rPr>
          <w:szCs w:val="26"/>
        </w:rPr>
        <w:t xml:space="preserve">). The FMM is established under the Food Regulation Agreement and a related international agreement between Australia and New Zealand; it consists of New Zealand, Commonwealth and State/Territory members. If endorsed by the FMM, the food standards on gazettal and registration are incorporated into and become part of Commonwealth, State and Territory and New Zealand food laws. The standards or instruments are then administered, applied and enforced by these </w:t>
      </w:r>
      <w:r w:rsidRPr="00E9130A">
        <w:rPr>
          <w:szCs w:val="26"/>
        </w:rPr>
        <w:lastRenderedPageBreak/>
        <w:t xml:space="preserve">jurisdictions’ regulators as part of those food laws.  These standards include the </w:t>
      </w:r>
      <w:r w:rsidRPr="00E9130A">
        <w:rPr>
          <w:szCs w:val="22"/>
        </w:rPr>
        <w:t>Maximum Residue Limits Standard</w:t>
      </w:r>
      <w:r w:rsidRPr="00E9130A">
        <w:rPr>
          <w:szCs w:val="26"/>
        </w:rPr>
        <w:t xml:space="preserve">. </w:t>
      </w:r>
    </w:p>
    <w:bookmarkEnd w:id="0"/>
    <w:p w14:paraId="683BAA78" w14:textId="2EB424AA" w:rsidR="00CF1349" w:rsidRPr="00E9130A" w:rsidRDefault="0088708D" w:rsidP="004B3720">
      <w:pPr>
        <w:pStyle w:val="Heading1"/>
        <w:spacing w:before="240"/>
        <w:rPr>
          <w:rFonts w:eastAsia="Calibri"/>
        </w:rPr>
      </w:pPr>
      <w:r w:rsidRPr="00E9130A">
        <w:t>Statement of compatibility with human rights obligations</w:t>
      </w:r>
    </w:p>
    <w:p w14:paraId="0D8B4722" w14:textId="602F530C" w:rsidR="00CF1349" w:rsidRPr="00E9130A" w:rsidRDefault="00CF1349" w:rsidP="004B3720">
      <w:pPr>
        <w:spacing w:before="240"/>
        <w:rPr>
          <w:rFonts w:eastAsia="Calibri"/>
          <w:caps/>
          <w:szCs w:val="32"/>
          <w:u w:val="single"/>
        </w:rPr>
      </w:pPr>
      <w:r w:rsidRPr="00E9130A">
        <w:rPr>
          <w:szCs w:val="26"/>
        </w:rPr>
        <w:t>This instrument is exempt from the requirements for a statement of compatibility with human rights as it is a non-disallowable instrument under section 44 of the Legislation Act.</w:t>
      </w:r>
    </w:p>
    <w:p w14:paraId="5CF3B84B" w14:textId="147DC6CC" w:rsidR="00CF1349" w:rsidRPr="00E9130A" w:rsidRDefault="00CF1349" w:rsidP="004B3720">
      <w:pPr>
        <w:pStyle w:val="Heading1"/>
        <w:spacing w:before="240"/>
      </w:pPr>
      <w:r w:rsidRPr="00E9130A">
        <w:t>More information</w:t>
      </w:r>
    </w:p>
    <w:p w14:paraId="6B2DDC84" w14:textId="31F1222C" w:rsidR="0047129B" w:rsidRPr="00E9130A" w:rsidRDefault="00141FAA" w:rsidP="004B3720">
      <w:pPr>
        <w:spacing w:before="240"/>
        <w:rPr>
          <w:rFonts w:eastAsia="Calibri"/>
          <w:caps/>
          <w:szCs w:val="32"/>
          <w:u w:val="single"/>
        </w:rPr>
      </w:pPr>
      <w:bookmarkStart w:id="5" w:name="_Hlk204254865"/>
      <w:bookmarkStart w:id="6" w:name="_Hlk204254983"/>
      <w:r w:rsidRPr="00E9130A">
        <w:rPr>
          <w:rFonts w:eastAsia="Calibri"/>
        </w:rPr>
        <w:t xml:space="preserve">A </w:t>
      </w:r>
      <w:bookmarkEnd w:id="5"/>
      <w:r w:rsidRPr="00E9130A">
        <w:rPr>
          <w:rFonts w:eastAsia="Calibri"/>
        </w:rPr>
        <w:t xml:space="preserve">provision-by-provision explanation of the </w:t>
      </w:r>
      <w:r w:rsidR="006B4293" w:rsidRPr="00E9130A">
        <w:rPr>
          <w:rFonts w:eastAsia="Calibri"/>
        </w:rPr>
        <w:t>variation</w:t>
      </w:r>
      <w:r w:rsidR="00066B0A" w:rsidRPr="00E9130A">
        <w:rPr>
          <w:rFonts w:eastAsia="Calibri"/>
        </w:rPr>
        <w:t xml:space="preserve"> made by the </w:t>
      </w:r>
      <w:r w:rsidR="00691B87" w:rsidRPr="00E9130A">
        <w:rPr>
          <w:rFonts w:eastAsia="Calibri"/>
        </w:rPr>
        <w:t xml:space="preserve">Amending </w:t>
      </w:r>
      <w:r w:rsidR="00066B0A" w:rsidRPr="00E9130A">
        <w:rPr>
          <w:rFonts w:eastAsia="Calibri"/>
        </w:rPr>
        <w:t>Instrument</w:t>
      </w:r>
      <w:r w:rsidRPr="00E9130A">
        <w:rPr>
          <w:rFonts w:eastAsia="Calibri"/>
        </w:rPr>
        <w:t xml:space="preserve"> is provided i</w:t>
      </w:r>
      <w:bookmarkEnd w:id="6"/>
      <w:r w:rsidRPr="00E9130A">
        <w:rPr>
          <w:rFonts w:eastAsia="Calibri"/>
        </w:rPr>
        <w:t xml:space="preserve">n </w:t>
      </w:r>
      <w:r w:rsidRPr="00E9130A">
        <w:rPr>
          <w:rFonts w:eastAsia="Calibri"/>
          <w:u w:val="single"/>
        </w:rPr>
        <w:t xml:space="preserve">Attachment </w:t>
      </w:r>
      <w:r w:rsidR="001522D3" w:rsidRPr="00E9130A">
        <w:rPr>
          <w:rFonts w:eastAsia="Calibri"/>
          <w:u w:val="single"/>
        </w:rPr>
        <w:t>A</w:t>
      </w:r>
      <w:r w:rsidRPr="00E9130A">
        <w:rPr>
          <w:rFonts w:eastAsia="Calibri"/>
        </w:rPr>
        <w:t>.</w:t>
      </w:r>
      <w:bookmarkStart w:id="7" w:name="_Toc290210739"/>
    </w:p>
    <w:p w14:paraId="365261C6" w14:textId="77777777" w:rsidR="001522D3" w:rsidRPr="00E9130A" w:rsidRDefault="001522D3" w:rsidP="004B3720">
      <w:pPr>
        <w:spacing w:before="240"/>
        <w:rPr>
          <w:rFonts w:eastAsia="Calibri"/>
          <w:bCs/>
          <w:caps/>
          <w:szCs w:val="32"/>
          <w:u w:val="single"/>
        </w:rPr>
      </w:pPr>
    </w:p>
    <w:p w14:paraId="435E9C6C" w14:textId="6AFA168D" w:rsidR="0047129B" w:rsidRPr="00E9130A" w:rsidRDefault="0047129B">
      <w:pPr>
        <w:rPr>
          <w:rFonts w:eastAsia="Calibri"/>
          <w:b/>
          <w:caps/>
          <w:szCs w:val="32"/>
          <w:u w:val="single"/>
        </w:rPr>
      </w:pPr>
      <w:r w:rsidRPr="00E9130A">
        <w:rPr>
          <w:rFonts w:eastAsia="Calibri"/>
          <w:b/>
          <w:caps/>
          <w:szCs w:val="32"/>
          <w:u w:val="single"/>
        </w:rPr>
        <w:br w:type="page"/>
      </w:r>
    </w:p>
    <w:bookmarkEnd w:id="7"/>
    <w:p w14:paraId="04670C2F" w14:textId="58CC94DA" w:rsidR="00047050" w:rsidRPr="00E9130A" w:rsidRDefault="00047050" w:rsidP="00047050">
      <w:pPr>
        <w:keepNext/>
        <w:keepLines/>
        <w:tabs>
          <w:tab w:val="left" w:pos="6946"/>
        </w:tabs>
        <w:spacing w:before="280"/>
        <w:jc w:val="right"/>
        <w:outlineLvl w:val="0"/>
        <w:rPr>
          <w:rFonts w:eastAsia="Calibri"/>
          <w:b/>
          <w:caps/>
          <w:szCs w:val="32"/>
        </w:rPr>
      </w:pPr>
      <w:r w:rsidRPr="00E9130A">
        <w:rPr>
          <w:rFonts w:eastAsia="Calibri"/>
          <w:b/>
          <w:caps/>
          <w:szCs w:val="32"/>
          <w:u w:val="single"/>
        </w:rPr>
        <w:lastRenderedPageBreak/>
        <w:t xml:space="preserve">Attachment </w:t>
      </w:r>
      <w:r w:rsidR="001522D3" w:rsidRPr="00E9130A">
        <w:rPr>
          <w:rFonts w:eastAsia="Calibri"/>
          <w:b/>
          <w:caps/>
          <w:szCs w:val="32"/>
          <w:u w:val="single"/>
        </w:rPr>
        <w:t>A</w:t>
      </w:r>
    </w:p>
    <w:p w14:paraId="31692B32" w14:textId="5571D0E9" w:rsidR="00696C96" w:rsidRPr="00E9130A" w:rsidRDefault="00696C96" w:rsidP="00047050">
      <w:pPr>
        <w:spacing w:after="240"/>
        <w:rPr>
          <w:b/>
          <w:bCs/>
        </w:rPr>
      </w:pPr>
      <w:r w:rsidRPr="00E9130A">
        <w:rPr>
          <w:b/>
          <w:bCs/>
        </w:rPr>
        <w:t>NOTES ON ITEMS</w:t>
      </w:r>
    </w:p>
    <w:p w14:paraId="2AAAE7CB" w14:textId="77777777" w:rsidR="00696C96" w:rsidRPr="00E9130A" w:rsidRDefault="00696C96">
      <w:pPr>
        <w:pStyle w:val="Heading1"/>
        <w:tabs>
          <w:tab w:val="left" w:pos="1134"/>
        </w:tabs>
        <w:spacing w:after="120"/>
      </w:pPr>
      <w:r w:rsidRPr="00E9130A">
        <w:t>Item 1</w:t>
      </w:r>
      <w:r w:rsidRPr="00E9130A">
        <w:tab/>
        <w:t>Name of Instrument</w:t>
      </w:r>
    </w:p>
    <w:p w14:paraId="798B2D49" w14:textId="72DF69A8" w:rsidR="00696C96" w:rsidRPr="00E9130A" w:rsidRDefault="00696C96">
      <w:r w:rsidRPr="00E9130A">
        <w:t>1.</w:t>
      </w:r>
      <w:r w:rsidRPr="00E9130A">
        <w:tab/>
        <w:t xml:space="preserve">This item states that the full name of the </w:t>
      </w:r>
      <w:r w:rsidR="00982B26" w:rsidRPr="00E9130A">
        <w:rPr>
          <w:iCs/>
        </w:rPr>
        <w:t>Amending Instrument</w:t>
      </w:r>
      <w:r w:rsidR="00982B26" w:rsidRPr="00E9130A" w:rsidDel="00982B26">
        <w:t xml:space="preserve"> </w:t>
      </w:r>
      <w:r w:rsidRPr="00E9130A">
        <w:t xml:space="preserve">is the </w:t>
      </w:r>
      <w:r w:rsidRPr="00E9130A">
        <w:rPr>
          <w:i/>
          <w:iCs/>
        </w:rPr>
        <w:t xml:space="preserve">Australia New Zealand Food Standards Code — </w:t>
      </w:r>
      <w:r w:rsidR="00374428" w:rsidRPr="00E9130A">
        <w:rPr>
          <w:i/>
          <w:iCs/>
        </w:rPr>
        <w:t>Schedule 20</w:t>
      </w:r>
      <w:r w:rsidRPr="00E9130A">
        <w:rPr>
          <w:i/>
          <w:iCs/>
        </w:rPr>
        <w:t xml:space="preserve"> — Maximum Residue Limits</w:t>
      </w:r>
      <w:r w:rsidR="008D48CB" w:rsidRPr="00E9130A">
        <w:rPr>
          <w:i/>
          <w:iCs/>
        </w:rPr>
        <w:t xml:space="preserve"> Variation</w:t>
      </w:r>
      <w:r w:rsidRPr="00E9130A">
        <w:rPr>
          <w:i/>
          <w:iCs/>
        </w:rPr>
        <w:t xml:space="preserve"> Instrument </w:t>
      </w:r>
      <w:r w:rsidR="008B4AD9" w:rsidRPr="00E9130A">
        <w:rPr>
          <w:i/>
          <w:iCs/>
        </w:rPr>
        <w:t xml:space="preserve">No. APVMA </w:t>
      </w:r>
      <w:r w:rsidR="004D0AA8" w:rsidRPr="00E9130A">
        <w:rPr>
          <w:i/>
          <w:iCs/>
        </w:rPr>
        <w:t>2</w:t>
      </w:r>
      <w:r w:rsidR="002F06D9" w:rsidRPr="00E9130A">
        <w:rPr>
          <w:i/>
          <w:iCs/>
        </w:rPr>
        <w:t xml:space="preserve">, </w:t>
      </w:r>
      <w:r w:rsidR="004D0AA8" w:rsidRPr="00E9130A">
        <w:rPr>
          <w:i/>
          <w:iCs/>
        </w:rPr>
        <w:t>2025</w:t>
      </w:r>
      <w:r w:rsidR="00982B26" w:rsidRPr="00E9130A">
        <w:rPr>
          <w:i/>
          <w:iCs/>
        </w:rPr>
        <w:t>.</w:t>
      </w:r>
    </w:p>
    <w:p w14:paraId="6B5541DA" w14:textId="77777777" w:rsidR="00696C96" w:rsidRPr="00E9130A" w:rsidRDefault="00696C96">
      <w:pPr>
        <w:pStyle w:val="Heading1"/>
        <w:tabs>
          <w:tab w:val="left" w:pos="1134"/>
        </w:tabs>
        <w:spacing w:before="120" w:after="120"/>
      </w:pPr>
      <w:r w:rsidRPr="00E9130A">
        <w:t>Item 2</w:t>
      </w:r>
      <w:r w:rsidRPr="00E9130A">
        <w:tab/>
        <w:t>Commencement</w:t>
      </w:r>
    </w:p>
    <w:p w14:paraId="40CC3D9C" w14:textId="5DB7A64C" w:rsidR="00696C96" w:rsidRPr="00E9130A" w:rsidRDefault="00696C96">
      <w:pPr>
        <w:spacing w:after="120"/>
      </w:pPr>
      <w:r w:rsidRPr="00E9130A">
        <w:t>2.</w:t>
      </w:r>
      <w:r w:rsidRPr="00E9130A">
        <w:tab/>
        <w:t xml:space="preserve">Subsection 82(8) of the </w:t>
      </w:r>
      <w:r w:rsidR="00982B26" w:rsidRPr="00E9130A">
        <w:t>FSANZ Act</w:t>
      </w:r>
      <w:r w:rsidRPr="00E9130A">
        <w:t xml:space="preserve"> has the effect that, despite the provisions in the </w:t>
      </w:r>
      <w:r w:rsidR="00DD03CC" w:rsidRPr="00E9130A">
        <w:t>Legislation</w:t>
      </w:r>
      <w:r w:rsidRPr="00E9130A">
        <w:t xml:space="preserve"> Act, a legislative instrument made by the APVMA varying </w:t>
      </w:r>
      <w:r w:rsidR="00137F79" w:rsidRPr="00E9130A">
        <w:t xml:space="preserve">the </w:t>
      </w:r>
      <w:r w:rsidR="00A77B61" w:rsidRPr="00E9130A">
        <w:t xml:space="preserve">Maximum Residue Limits Standard </w:t>
      </w:r>
      <w:r w:rsidRPr="00E9130A">
        <w:t xml:space="preserve">commences on the day a copy of the </w:t>
      </w:r>
      <w:r w:rsidR="00982B26" w:rsidRPr="00E9130A">
        <w:t xml:space="preserve">instrument </w:t>
      </w:r>
      <w:r w:rsidRPr="00E9130A">
        <w:t xml:space="preserve">is published </w:t>
      </w:r>
      <w:r w:rsidR="00A77B61" w:rsidRPr="00E9130A">
        <w:t xml:space="preserve">by the APVMA </w:t>
      </w:r>
      <w:r w:rsidRPr="00E9130A">
        <w:t xml:space="preserve">in the </w:t>
      </w:r>
      <w:r w:rsidRPr="00E9130A">
        <w:rPr>
          <w:i/>
          <w:iCs/>
        </w:rPr>
        <w:t>Gazette</w:t>
      </w:r>
      <w:r w:rsidRPr="00E9130A">
        <w:t>.</w:t>
      </w:r>
    </w:p>
    <w:p w14:paraId="7664556C" w14:textId="42F1D111" w:rsidR="00696C96" w:rsidRPr="00E9130A" w:rsidRDefault="00696C96">
      <w:pPr>
        <w:spacing w:after="120"/>
      </w:pPr>
      <w:r w:rsidRPr="00E9130A">
        <w:t>3.</w:t>
      </w:r>
      <w:r w:rsidRPr="00E9130A">
        <w:tab/>
      </w:r>
      <w:r w:rsidR="008E7804" w:rsidRPr="00E9130A">
        <w:t xml:space="preserve">A Note to item </w:t>
      </w:r>
      <w:r w:rsidR="00137F79" w:rsidRPr="00E9130A">
        <w:t xml:space="preserve">2 </w:t>
      </w:r>
      <w:r w:rsidR="008E7804" w:rsidRPr="00E9130A">
        <w:t xml:space="preserve">records that a copy of the variations made by the </w:t>
      </w:r>
      <w:r w:rsidR="00691B87" w:rsidRPr="00E9130A">
        <w:t xml:space="preserve">Amending </w:t>
      </w:r>
      <w:r w:rsidR="008E7804" w:rsidRPr="00E9130A">
        <w:t>Instrument was published in the Commonwealth of Australia Agricultural and Veterinary Chemicals Gazette.</w:t>
      </w:r>
    </w:p>
    <w:p w14:paraId="022E0294" w14:textId="77777777" w:rsidR="00696C96" w:rsidRPr="00E9130A" w:rsidRDefault="00696C96">
      <w:pPr>
        <w:pStyle w:val="Heading1"/>
        <w:tabs>
          <w:tab w:val="left" w:pos="1134"/>
        </w:tabs>
        <w:spacing w:before="120" w:after="120"/>
      </w:pPr>
      <w:bookmarkStart w:id="8" w:name="_Hlk204176877"/>
      <w:bookmarkStart w:id="9" w:name="_Hlk204176893"/>
      <w:r w:rsidRPr="00E9130A">
        <w:t>Item 3</w:t>
      </w:r>
      <w:bookmarkEnd w:id="8"/>
      <w:r w:rsidRPr="00E9130A">
        <w:tab/>
        <w:t>Object</w:t>
      </w:r>
    </w:p>
    <w:bookmarkEnd w:id="9"/>
    <w:p w14:paraId="3A25A26F" w14:textId="6591BF2D" w:rsidR="00696C96" w:rsidRPr="00E9130A" w:rsidRDefault="00696C96">
      <w:pPr>
        <w:spacing w:after="120"/>
      </w:pPr>
      <w:r w:rsidRPr="00E9130A">
        <w:t>4.</w:t>
      </w:r>
      <w:r w:rsidRPr="00E9130A">
        <w:tab/>
        <w:t xml:space="preserve">This item provides that the object of this </w:t>
      </w:r>
      <w:r w:rsidR="00691B87" w:rsidRPr="00E9130A">
        <w:t xml:space="preserve">Amending </w:t>
      </w:r>
      <w:r w:rsidRPr="00E9130A">
        <w:t xml:space="preserve">Instrument is to vary </w:t>
      </w:r>
      <w:r w:rsidR="00796CCD" w:rsidRPr="00E9130A">
        <w:t xml:space="preserve">the </w:t>
      </w:r>
      <w:r w:rsidR="00CF4BA5" w:rsidRPr="00E9130A">
        <w:t>Maximum Residue Limits Standard (</w:t>
      </w:r>
      <w:r w:rsidR="00F51445" w:rsidRPr="00E9130A">
        <w:t xml:space="preserve">that is, the </w:t>
      </w:r>
      <w:r w:rsidR="00796CCD" w:rsidRPr="00E9130A">
        <w:rPr>
          <w:i/>
          <w:iCs/>
        </w:rPr>
        <w:t>Australia New Zealand Food Standards Code — Schedule 20 — Maximum Residue Limits</w:t>
      </w:r>
      <w:r w:rsidR="00CF4BA5" w:rsidRPr="00E9130A">
        <w:rPr>
          <w:i/>
          <w:iCs/>
        </w:rPr>
        <w:t>)</w:t>
      </w:r>
      <w:r w:rsidR="00796CCD" w:rsidRPr="00E9130A">
        <w:rPr>
          <w:i/>
          <w:iCs/>
        </w:rPr>
        <w:t xml:space="preserve"> </w:t>
      </w:r>
      <w:r w:rsidRPr="00E9130A">
        <w:t>to include or change MRLs pertaining to agricultural and veterinary chemical products.</w:t>
      </w:r>
    </w:p>
    <w:p w14:paraId="50D55EC8" w14:textId="5E68872A" w:rsidR="00696C96" w:rsidRPr="00E9130A" w:rsidRDefault="0088708D" w:rsidP="00652137">
      <w:pPr>
        <w:pStyle w:val="Heading1"/>
        <w:tabs>
          <w:tab w:val="left" w:pos="1134"/>
        </w:tabs>
        <w:spacing w:before="120" w:after="120"/>
        <w:rPr>
          <w:b w:val="0"/>
          <w:bCs w:val="0"/>
        </w:rPr>
      </w:pPr>
      <w:r w:rsidRPr="00E9130A">
        <w:t xml:space="preserve">Item </w:t>
      </w:r>
      <w:r w:rsidR="00696C96" w:rsidRPr="00E9130A">
        <w:t>4</w:t>
      </w:r>
      <w:r w:rsidR="00696C96" w:rsidRPr="00E9130A">
        <w:tab/>
        <w:t xml:space="preserve">Interpretation </w:t>
      </w:r>
    </w:p>
    <w:p w14:paraId="24A20310" w14:textId="77777777" w:rsidR="00696C96" w:rsidRPr="00E9130A" w:rsidRDefault="00696C96">
      <w:pPr>
        <w:pStyle w:val="Header"/>
        <w:tabs>
          <w:tab w:val="clear" w:pos="4153"/>
          <w:tab w:val="clear" w:pos="8306"/>
        </w:tabs>
        <w:spacing w:after="120"/>
      </w:pPr>
      <w:r w:rsidRPr="00E9130A">
        <w:t>5.</w:t>
      </w:r>
      <w:r w:rsidRPr="00E9130A">
        <w:tab/>
        <w:t>This item defines the APVMA and the Principal Instrument.</w:t>
      </w:r>
    </w:p>
    <w:p w14:paraId="765C3F92" w14:textId="77777777" w:rsidR="00696C96" w:rsidRPr="00E9130A" w:rsidRDefault="00696C96">
      <w:pPr>
        <w:spacing w:after="120"/>
      </w:pPr>
      <w:r w:rsidRPr="00E9130A">
        <w:t>6.</w:t>
      </w:r>
      <w:r w:rsidRPr="00E9130A">
        <w:tab/>
        <w:t xml:space="preserve">The APVMA is the Australian Pesticides and Veterinary Medicines Authority established by section 6 of the </w:t>
      </w:r>
      <w:r w:rsidRPr="00E9130A">
        <w:rPr>
          <w:i/>
          <w:iCs/>
        </w:rPr>
        <w:t>Agricultural and Veterinary Chemicals (Administration) Act 1992</w:t>
      </w:r>
      <w:r w:rsidR="003318DA" w:rsidRPr="00E9130A">
        <w:t>.</w:t>
      </w:r>
    </w:p>
    <w:p w14:paraId="3B6C915E" w14:textId="4750CA77" w:rsidR="00A77B61" w:rsidRPr="00E9130A" w:rsidRDefault="00696C96">
      <w:pPr>
        <w:spacing w:after="120"/>
      </w:pPr>
      <w:r w:rsidRPr="00E9130A">
        <w:t>7.</w:t>
      </w:r>
      <w:r w:rsidRPr="00E9130A">
        <w:tab/>
        <w:t xml:space="preserve">The Principal Instrument </w:t>
      </w:r>
      <w:r w:rsidR="000E1F7B" w:rsidRPr="00E9130A">
        <w:t>means</w:t>
      </w:r>
      <w:r w:rsidRPr="00E9130A">
        <w:t xml:space="preserve"> </w:t>
      </w:r>
      <w:r w:rsidR="00B10B31" w:rsidRPr="00E9130A">
        <w:t xml:space="preserve">the </w:t>
      </w:r>
      <w:r w:rsidR="00B10B31" w:rsidRPr="00E9130A">
        <w:rPr>
          <w:i/>
          <w:iCs/>
        </w:rPr>
        <w:t xml:space="preserve">Australia New Zealand Food Standards Code — </w:t>
      </w:r>
      <w:r w:rsidR="003E3B8B" w:rsidRPr="00E9130A">
        <w:rPr>
          <w:i/>
          <w:iCs/>
        </w:rPr>
        <w:t>Schedule 20</w:t>
      </w:r>
      <w:r w:rsidRPr="00E9130A">
        <w:rPr>
          <w:i/>
          <w:iCs/>
        </w:rPr>
        <w:t xml:space="preserve"> — Maximum Residue Limits</w:t>
      </w:r>
      <w:r w:rsidR="00CF4BA5" w:rsidRPr="00E9130A">
        <w:t>, with the Australia New Zealand Food Standards Code</w:t>
      </w:r>
      <w:r w:rsidR="00CF4BA5" w:rsidRPr="00E9130A" w:rsidDel="00A77B61">
        <w:t xml:space="preserve"> </w:t>
      </w:r>
      <w:r w:rsidR="00CF4BA5" w:rsidRPr="00E9130A">
        <w:t xml:space="preserve">being </w:t>
      </w:r>
      <w:r w:rsidRPr="00E9130A">
        <w:t xml:space="preserve">defined in </w:t>
      </w:r>
      <w:r w:rsidR="00C66ACD" w:rsidRPr="00E9130A">
        <w:t>s</w:t>
      </w:r>
      <w:r w:rsidRPr="00E9130A">
        <w:t xml:space="preserve">ection 4 of the </w:t>
      </w:r>
      <w:r w:rsidRPr="00E9130A">
        <w:rPr>
          <w:i/>
          <w:iCs/>
        </w:rPr>
        <w:t>Food Standards Australia New Zealand Act 1991</w:t>
      </w:r>
      <w:r w:rsidRPr="00E9130A">
        <w:t xml:space="preserve"> </w:t>
      </w:r>
      <w:r w:rsidR="00A77B61" w:rsidRPr="00E9130A">
        <w:t>as</w:t>
      </w:r>
      <w:r w:rsidRPr="00E9130A">
        <w:t xml:space="preserve"> the </w:t>
      </w:r>
      <w:r w:rsidR="00796CCD" w:rsidRPr="00E9130A">
        <w:t xml:space="preserve">Food Standards </w:t>
      </w:r>
      <w:r w:rsidR="00494751" w:rsidRPr="00E9130A">
        <w:t>C</w:t>
      </w:r>
      <w:r w:rsidRPr="00E9130A">
        <w:t>ode published in</w:t>
      </w:r>
      <w:r w:rsidR="00C66ACD" w:rsidRPr="00E9130A">
        <w:t xml:space="preserve"> the</w:t>
      </w:r>
      <w:r w:rsidRPr="00E9130A">
        <w:t xml:space="preserve"> </w:t>
      </w:r>
      <w:r w:rsidRPr="00E9130A">
        <w:rPr>
          <w:i/>
          <w:iCs/>
        </w:rPr>
        <w:t>Gazette</w:t>
      </w:r>
      <w:r w:rsidRPr="00E9130A">
        <w:t xml:space="preserve"> </w:t>
      </w:r>
      <w:r w:rsidR="00C66ACD" w:rsidRPr="00E9130A">
        <w:t>(</w:t>
      </w:r>
      <w:r w:rsidRPr="00E9130A">
        <w:t>No. P 27</w:t>
      </w:r>
      <w:r w:rsidR="00C66ACD" w:rsidRPr="00E9130A">
        <w:t>)</w:t>
      </w:r>
      <w:r w:rsidRPr="00E9130A">
        <w:t xml:space="preserve"> on 27 August 1987 together with any amendments of the standards in that </w:t>
      </w:r>
      <w:r w:rsidR="000E1F7B" w:rsidRPr="00E9130A">
        <w:t>C</w:t>
      </w:r>
      <w:r w:rsidRPr="00E9130A">
        <w:t xml:space="preserve">ode.  </w:t>
      </w:r>
    </w:p>
    <w:p w14:paraId="2D2F7AD2" w14:textId="366E3C1D" w:rsidR="00A84273" w:rsidRPr="00E9130A" w:rsidRDefault="00A84273" w:rsidP="00A84273">
      <w:pPr>
        <w:spacing w:after="120"/>
      </w:pPr>
      <w:r w:rsidRPr="00E9130A">
        <w:t>8.</w:t>
      </w:r>
      <w:r w:rsidRPr="00E9130A">
        <w:tab/>
        <w:t xml:space="preserve">The definition of Principal Instrument also notes that </w:t>
      </w:r>
      <w:r w:rsidR="00796CCD" w:rsidRPr="00E9130A">
        <w:rPr>
          <w:i/>
          <w:iCs/>
        </w:rPr>
        <w:t xml:space="preserve">Australia New Zealand Food Standards Code — Schedule 20 — Maximum Residue Limits </w:t>
      </w:r>
      <w:r w:rsidRPr="00E9130A">
        <w:t xml:space="preserve">was published in </w:t>
      </w:r>
      <w:r w:rsidRPr="00E9130A">
        <w:rPr>
          <w:lang w:val="en-US"/>
        </w:rPr>
        <w:t xml:space="preserve">the </w:t>
      </w:r>
      <w:r w:rsidRPr="00E9130A">
        <w:rPr>
          <w:i/>
          <w:lang w:val="en-US"/>
        </w:rPr>
        <w:t>Food Standards Gazette</w:t>
      </w:r>
      <w:r w:rsidRPr="00E9130A">
        <w:rPr>
          <w:lang w:val="en-US"/>
        </w:rPr>
        <w:t xml:space="preserve"> </w:t>
      </w:r>
      <w:r w:rsidR="000E1F7B" w:rsidRPr="00E9130A">
        <w:rPr>
          <w:lang w:val="en-US"/>
        </w:rPr>
        <w:t>(</w:t>
      </w:r>
      <w:r w:rsidRPr="00E9130A">
        <w:rPr>
          <w:lang w:val="en-US"/>
        </w:rPr>
        <w:t>FSC 96</w:t>
      </w:r>
      <w:r w:rsidR="000E1F7B" w:rsidRPr="00E9130A">
        <w:rPr>
          <w:lang w:val="en-US"/>
        </w:rPr>
        <w:t>)</w:t>
      </w:r>
      <w:r w:rsidRPr="00E9130A">
        <w:rPr>
          <w:lang w:val="en-US"/>
        </w:rPr>
        <w:t xml:space="preserve"> on Thursday 10 April 2015 and was registered as a legislative instrument on 1 April 2015 </w:t>
      </w:r>
      <w:r w:rsidR="00C66ACD" w:rsidRPr="00E9130A">
        <w:rPr>
          <w:lang w:val="en-US"/>
        </w:rPr>
        <w:t>(</w:t>
      </w:r>
      <w:r w:rsidRPr="00E9130A">
        <w:rPr>
          <w:lang w:val="en-US"/>
        </w:rPr>
        <w:t>F2015L00468</w:t>
      </w:r>
      <w:r w:rsidR="00C66ACD" w:rsidRPr="00E9130A">
        <w:rPr>
          <w:lang w:val="en-US"/>
        </w:rPr>
        <w:t>)</w:t>
      </w:r>
      <w:r w:rsidRPr="00E9130A">
        <w:rPr>
          <w:lang w:val="en-US"/>
        </w:rPr>
        <w:t>.</w:t>
      </w:r>
    </w:p>
    <w:p w14:paraId="1187A628" w14:textId="77777777" w:rsidR="00696C96" w:rsidRPr="00E9130A" w:rsidRDefault="00696C96">
      <w:pPr>
        <w:pStyle w:val="Heading1"/>
        <w:tabs>
          <w:tab w:val="left" w:pos="1080"/>
        </w:tabs>
        <w:spacing w:after="120"/>
        <w:rPr>
          <w:szCs w:val="24"/>
        </w:rPr>
      </w:pPr>
      <w:r w:rsidRPr="00E9130A">
        <w:rPr>
          <w:szCs w:val="24"/>
        </w:rPr>
        <w:t>Item 5</w:t>
      </w:r>
      <w:r w:rsidRPr="00E9130A">
        <w:rPr>
          <w:szCs w:val="24"/>
        </w:rPr>
        <w:tab/>
        <w:t xml:space="preserve">Variations to </w:t>
      </w:r>
      <w:r w:rsidR="003E3B8B" w:rsidRPr="00E9130A">
        <w:rPr>
          <w:szCs w:val="24"/>
        </w:rPr>
        <w:t>Schedule 20</w:t>
      </w:r>
    </w:p>
    <w:p w14:paraId="1BFDF42C" w14:textId="3EF38165" w:rsidR="00696C96" w:rsidRPr="00E9130A" w:rsidRDefault="00696C96">
      <w:pPr>
        <w:spacing w:after="120"/>
        <w:rPr>
          <w:sz w:val="20"/>
          <w:szCs w:val="20"/>
        </w:rPr>
      </w:pPr>
      <w:r w:rsidRPr="00E9130A">
        <w:t>9.</w:t>
      </w:r>
      <w:r w:rsidRPr="00E9130A">
        <w:tab/>
        <w:t xml:space="preserve">This item provides that Schedule </w:t>
      </w:r>
      <w:r w:rsidR="006C1B82" w:rsidRPr="00E9130A">
        <w:t xml:space="preserve">1 </w:t>
      </w:r>
      <w:r w:rsidRPr="00E9130A">
        <w:t xml:space="preserve">to this </w:t>
      </w:r>
      <w:r w:rsidR="00691B87" w:rsidRPr="00E9130A">
        <w:t xml:space="preserve">Amending </w:t>
      </w:r>
      <w:r w:rsidRPr="00E9130A">
        <w:t xml:space="preserve">Instrument sets out the variations </w:t>
      </w:r>
      <w:r w:rsidR="000E1F7B" w:rsidRPr="00E9130A">
        <w:t xml:space="preserve">made </w:t>
      </w:r>
      <w:r w:rsidRPr="00E9130A">
        <w:t xml:space="preserve">to </w:t>
      </w:r>
      <w:r w:rsidR="00CF4BA5" w:rsidRPr="00E9130A">
        <w:t>the Maximum Residue Limits Standard (</w:t>
      </w:r>
      <w:r w:rsidR="003E3B8B" w:rsidRPr="00E9130A">
        <w:t>Schedule 20</w:t>
      </w:r>
      <w:r w:rsidRPr="00E9130A">
        <w:t xml:space="preserve"> – Maximum Residue Limits </w:t>
      </w:r>
      <w:r w:rsidR="00B10B31" w:rsidRPr="00E9130A">
        <w:t>of</w:t>
      </w:r>
      <w:r w:rsidR="00CF4BA5" w:rsidRPr="00E9130A">
        <w:t xml:space="preserve"> </w:t>
      </w:r>
      <w:r w:rsidRPr="00E9130A">
        <w:t>the Food Standards Code</w:t>
      </w:r>
      <w:r w:rsidR="00CF4BA5" w:rsidRPr="00E9130A">
        <w:t>)</w:t>
      </w:r>
      <w:r w:rsidR="000E1F7B" w:rsidRPr="00E9130A">
        <w:t xml:space="preserve"> by this Amend</w:t>
      </w:r>
      <w:r w:rsidR="00691B87" w:rsidRPr="00E9130A">
        <w:t>ing</w:t>
      </w:r>
      <w:r w:rsidR="000E1F7B" w:rsidRPr="00E9130A">
        <w:t xml:space="preserve"> Instrument</w:t>
      </w:r>
      <w:r w:rsidRPr="00E9130A">
        <w:t>.</w:t>
      </w:r>
    </w:p>
    <w:p w14:paraId="0C416F87" w14:textId="775E2238" w:rsidR="000E1F7B" w:rsidRPr="00E9130A" w:rsidRDefault="00696C96" w:rsidP="000E194C">
      <w:pPr>
        <w:spacing w:after="120"/>
      </w:pPr>
      <w:r w:rsidRPr="00E9130A">
        <w:t>10.</w:t>
      </w:r>
      <w:r w:rsidRPr="00E9130A">
        <w:tab/>
      </w:r>
      <w:r w:rsidR="00AD3E3B" w:rsidRPr="00E9130A">
        <w:t xml:space="preserve">The variations to MRLs made by the </w:t>
      </w:r>
      <w:r w:rsidR="00691B87" w:rsidRPr="00E9130A">
        <w:t xml:space="preserve">Amending </w:t>
      </w:r>
      <w:r w:rsidR="00AD3E3B" w:rsidRPr="00E9130A">
        <w:t xml:space="preserve">Instrument include variations made by the APVMA to the </w:t>
      </w:r>
      <w:r w:rsidR="003903F5" w:rsidRPr="00E9130A">
        <w:rPr>
          <w:b/>
          <w:bCs/>
        </w:rPr>
        <w:t>MRL Standard for Residues of Chemical Products</w:t>
      </w:r>
      <w:r w:rsidR="003903F5" w:rsidRPr="00E9130A" w:rsidDel="003903F5">
        <w:rPr>
          <w:i/>
          <w:iCs/>
        </w:rPr>
        <w:t xml:space="preserve"> </w:t>
      </w:r>
      <w:r w:rsidR="00AD3E3B" w:rsidRPr="00E9130A">
        <w:t xml:space="preserve">for </w:t>
      </w:r>
      <w:r w:rsidR="004D0AA8" w:rsidRPr="00E9130A">
        <w:t>December</w:t>
      </w:r>
      <w:r w:rsidR="00AD3E3B" w:rsidRPr="00E9130A">
        <w:t xml:space="preserve"> </w:t>
      </w:r>
      <w:r w:rsidR="00A77B61" w:rsidRPr="00E9130A">
        <w:t>202</w:t>
      </w:r>
      <w:r w:rsidR="004D0AA8" w:rsidRPr="00E9130A">
        <w:t>4</w:t>
      </w:r>
      <w:r w:rsidR="00A77B61" w:rsidRPr="00E9130A">
        <w:t xml:space="preserve"> </w:t>
      </w:r>
      <w:r w:rsidR="00AD3E3B" w:rsidRPr="00E9130A">
        <w:t>comprising amendments numbered Agricultural and Veterinary Chemicals Code (MRL Standard</w:t>
      </w:r>
      <w:r w:rsidR="003903F5" w:rsidRPr="00E9130A">
        <w:t xml:space="preserve"> for Residues of Chemical Products</w:t>
      </w:r>
      <w:r w:rsidR="00AD3E3B" w:rsidRPr="00E9130A">
        <w:t xml:space="preserve">) Amendment Instrument (No. </w:t>
      </w:r>
      <w:r w:rsidR="004D0AA8" w:rsidRPr="00E9130A">
        <w:t>5</w:t>
      </w:r>
      <w:r w:rsidR="00AD3E3B" w:rsidRPr="00E9130A">
        <w:t xml:space="preserve">) </w:t>
      </w:r>
      <w:r w:rsidR="004D0AA8" w:rsidRPr="00E9130A">
        <w:t>2024</w:t>
      </w:r>
      <w:r w:rsidR="00AD3E3B" w:rsidRPr="00E9130A">
        <w:t>.</w:t>
      </w:r>
    </w:p>
    <w:sectPr w:rsidR="000E1F7B" w:rsidRPr="00E9130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ECC6" w14:textId="77777777" w:rsidR="00F25869" w:rsidRDefault="00F25869">
      <w:r>
        <w:separator/>
      </w:r>
    </w:p>
  </w:endnote>
  <w:endnote w:type="continuationSeparator" w:id="0">
    <w:p w14:paraId="48DFA350" w14:textId="77777777" w:rsidR="00F25869" w:rsidRDefault="00F2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2F0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907EB"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F39C"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832">
      <w:rPr>
        <w:rStyle w:val="PageNumber"/>
        <w:noProof/>
      </w:rPr>
      <w:t>4</w:t>
    </w:r>
    <w:r>
      <w:rPr>
        <w:rStyle w:val="PageNumber"/>
      </w:rPr>
      <w:fldChar w:fldCharType="end"/>
    </w:r>
  </w:p>
  <w:p w14:paraId="43F971DA" w14:textId="77777777" w:rsidR="00D50426" w:rsidRDefault="00D504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053E" w14:textId="77777777" w:rsidR="008763F5" w:rsidRDefault="0087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0E4B" w14:textId="77777777" w:rsidR="00F25869" w:rsidRDefault="00F25869">
      <w:r>
        <w:separator/>
      </w:r>
    </w:p>
  </w:footnote>
  <w:footnote w:type="continuationSeparator" w:id="0">
    <w:p w14:paraId="5B3CDE2E" w14:textId="77777777" w:rsidR="00F25869" w:rsidRDefault="00F2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B74A" w14:textId="77777777" w:rsidR="008763F5" w:rsidRDefault="00876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0892" w14:textId="77777777" w:rsidR="008763F5" w:rsidRDefault="00876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201D" w14:textId="77777777" w:rsidR="008763F5" w:rsidRDefault="0087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A855A0"/>
    <w:multiLevelType w:val="hybridMultilevel"/>
    <w:tmpl w:val="2766FAAC"/>
    <w:lvl w:ilvl="0" w:tplc="E6F83D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FA6BA5"/>
    <w:multiLevelType w:val="hybridMultilevel"/>
    <w:tmpl w:val="AC70BB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1CC1498"/>
    <w:multiLevelType w:val="hybridMultilevel"/>
    <w:tmpl w:val="EE76E7D8"/>
    <w:lvl w:ilvl="0" w:tplc="5EAA2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6365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9915409">
    <w:abstractNumId w:val="3"/>
  </w:num>
  <w:num w:numId="3" w16cid:durableId="1746100459">
    <w:abstractNumId w:val="2"/>
  </w:num>
  <w:num w:numId="4" w16cid:durableId="1575553513">
    <w:abstractNumId w:val="1"/>
  </w:num>
  <w:num w:numId="5" w16cid:durableId="458378224">
    <w:abstractNumId w:val="0"/>
  </w:num>
  <w:num w:numId="6" w16cid:durableId="199926316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02D86"/>
    <w:rsid w:val="00011285"/>
    <w:rsid w:val="00011FD2"/>
    <w:rsid w:val="00013727"/>
    <w:rsid w:val="000151C6"/>
    <w:rsid w:val="00017182"/>
    <w:rsid w:val="000265D3"/>
    <w:rsid w:val="000323B9"/>
    <w:rsid w:val="00035330"/>
    <w:rsid w:val="00040793"/>
    <w:rsid w:val="0004151B"/>
    <w:rsid w:val="00047050"/>
    <w:rsid w:val="00054259"/>
    <w:rsid w:val="00066B0A"/>
    <w:rsid w:val="00067752"/>
    <w:rsid w:val="00070E08"/>
    <w:rsid w:val="00070E89"/>
    <w:rsid w:val="0007336C"/>
    <w:rsid w:val="0008523B"/>
    <w:rsid w:val="00085EA1"/>
    <w:rsid w:val="0009083C"/>
    <w:rsid w:val="0009608F"/>
    <w:rsid w:val="000A3AD3"/>
    <w:rsid w:val="000A4959"/>
    <w:rsid w:val="000A6E74"/>
    <w:rsid w:val="000A7B8F"/>
    <w:rsid w:val="000A7C2B"/>
    <w:rsid w:val="000B497B"/>
    <w:rsid w:val="000B4FFD"/>
    <w:rsid w:val="000C25C1"/>
    <w:rsid w:val="000C38E0"/>
    <w:rsid w:val="000C45FB"/>
    <w:rsid w:val="000C722D"/>
    <w:rsid w:val="000D3037"/>
    <w:rsid w:val="000D6971"/>
    <w:rsid w:val="000D7EE9"/>
    <w:rsid w:val="000E194C"/>
    <w:rsid w:val="000E1F7B"/>
    <w:rsid w:val="000E5474"/>
    <w:rsid w:val="000E555D"/>
    <w:rsid w:val="000F2470"/>
    <w:rsid w:val="00101D00"/>
    <w:rsid w:val="00101E28"/>
    <w:rsid w:val="00103158"/>
    <w:rsid w:val="00104A75"/>
    <w:rsid w:val="0010528B"/>
    <w:rsid w:val="001135C9"/>
    <w:rsid w:val="00127036"/>
    <w:rsid w:val="0013020A"/>
    <w:rsid w:val="00136EEA"/>
    <w:rsid w:val="00137F79"/>
    <w:rsid w:val="001415DA"/>
    <w:rsid w:val="00141FAA"/>
    <w:rsid w:val="00143375"/>
    <w:rsid w:val="00150125"/>
    <w:rsid w:val="001522D3"/>
    <w:rsid w:val="00153B87"/>
    <w:rsid w:val="00161401"/>
    <w:rsid w:val="00163F32"/>
    <w:rsid w:val="00164C9A"/>
    <w:rsid w:val="0017195E"/>
    <w:rsid w:val="00172F45"/>
    <w:rsid w:val="0018199F"/>
    <w:rsid w:val="00187817"/>
    <w:rsid w:val="00192279"/>
    <w:rsid w:val="001A078A"/>
    <w:rsid w:val="001A219D"/>
    <w:rsid w:val="001A290B"/>
    <w:rsid w:val="001B2E39"/>
    <w:rsid w:val="001B5D29"/>
    <w:rsid w:val="001C5093"/>
    <w:rsid w:val="001C545C"/>
    <w:rsid w:val="001C7308"/>
    <w:rsid w:val="001D547D"/>
    <w:rsid w:val="001E1F63"/>
    <w:rsid w:val="001E67A8"/>
    <w:rsid w:val="001E71AD"/>
    <w:rsid w:val="001F5B98"/>
    <w:rsid w:val="001F6E0A"/>
    <w:rsid w:val="002107FD"/>
    <w:rsid w:val="002113B5"/>
    <w:rsid w:val="00226420"/>
    <w:rsid w:val="002329BE"/>
    <w:rsid w:val="002357D9"/>
    <w:rsid w:val="00250F9D"/>
    <w:rsid w:val="0025393C"/>
    <w:rsid w:val="00256548"/>
    <w:rsid w:val="002656BB"/>
    <w:rsid w:val="00267B8D"/>
    <w:rsid w:val="0027252E"/>
    <w:rsid w:val="002772D1"/>
    <w:rsid w:val="002B1EAD"/>
    <w:rsid w:val="002B3719"/>
    <w:rsid w:val="002C1DDD"/>
    <w:rsid w:val="002D771B"/>
    <w:rsid w:val="002E01FC"/>
    <w:rsid w:val="002E4425"/>
    <w:rsid w:val="002F06D9"/>
    <w:rsid w:val="002F0992"/>
    <w:rsid w:val="002F510F"/>
    <w:rsid w:val="002F714A"/>
    <w:rsid w:val="00305028"/>
    <w:rsid w:val="00310737"/>
    <w:rsid w:val="00310E96"/>
    <w:rsid w:val="00311DD2"/>
    <w:rsid w:val="0031516B"/>
    <w:rsid w:val="0031616B"/>
    <w:rsid w:val="003318DA"/>
    <w:rsid w:val="003319B6"/>
    <w:rsid w:val="00332519"/>
    <w:rsid w:val="00337A18"/>
    <w:rsid w:val="00337B14"/>
    <w:rsid w:val="00337D38"/>
    <w:rsid w:val="00337FAE"/>
    <w:rsid w:val="00350F99"/>
    <w:rsid w:val="0035738A"/>
    <w:rsid w:val="00361C30"/>
    <w:rsid w:val="0036774D"/>
    <w:rsid w:val="00374428"/>
    <w:rsid w:val="00375C05"/>
    <w:rsid w:val="00385F82"/>
    <w:rsid w:val="003903F5"/>
    <w:rsid w:val="0039114F"/>
    <w:rsid w:val="00391993"/>
    <w:rsid w:val="003A2B21"/>
    <w:rsid w:val="003A2CD8"/>
    <w:rsid w:val="003A450F"/>
    <w:rsid w:val="003A5511"/>
    <w:rsid w:val="003B1A61"/>
    <w:rsid w:val="003B27AE"/>
    <w:rsid w:val="003B43B1"/>
    <w:rsid w:val="003C10D5"/>
    <w:rsid w:val="003C1C4A"/>
    <w:rsid w:val="003D11E9"/>
    <w:rsid w:val="003D3D89"/>
    <w:rsid w:val="003D4C47"/>
    <w:rsid w:val="003D608E"/>
    <w:rsid w:val="003E3B8B"/>
    <w:rsid w:val="003E6C11"/>
    <w:rsid w:val="003E7620"/>
    <w:rsid w:val="003E7D1E"/>
    <w:rsid w:val="00400744"/>
    <w:rsid w:val="00401DEA"/>
    <w:rsid w:val="004051B8"/>
    <w:rsid w:val="00406231"/>
    <w:rsid w:val="00424CCE"/>
    <w:rsid w:val="0044006A"/>
    <w:rsid w:val="00440221"/>
    <w:rsid w:val="00445DAC"/>
    <w:rsid w:val="004522DC"/>
    <w:rsid w:val="0046017A"/>
    <w:rsid w:val="00460FEB"/>
    <w:rsid w:val="00462103"/>
    <w:rsid w:val="00465FFB"/>
    <w:rsid w:val="00466223"/>
    <w:rsid w:val="00467B10"/>
    <w:rsid w:val="0047129B"/>
    <w:rsid w:val="00471AF5"/>
    <w:rsid w:val="004775F0"/>
    <w:rsid w:val="00477A00"/>
    <w:rsid w:val="004827F9"/>
    <w:rsid w:val="00492A94"/>
    <w:rsid w:val="00494751"/>
    <w:rsid w:val="00494D8B"/>
    <w:rsid w:val="00495130"/>
    <w:rsid w:val="004964E3"/>
    <w:rsid w:val="004B24D8"/>
    <w:rsid w:val="004B3720"/>
    <w:rsid w:val="004B69BE"/>
    <w:rsid w:val="004C0761"/>
    <w:rsid w:val="004C0A71"/>
    <w:rsid w:val="004C0CE7"/>
    <w:rsid w:val="004C15B0"/>
    <w:rsid w:val="004C1BCC"/>
    <w:rsid w:val="004D0AA8"/>
    <w:rsid w:val="004D1B8C"/>
    <w:rsid w:val="004D3A86"/>
    <w:rsid w:val="004E7DF8"/>
    <w:rsid w:val="004F440A"/>
    <w:rsid w:val="004F4BDF"/>
    <w:rsid w:val="0050132D"/>
    <w:rsid w:val="00504014"/>
    <w:rsid w:val="00510929"/>
    <w:rsid w:val="0051203A"/>
    <w:rsid w:val="005136A8"/>
    <w:rsid w:val="0051513B"/>
    <w:rsid w:val="00515BBB"/>
    <w:rsid w:val="00516634"/>
    <w:rsid w:val="00520CBE"/>
    <w:rsid w:val="005244D7"/>
    <w:rsid w:val="00541889"/>
    <w:rsid w:val="00555389"/>
    <w:rsid w:val="00561F03"/>
    <w:rsid w:val="00566973"/>
    <w:rsid w:val="00567A2E"/>
    <w:rsid w:val="005706C9"/>
    <w:rsid w:val="005713E0"/>
    <w:rsid w:val="0057406D"/>
    <w:rsid w:val="00574533"/>
    <w:rsid w:val="00584C89"/>
    <w:rsid w:val="005907D7"/>
    <w:rsid w:val="005A5595"/>
    <w:rsid w:val="005B2548"/>
    <w:rsid w:val="005B7EDB"/>
    <w:rsid w:val="005C6F3F"/>
    <w:rsid w:val="005D0B17"/>
    <w:rsid w:val="005D18FF"/>
    <w:rsid w:val="005D3349"/>
    <w:rsid w:val="005E72B1"/>
    <w:rsid w:val="005E7FD8"/>
    <w:rsid w:val="005F0330"/>
    <w:rsid w:val="005F0FCA"/>
    <w:rsid w:val="005F20FB"/>
    <w:rsid w:val="005F5965"/>
    <w:rsid w:val="006048F1"/>
    <w:rsid w:val="00614F89"/>
    <w:rsid w:val="00620FDA"/>
    <w:rsid w:val="00623066"/>
    <w:rsid w:val="0062557B"/>
    <w:rsid w:val="00633F72"/>
    <w:rsid w:val="00640DCD"/>
    <w:rsid w:val="00642619"/>
    <w:rsid w:val="00643437"/>
    <w:rsid w:val="00644B7A"/>
    <w:rsid w:val="00644D89"/>
    <w:rsid w:val="00652137"/>
    <w:rsid w:val="00652395"/>
    <w:rsid w:val="0065318C"/>
    <w:rsid w:val="00656986"/>
    <w:rsid w:val="006612C2"/>
    <w:rsid w:val="006617FE"/>
    <w:rsid w:val="006762F6"/>
    <w:rsid w:val="00691B87"/>
    <w:rsid w:val="006925B1"/>
    <w:rsid w:val="00694F57"/>
    <w:rsid w:val="00696C96"/>
    <w:rsid w:val="006A6A1C"/>
    <w:rsid w:val="006A6F37"/>
    <w:rsid w:val="006B34F4"/>
    <w:rsid w:val="006B3A25"/>
    <w:rsid w:val="006B4018"/>
    <w:rsid w:val="006B4293"/>
    <w:rsid w:val="006B66D8"/>
    <w:rsid w:val="006C1B82"/>
    <w:rsid w:val="006C5516"/>
    <w:rsid w:val="006C6203"/>
    <w:rsid w:val="006C69C1"/>
    <w:rsid w:val="006C7069"/>
    <w:rsid w:val="006C7BE7"/>
    <w:rsid w:val="006D372C"/>
    <w:rsid w:val="006D3986"/>
    <w:rsid w:val="006D4CAA"/>
    <w:rsid w:val="006D5825"/>
    <w:rsid w:val="006D6393"/>
    <w:rsid w:val="006E4156"/>
    <w:rsid w:val="006F06C4"/>
    <w:rsid w:val="006F1E4A"/>
    <w:rsid w:val="006F21CD"/>
    <w:rsid w:val="006F3E09"/>
    <w:rsid w:val="006F573D"/>
    <w:rsid w:val="006F7759"/>
    <w:rsid w:val="007037CC"/>
    <w:rsid w:val="0070592C"/>
    <w:rsid w:val="007075E9"/>
    <w:rsid w:val="00711292"/>
    <w:rsid w:val="0071233E"/>
    <w:rsid w:val="007160C5"/>
    <w:rsid w:val="00716D93"/>
    <w:rsid w:val="00721136"/>
    <w:rsid w:val="007313AD"/>
    <w:rsid w:val="00736B68"/>
    <w:rsid w:val="007452C7"/>
    <w:rsid w:val="00746A49"/>
    <w:rsid w:val="00752420"/>
    <w:rsid w:val="0075514C"/>
    <w:rsid w:val="00762D59"/>
    <w:rsid w:val="007633A6"/>
    <w:rsid w:val="0077148D"/>
    <w:rsid w:val="00781A14"/>
    <w:rsid w:val="00785D15"/>
    <w:rsid w:val="00796CCD"/>
    <w:rsid w:val="00797626"/>
    <w:rsid w:val="007A1B4D"/>
    <w:rsid w:val="007A3DA5"/>
    <w:rsid w:val="007B04D6"/>
    <w:rsid w:val="007B5B35"/>
    <w:rsid w:val="007B6CE6"/>
    <w:rsid w:val="007C012F"/>
    <w:rsid w:val="007C0CFA"/>
    <w:rsid w:val="007C1214"/>
    <w:rsid w:val="007C2947"/>
    <w:rsid w:val="007C2DFB"/>
    <w:rsid w:val="007C6533"/>
    <w:rsid w:val="007D4682"/>
    <w:rsid w:val="007D5798"/>
    <w:rsid w:val="007D6057"/>
    <w:rsid w:val="007E1C80"/>
    <w:rsid w:val="007F3E38"/>
    <w:rsid w:val="00800C9F"/>
    <w:rsid w:val="00803F55"/>
    <w:rsid w:val="00812A09"/>
    <w:rsid w:val="008165D0"/>
    <w:rsid w:val="00820A26"/>
    <w:rsid w:val="008211DC"/>
    <w:rsid w:val="00831F8B"/>
    <w:rsid w:val="0083253A"/>
    <w:rsid w:val="008547F9"/>
    <w:rsid w:val="00855122"/>
    <w:rsid w:val="00874AAB"/>
    <w:rsid w:val="008763F5"/>
    <w:rsid w:val="00877964"/>
    <w:rsid w:val="008800D0"/>
    <w:rsid w:val="00880149"/>
    <w:rsid w:val="00885F5D"/>
    <w:rsid w:val="00886D44"/>
    <w:rsid w:val="0088708D"/>
    <w:rsid w:val="00892ED7"/>
    <w:rsid w:val="008A1080"/>
    <w:rsid w:val="008A3A22"/>
    <w:rsid w:val="008B198B"/>
    <w:rsid w:val="008B2050"/>
    <w:rsid w:val="008B294A"/>
    <w:rsid w:val="008B4AD9"/>
    <w:rsid w:val="008C189D"/>
    <w:rsid w:val="008C3BB9"/>
    <w:rsid w:val="008C5594"/>
    <w:rsid w:val="008C7328"/>
    <w:rsid w:val="008D48CB"/>
    <w:rsid w:val="008D57BB"/>
    <w:rsid w:val="008E2CEC"/>
    <w:rsid w:val="008E62DE"/>
    <w:rsid w:val="008E7804"/>
    <w:rsid w:val="00901AEA"/>
    <w:rsid w:val="00905A77"/>
    <w:rsid w:val="00912231"/>
    <w:rsid w:val="00914795"/>
    <w:rsid w:val="009210D2"/>
    <w:rsid w:val="009240F6"/>
    <w:rsid w:val="00927F77"/>
    <w:rsid w:val="009370B7"/>
    <w:rsid w:val="0093768A"/>
    <w:rsid w:val="00940852"/>
    <w:rsid w:val="00942474"/>
    <w:rsid w:val="0094741D"/>
    <w:rsid w:val="00950EB7"/>
    <w:rsid w:val="00951817"/>
    <w:rsid w:val="009527B3"/>
    <w:rsid w:val="00965143"/>
    <w:rsid w:val="009766B6"/>
    <w:rsid w:val="00980C8B"/>
    <w:rsid w:val="00982B26"/>
    <w:rsid w:val="009847B5"/>
    <w:rsid w:val="00997D98"/>
    <w:rsid w:val="009A02C5"/>
    <w:rsid w:val="009A330C"/>
    <w:rsid w:val="009A4264"/>
    <w:rsid w:val="009B0B1F"/>
    <w:rsid w:val="009D0055"/>
    <w:rsid w:val="009D06A8"/>
    <w:rsid w:val="009D411B"/>
    <w:rsid w:val="009D4E54"/>
    <w:rsid w:val="009D569F"/>
    <w:rsid w:val="009D6EE8"/>
    <w:rsid w:val="009E2AAA"/>
    <w:rsid w:val="009E637E"/>
    <w:rsid w:val="009F023A"/>
    <w:rsid w:val="009F0E00"/>
    <w:rsid w:val="00A01B27"/>
    <w:rsid w:val="00A024B6"/>
    <w:rsid w:val="00A1127F"/>
    <w:rsid w:val="00A120D9"/>
    <w:rsid w:val="00A22F4D"/>
    <w:rsid w:val="00A31DD1"/>
    <w:rsid w:val="00A35FF1"/>
    <w:rsid w:val="00A40A12"/>
    <w:rsid w:val="00A41A51"/>
    <w:rsid w:val="00A41A94"/>
    <w:rsid w:val="00A44871"/>
    <w:rsid w:val="00A51039"/>
    <w:rsid w:val="00A54E6D"/>
    <w:rsid w:val="00A56239"/>
    <w:rsid w:val="00A565DD"/>
    <w:rsid w:val="00A62F69"/>
    <w:rsid w:val="00A63DF7"/>
    <w:rsid w:val="00A66674"/>
    <w:rsid w:val="00A7213F"/>
    <w:rsid w:val="00A725B9"/>
    <w:rsid w:val="00A77B61"/>
    <w:rsid w:val="00A805E8"/>
    <w:rsid w:val="00A822E4"/>
    <w:rsid w:val="00A84273"/>
    <w:rsid w:val="00A844D4"/>
    <w:rsid w:val="00A8460A"/>
    <w:rsid w:val="00A85890"/>
    <w:rsid w:val="00A904E9"/>
    <w:rsid w:val="00AA2475"/>
    <w:rsid w:val="00AA508A"/>
    <w:rsid w:val="00AB6D21"/>
    <w:rsid w:val="00AB770E"/>
    <w:rsid w:val="00AC7896"/>
    <w:rsid w:val="00AD0275"/>
    <w:rsid w:val="00AD2B5A"/>
    <w:rsid w:val="00AD3E3B"/>
    <w:rsid w:val="00AD51C8"/>
    <w:rsid w:val="00AE4B90"/>
    <w:rsid w:val="00AE53EA"/>
    <w:rsid w:val="00AE77BC"/>
    <w:rsid w:val="00AF03E0"/>
    <w:rsid w:val="00AF538C"/>
    <w:rsid w:val="00AF7E98"/>
    <w:rsid w:val="00B10B31"/>
    <w:rsid w:val="00B2283D"/>
    <w:rsid w:val="00B25B67"/>
    <w:rsid w:val="00B2611E"/>
    <w:rsid w:val="00B32781"/>
    <w:rsid w:val="00B43704"/>
    <w:rsid w:val="00B44784"/>
    <w:rsid w:val="00B52247"/>
    <w:rsid w:val="00B54130"/>
    <w:rsid w:val="00B636C8"/>
    <w:rsid w:val="00B646F1"/>
    <w:rsid w:val="00B73956"/>
    <w:rsid w:val="00B740DE"/>
    <w:rsid w:val="00B75523"/>
    <w:rsid w:val="00B8225D"/>
    <w:rsid w:val="00B82BC4"/>
    <w:rsid w:val="00B86B1D"/>
    <w:rsid w:val="00B87651"/>
    <w:rsid w:val="00B91B55"/>
    <w:rsid w:val="00B92C8C"/>
    <w:rsid w:val="00B94107"/>
    <w:rsid w:val="00BA14BC"/>
    <w:rsid w:val="00BA3EB4"/>
    <w:rsid w:val="00BA6584"/>
    <w:rsid w:val="00BB6753"/>
    <w:rsid w:val="00BB7DF7"/>
    <w:rsid w:val="00BC02C4"/>
    <w:rsid w:val="00BC1F53"/>
    <w:rsid w:val="00BC4F9F"/>
    <w:rsid w:val="00BC7962"/>
    <w:rsid w:val="00BD04B0"/>
    <w:rsid w:val="00BD46B3"/>
    <w:rsid w:val="00BD60AD"/>
    <w:rsid w:val="00BF0ECE"/>
    <w:rsid w:val="00C00FA8"/>
    <w:rsid w:val="00C05E98"/>
    <w:rsid w:val="00C061B1"/>
    <w:rsid w:val="00C07B7A"/>
    <w:rsid w:val="00C10BC9"/>
    <w:rsid w:val="00C264AA"/>
    <w:rsid w:val="00C32C1C"/>
    <w:rsid w:val="00C41204"/>
    <w:rsid w:val="00C417E3"/>
    <w:rsid w:val="00C44D22"/>
    <w:rsid w:val="00C45B27"/>
    <w:rsid w:val="00C4772D"/>
    <w:rsid w:val="00C511C4"/>
    <w:rsid w:val="00C53166"/>
    <w:rsid w:val="00C53BD7"/>
    <w:rsid w:val="00C628A3"/>
    <w:rsid w:val="00C66ACD"/>
    <w:rsid w:val="00C6741B"/>
    <w:rsid w:val="00C76677"/>
    <w:rsid w:val="00C94B9B"/>
    <w:rsid w:val="00CA545C"/>
    <w:rsid w:val="00CA7688"/>
    <w:rsid w:val="00CC118B"/>
    <w:rsid w:val="00CC4FF1"/>
    <w:rsid w:val="00CD07EE"/>
    <w:rsid w:val="00CD2761"/>
    <w:rsid w:val="00CD7ADA"/>
    <w:rsid w:val="00CE015D"/>
    <w:rsid w:val="00CE717D"/>
    <w:rsid w:val="00CF1256"/>
    <w:rsid w:val="00CF1349"/>
    <w:rsid w:val="00CF2832"/>
    <w:rsid w:val="00CF4BA5"/>
    <w:rsid w:val="00CF789A"/>
    <w:rsid w:val="00D00F90"/>
    <w:rsid w:val="00D03507"/>
    <w:rsid w:val="00D1564D"/>
    <w:rsid w:val="00D2286B"/>
    <w:rsid w:val="00D434E0"/>
    <w:rsid w:val="00D50426"/>
    <w:rsid w:val="00D51F58"/>
    <w:rsid w:val="00D73031"/>
    <w:rsid w:val="00D774F2"/>
    <w:rsid w:val="00D81A92"/>
    <w:rsid w:val="00DA170C"/>
    <w:rsid w:val="00DB479A"/>
    <w:rsid w:val="00DC1D8B"/>
    <w:rsid w:val="00DC6F6D"/>
    <w:rsid w:val="00DD03CC"/>
    <w:rsid w:val="00DD2246"/>
    <w:rsid w:val="00DD5049"/>
    <w:rsid w:val="00DE50A4"/>
    <w:rsid w:val="00DE63C4"/>
    <w:rsid w:val="00DE6B4D"/>
    <w:rsid w:val="00DF2D1D"/>
    <w:rsid w:val="00DF58D3"/>
    <w:rsid w:val="00DF6752"/>
    <w:rsid w:val="00E0416F"/>
    <w:rsid w:val="00E06124"/>
    <w:rsid w:val="00E17939"/>
    <w:rsid w:val="00E20BEF"/>
    <w:rsid w:val="00E24770"/>
    <w:rsid w:val="00E31400"/>
    <w:rsid w:val="00E32040"/>
    <w:rsid w:val="00E33E23"/>
    <w:rsid w:val="00E347A7"/>
    <w:rsid w:val="00E47641"/>
    <w:rsid w:val="00E52F14"/>
    <w:rsid w:val="00E53A08"/>
    <w:rsid w:val="00E53CB9"/>
    <w:rsid w:val="00E54D2C"/>
    <w:rsid w:val="00E561A6"/>
    <w:rsid w:val="00E576D5"/>
    <w:rsid w:val="00E6389A"/>
    <w:rsid w:val="00E65437"/>
    <w:rsid w:val="00E67555"/>
    <w:rsid w:val="00E86EDB"/>
    <w:rsid w:val="00E9130A"/>
    <w:rsid w:val="00E91EE6"/>
    <w:rsid w:val="00E96146"/>
    <w:rsid w:val="00E96DDE"/>
    <w:rsid w:val="00EA1E2C"/>
    <w:rsid w:val="00EA2574"/>
    <w:rsid w:val="00EB3BB7"/>
    <w:rsid w:val="00EB4002"/>
    <w:rsid w:val="00EB7483"/>
    <w:rsid w:val="00EC79A7"/>
    <w:rsid w:val="00ED06BB"/>
    <w:rsid w:val="00ED0C53"/>
    <w:rsid w:val="00ED1BF8"/>
    <w:rsid w:val="00ED7D07"/>
    <w:rsid w:val="00EE0540"/>
    <w:rsid w:val="00EE1AB2"/>
    <w:rsid w:val="00EE3DB1"/>
    <w:rsid w:val="00EF07B1"/>
    <w:rsid w:val="00EF50FE"/>
    <w:rsid w:val="00F0610E"/>
    <w:rsid w:val="00F062F9"/>
    <w:rsid w:val="00F066E4"/>
    <w:rsid w:val="00F14FD4"/>
    <w:rsid w:val="00F2004F"/>
    <w:rsid w:val="00F202F1"/>
    <w:rsid w:val="00F25869"/>
    <w:rsid w:val="00F25F50"/>
    <w:rsid w:val="00F32CAB"/>
    <w:rsid w:val="00F44179"/>
    <w:rsid w:val="00F51445"/>
    <w:rsid w:val="00F52EAB"/>
    <w:rsid w:val="00F60099"/>
    <w:rsid w:val="00F76D55"/>
    <w:rsid w:val="00F86874"/>
    <w:rsid w:val="00F941EF"/>
    <w:rsid w:val="00FA529B"/>
    <w:rsid w:val="00FA66B9"/>
    <w:rsid w:val="00FB34F2"/>
    <w:rsid w:val="00FB3C5E"/>
    <w:rsid w:val="00FB68CA"/>
    <w:rsid w:val="00FC15BF"/>
    <w:rsid w:val="00FC2B53"/>
    <w:rsid w:val="00FD1BB1"/>
    <w:rsid w:val="00FD2CB8"/>
    <w:rsid w:val="00FD6C55"/>
    <w:rsid w:val="00FE17A2"/>
    <w:rsid w:val="00FE28AF"/>
    <w:rsid w:val="00FE4DAF"/>
    <w:rsid w:val="00FE5971"/>
    <w:rsid w:val="00FE772B"/>
    <w:rsid w:val="00FF188D"/>
    <w:rsid w:val="00FF6F1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4050F"/>
  <w15:chartTrackingRefBased/>
  <w15:docId w15:val="{C72BA507-83D8-4687-A018-0473BE51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unhideWhenUsed/>
    <w:rsid w:val="006762F6"/>
    <w:rPr>
      <w:sz w:val="20"/>
      <w:szCs w:val="20"/>
    </w:rPr>
  </w:style>
  <w:style w:type="character" w:customStyle="1" w:styleId="CommentTextChar">
    <w:name w:val="Comment Text Char"/>
    <w:link w:val="CommentText"/>
    <w:uiPriority w:val="99"/>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 w:type="paragraph" w:styleId="Revision">
    <w:name w:val="Revision"/>
    <w:hidden/>
    <w:uiPriority w:val="99"/>
    <w:semiHidden/>
    <w:rsid w:val="005D0B17"/>
    <w:rPr>
      <w:sz w:val="24"/>
      <w:szCs w:val="24"/>
      <w:lang w:eastAsia="en-US"/>
    </w:rPr>
  </w:style>
  <w:style w:type="character" w:styleId="UnresolvedMention">
    <w:name w:val="Unresolved Mention"/>
    <w:basedOn w:val="DefaultParagraphFont"/>
    <w:uiPriority w:val="99"/>
    <w:semiHidden/>
    <w:unhideWhenUsed/>
    <w:rsid w:val="00E47641"/>
    <w:rPr>
      <w:color w:val="605E5C"/>
      <w:shd w:val="clear" w:color="auto" w:fill="E1DFDD"/>
    </w:rPr>
  </w:style>
  <w:style w:type="paragraph" w:styleId="FootnoteText">
    <w:name w:val="footnote text"/>
    <w:basedOn w:val="Normal"/>
    <w:link w:val="FootnoteTextChar"/>
    <w:uiPriority w:val="99"/>
    <w:semiHidden/>
    <w:unhideWhenUsed/>
    <w:rsid w:val="00AE4B90"/>
    <w:rPr>
      <w:sz w:val="20"/>
      <w:szCs w:val="20"/>
    </w:rPr>
  </w:style>
  <w:style w:type="character" w:customStyle="1" w:styleId="FootnoteTextChar">
    <w:name w:val="Footnote Text Char"/>
    <w:basedOn w:val="DefaultParagraphFont"/>
    <w:link w:val="FootnoteText"/>
    <w:uiPriority w:val="99"/>
    <w:semiHidden/>
    <w:rsid w:val="00AE4B90"/>
    <w:rPr>
      <w:lang w:eastAsia="en-US"/>
    </w:rPr>
  </w:style>
  <w:style w:type="character" w:styleId="FootnoteReference">
    <w:name w:val="footnote reference"/>
    <w:basedOn w:val="DefaultParagraphFont"/>
    <w:uiPriority w:val="99"/>
    <w:semiHidden/>
    <w:unhideWhenUsed/>
    <w:rsid w:val="00AE4B90"/>
    <w:rPr>
      <w:vertAlign w:val="superscript"/>
    </w:rPr>
  </w:style>
  <w:style w:type="paragraph" w:customStyle="1" w:styleId="pf0">
    <w:name w:val="pf0"/>
    <w:basedOn w:val="Normal"/>
    <w:rsid w:val="002E01FC"/>
    <w:pPr>
      <w:spacing w:before="100" w:beforeAutospacing="1" w:after="100" w:afterAutospacing="1"/>
    </w:pPr>
    <w:rPr>
      <w:lang w:eastAsia="en-AU"/>
    </w:rPr>
  </w:style>
  <w:style w:type="character" w:customStyle="1" w:styleId="cf01">
    <w:name w:val="cf01"/>
    <w:basedOn w:val="DefaultParagraphFont"/>
    <w:rsid w:val="002E01FC"/>
    <w:rPr>
      <w:rFonts w:ascii="Segoe UI" w:hAnsi="Segoe UI" w:cs="Segoe UI" w:hint="default"/>
      <w:sz w:val="18"/>
      <w:szCs w:val="18"/>
    </w:rPr>
  </w:style>
  <w:style w:type="paragraph" w:styleId="NormalWeb">
    <w:name w:val="Normal (Web)"/>
    <w:basedOn w:val="Normal"/>
    <w:uiPriority w:val="99"/>
    <w:semiHidden/>
    <w:unhideWhenUsed/>
    <w:rsid w:val="002E01FC"/>
    <w:pPr>
      <w:spacing w:before="100" w:beforeAutospacing="1" w:after="100" w:afterAutospacing="1"/>
    </w:pPr>
    <w:rPr>
      <w:lang w:eastAsia="en-AU"/>
    </w:rPr>
  </w:style>
  <w:style w:type="paragraph" w:customStyle="1" w:styleId="BodyNum">
    <w:name w:val="BodyNum"/>
    <w:aliases w:val="b1"/>
    <w:basedOn w:val="Normal"/>
    <w:rsid w:val="00A120D9"/>
    <w:pPr>
      <w:numPr>
        <w:numId w:val="5"/>
      </w:numPr>
      <w:spacing w:before="240"/>
    </w:pPr>
    <w:rPr>
      <w:szCs w:val="20"/>
      <w:lang w:eastAsia="en-AU"/>
    </w:rPr>
  </w:style>
  <w:style w:type="paragraph" w:customStyle="1" w:styleId="BodyPara">
    <w:name w:val="BodyPara"/>
    <w:aliases w:val="ba"/>
    <w:basedOn w:val="Normal"/>
    <w:rsid w:val="00A120D9"/>
    <w:pPr>
      <w:numPr>
        <w:ilvl w:val="1"/>
        <w:numId w:val="5"/>
      </w:numPr>
      <w:spacing w:before="240"/>
    </w:pPr>
    <w:rPr>
      <w:szCs w:val="20"/>
      <w:lang w:eastAsia="en-AU"/>
    </w:rPr>
  </w:style>
  <w:style w:type="paragraph" w:customStyle="1" w:styleId="BodyParaBullet">
    <w:name w:val="BodyParaBullet"/>
    <w:aliases w:val="bpb"/>
    <w:basedOn w:val="Normal"/>
    <w:rsid w:val="00A120D9"/>
    <w:pPr>
      <w:numPr>
        <w:ilvl w:val="2"/>
        <w:numId w:val="5"/>
      </w:numPr>
      <w:tabs>
        <w:tab w:val="left" w:pos="2160"/>
      </w:tabs>
      <w:spacing w:before="240"/>
    </w:pPr>
    <w:rPr>
      <w:szCs w:val="20"/>
      <w:lang w:eastAsia="en-AU"/>
    </w:rPr>
  </w:style>
  <w:style w:type="paragraph" w:customStyle="1" w:styleId="BodySubPara">
    <w:name w:val="BodySubPara"/>
    <w:aliases w:val="bi"/>
    <w:basedOn w:val="Normal"/>
    <w:rsid w:val="00A120D9"/>
    <w:pPr>
      <w:numPr>
        <w:ilvl w:val="3"/>
        <w:numId w:val="5"/>
      </w:numPr>
      <w:spacing w:before="240"/>
    </w:pPr>
    <w:rPr>
      <w:szCs w:val="20"/>
      <w:lang w:eastAsia="en-AU"/>
    </w:rPr>
  </w:style>
  <w:style w:type="numbering" w:customStyle="1" w:styleId="OPCBodyList">
    <w:name w:val="OPCBodyList"/>
    <w:uiPriority w:val="99"/>
    <w:rsid w:val="00A120D9"/>
    <w:pPr>
      <w:numPr>
        <w:numId w:val="5"/>
      </w:numPr>
    </w:pPr>
  </w:style>
  <w:style w:type="paragraph" w:styleId="ListParagraph">
    <w:name w:val="List Paragraph"/>
    <w:basedOn w:val="Normal"/>
    <w:uiPriority w:val="34"/>
    <w:qFormat/>
    <w:rsid w:val="0006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990">
      <w:bodyDiv w:val="1"/>
      <w:marLeft w:val="0"/>
      <w:marRight w:val="0"/>
      <w:marTop w:val="0"/>
      <w:marBottom w:val="0"/>
      <w:divBdr>
        <w:top w:val="none" w:sz="0" w:space="0" w:color="auto"/>
        <w:left w:val="none" w:sz="0" w:space="0" w:color="auto"/>
        <w:bottom w:val="none" w:sz="0" w:space="0" w:color="auto"/>
        <w:right w:val="none" w:sz="0" w:space="0" w:color="auto"/>
      </w:divBdr>
    </w:div>
    <w:div w:id="65884700">
      <w:bodyDiv w:val="1"/>
      <w:marLeft w:val="0"/>
      <w:marRight w:val="0"/>
      <w:marTop w:val="0"/>
      <w:marBottom w:val="0"/>
      <w:divBdr>
        <w:top w:val="none" w:sz="0" w:space="0" w:color="auto"/>
        <w:left w:val="none" w:sz="0" w:space="0" w:color="auto"/>
        <w:bottom w:val="none" w:sz="0" w:space="0" w:color="auto"/>
        <w:right w:val="none" w:sz="0" w:space="0" w:color="auto"/>
      </w:divBdr>
    </w:div>
    <w:div w:id="73674312">
      <w:bodyDiv w:val="1"/>
      <w:marLeft w:val="0"/>
      <w:marRight w:val="0"/>
      <w:marTop w:val="0"/>
      <w:marBottom w:val="0"/>
      <w:divBdr>
        <w:top w:val="none" w:sz="0" w:space="0" w:color="auto"/>
        <w:left w:val="none" w:sz="0" w:space="0" w:color="auto"/>
        <w:bottom w:val="none" w:sz="0" w:space="0" w:color="auto"/>
        <w:right w:val="none" w:sz="0" w:space="0" w:color="auto"/>
      </w:divBdr>
    </w:div>
    <w:div w:id="151675933">
      <w:bodyDiv w:val="1"/>
      <w:marLeft w:val="0"/>
      <w:marRight w:val="0"/>
      <w:marTop w:val="0"/>
      <w:marBottom w:val="0"/>
      <w:divBdr>
        <w:top w:val="none" w:sz="0" w:space="0" w:color="auto"/>
        <w:left w:val="none" w:sz="0" w:space="0" w:color="auto"/>
        <w:bottom w:val="none" w:sz="0" w:space="0" w:color="auto"/>
        <w:right w:val="none" w:sz="0" w:space="0" w:color="auto"/>
      </w:divBdr>
    </w:div>
    <w:div w:id="159857212">
      <w:bodyDiv w:val="1"/>
      <w:marLeft w:val="0"/>
      <w:marRight w:val="0"/>
      <w:marTop w:val="0"/>
      <w:marBottom w:val="0"/>
      <w:divBdr>
        <w:top w:val="none" w:sz="0" w:space="0" w:color="auto"/>
        <w:left w:val="none" w:sz="0" w:space="0" w:color="auto"/>
        <w:bottom w:val="none" w:sz="0" w:space="0" w:color="auto"/>
        <w:right w:val="none" w:sz="0" w:space="0" w:color="auto"/>
      </w:divBdr>
    </w:div>
    <w:div w:id="205335414">
      <w:bodyDiv w:val="1"/>
      <w:marLeft w:val="0"/>
      <w:marRight w:val="0"/>
      <w:marTop w:val="0"/>
      <w:marBottom w:val="0"/>
      <w:divBdr>
        <w:top w:val="none" w:sz="0" w:space="0" w:color="auto"/>
        <w:left w:val="none" w:sz="0" w:space="0" w:color="auto"/>
        <w:bottom w:val="none" w:sz="0" w:space="0" w:color="auto"/>
        <w:right w:val="none" w:sz="0" w:space="0" w:color="auto"/>
      </w:divBdr>
    </w:div>
    <w:div w:id="208345161">
      <w:bodyDiv w:val="1"/>
      <w:marLeft w:val="0"/>
      <w:marRight w:val="0"/>
      <w:marTop w:val="0"/>
      <w:marBottom w:val="0"/>
      <w:divBdr>
        <w:top w:val="none" w:sz="0" w:space="0" w:color="auto"/>
        <w:left w:val="none" w:sz="0" w:space="0" w:color="auto"/>
        <w:bottom w:val="none" w:sz="0" w:space="0" w:color="auto"/>
        <w:right w:val="none" w:sz="0" w:space="0" w:color="auto"/>
      </w:divBdr>
    </w:div>
    <w:div w:id="214320600">
      <w:bodyDiv w:val="1"/>
      <w:marLeft w:val="0"/>
      <w:marRight w:val="0"/>
      <w:marTop w:val="0"/>
      <w:marBottom w:val="0"/>
      <w:divBdr>
        <w:top w:val="none" w:sz="0" w:space="0" w:color="auto"/>
        <w:left w:val="none" w:sz="0" w:space="0" w:color="auto"/>
        <w:bottom w:val="none" w:sz="0" w:space="0" w:color="auto"/>
        <w:right w:val="none" w:sz="0" w:space="0" w:color="auto"/>
      </w:divBdr>
    </w:div>
    <w:div w:id="215432879">
      <w:bodyDiv w:val="1"/>
      <w:marLeft w:val="0"/>
      <w:marRight w:val="0"/>
      <w:marTop w:val="0"/>
      <w:marBottom w:val="0"/>
      <w:divBdr>
        <w:top w:val="none" w:sz="0" w:space="0" w:color="auto"/>
        <w:left w:val="none" w:sz="0" w:space="0" w:color="auto"/>
        <w:bottom w:val="none" w:sz="0" w:space="0" w:color="auto"/>
        <w:right w:val="none" w:sz="0" w:space="0" w:color="auto"/>
      </w:divBdr>
    </w:div>
    <w:div w:id="252402481">
      <w:bodyDiv w:val="1"/>
      <w:marLeft w:val="0"/>
      <w:marRight w:val="0"/>
      <w:marTop w:val="0"/>
      <w:marBottom w:val="0"/>
      <w:divBdr>
        <w:top w:val="none" w:sz="0" w:space="0" w:color="auto"/>
        <w:left w:val="none" w:sz="0" w:space="0" w:color="auto"/>
        <w:bottom w:val="none" w:sz="0" w:space="0" w:color="auto"/>
        <w:right w:val="none" w:sz="0" w:space="0" w:color="auto"/>
      </w:divBdr>
    </w:div>
    <w:div w:id="295646392">
      <w:bodyDiv w:val="1"/>
      <w:marLeft w:val="0"/>
      <w:marRight w:val="0"/>
      <w:marTop w:val="0"/>
      <w:marBottom w:val="0"/>
      <w:divBdr>
        <w:top w:val="none" w:sz="0" w:space="0" w:color="auto"/>
        <w:left w:val="none" w:sz="0" w:space="0" w:color="auto"/>
        <w:bottom w:val="none" w:sz="0" w:space="0" w:color="auto"/>
        <w:right w:val="none" w:sz="0" w:space="0" w:color="auto"/>
      </w:divBdr>
    </w:div>
    <w:div w:id="361134500">
      <w:bodyDiv w:val="1"/>
      <w:marLeft w:val="0"/>
      <w:marRight w:val="0"/>
      <w:marTop w:val="0"/>
      <w:marBottom w:val="0"/>
      <w:divBdr>
        <w:top w:val="none" w:sz="0" w:space="0" w:color="auto"/>
        <w:left w:val="none" w:sz="0" w:space="0" w:color="auto"/>
        <w:bottom w:val="none" w:sz="0" w:space="0" w:color="auto"/>
        <w:right w:val="none" w:sz="0" w:space="0" w:color="auto"/>
      </w:divBdr>
    </w:div>
    <w:div w:id="455373084">
      <w:bodyDiv w:val="1"/>
      <w:marLeft w:val="0"/>
      <w:marRight w:val="0"/>
      <w:marTop w:val="0"/>
      <w:marBottom w:val="0"/>
      <w:divBdr>
        <w:top w:val="none" w:sz="0" w:space="0" w:color="auto"/>
        <w:left w:val="none" w:sz="0" w:space="0" w:color="auto"/>
        <w:bottom w:val="none" w:sz="0" w:space="0" w:color="auto"/>
        <w:right w:val="none" w:sz="0" w:space="0" w:color="auto"/>
      </w:divBdr>
    </w:div>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474949638">
      <w:bodyDiv w:val="1"/>
      <w:marLeft w:val="0"/>
      <w:marRight w:val="0"/>
      <w:marTop w:val="0"/>
      <w:marBottom w:val="0"/>
      <w:divBdr>
        <w:top w:val="none" w:sz="0" w:space="0" w:color="auto"/>
        <w:left w:val="none" w:sz="0" w:space="0" w:color="auto"/>
        <w:bottom w:val="none" w:sz="0" w:space="0" w:color="auto"/>
        <w:right w:val="none" w:sz="0" w:space="0" w:color="auto"/>
      </w:divBdr>
    </w:div>
    <w:div w:id="481236861">
      <w:bodyDiv w:val="1"/>
      <w:marLeft w:val="0"/>
      <w:marRight w:val="0"/>
      <w:marTop w:val="0"/>
      <w:marBottom w:val="0"/>
      <w:divBdr>
        <w:top w:val="none" w:sz="0" w:space="0" w:color="auto"/>
        <w:left w:val="none" w:sz="0" w:space="0" w:color="auto"/>
        <w:bottom w:val="none" w:sz="0" w:space="0" w:color="auto"/>
        <w:right w:val="none" w:sz="0" w:space="0" w:color="auto"/>
      </w:divBdr>
    </w:div>
    <w:div w:id="654914596">
      <w:bodyDiv w:val="1"/>
      <w:marLeft w:val="0"/>
      <w:marRight w:val="0"/>
      <w:marTop w:val="0"/>
      <w:marBottom w:val="0"/>
      <w:divBdr>
        <w:top w:val="none" w:sz="0" w:space="0" w:color="auto"/>
        <w:left w:val="none" w:sz="0" w:space="0" w:color="auto"/>
        <w:bottom w:val="none" w:sz="0" w:space="0" w:color="auto"/>
        <w:right w:val="none" w:sz="0" w:space="0" w:color="auto"/>
      </w:divBdr>
    </w:div>
    <w:div w:id="721250948">
      <w:bodyDiv w:val="1"/>
      <w:marLeft w:val="0"/>
      <w:marRight w:val="0"/>
      <w:marTop w:val="0"/>
      <w:marBottom w:val="0"/>
      <w:divBdr>
        <w:top w:val="none" w:sz="0" w:space="0" w:color="auto"/>
        <w:left w:val="none" w:sz="0" w:space="0" w:color="auto"/>
        <w:bottom w:val="none" w:sz="0" w:space="0" w:color="auto"/>
        <w:right w:val="none" w:sz="0" w:space="0" w:color="auto"/>
      </w:divBdr>
    </w:div>
    <w:div w:id="748576583">
      <w:bodyDiv w:val="1"/>
      <w:marLeft w:val="0"/>
      <w:marRight w:val="0"/>
      <w:marTop w:val="0"/>
      <w:marBottom w:val="0"/>
      <w:divBdr>
        <w:top w:val="none" w:sz="0" w:space="0" w:color="auto"/>
        <w:left w:val="none" w:sz="0" w:space="0" w:color="auto"/>
        <w:bottom w:val="none" w:sz="0" w:space="0" w:color="auto"/>
        <w:right w:val="none" w:sz="0" w:space="0" w:color="auto"/>
      </w:divBdr>
    </w:div>
    <w:div w:id="756753068">
      <w:bodyDiv w:val="1"/>
      <w:marLeft w:val="0"/>
      <w:marRight w:val="0"/>
      <w:marTop w:val="0"/>
      <w:marBottom w:val="0"/>
      <w:divBdr>
        <w:top w:val="none" w:sz="0" w:space="0" w:color="auto"/>
        <w:left w:val="none" w:sz="0" w:space="0" w:color="auto"/>
        <w:bottom w:val="none" w:sz="0" w:space="0" w:color="auto"/>
        <w:right w:val="none" w:sz="0" w:space="0" w:color="auto"/>
      </w:divBdr>
    </w:div>
    <w:div w:id="775246245">
      <w:bodyDiv w:val="1"/>
      <w:marLeft w:val="0"/>
      <w:marRight w:val="0"/>
      <w:marTop w:val="0"/>
      <w:marBottom w:val="0"/>
      <w:divBdr>
        <w:top w:val="none" w:sz="0" w:space="0" w:color="auto"/>
        <w:left w:val="none" w:sz="0" w:space="0" w:color="auto"/>
        <w:bottom w:val="none" w:sz="0" w:space="0" w:color="auto"/>
        <w:right w:val="none" w:sz="0" w:space="0" w:color="auto"/>
      </w:divBdr>
    </w:div>
    <w:div w:id="793329613">
      <w:bodyDiv w:val="1"/>
      <w:marLeft w:val="0"/>
      <w:marRight w:val="0"/>
      <w:marTop w:val="0"/>
      <w:marBottom w:val="0"/>
      <w:divBdr>
        <w:top w:val="none" w:sz="0" w:space="0" w:color="auto"/>
        <w:left w:val="none" w:sz="0" w:space="0" w:color="auto"/>
        <w:bottom w:val="none" w:sz="0" w:space="0" w:color="auto"/>
        <w:right w:val="none" w:sz="0" w:space="0" w:color="auto"/>
      </w:divBdr>
    </w:div>
    <w:div w:id="814372002">
      <w:bodyDiv w:val="1"/>
      <w:marLeft w:val="0"/>
      <w:marRight w:val="0"/>
      <w:marTop w:val="0"/>
      <w:marBottom w:val="0"/>
      <w:divBdr>
        <w:top w:val="none" w:sz="0" w:space="0" w:color="auto"/>
        <w:left w:val="none" w:sz="0" w:space="0" w:color="auto"/>
        <w:bottom w:val="none" w:sz="0" w:space="0" w:color="auto"/>
        <w:right w:val="none" w:sz="0" w:space="0" w:color="auto"/>
      </w:divBdr>
    </w:div>
    <w:div w:id="956184311">
      <w:bodyDiv w:val="1"/>
      <w:marLeft w:val="0"/>
      <w:marRight w:val="0"/>
      <w:marTop w:val="0"/>
      <w:marBottom w:val="0"/>
      <w:divBdr>
        <w:top w:val="none" w:sz="0" w:space="0" w:color="auto"/>
        <w:left w:val="none" w:sz="0" w:space="0" w:color="auto"/>
        <w:bottom w:val="none" w:sz="0" w:space="0" w:color="auto"/>
        <w:right w:val="none" w:sz="0" w:space="0" w:color="auto"/>
      </w:divBdr>
    </w:div>
    <w:div w:id="965156666">
      <w:bodyDiv w:val="1"/>
      <w:marLeft w:val="0"/>
      <w:marRight w:val="0"/>
      <w:marTop w:val="0"/>
      <w:marBottom w:val="0"/>
      <w:divBdr>
        <w:top w:val="none" w:sz="0" w:space="0" w:color="auto"/>
        <w:left w:val="none" w:sz="0" w:space="0" w:color="auto"/>
        <w:bottom w:val="none" w:sz="0" w:space="0" w:color="auto"/>
        <w:right w:val="none" w:sz="0" w:space="0" w:color="auto"/>
      </w:divBdr>
    </w:div>
    <w:div w:id="965962930">
      <w:bodyDiv w:val="1"/>
      <w:marLeft w:val="0"/>
      <w:marRight w:val="0"/>
      <w:marTop w:val="0"/>
      <w:marBottom w:val="0"/>
      <w:divBdr>
        <w:top w:val="none" w:sz="0" w:space="0" w:color="auto"/>
        <w:left w:val="none" w:sz="0" w:space="0" w:color="auto"/>
        <w:bottom w:val="none" w:sz="0" w:space="0" w:color="auto"/>
        <w:right w:val="none" w:sz="0" w:space="0" w:color="auto"/>
      </w:divBdr>
    </w:div>
    <w:div w:id="1017536964">
      <w:bodyDiv w:val="1"/>
      <w:marLeft w:val="0"/>
      <w:marRight w:val="0"/>
      <w:marTop w:val="0"/>
      <w:marBottom w:val="0"/>
      <w:divBdr>
        <w:top w:val="none" w:sz="0" w:space="0" w:color="auto"/>
        <w:left w:val="none" w:sz="0" w:space="0" w:color="auto"/>
        <w:bottom w:val="none" w:sz="0" w:space="0" w:color="auto"/>
        <w:right w:val="none" w:sz="0" w:space="0" w:color="auto"/>
      </w:divBdr>
    </w:div>
    <w:div w:id="1073508073">
      <w:bodyDiv w:val="1"/>
      <w:marLeft w:val="0"/>
      <w:marRight w:val="0"/>
      <w:marTop w:val="0"/>
      <w:marBottom w:val="0"/>
      <w:divBdr>
        <w:top w:val="none" w:sz="0" w:space="0" w:color="auto"/>
        <w:left w:val="none" w:sz="0" w:space="0" w:color="auto"/>
        <w:bottom w:val="none" w:sz="0" w:space="0" w:color="auto"/>
        <w:right w:val="none" w:sz="0" w:space="0" w:color="auto"/>
      </w:divBdr>
    </w:div>
    <w:div w:id="1196384879">
      <w:bodyDiv w:val="1"/>
      <w:marLeft w:val="0"/>
      <w:marRight w:val="0"/>
      <w:marTop w:val="0"/>
      <w:marBottom w:val="0"/>
      <w:divBdr>
        <w:top w:val="none" w:sz="0" w:space="0" w:color="auto"/>
        <w:left w:val="none" w:sz="0" w:space="0" w:color="auto"/>
        <w:bottom w:val="none" w:sz="0" w:space="0" w:color="auto"/>
        <w:right w:val="none" w:sz="0" w:space="0" w:color="auto"/>
      </w:divBdr>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
    <w:div w:id="1285118610">
      <w:bodyDiv w:val="1"/>
      <w:marLeft w:val="0"/>
      <w:marRight w:val="0"/>
      <w:marTop w:val="0"/>
      <w:marBottom w:val="0"/>
      <w:divBdr>
        <w:top w:val="none" w:sz="0" w:space="0" w:color="auto"/>
        <w:left w:val="none" w:sz="0" w:space="0" w:color="auto"/>
        <w:bottom w:val="none" w:sz="0" w:space="0" w:color="auto"/>
        <w:right w:val="none" w:sz="0" w:space="0" w:color="auto"/>
      </w:divBdr>
    </w:div>
    <w:div w:id="1322007180">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472752771">
      <w:bodyDiv w:val="1"/>
      <w:marLeft w:val="0"/>
      <w:marRight w:val="0"/>
      <w:marTop w:val="0"/>
      <w:marBottom w:val="0"/>
      <w:divBdr>
        <w:top w:val="none" w:sz="0" w:space="0" w:color="auto"/>
        <w:left w:val="none" w:sz="0" w:space="0" w:color="auto"/>
        <w:bottom w:val="none" w:sz="0" w:space="0" w:color="auto"/>
        <w:right w:val="none" w:sz="0" w:space="0" w:color="auto"/>
      </w:divBdr>
    </w:div>
    <w:div w:id="1549415391">
      <w:bodyDiv w:val="1"/>
      <w:marLeft w:val="0"/>
      <w:marRight w:val="0"/>
      <w:marTop w:val="0"/>
      <w:marBottom w:val="0"/>
      <w:divBdr>
        <w:top w:val="none" w:sz="0" w:space="0" w:color="auto"/>
        <w:left w:val="none" w:sz="0" w:space="0" w:color="auto"/>
        <w:bottom w:val="none" w:sz="0" w:space="0" w:color="auto"/>
        <w:right w:val="none" w:sz="0" w:space="0" w:color="auto"/>
      </w:divBdr>
    </w:div>
    <w:div w:id="1571769982">
      <w:bodyDiv w:val="1"/>
      <w:marLeft w:val="0"/>
      <w:marRight w:val="0"/>
      <w:marTop w:val="0"/>
      <w:marBottom w:val="0"/>
      <w:divBdr>
        <w:top w:val="none" w:sz="0" w:space="0" w:color="auto"/>
        <w:left w:val="none" w:sz="0" w:space="0" w:color="auto"/>
        <w:bottom w:val="none" w:sz="0" w:space="0" w:color="auto"/>
        <w:right w:val="none" w:sz="0" w:space="0" w:color="auto"/>
      </w:divBdr>
    </w:div>
    <w:div w:id="1620260019">
      <w:bodyDiv w:val="1"/>
      <w:marLeft w:val="0"/>
      <w:marRight w:val="0"/>
      <w:marTop w:val="0"/>
      <w:marBottom w:val="0"/>
      <w:divBdr>
        <w:top w:val="none" w:sz="0" w:space="0" w:color="auto"/>
        <w:left w:val="none" w:sz="0" w:space="0" w:color="auto"/>
        <w:bottom w:val="none" w:sz="0" w:space="0" w:color="auto"/>
        <w:right w:val="none" w:sz="0" w:space="0" w:color="auto"/>
      </w:divBdr>
    </w:div>
    <w:div w:id="1712800684">
      <w:bodyDiv w:val="1"/>
      <w:marLeft w:val="0"/>
      <w:marRight w:val="0"/>
      <w:marTop w:val="0"/>
      <w:marBottom w:val="0"/>
      <w:divBdr>
        <w:top w:val="none" w:sz="0" w:space="0" w:color="auto"/>
        <w:left w:val="none" w:sz="0" w:space="0" w:color="auto"/>
        <w:bottom w:val="none" w:sz="0" w:space="0" w:color="auto"/>
        <w:right w:val="none" w:sz="0" w:space="0" w:color="auto"/>
      </w:divBdr>
    </w:div>
    <w:div w:id="1763720437">
      <w:bodyDiv w:val="1"/>
      <w:marLeft w:val="0"/>
      <w:marRight w:val="0"/>
      <w:marTop w:val="0"/>
      <w:marBottom w:val="0"/>
      <w:divBdr>
        <w:top w:val="none" w:sz="0" w:space="0" w:color="auto"/>
        <w:left w:val="none" w:sz="0" w:space="0" w:color="auto"/>
        <w:bottom w:val="none" w:sz="0" w:space="0" w:color="auto"/>
        <w:right w:val="none" w:sz="0" w:space="0" w:color="auto"/>
      </w:divBdr>
    </w:div>
    <w:div w:id="1859418373">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 w:id="1987511962">
      <w:bodyDiv w:val="1"/>
      <w:marLeft w:val="0"/>
      <w:marRight w:val="0"/>
      <w:marTop w:val="0"/>
      <w:marBottom w:val="0"/>
      <w:divBdr>
        <w:top w:val="none" w:sz="0" w:space="0" w:color="auto"/>
        <w:left w:val="none" w:sz="0" w:space="0" w:color="auto"/>
        <w:bottom w:val="none" w:sz="0" w:space="0" w:color="auto"/>
        <w:right w:val="none" w:sz="0" w:space="0" w:color="auto"/>
      </w:divBdr>
    </w:div>
    <w:div w:id="2063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6159edd4a6854a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A3605942</value>
    </field>
    <field name="Objective-Title">
      <value order="0">Explanatory Statement - Variation to Schedule 20 - 27 August 2025</value>
    </field>
    <field name="Objective-Description">
      <value order="0"/>
    </field>
    <field name="Objective-CreationStamp">
      <value order="0">2025-08-26T00:29:48Z</value>
    </field>
    <field name="Objective-IsApproved">
      <value order="0">true</value>
    </field>
    <field name="Objective-IsPublished">
      <value order="0">true</value>
    </field>
    <field name="Objective-DatePublished">
      <value order="0">2025-08-28T01:17:53Z</value>
    </field>
    <field name="Objective-ModificationStamp">
      <value order="0">2025-08-28T01:17:53Z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- 2025:2025 APVMA 02 27 August (1)</value>
    </field>
    <field name="Objective-Parent">
      <value order="0">2025 APVMA 02 27 August (1)</value>
    </field>
    <field name="Objective-State">
      <value order="0">Published</value>
    </field>
    <field name="Objective-VersionId">
      <value order="0">vA5425399</value>
    </field>
    <field name="Objective-Version">
      <value order="0">2.0</value>
    </field>
    <field name="Objective-VersionNumber">
      <value order="0">5</value>
    </field>
    <field name="Objective-VersionComment">
      <value order="0"/>
    </field>
    <field name="Objective-FileNumber">
      <value order="0">2025\0916</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A45C-CAEE-4E2D-9A14-4B7495EC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11502</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6</cp:revision>
  <cp:lastPrinted>2015-10-29T01:49:00Z</cp:lastPrinted>
  <dcterms:created xsi:type="dcterms:W3CDTF">2025-08-25T23:51:00Z</dcterms:created>
  <dcterms:modified xsi:type="dcterms:W3CDTF">2025-08-27T22:26:00Z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A3605942</vt:lpwstr>
  </property>
  <property fmtid="{D5CDD505-2E9C-101B-9397-08002B2CF9AE}" pid="4" name="Objective-Title">
    <vt:lpwstr>Explanatory Statement - Variation to Schedule 20 - 27 August 2025</vt:lpwstr>
  </property>
  <property fmtid="{D5CDD505-2E9C-101B-9397-08002B2CF9AE}" pid="5" name="Objective-Comment">
    <vt:lpwstr/>
  </property>
  <property fmtid="{D5CDD505-2E9C-101B-9397-08002B2CF9AE}" pid="6" name="Objective-CreationStamp">
    <vt:filetime>2025-08-26T00:29:48Z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2025-08-28T01:17:53Z</vt:filetime>
  </property>
  <property fmtid="{D5CDD505-2E9C-101B-9397-08002B2CF9AE}" pid="10" name="Objective-ModificationStamp">
    <vt:filetime>2025-08-28T01:17:53Z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- 2025:2025 APVMA 02 27 August (1):</vt:lpwstr>
  </property>
  <property fmtid="{D5CDD505-2E9C-101B-9397-08002B2CF9AE}" pid="13" name="Objective-Parent">
    <vt:lpwstr>2025 APVMA 02 27 August (1)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2025\0916</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FD81ABA93F226ACAB855B8E70E31DF5271B53022</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2022.1</vt:lpwstr>
  </property>
  <property fmtid="{D5CDD505-2E9C-101B-9397-08002B2CF9AE}" pid="40" name="PM_Hash_Salt_Prev">
    <vt:lpwstr>4FA16AFF71F98B69890C4D65F1C89019</vt:lpwstr>
  </property>
  <property fmtid="{D5CDD505-2E9C-101B-9397-08002B2CF9AE}" pid="41" name="PM_Hash_Salt">
    <vt:lpwstr>43E6FF1FBA8F6150FAC8EB03A08CB66D</vt:lpwstr>
  </property>
  <property fmtid="{D5CDD505-2E9C-101B-9397-08002B2CF9AE}" pid="42" name="PM_Hash_SHA1">
    <vt:lpwstr>E1DC9B54523249C93659324ACC1EE23465FD9928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vA5425399</vt:lpwstr>
  </property>
  <property fmtid="{D5CDD505-2E9C-101B-9397-08002B2CF9AE}" pid="47" name="PM_Expires">
    <vt:lpwstr/>
  </property>
  <property fmtid="{D5CDD505-2E9C-101B-9397-08002B2CF9AE}" pid="48" name="bjDocumentLabelXML-0">
    <vt:lpwstr>ent xmlns="" uid="0d6753b0-55bf-4bfe-9711-090a5860f1b6" value=""/&gt;&lt;/sisl&gt;</vt:lpwstr>
  </property>
  <property fmtid="{D5CDD505-2E9C-101B-9397-08002B2CF9AE}" pid="49" name="PMHMAC">
    <vt:lpwstr>v=2022.1;a=SHA256;h=52B039F1C2DAE3D172D00975E3C4A9DB966DF7C4BC8BE06A7785D460CBCAF66F</vt:lpwstr>
  </property>
  <property fmtid="{D5CDD505-2E9C-101B-9397-08002B2CF9AE}" pid="50" name="PM_DownTo">
    <vt:lpwstr/>
  </property>
  <property fmtid="{D5CDD505-2E9C-101B-9397-08002B2CF9AE}" pid="51"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2" name="PM_Display">
    <vt:lpwstr>UNOFFICIAL</vt:lpwstr>
  </property>
  <property fmtid="{D5CDD505-2E9C-101B-9397-08002B2CF9AE}" pid="53" name="PM_OriginatorUserAccountName_SHA256">
    <vt:lpwstr>76A398F9A523C18A16FB1654A5072088AAE1D9C92F6E052120FD4F40D9801D6D</vt:lpwstr>
  </property>
  <property fmtid="{D5CDD505-2E9C-101B-9397-08002B2CF9AE}" pid="54" name="PM_OriginatorDomainName_SHA256">
    <vt:lpwstr>1728E66681E435764AE865ABE664C38F2A2F6D4B1DC4AC4803028F4FC406745D</vt:lpwstr>
  </property>
  <property fmtid="{D5CDD505-2E9C-101B-9397-08002B2CF9AE}" pid="55" name="PMUuid">
    <vt:lpwstr>v=2022.2;d=gov.au;g=65417EFE-F3B9-5E66-BD91-1E689FEC2EA6</vt:lpwstr>
  </property>
</Properties>
</file>