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7477" w14:textId="77777777" w:rsidR="0048364F" w:rsidRPr="00FD0DC0" w:rsidRDefault="00193461" w:rsidP="0020300C">
      <w:pPr>
        <w:rPr>
          <w:rFonts w:cs="Times New Roman"/>
          <w:sz w:val="28"/>
        </w:rPr>
      </w:pPr>
      <w:r w:rsidRPr="00FD0DC0">
        <w:rPr>
          <w:rFonts w:cs="Times New Roman"/>
          <w:noProof/>
          <w:lang w:eastAsia="en-AU"/>
        </w:rPr>
        <w:drawing>
          <wp:inline distT="0" distB="0" distL="0" distR="0" wp14:anchorId="470DD878" wp14:editId="54AA09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CB80" w14:textId="77777777" w:rsidR="0048364F" w:rsidRPr="00FD0DC0" w:rsidRDefault="0048364F" w:rsidP="0048364F">
      <w:pPr>
        <w:rPr>
          <w:rFonts w:cs="Times New Roman"/>
          <w:sz w:val="19"/>
        </w:rPr>
      </w:pPr>
    </w:p>
    <w:p w14:paraId="722CEC71" w14:textId="045A2244" w:rsidR="00B02782" w:rsidRPr="00FD0DC0" w:rsidRDefault="00B02782" w:rsidP="00B02782">
      <w:pPr>
        <w:rPr>
          <w:rFonts w:cs="Times New Roman"/>
          <w:sz w:val="19"/>
        </w:rPr>
      </w:pPr>
      <w:r w:rsidRPr="00FD0DC0">
        <w:rPr>
          <w:rFonts w:cs="Times New Roman"/>
          <w:b/>
          <w:sz w:val="28"/>
          <w:szCs w:val="28"/>
        </w:rPr>
        <w:t xml:space="preserve">PB </w:t>
      </w:r>
      <w:r w:rsidR="00C159A9" w:rsidRPr="00FD0DC0">
        <w:rPr>
          <w:rFonts w:cs="Times New Roman"/>
          <w:b/>
          <w:sz w:val="28"/>
          <w:szCs w:val="28"/>
        </w:rPr>
        <w:t>101</w:t>
      </w:r>
      <w:r w:rsidR="00BF15F4" w:rsidRPr="00FD0DC0">
        <w:rPr>
          <w:rFonts w:cs="Times New Roman"/>
          <w:b/>
          <w:sz w:val="28"/>
          <w:szCs w:val="28"/>
        </w:rPr>
        <w:t xml:space="preserve"> </w:t>
      </w:r>
      <w:r w:rsidR="00227DEF" w:rsidRPr="00FD0DC0">
        <w:rPr>
          <w:rFonts w:cs="Times New Roman"/>
          <w:b/>
          <w:sz w:val="28"/>
          <w:szCs w:val="28"/>
        </w:rPr>
        <w:t xml:space="preserve">of </w:t>
      </w:r>
      <w:r w:rsidR="00877FF1" w:rsidRPr="00FD0DC0">
        <w:rPr>
          <w:rFonts w:cs="Times New Roman"/>
          <w:b/>
          <w:sz w:val="28"/>
          <w:szCs w:val="28"/>
        </w:rPr>
        <w:t>2025</w:t>
      </w:r>
    </w:p>
    <w:p w14:paraId="65236372" w14:textId="77777777" w:rsidR="00B02782" w:rsidRPr="00FD0DC0" w:rsidRDefault="00B02782" w:rsidP="0048364F">
      <w:pPr>
        <w:rPr>
          <w:rFonts w:cs="Times New Roman"/>
          <w:sz w:val="19"/>
        </w:rPr>
      </w:pPr>
    </w:p>
    <w:p w14:paraId="75A6D845" w14:textId="36336325" w:rsidR="0048364F" w:rsidRPr="00FD0DC0" w:rsidRDefault="005A403B" w:rsidP="0048364F">
      <w:pPr>
        <w:pStyle w:val="ShortT"/>
      </w:pPr>
      <w:r w:rsidRPr="00FD0DC0">
        <w:t>National Health (Minimum Stockholding) Amendment Determination</w:t>
      </w:r>
      <w:r w:rsidR="0093098D" w:rsidRPr="00FD0DC0">
        <w:t xml:space="preserve"> (</w:t>
      </w:r>
      <w:r w:rsidR="00877FF1" w:rsidRPr="00FD0DC0">
        <w:t xml:space="preserve">No. </w:t>
      </w:r>
      <w:r w:rsidR="00C159A9" w:rsidRPr="00FD0DC0">
        <w:t>8</w:t>
      </w:r>
      <w:r w:rsidR="0093098D" w:rsidRPr="00FD0DC0">
        <w:t>)</w:t>
      </w:r>
      <w:r w:rsidR="00F62CD4" w:rsidRPr="00FD0DC0">
        <w:t xml:space="preserve"> </w:t>
      </w:r>
      <w:r w:rsidR="00877FF1" w:rsidRPr="00FD0DC0">
        <w:t>2025</w:t>
      </w:r>
    </w:p>
    <w:p w14:paraId="1CC3C90D" w14:textId="31A36458" w:rsidR="005A403B" w:rsidRPr="00FD0DC0" w:rsidRDefault="005A403B" w:rsidP="00911F87">
      <w:pPr>
        <w:pStyle w:val="SignCoverPageStart"/>
        <w:rPr>
          <w:szCs w:val="22"/>
        </w:rPr>
      </w:pPr>
      <w:r w:rsidRPr="00FD0DC0">
        <w:rPr>
          <w:szCs w:val="22"/>
        </w:rPr>
        <w:t xml:space="preserve">I, </w:t>
      </w:r>
      <w:r w:rsidR="00877FF1" w:rsidRPr="00FD0DC0">
        <w:rPr>
          <w:szCs w:val="22"/>
        </w:rPr>
        <w:t>Rebecca Richardson</w:t>
      </w:r>
      <w:r w:rsidRPr="00FD0DC0">
        <w:rPr>
          <w:szCs w:val="22"/>
        </w:rPr>
        <w:t xml:space="preserve">, </w:t>
      </w:r>
      <w:r w:rsidR="00935781" w:rsidRPr="00FD0DC0">
        <w:rPr>
          <w:szCs w:val="22"/>
        </w:rPr>
        <w:t xml:space="preserve">as delegate of the </w:t>
      </w:r>
      <w:r w:rsidRPr="00FD0DC0">
        <w:rPr>
          <w:szCs w:val="22"/>
        </w:rPr>
        <w:t>Minister for Health and Ag</w:t>
      </w:r>
      <w:r w:rsidR="00786E9F" w:rsidRPr="00FD0DC0">
        <w:rPr>
          <w:szCs w:val="22"/>
        </w:rPr>
        <w:t>e</w:t>
      </w:r>
      <w:r w:rsidR="004D6FE0" w:rsidRPr="00FD0DC0">
        <w:rPr>
          <w:szCs w:val="22"/>
        </w:rPr>
        <w:t>ing</w:t>
      </w:r>
      <w:r w:rsidRPr="00FD0DC0">
        <w:rPr>
          <w:szCs w:val="22"/>
        </w:rPr>
        <w:t>, make the following determination.</w:t>
      </w:r>
    </w:p>
    <w:p w14:paraId="1E04C67A" w14:textId="0DCB3576" w:rsidR="005A403B" w:rsidRPr="00FD0DC0" w:rsidRDefault="005A403B" w:rsidP="00911F87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FD0DC0">
        <w:rPr>
          <w:rFonts w:cs="Times New Roman"/>
          <w:szCs w:val="22"/>
        </w:rPr>
        <w:t>Dated</w:t>
      </w:r>
      <w:r w:rsidR="001C7AC1" w:rsidRPr="00FD0DC0">
        <w:rPr>
          <w:rFonts w:cs="Times New Roman"/>
          <w:szCs w:val="22"/>
        </w:rPr>
        <w:t xml:space="preserve"> </w:t>
      </w:r>
      <w:r w:rsidR="009F6D3E" w:rsidRPr="00FD0DC0">
        <w:rPr>
          <w:rFonts w:cs="Times New Roman"/>
          <w:szCs w:val="22"/>
        </w:rPr>
        <w:t>25</w:t>
      </w:r>
      <w:r w:rsidR="009573A0" w:rsidRPr="00FD0DC0">
        <w:rPr>
          <w:rFonts w:cs="Times New Roman"/>
          <w:szCs w:val="22"/>
        </w:rPr>
        <w:t xml:space="preserve"> </w:t>
      </w:r>
      <w:r w:rsidR="00C159A9" w:rsidRPr="00FD0DC0">
        <w:rPr>
          <w:rFonts w:cs="Times New Roman"/>
          <w:szCs w:val="22"/>
        </w:rPr>
        <w:t>August</w:t>
      </w:r>
      <w:r w:rsidR="004020EF" w:rsidRPr="00FD0DC0">
        <w:rPr>
          <w:rFonts w:cs="Times New Roman"/>
          <w:szCs w:val="22"/>
        </w:rPr>
        <w:t xml:space="preserve"> </w:t>
      </w:r>
      <w:r w:rsidR="00877FF1" w:rsidRPr="00FD0DC0">
        <w:rPr>
          <w:rFonts w:cs="Times New Roman"/>
          <w:szCs w:val="22"/>
        </w:rPr>
        <w:t>2025</w:t>
      </w:r>
    </w:p>
    <w:p w14:paraId="32F87C9F" w14:textId="674A8DF3" w:rsidR="00E31CEF" w:rsidRPr="00FD0DC0" w:rsidRDefault="00877FF1" w:rsidP="00E31CEF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 w:rsidRPr="00FD0DC0">
        <w:rPr>
          <w:rFonts w:cs="Times New Roman"/>
          <w:szCs w:val="22"/>
        </w:rPr>
        <w:t>Rebecca Richardson</w:t>
      </w:r>
    </w:p>
    <w:p w14:paraId="600F2F1E" w14:textId="4480F23F" w:rsidR="005A403B" w:rsidRPr="00FD0DC0" w:rsidRDefault="00160D94" w:rsidP="00911F87">
      <w:pPr>
        <w:pStyle w:val="SignCoverPageEnd"/>
        <w:rPr>
          <w:szCs w:val="22"/>
        </w:rPr>
      </w:pPr>
      <w:r w:rsidRPr="00FD0DC0">
        <w:rPr>
          <w:szCs w:val="22"/>
        </w:rPr>
        <w:t>Assistant Secretary</w:t>
      </w:r>
      <w:r w:rsidR="002B574C" w:rsidRPr="00FD0DC0">
        <w:rPr>
          <w:szCs w:val="22"/>
        </w:rPr>
        <w:br/>
      </w:r>
      <w:r w:rsidR="004F7C79" w:rsidRPr="00FD0DC0">
        <w:rPr>
          <w:szCs w:val="22"/>
        </w:rPr>
        <w:t>PBS Listing, Pricing and Policy</w:t>
      </w:r>
      <w:r w:rsidR="002B574C" w:rsidRPr="00FD0DC0">
        <w:rPr>
          <w:szCs w:val="22"/>
        </w:rPr>
        <w:t xml:space="preserve"> Branch</w:t>
      </w:r>
      <w:r w:rsidRPr="00FD0DC0">
        <w:rPr>
          <w:szCs w:val="22"/>
        </w:rPr>
        <w:br/>
        <w:t>Technology Assessment and Access Division</w:t>
      </w:r>
      <w:r w:rsidRPr="00FD0DC0">
        <w:rPr>
          <w:szCs w:val="22"/>
        </w:rPr>
        <w:br/>
        <w:t>Department of Health</w:t>
      </w:r>
      <w:r w:rsidR="004D6FE0" w:rsidRPr="00FD0DC0">
        <w:rPr>
          <w:szCs w:val="22"/>
        </w:rPr>
        <w:t>, Disability</w:t>
      </w:r>
      <w:r w:rsidRPr="00FD0DC0">
        <w:rPr>
          <w:szCs w:val="22"/>
        </w:rPr>
        <w:t xml:space="preserve"> and Ag</w:t>
      </w:r>
      <w:r w:rsidR="00786E9F" w:rsidRPr="00FD0DC0">
        <w:rPr>
          <w:szCs w:val="22"/>
        </w:rPr>
        <w:t>e</w:t>
      </w:r>
      <w:r w:rsidR="004D6FE0" w:rsidRPr="00FD0DC0">
        <w:rPr>
          <w:szCs w:val="22"/>
        </w:rPr>
        <w:t>ing</w:t>
      </w:r>
    </w:p>
    <w:p w14:paraId="730FD59E" w14:textId="415DC5B0" w:rsidR="005A403B" w:rsidRPr="00FD0DC0" w:rsidRDefault="005A403B" w:rsidP="00960C90">
      <w:pPr>
        <w:pStyle w:val="notedraft"/>
        <w:rPr>
          <w:i w:val="0"/>
          <w:iCs/>
        </w:rPr>
      </w:pPr>
    </w:p>
    <w:p w14:paraId="4183028A" w14:textId="77777777" w:rsidR="0048364F" w:rsidRPr="00FD0DC0" w:rsidRDefault="0048364F" w:rsidP="0048364F">
      <w:pPr>
        <w:rPr>
          <w:rFonts w:cs="Times New Roman"/>
        </w:rPr>
        <w:sectPr w:rsidR="0048364F" w:rsidRPr="00FD0DC0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2FA2934" w14:textId="77777777" w:rsidR="00E90208" w:rsidRPr="00FD0DC0" w:rsidRDefault="00E90208" w:rsidP="00E90208">
      <w:pPr>
        <w:outlineLvl w:val="0"/>
        <w:rPr>
          <w:sz w:val="36"/>
        </w:rPr>
      </w:pPr>
      <w:r w:rsidRPr="00FD0DC0">
        <w:rPr>
          <w:sz w:val="36"/>
        </w:rPr>
        <w:lastRenderedPageBreak/>
        <w:t>Contents</w:t>
      </w:r>
    </w:p>
    <w:p w14:paraId="06432E64" w14:textId="5CC1750D" w:rsidR="00EA271C" w:rsidRPr="00FD0DC0" w:rsidRDefault="000102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D0DC0">
        <w:fldChar w:fldCharType="begin" w:fldLock="1"/>
      </w:r>
      <w:r w:rsidRPr="00FD0DC0">
        <w:instrText xml:space="preserve"> TOC \o "1-9" </w:instrText>
      </w:r>
      <w:r w:rsidRPr="00FD0DC0">
        <w:fldChar w:fldCharType="separate"/>
      </w:r>
      <w:r w:rsidR="00EA271C" w:rsidRPr="00FD0DC0">
        <w:rPr>
          <w:noProof/>
        </w:rPr>
        <w:t>1  Name</w:t>
      </w:r>
      <w:r w:rsidR="00EA271C" w:rsidRPr="00FD0DC0">
        <w:rPr>
          <w:noProof/>
        </w:rPr>
        <w:tab/>
      </w:r>
      <w:r w:rsidR="00EA271C" w:rsidRPr="00FD0DC0">
        <w:rPr>
          <w:noProof/>
        </w:rPr>
        <w:fldChar w:fldCharType="begin" w:fldLock="1"/>
      </w:r>
      <w:r w:rsidR="00EA271C" w:rsidRPr="00FD0DC0">
        <w:rPr>
          <w:noProof/>
        </w:rPr>
        <w:instrText xml:space="preserve"> PAGEREF _Toc206667974 \h </w:instrText>
      </w:r>
      <w:r w:rsidR="00EA271C" w:rsidRPr="00FD0DC0">
        <w:rPr>
          <w:noProof/>
        </w:rPr>
      </w:r>
      <w:r w:rsidR="00EA271C" w:rsidRPr="00FD0DC0">
        <w:rPr>
          <w:noProof/>
        </w:rPr>
        <w:fldChar w:fldCharType="separate"/>
      </w:r>
      <w:r w:rsidR="00EA271C" w:rsidRPr="00FD0DC0">
        <w:rPr>
          <w:noProof/>
        </w:rPr>
        <w:t>1</w:t>
      </w:r>
      <w:r w:rsidR="00EA271C" w:rsidRPr="00FD0DC0">
        <w:rPr>
          <w:noProof/>
        </w:rPr>
        <w:fldChar w:fldCharType="end"/>
      </w:r>
    </w:p>
    <w:p w14:paraId="5A576581" w14:textId="18D32827" w:rsidR="00EA271C" w:rsidRPr="00FD0DC0" w:rsidRDefault="00EA27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D0DC0">
        <w:rPr>
          <w:noProof/>
        </w:rPr>
        <w:t>2  Commencement</w:t>
      </w:r>
      <w:r w:rsidRPr="00FD0DC0">
        <w:rPr>
          <w:noProof/>
        </w:rPr>
        <w:tab/>
      </w:r>
      <w:r w:rsidRPr="00FD0DC0">
        <w:rPr>
          <w:noProof/>
        </w:rPr>
        <w:fldChar w:fldCharType="begin" w:fldLock="1"/>
      </w:r>
      <w:r w:rsidRPr="00FD0DC0">
        <w:rPr>
          <w:noProof/>
        </w:rPr>
        <w:instrText xml:space="preserve"> PAGEREF _Toc206667975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1</w:t>
      </w:r>
      <w:r w:rsidRPr="00FD0DC0">
        <w:rPr>
          <w:noProof/>
        </w:rPr>
        <w:fldChar w:fldCharType="end"/>
      </w:r>
    </w:p>
    <w:p w14:paraId="65DDE206" w14:textId="6E601562" w:rsidR="00EA271C" w:rsidRPr="00FD0DC0" w:rsidRDefault="00EA27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D0DC0">
        <w:rPr>
          <w:noProof/>
        </w:rPr>
        <w:t>3  Authority</w:t>
      </w:r>
      <w:r w:rsidRPr="00FD0DC0">
        <w:rPr>
          <w:noProof/>
        </w:rPr>
        <w:tab/>
      </w:r>
      <w:r w:rsidRPr="00FD0DC0">
        <w:rPr>
          <w:noProof/>
        </w:rPr>
        <w:fldChar w:fldCharType="begin" w:fldLock="1"/>
      </w:r>
      <w:r w:rsidRPr="00FD0DC0">
        <w:rPr>
          <w:noProof/>
        </w:rPr>
        <w:instrText xml:space="preserve"> PAGEREF _Toc206667976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1</w:t>
      </w:r>
      <w:r w:rsidRPr="00FD0DC0">
        <w:rPr>
          <w:noProof/>
        </w:rPr>
        <w:fldChar w:fldCharType="end"/>
      </w:r>
    </w:p>
    <w:p w14:paraId="0C34EA0F" w14:textId="527C53B9" w:rsidR="00EA271C" w:rsidRPr="00FD0DC0" w:rsidRDefault="00EA27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D0DC0">
        <w:rPr>
          <w:noProof/>
        </w:rPr>
        <w:t>4  Schedules</w:t>
      </w:r>
      <w:r w:rsidRPr="00FD0DC0">
        <w:rPr>
          <w:noProof/>
        </w:rPr>
        <w:tab/>
      </w:r>
      <w:r w:rsidRPr="00FD0DC0">
        <w:rPr>
          <w:noProof/>
        </w:rPr>
        <w:fldChar w:fldCharType="begin" w:fldLock="1"/>
      </w:r>
      <w:r w:rsidRPr="00FD0DC0">
        <w:rPr>
          <w:noProof/>
        </w:rPr>
        <w:instrText xml:space="preserve"> PAGEREF _Toc206667977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1</w:t>
      </w:r>
      <w:r w:rsidRPr="00FD0DC0">
        <w:rPr>
          <w:noProof/>
        </w:rPr>
        <w:fldChar w:fldCharType="end"/>
      </w:r>
    </w:p>
    <w:p w14:paraId="6503E7D0" w14:textId="78E9AB5F" w:rsidR="00EA271C" w:rsidRPr="00FD0DC0" w:rsidRDefault="00EA271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FD0DC0">
        <w:rPr>
          <w:noProof/>
        </w:rPr>
        <w:t>Schedule 1—Amendments commencing 1 September 2025</w:t>
      </w:r>
      <w:r w:rsidRPr="00FD0DC0">
        <w:rPr>
          <w:noProof/>
        </w:rPr>
        <w:tab/>
      </w:r>
      <w:r w:rsidRPr="00FD0DC0">
        <w:rPr>
          <w:noProof/>
        </w:rPr>
        <w:fldChar w:fldCharType="begin" w:fldLock="1"/>
      </w:r>
      <w:r w:rsidRPr="00FD0DC0">
        <w:rPr>
          <w:noProof/>
        </w:rPr>
        <w:instrText xml:space="preserve"> PAGEREF _Toc206667978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2</w:t>
      </w:r>
      <w:r w:rsidRPr="00FD0DC0">
        <w:rPr>
          <w:noProof/>
        </w:rPr>
        <w:fldChar w:fldCharType="end"/>
      </w:r>
    </w:p>
    <w:p w14:paraId="61E0F066" w14:textId="075D8536" w:rsidR="00EA271C" w:rsidRPr="00FD0DC0" w:rsidRDefault="00EA271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FD0DC0">
        <w:rPr>
          <w:noProof/>
        </w:rPr>
        <w:t>National Health (Minimum Stockholding) Determination 2023</w:t>
      </w:r>
      <w:r w:rsidRPr="00FD0DC0">
        <w:rPr>
          <w:noProof/>
        </w:rPr>
        <w:tab/>
      </w:r>
      <w:r w:rsidRPr="00FD0DC0">
        <w:rPr>
          <w:noProof/>
        </w:rPr>
        <w:fldChar w:fldCharType="begin"/>
      </w:r>
      <w:r w:rsidRPr="00FD0DC0">
        <w:rPr>
          <w:noProof/>
        </w:rPr>
        <w:instrText xml:space="preserve"> PAGEREF _Toc206667979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2</w:t>
      </w:r>
      <w:r w:rsidRPr="00FD0DC0">
        <w:rPr>
          <w:noProof/>
        </w:rPr>
        <w:fldChar w:fldCharType="end"/>
      </w:r>
    </w:p>
    <w:p w14:paraId="0D737118" w14:textId="194CD4A4" w:rsidR="00EA271C" w:rsidRPr="00FD0DC0" w:rsidRDefault="00EA271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FD0DC0">
        <w:rPr>
          <w:noProof/>
        </w:rPr>
        <w:t>Schedule 2—Amendments commencing 1 October 2025</w:t>
      </w:r>
      <w:r w:rsidRPr="00FD0DC0">
        <w:rPr>
          <w:noProof/>
        </w:rPr>
        <w:tab/>
      </w:r>
      <w:r w:rsidRPr="00FD0DC0">
        <w:rPr>
          <w:noProof/>
        </w:rPr>
        <w:fldChar w:fldCharType="begin"/>
      </w:r>
      <w:r w:rsidRPr="00FD0DC0">
        <w:rPr>
          <w:noProof/>
        </w:rPr>
        <w:instrText xml:space="preserve"> PAGEREF _Toc206667980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9</w:t>
      </w:r>
      <w:r w:rsidRPr="00FD0DC0">
        <w:rPr>
          <w:noProof/>
        </w:rPr>
        <w:fldChar w:fldCharType="end"/>
      </w:r>
    </w:p>
    <w:p w14:paraId="20C658BF" w14:textId="41B24CFE" w:rsidR="00EA271C" w:rsidRPr="00FD0DC0" w:rsidRDefault="00EA271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FD0DC0">
        <w:rPr>
          <w:noProof/>
        </w:rPr>
        <w:t>National Health (Minimum Stockholding) Determination 2023</w:t>
      </w:r>
      <w:r w:rsidRPr="00FD0DC0">
        <w:rPr>
          <w:noProof/>
        </w:rPr>
        <w:tab/>
      </w:r>
      <w:r w:rsidRPr="00FD0DC0">
        <w:rPr>
          <w:noProof/>
        </w:rPr>
        <w:fldChar w:fldCharType="begin"/>
      </w:r>
      <w:r w:rsidRPr="00FD0DC0">
        <w:rPr>
          <w:noProof/>
        </w:rPr>
        <w:instrText xml:space="preserve"> PAGEREF _Toc206667981 \h </w:instrText>
      </w:r>
      <w:r w:rsidRPr="00FD0DC0">
        <w:rPr>
          <w:noProof/>
        </w:rPr>
      </w:r>
      <w:r w:rsidRPr="00FD0DC0">
        <w:rPr>
          <w:noProof/>
        </w:rPr>
        <w:fldChar w:fldCharType="separate"/>
      </w:r>
      <w:r w:rsidRPr="00FD0DC0">
        <w:rPr>
          <w:noProof/>
        </w:rPr>
        <w:t>9</w:t>
      </w:r>
      <w:r w:rsidRPr="00FD0DC0">
        <w:rPr>
          <w:noProof/>
        </w:rPr>
        <w:fldChar w:fldCharType="end"/>
      </w:r>
    </w:p>
    <w:p w14:paraId="23DCED84" w14:textId="7447659C" w:rsidR="009E11EF" w:rsidRPr="00FD0DC0" w:rsidRDefault="00010206" w:rsidP="00010206">
      <w:r w:rsidRPr="00FD0DC0">
        <w:fldChar w:fldCharType="end"/>
      </w:r>
    </w:p>
    <w:p w14:paraId="6E2F25FC" w14:textId="77777777" w:rsidR="009E11EF" w:rsidRPr="00FD0DC0" w:rsidRDefault="009E11EF" w:rsidP="00054AAE">
      <w:pPr>
        <w:jc w:val="right"/>
      </w:pPr>
    </w:p>
    <w:p w14:paraId="2BA4BF82" w14:textId="77777777" w:rsidR="00054AAE" w:rsidRPr="00FD0DC0" w:rsidRDefault="00054AAE" w:rsidP="00054AAE"/>
    <w:p w14:paraId="6D90A150" w14:textId="77777777" w:rsidR="00054AAE" w:rsidRPr="00FD0DC0" w:rsidRDefault="00054AAE" w:rsidP="00054AAE">
      <w:pPr>
        <w:sectPr w:rsidR="00054AAE" w:rsidRPr="00FD0DC0" w:rsidSect="009E11E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1D14F7" w14:textId="77777777" w:rsidR="0048364F" w:rsidRPr="00FD0DC0" w:rsidRDefault="0048364F" w:rsidP="0048364F">
      <w:pPr>
        <w:pStyle w:val="ActHead5"/>
      </w:pPr>
      <w:bookmarkStart w:id="0" w:name="_Toc152162880"/>
      <w:bookmarkStart w:id="1" w:name="_Toc153536037"/>
      <w:bookmarkStart w:id="2" w:name="_Toc159922951"/>
      <w:bookmarkStart w:id="3" w:name="_Toc162443755"/>
      <w:bookmarkStart w:id="4" w:name="_Toc165035268"/>
      <w:bookmarkStart w:id="5" w:name="_Toc166839378"/>
      <w:bookmarkStart w:id="6" w:name="_Toc170150626"/>
      <w:bookmarkStart w:id="7" w:name="_Toc173222060"/>
      <w:bookmarkStart w:id="8" w:name="_Toc175661111"/>
      <w:bookmarkStart w:id="9" w:name="_Toc178179427"/>
      <w:bookmarkStart w:id="10" w:name="_Toc181033709"/>
      <w:bookmarkStart w:id="11" w:name="_Toc183506658"/>
      <w:bookmarkStart w:id="12" w:name="_Toc185400310"/>
      <w:bookmarkStart w:id="13" w:name="_Toc188945252"/>
      <w:bookmarkStart w:id="14" w:name="_Toc191276699"/>
      <w:bookmarkStart w:id="15" w:name="_Toc193805068"/>
      <w:bookmarkStart w:id="16" w:name="_Toc195526833"/>
      <w:bookmarkStart w:id="17" w:name="_Toc198880245"/>
      <w:bookmarkStart w:id="18" w:name="_Toc201557623"/>
      <w:bookmarkStart w:id="19" w:name="_Toc204153499"/>
      <w:bookmarkStart w:id="20" w:name="_Toc204669717"/>
      <w:bookmarkStart w:id="21" w:name="_Toc206667974"/>
      <w:r w:rsidRPr="00FD0DC0">
        <w:rPr>
          <w:rStyle w:val="CharSectno"/>
        </w:rPr>
        <w:lastRenderedPageBreak/>
        <w:t>1</w:t>
      </w:r>
      <w:r w:rsidRPr="00FD0DC0">
        <w:t xml:space="preserve">  </w:t>
      </w:r>
      <w:r w:rsidR="004F676E" w:rsidRPr="00FD0DC0">
        <w:t>Name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ABA0BB0" w14:textId="74811593" w:rsidR="0048364F" w:rsidRPr="00FD0DC0" w:rsidRDefault="00461E80" w:rsidP="00461E80">
      <w:pPr>
        <w:pStyle w:val="subsection"/>
      </w:pPr>
      <w:r w:rsidRPr="00FD0DC0">
        <w:tab/>
        <w:t>(1)</w:t>
      </w:r>
      <w:r w:rsidRPr="00FD0DC0">
        <w:tab/>
      </w:r>
      <w:r w:rsidR="005A403B" w:rsidRPr="00FD0DC0">
        <w:t>This instrument is</w:t>
      </w:r>
      <w:r w:rsidR="0048364F" w:rsidRPr="00FD0DC0">
        <w:t xml:space="preserve"> the</w:t>
      </w:r>
      <w:r w:rsidR="00223835" w:rsidRPr="00FD0DC0">
        <w:t xml:space="preserve"> </w:t>
      </w:r>
      <w:r w:rsidR="00160D94" w:rsidRPr="00FD0DC0">
        <w:rPr>
          <w:i/>
          <w:iCs/>
        </w:rPr>
        <w:t xml:space="preserve">National Health (Minimum Stockholding) </w:t>
      </w:r>
      <w:r w:rsidR="00137277" w:rsidRPr="00FD0DC0">
        <w:rPr>
          <w:i/>
          <w:iCs/>
        </w:rPr>
        <w:t xml:space="preserve">Amendment </w:t>
      </w:r>
      <w:r w:rsidR="00160D94" w:rsidRPr="00FD0DC0">
        <w:rPr>
          <w:i/>
          <w:iCs/>
        </w:rPr>
        <w:t>Determination (</w:t>
      </w:r>
      <w:r w:rsidR="00877FF1" w:rsidRPr="00FD0DC0">
        <w:rPr>
          <w:i/>
          <w:iCs/>
        </w:rPr>
        <w:t xml:space="preserve">No. </w:t>
      </w:r>
      <w:r w:rsidR="00FE4843" w:rsidRPr="00FD0DC0">
        <w:rPr>
          <w:i/>
          <w:iCs/>
        </w:rPr>
        <w:t>8</w:t>
      </w:r>
      <w:r w:rsidR="00160D94" w:rsidRPr="00FD0DC0">
        <w:rPr>
          <w:i/>
          <w:iCs/>
        </w:rPr>
        <w:t xml:space="preserve">) </w:t>
      </w:r>
      <w:r w:rsidR="00877FF1" w:rsidRPr="00FD0DC0">
        <w:rPr>
          <w:i/>
          <w:iCs/>
        </w:rPr>
        <w:t>2025</w:t>
      </w:r>
      <w:r w:rsidR="00EA05B4" w:rsidRPr="00FD0DC0">
        <w:t>.</w:t>
      </w:r>
    </w:p>
    <w:p w14:paraId="036154CC" w14:textId="2A917A48" w:rsidR="00461E80" w:rsidRPr="00FD0DC0" w:rsidRDefault="00461E80" w:rsidP="00461E80">
      <w:pPr>
        <w:pStyle w:val="subsection"/>
      </w:pPr>
      <w:r w:rsidRPr="00FD0DC0">
        <w:tab/>
        <w:t>(2)</w:t>
      </w:r>
      <w:r w:rsidRPr="00FD0DC0">
        <w:tab/>
        <w:t xml:space="preserve">This instrument may also be cited as PB </w:t>
      </w:r>
      <w:r w:rsidR="00FE4843" w:rsidRPr="00FD0DC0">
        <w:t>101</w:t>
      </w:r>
      <w:r w:rsidR="00D60DCF" w:rsidRPr="00FD0DC0">
        <w:t xml:space="preserve"> of</w:t>
      </w:r>
      <w:r w:rsidR="00227DEF" w:rsidRPr="00FD0DC0">
        <w:t xml:space="preserve"> </w:t>
      </w:r>
      <w:r w:rsidR="00877FF1" w:rsidRPr="00FD0DC0">
        <w:t>2025</w:t>
      </w:r>
      <w:r w:rsidR="00227DEF" w:rsidRPr="00FD0DC0">
        <w:t>.</w:t>
      </w:r>
    </w:p>
    <w:p w14:paraId="7E5F5578" w14:textId="77777777" w:rsidR="004F676E" w:rsidRPr="00FD0DC0" w:rsidRDefault="0048364F" w:rsidP="005452CC">
      <w:pPr>
        <w:pStyle w:val="ActHead5"/>
      </w:pPr>
      <w:bookmarkStart w:id="22" w:name="_Toc152162881"/>
      <w:bookmarkStart w:id="23" w:name="_Toc153536038"/>
      <w:bookmarkStart w:id="24" w:name="_Toc159922952"/>
      <w:bookmarkStart w:id="25" w:name="_Toc162443756"/>
      <w:bookmarkStart w:id="26" w:name="_Toc165035269"/>
      <w:bookmarkStart w:id="27" w:name="_Toc166839379"/>
      <w:bookmarkStart w:id="28" w:name="_Toc170150627"/>
      <w:bookmarkStart w:id="29" w:name="_Toc173222061"/>
      <w:bookmarkStart w:id="30" w:name="_Toc175661112"/>
      <w:bookmarkStart w:id="31" w:name="_Toc178179428"/>
      <w:bookmarkStart w:id="32" w:name="_Toc181033710"/>
      <w:bookmarkStart w:id="33" w:name="_Toc183506659"/>
      <w:bookmarkStart w:id="34" w:name="_Toc185400311"/>
      <w:bookmarkStart w:id="35" w:name="_Toc188945253"/>
      <w:bookmarkStart w:id="36" w:name="_Toc191276700"/>
      <w:bookmarkStart w:id="37" w:name="_Toc193805069"/>
      <w:bookmarkStart w:id="38" w:name="_Toc195526834"/>
      <w:bookmarkStart w:id="39" w:name="_Toc198880246"/>
      <w:bookmarkStart w:id="40" w:name="_Toc201557624"/>
      <w:bookmarkStart w:id="41" w:name="_Toc204153500"/>
      <w:bookmarkStart w:id="42" w:name="_Toc204669718"/>
      <w:bookmarkStart w:id="43" w:name="_Toc206667975"/>
      <w:r w:rsidRPr="00FD0DC0">
        <w:rPr>
          <w:rStyle w:val="CharSectno"/>
        </w:rPr>
        <w:t>2</w:t>
      </w:r>
      <w:r w:rsidRPr="00FD0DC0">
        <w:t xml:space="preserve">  Commencement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A5EEA6F" w14:textId="57CB85A3" w:rsidR="005452CC" w:rsidRPr="00FD0DC0" w:rsidRDefault="008846FD" w:rsidP="00DF1A4C">
      <w:pPr>
        <w:pStyle w:val="subsection"/>
        <w:numPr>
          <w:ilvl w:val="0"/>
          <w:numId w:val="24"/>
        </w:numPr>
      </w:pPr>
      <w:r w:rsidRPr="00FD0DC0">
        <w:tab/>
      </w:r>
      <w:r w:rsidR="005452CC" w:rsidRPr="00FD0DC0">
        <w:t xml:space="preserve">Each provision of </w:t>
      </w:r>
      <w:r w:rsidR="005A403B" w:rsidRPr="00FD0DC0">
        <w:t>this instrument</w:t>
      </w:r>
      <w:r w:rsidR="005452CC" w:rsidRPr="00FD0DC0"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00B0" w:rsidRPr="00FD0DC0" w14:paraId="086D4088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1BFAB1" w14:textId="77777777" w:rsidR="00DF1A4C" w:rsidRPr="00FD0DC0" w:rsidRDefault="00DF1A4C">
            <w:pPr>
              <w:pStyle w:val="TableHeading"/>
            </w:pPr>
            <w:r w:rsidRPr="00FD0DC0">
              <w:t>Commencement information</w:t>
            </w:r>
          </w:p>
        </w:tc>
      </w:tr>
      <w:tr w:rsidR="005600B0" w:rsidRPr="00FD0DC0" w14:paraId="2314912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5147FE" w14:textId="77777777" w:rsidR="00DF1A4C" w:rsidRPr="00FD0DC0" w:rsidRDefault="00DF1A4C">
            <w:pPr>
              <w:pStyle w:val="TableHeading"/>
            </w:pPr>
            <w:r w:rsidRPr="00FD0DC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43CA04" w14:textId="77777777" w:rsidR="00DF1A4C" w:rsidRPr="00FD0DC0" w:rsidRDefault="00DF1A4C">
            <w:pPr>
              <w:pStyle w:val="TableHeading"/>
            </w:pPr>
            <w:r w:rsidRPr="00FD0DC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A9E720" w14:textId="77777777" w:rsidR="00DF1A4C" w:rsidRPr="00FD0DC0" w:rsidRDefault="00DF1A4C">
            <w:pPr>
              <w:pStyle w:val="TableHeading"/>
            </w:pPr>
            <w:r w:rsidRPr="00FD0DC0">
              <w:t>Column 3</w:t>
            </w:r>
          </w:p>
        </w:tc>
      </w:tr>
      <w:tr w:rsidR="005600B0" w:rsidRPr="00FD0DC0" w14:paraId="3845B32C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10D5BC" w14:textId="77777777" w:rsidR="00DF1A4C" w:rsidRPr="00FD0DC0" w:rsidRDefault="00DF1A4C">
            <w:pPr>
              <w:pStyle w:val="TableHeading"/>
            </w:pPr>
            <w:r w:rsidRPr="00FD0DC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E48E54" w14:textId="77777777" w:rsidR="00DF1A4C" w:rsidRPr="00FD0DC0" w:rsidRDefault="00DF1A4C">
            <w:pPr>
              <w:pStyle w:val="TableHeading"/>
            </w:pPr>
            <w:r w:rsidRPr="00FD0DC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34D7BF" w14:textId="77777777" w:rsidR="00DF1A4C" w:rsidRPr="00FD0DC0" w:rsidRDefault="00DF1A4C">
            <w:pPr>
              <w:pStyle w:val="TableHeading"/>
            </w:pPr>
            <w:r w:rsidRPr="00FD0DC0">
              <w:t>Date/Details</w:t>
            </w:r>
          </w:p>
        </w:tc>
      </w:tr>
      <w:tr w:rsidR="005600B0" w:rsidRPr="00FD0DC0" w14:paraId="55811B72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F77154" w14:textId="77777777" w:rsidR="00DF1A4C" w:rsidRPr="00FD0DC0" w:rsidRDefault="00DF1A4C">
            <w:pPr>
              <w:pStyle w:val="Tabletext"/>
            </w:pPr>
            <w:r w:rsidRPr="00FD0DC0"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39543" w14:textId="5AE52D70" w:rsidR="00DF1A4C" w:rsidRPr="00FD0DC0" w:rsidRDefault="00DF1A4C">
            <w:pPr>
              <w:pStyle w:val="Tabletext"/>
            </w:pPr>
            <w:r w:rsidRPr="00FD0DC0">
              <w:t xml:space="preserve">1 </w:t>
            </w:r>
            <w:r w:rsidR="00FE4843" w:rsidRPr="00FD0DC0">
              <w:t>September</w:t>
            </w:r>
            <w:r w:rsidRPr="00FD0DC0">
              <w:t xml:space="preserve"> 202</w:t>
            </w:r>
            <w:r w:rsidR="00300856" w:rsidRPr="00FD0DC0">
              <w:t>5</w:t>
            </w:r>
            <w:r w:rsidR="003C4C22" w:rsidRPr="00FD0DC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41D47B" w14:textId="3760A341" w:rsidR="00DF1A4C" w:rsidRPr="00FD0DC0" w:rsidRDefault="00DF1A4C">
            <w:pPr>
              <w:pStyle w:val="Tabletext"/>
            </w:pPr>
            <w:r w:rsidRPr="00FD0DC0">
              <w:t xml:space="preserve">1 </w:t>
            </w:r>
            <w:r w:rsidR="00CC5BD2" w:rsidRPr="00FD0DC0">
              <w:t>September</w:t>
            </w:r>
            <w:r w:rsidRPr="00FD0DC0">
              <w:t xml:space="preserve"> 202</w:t>
            </w:r>
            <w:r w:rsidR="00470F6A" w:rsidRPr="00FD0DC0">
              <w:t>5</w:t>
            </w:r>
          </w:p>
        </w:tc>
      </w:tr>
      <w:tr w:rsidR="005600B0" w:rsidRPr="00FD0DC0" w14:paraId="47F2B465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865A93" w14:textId="77777777" w:rsidR="00AB04DA" w:rsidRPr="00FD0DC0" w:rsidRDefault="00AB04DA" w:rsidP="001A7CB5">
            <w:pPr>
              <w:pStyle w:val="Tabletext"/>
            </w:pPr>
            <w:r w:rsidRPr="00FD0DC0">
              <w:t>2. 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4D8C80" w14:textId="51782292" w:rsidR="00AB04DA" w:rsidRPr="00FD0DC0" w:rsidRDefault="00AB04DA" w:rsidP="001A7CB5">
            <w:pPr>
              <w:pStyle w:val="Tabletext"/>
            </w:pPr>
            <w:r w:rsidRPr="00FD0DC0">
              <w:t xml:space="preserve">1 </w:t>
            </w:r>
            <w:r w:rsidR="00CC5BD2" w:rsidRPr="00FD0DC0">
              <w:t>September</w:t>
            </w:r>
            <w:r w:rsidR="00DC79D3" w:rsidRPr="00FD0DC0">
              <w:t xml:space="preserve"> </w:t>
            </w:r>
            <w:r w:rsidRPr="00FD0DC0">
              <w:t>202</w:t>
            </w:r>
            <w:r w:rsidR="00300856" w:rsidRPr="00FD0DC0">
              <w:t>5</w:t>
            </w:r>
            <w:r w:rsidRPr="00FD0DC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13CED6" w14:textId="339B3918" w:rsidR="00AB04DA" w:rsidRPr="00FD0DC0" w:rsidRDefault="00AB04DA" w:rsidP="001A7CB5">
            <w:pPr>
              <w:pStyle w:val="Tabletext"/>
            </w:pPr>
            <w:r w:rsidRPr="00FD0DC0">
              <w:t xml:space="preserve">1 </w:t>
            </w:r>
            <w:r w:rsidR="00CC5BD2" w:rsidRPr="00FD0DC0">
              <w:t>September</w:t>
            </w:r>
            <w:r w:rsidR="00DC79D3" w:rsidRPr="00FD0DC0">
              <w:t xml:space="preserve"> </w:t>
            </w:r>
            <w:r w:rsidRPr="00FD0DC0">
              <w:t>202</w:t>
            </w:r>
            <w:r w:rsidR="00300856" w:rsidRPr="00FD0DC0">
              <w:t>5</w:t>
            </w:r>
          </w:p>
        </w:tc>
      </w:tr>
      <w:tr w:rsidR="00000815" w:rsidRPr="00FD0DC0" w14:paraId="493E524D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A603A1" w14:textId="0AA59602" w:rsidR="00000815" w:rsidRPr="00FD0DC0" w:rsidRDefault="00CC5BD2" w:rsidP="001A7CB5">
            <w:pPr>
              <w:pStyle w:val="Tabletext"/>
            </w:pPr>
            <w:r w:rsidRPr="00FD0DC0">
              <w:t>3</w:t>
            </w:r>
            <w:r w:rsidR="00000815" w:rsidRPr="00FD0DC0">
              <w:t xml:space="preserve">.  Schedule </w:t>
            </w:r>
            <w:r w:rsidRPr="00FD0DC0">
              <w:t>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E5FB13" w14:textId="21F4D9CD" w:rsidR="00000815" w:rsidRPr="00FD0DC0" w:rsidRDefault="00682A45" w:rsidP="001A7CB5">
            <w:pPr>
              <w:pStyle w:val="Tabletext"/>
            </w:pPr>
            <w:r w:rsidRPr="00FD0DC0">
              <w:t>1 October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DDDB99" w14:textId="70B5A8EE" w:rsidR="00000815" w:rsidRPr="00FD0DC0" w:rsidRDefault="004D446C" w:rsidP="001A7CB5">
            <w:pPr>
              <w:pStyle w:val="Tabletext"/>
            </w:pPr>
            <w:r w:rsidRPr="00FD0DC0">
              <w:t xml:space="preserve">1 </w:t>
            </w:r>
            <w:r w:rsidR="009573A0" w:rsidRPr="00FD0DC0">
              <w:t>October</w:t>
            </w:r>
            <w:r w:rsidRPr="00FD0DC0">
              <w:t xml:space="preserve"> 2025</w:t>
            </w:r>
          </w:p>
        </w:tc>
      </w:tr>
    </w:tbl>
    <w:p w14:paraId="0B53375D" w14:textId="77777777" w:rsidR="005452CC" w:rsidRPr="00FD0DC0" w:rsidRDefault="005452CC" w:rsidP="004F676E">
      <w:pPr>
        <w:pStyle w:val="subsection"/>
      </w:pPr>
      <w:r w:rsidRPr="00FD0DC0">
        <w:tab/>
        <w:t>(2)</w:t>
      </w:r>
      <w:r w:rsidRPr="00FD0DC0">
        <w:tab/>
        <w:t xml:space="preserve">Any information in column 3 of the table is not part of </w:t>
      </w:r>
      <w:r w:rsidR="005A403B" w:rsidRPr="00FD0DC0">
        <w:t>this instrument</w:t>
      </w:r>
      <w:r w:rsidRPr="00FD0DC0">
        <w:t xml:space="preserve">. Information may be inserted in this column, or information in it may be edited, in any published version of </w:t>
      </w:r>
      <w:r w:rsidR="005A403B" w:rsidRPr="00FD0DC0">
        <w:t>this instrument</w:t>
      </w:r>
      <w:r w:rsidRPr="00FD0DC0">
        <w:t>.</w:t>
      </w:r>
    </w:p>
    <w:p w14:paraId="45562829" w14:textId="19BE4449" w:rsidR="00BF6650" w:rsidRPr="00FD0DC0" w:rsidRDefault="00BF6650" w:rsidP="00BF6650">
      <w:pPr>
        <w:pStyle w:val="ActHead5"/>
      </w:pPr>
      <w:bookmarkStart w:id="44" w:name="_Toc152162882"/>
      <w:bookmarkStart w:id="45" w:name="_Toc153536039"/>
      <w:bookmarkStart w:id="46" w:name="_Toc159922953"/>
      <w:bookmarkStart w:id="47" w:name="_Toc162443757"/>
      <w:bookmarkStart w:id="48" w:name="_Toc165035270"/>
      <w:bookmarkStart w:id="49" w:name="_Toc166839380"/>
      <w:bookmarkStart w:id="50" w:name="_Toc170150628"/>
      <w:bookmarkStart w:id="51" w:name="_Toc173222062"/>
      <w:bookmarkStart w:id="52" w:name="_Toc175661113"/>
      <w:bookmarkStart w:id="53" w:name="_Toc178179429"/>
      <w:bookmarkStart w:id="54" w:name="_Toc181033711"/>
      <w:bookmarkStart w:id="55" w:name="_Toc183506660"/>
      <w:bookmarkStart w:id="56" w:name="_Toc185400312"/>
      <w:bookmarkStart w:id="57" w:name="_Toc188945254"/>
      <w:bookmarkStart w:id="58" w:name="_Toc191276701"/>
      <w:bookmarkStart w:id="59" w:name="_Toc193805070"/>
      <w:bookmarkStart w:id="60" w:name="_Toc195526835"/>
      <w:bookmarkStart w:id="61" w:name="_Toc198880247"/>
      <w:bookmarkStart w:id="62" w:name="_Toc201557625"/>
      <w:bookmarkStart w:id="63" w:name="_Toc204153501"/>
      <w:bookmarkStart w:id="64" w:name="_Toc204669719"/>
      <w:bookmarkStart w:id="65" w:name="_Toc206667976"/>
      <w:r w:rsidRPr="00FD0DC0">
        <w:rPr>
          <w:rStyle w:val="CharSectno"/>
        </w:rPr>
        <w:t>3</w:t>
      </w:r>
      <w:r w:rsidRPr="00FD0DC0">
        <w:t xml:space="preserve">  Authority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154F8F81" w14:textId="77777777" w:rsidR="00BF6650" w:rsidRPr="00FD0DC0" w:rsidRDefault="00BF6650" w:rsidP="00BF6650">
      <w:pPr>
        <w:pStyle w:val="subsection"/>
      </w:pPr>
      <w:r w:rsidRPr="00FD0DC0">
        <w:tab/>
      </w:r>
      <w:r w:rsidRPr="00FD0DC0">
        <w:tab/>
      </w:r>
      <w:r w:rsidR="005A403B" w:rsidRPr="00FD0DC0">
        <w:t>This instrument is</w:t>
      </w:r>
      <w:r w:rsidRPr="00FD0DC0">
        <w:t xml:space="preserve"> made under </w:t>
      </w:r>
      <w:r w:rsidR="00AB3D76" w:rsidRPr="00FD0DC0">
        <w:t xml:space="preserve">subsection 99AEKC(2) of the </w:t>
      </w:r>
      <w:r w:rsidR="00AB3D76" w:rsidRPr="00FD0DC0">
        <w:rPr>
          <w:i/>
        </w:rPr>
        <w:t>National Health Act 1953</w:t>
      </w:r>
      <w:r w:rsidR="00546FA3" w:rsidRPr="00FD0DC0">
        <w:t>.</w:t>
      </w:r>
    </w:p>
    <w:p w14:paraId="2840FCD7" w14:textId="77777777" w:rsidR="00557C7A" w:rsidRPr="00FD0DC0" w:rsidRDefault="00BF6650" w:rsidP="00557C7A">
      <w:pPr>
        <w:pStyle w:val="ActHead5"/>
      </w:pPr>
      <w:bookmarkStart w:id="66" w:name="_Toc152162883"/>
      <w:bookmarkStart w:id="67" w:name="_Toc153536040"/>
      <w:bookmarkStart w:id="68" w:name="_Toc159922954"/>
      <w:bookmarkStart w:id="69" w:name="_Toc162443758"/>
      <w:bookmarkStart w:id="70" w:name="_Toc165035271"/>
      <w:bookmarkStart w:id="71" w:name="_Toc166839381"/>
      <w:bookmarkStart w:id="72" w:name="_Toc170150629"/>
      <w:bookmarkStart w:id="73" w:name="_Toc173222063"/>
      <w:bookmarkStart w:id="74" w:name="_Toc175661114"/>
      <w:bookmarkStart w:id="75" w:name="_Toc178179430"/>
      <w:bookmarkStart w:id="76" w:name="_Toc181033712"/>
      <w:bookmarkStart w:id="77" w:name="_Toc183506661"/>
      <w:bookmarkStart w:id="78" w:name="_Toc185400313"/>
      <w:bookmarkStart w:id="79" w:name="_Toc188945255"/>
      <w:bookmarkStart w:id="80" w:name="_Toc191276702"/>
      <w:bookmarkStart w:id="81" w:name="_Toc193805071"/>
      <w:bookmarkStart w:id="82" w:name="_Toc195526836"/>
      <w:bookmarkStart w:id="83" w:name="_Toc198880248"/>
      <w:bookmarkStart w:id="84" w:name="_Toc201557626"/>
      <w:bookmarkStart w:id="85" w:name="_Toc204153502"/>
      <w:bookmarkStart w:id="86" w:name="_Toc204669720"/>
      <w:bookmarkStart w:id="87" w:name="_Toc206667977"/>
      <w:r w:rsidRPr="00FD0DC0">
        <w:rPr>
          <w:rStyle w:val="CharSectno"/>
        </w:rPr>
        <w:t>4</w:t>
      </w:r>
      <w:r w:rsidR="00557C7A" w:rsidRPr="00FD0DC0">
        <w:t xml:space="preserve">  </w:t>
      </w:r>
      <w:r w:rsidR="00083F48" w:rsidRPr="00FD0DC0">
        <w:t>Schedules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603087B0" w14:textId="77777777" w:rsidR="00557C7A" w:rsidRPr="00FD0DC0" w:rsidRDefault="00557C7A" w:rsidP="00557C7A">
      <w:pPr>
        <w:pStyle w:val="subsection"/>
      </w:pPr>
      <w:r w:rsidRPr="00FD0DC0">
        <w:tab/>
      </w:r>
      <w:r w:rsidRPr="00FD0DC0">
        <w:tab/>
      </w:r>
      <w:r w:rsidR="00083F48" w:rsidRPr="00FD0DC0">
        <w:t xml:space="preserve">Each </w:t>
      </w:r>
      <w:r w:rsidR="00160BD7" w:rsidRPr="00FD0DC0">
        <w:t>instrument</w:t>
      </w:r>
      <w:r w:rsidR="00083F48" w:rsidRPr="00FD0DC0">
        <w:t xml:space="preserve"> that is specified in a Schedule to </w:t>
      </w:r>
      <w:r w:rsidR="005A403B" w:rsidRPr="00FD0DC0">
        <w:t>this instrument</w:t>
      </w:r>
      <w:r w:rsidR="00083F48" w:rsidRPr="00FD0DC0">
        <w:t xml:space="preserve"> is amended or repealed as set out in the applicable items in the Schedule concerned, and any other item in a Schedule to </w:t>
      </w:r>
      <w:r w:rsidR="005A403B" w:rsidRPr="00FD0DC0">
        <w:t>this instrument</w:t>
      </w:r>
      <w:r w:rsidR="00083F48" w:rsidRPr="00FD0DC0">
        <w:t xml:space="preserve"> has effect according to its terms.</w:t>
      </w:r>
    </w:p>
    <w:p w14:paraId="267FF6C0" w14:textId="6887A91E" w:rsidR="00922BD7" w:rsidRPr="00FD0DC0" w:rsidRDefault="00922BD7" w:rsidP="00922BD7">
      <w:pPr>
        <w:pStyle w:val="ActHead6"/>
        <w:pageBreakBefore/>
        <w:rPr>
          <w:rFonts w:ascii="Times New Roman" w:hAnsi="Times New Roman"/>
        </w:rPr>
      </w:pPr>
      <w:bookmarkStart w:id="88" w:name="_Toc162443761"/>
      <w:bookmarkStart w:id="89" w:name="_Toc165035272"/>
      <w:bookmarkStart w:id="90" w:name="_Toc166839382"/>
      <w:bookmarkStart w:id="91" w:name="_Toc170150630"/>
      <w:bookmarkStart w:id="92" w:name="_Toc173222064"/>
      <w:bookmarkStart w:id="93" w:name="_Toc175661115"/>
      <w:bookmarkStart w:id="94" w:name="_Toc178179431"/>
      <w:bookmarkStart w:id="95" w:name="_Toc181033713"/>
      <w:bookmarkStart w:id="96" w:name="_Toc183506662"/>
      <w:bookmarkStart w:id="97" w:name="_Toc185400314"/>
      <w:bookmarkStart w:id="98" w:name="_Toc188945256"/>
      <w:bookmarkStart w:id="99" w:name="_Toc191276703"/>
      <w:bookmarkStart w:id="100" w:name="_Toc193805072"/>
      <w:bookmarkStart w:id="101" w:name="_Toc195526837"/>
      <w:bookmarkStart w:id="102" w:name="_Toc198880249"/>
      <w:bookmarkStart w:id="103" w:name="_Toc201557627"/>
      <w:bookmarkStart w:id="104" w:name="_Toc204153503"/>
      <w:bookmarkStart w:id="105" w:name="_Toc204669721"/>
      <w:bookmarkStart w:id="106" w:name="_Toc206667978"/>
      <w:r w:rsidRPr="00FD0DC0">
        <w:rPr>
          <w:rStyle w:val="CharAmSchNo"/>
          <w:rFonts w:ascii="Times New Roman" w:hAnsi="Times New Roman"/>
        </w:rPr>
        <w:lastRenderedPageBreak/>
        <w:t>Schedule</w:t>
      </w:r>
      <w:r w:rsidR="00E2026A" w:rsidRPr="00FD0DC0">
        <w:rPr>
          <w:rStyle w:val="CharAmSchNo"/>
          <w:rFonts w:ascii="Times New Roman" w:hAnsi="Times New Roman"/>
        </w:rPr>
        <w:t xml:space="preserve"> </w:t>
      </w:r>
      <w:r w:rsidR="0030594C" w:rsidRPr="00FD0DC0">
        <w:rPr>
          <w:rStyle w:val="CharAmSchNo"/>
          <w:rFonts w:ascii="Times New Roman" w:hAnsi="Times New Roman"/>
        </w:rPr>
        <w:t>1</w:t>
      </w:r>
      <w:r w:rsidRPr="00FD0DC0">
        <w:rPr>
          <w:rFonts w:ascii="Times New Roman" w:hAnsi="Times New Roman"/>
        </w:rPr>
        <w:t>—</w:t>
      </w:r>
      <w:r w:rsidR="002E54B9" w:rsidRPr="00FD0DC0">
        <w:rPr>
          <w:rStyle w:val="CharAmSchText"/>
          <w:rFonts w:ascii="Times New Roman" w:hAnsi="Times New Roman"/>
        </w:rPr>
        <w:t xml:space="preserve">Amendments commencing </w:t>
      </w:r>
      <w:r w:rsidR="00C172DF" w:rsidRPr="00FD0DC0">
        <w:rPr>
          <w:rStyle w:val="CharAmSchText"/>
          <w:rFonts w:ascii="Times New Roman" w:hAnsi="Times New Roman"/>
        </w:rPr>
        <w:t>1</w:t>
      </w:r>
      <w:r w:rsidR="00334A12" w:rsidRPr="00FD0DC0">
        <w:rPr>
          <w:rStyle w:val="CharAmSchText"/>
          <w:rFonts w:ascii="Times New Roman" w:hAnsi="Times New Roman"/>
        </w:rPr>
        <w:t xml:space="preserve"> </w:t>
      </w:r>
      <w:r w:rsidR="004C0B55" w:rsidRPr="00FD0DC0">
        <w:rPr>
          <w:rStyle w:val="CharAmSchText"/>
          <w:rFonts w:ascii="Times New Roman" w:hAnsi="Times New Roman"/>
        </w:rPr>
        <w:t>September</w:t>
      </w:r>
      <w:r w:rsidR="00C172DF" w:rsidRPr="00FD0DC0">
        <w:rPr>
          <w:rStyle w:val="CharAmSchText"/>
          <w:rFonts w:ascii="Times New Roman" w:hAnsi="Times New Roman"/>
        </w:rPr>
        <w:t xml:space="preserve"> 202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="004D446C" w:rsidRPr="00FD0DC0">
        <w:rPr>
          <w:rStyle w:val="CharAmSchText"/>
          <w:rFonts w:ascii="Times New Roman" w:hAnsi="Times New Roman"/>
        </w:rPr>
        <w:t>5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1629D98D" w14:textId="47D6FE34" w:rsidR="00922BD7" w:rsidRPr="00FD0DC0" w:rsidRDefault="00922BD7" w:rsidP="00922BD7">
      <w:pPr>
        <w:pStyle w:val="ActHead9"/>
      </w:pPr>
      <w:bookmarkStart w:id="107" w:name="_Toc162443762"/>
      <w:bookmarkStart w:id="108" w:name="_Toc165035273"/>
      <w:bookmarkStart w:id="109" w:name="_Toc166839383"/>
      <w:bookmarkStart w:id="110" w:name="_Toc170150631"/>
      <w:bookmarkStart w:id="111" w:name="_Toc173222065"/>
      <w:bookmarkStart w:id="112" w:name="_Toc175661116"/>
      <w:bookmarkStart w:id="113" w:name="_Toc178179432"/>
      <w:bookmarkStart w:id="114" w:name="_Toc181033714"/>
      <w:bookmarkStart w:id="115" w:name="_Toc183506663"/>
      <w:bookmarkStart w:id="116" w:name="_Toc185400315"/>
      <w:bookmarkStart w:id="117" w:name="_Toc188945257"/>
      <w:bookmarkStart w:id="118" w:name="_Toc191276704"/>
      <w:bookmarkStart w:id="119" w:name="_Toc193805073"/>
      <w:bookmarkStart w:id="120" w:name="_Toc195526838"/>
      <w:bookmarkStart w:id="121" w:name="_Toc198880250"/>
      <w:bookmarkStart w:id="122" w:name="_Toc201557628"/>
      <w:bookmarkStart w:id="123" w:name="_Toc204153504"/>
      <w:bookmarkStart w:id="124" w:name="_Toc204669722"/>
      <w:bookmarkStart w:id="125" w:name="_Toc206667979"/>
      <w:r w:rsidRPr="00FD0DC0">
        <w:t>National Health (Minimum Stockholding) Determination</w:t>
      </w:r>
      <w:r w:rsidR="00E2026A" w:rsidRPr="00FD0DC0">
        <w:t xml:space="preserve"> </w:t>
      </w:r>
      <w:r w:rsidRPr="00FD0DC0">
        <w:t>2023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4ECA76BC" w14:textId="77777777" w:rsidR="00E32818" w:rsidRPr="00FD0DC0" w:rsidRDefault="00E32818" w:rsidP="00E32818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1  Schedule 1 (table)</w:t>
      </w:r>
    </w:p>
    <w:p w14:paraId="4839FAEA" w14:textId="13F464E5" w:rsidR="00E32818" w:rsidRPr="00FD0DC0" w:rsidRDefault="00416687" w:rsidP="00E32818">
      <w:pPr>
        <w:pStyle w:val="Item"/>
      </w:pPr>
      <w:r w:rsidRPr="00FD0DC0">
        <w:t>Omit</w:t>
      </w:r>
      <w:r w:rsidR="00E32818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E20E1E" w:rsidRPr="00FD0DC0" w14:paraId="58F63ED2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735BBD12" w14:textId="3148CBE6" w:rsidR="00E20E1E" w:rsidRPr="00FD0DC0" w:rsidRDefault="00E20E1E" w:rsidP="00E20E1E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Aciclovir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171421E" w14:textId="6267D1C1" w:rsidR="00E20E1E" w:rsidRPr="00FD0DC0" w:rsidRDefault="00E20E1E" w:rsidP="00E20E1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800 mg</w:t>
            </w:r>
          </w:p>
        </w:tc>
        <w:tc>
          <w:tcPr>
            <w:tcW w:w="1956" w:type="dxa"/>
            <w:shd w:val="clear" w:color="auto" w:fill="auto"/>
          </w:tcPr>
          <w:p w14:paraId="11024601" w14:textId="08687E68" w:rsidR="00E20E1E" w:rsidRPr="00FD0DC0" w:rsidRDefault="00E20E1E" w:rsidP="00E20E1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F444452" w14:textId="676C9259" w:rsidR="00E20E1E" w:rsidRPr="00FD0DC0" w:rsidRDefault="00E20E1E" w:rsidP="00E20E1E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Aciclovir</w:t>
            </w:r>
            <w:proofErr w:type="spellEnd"/>
            <w:r w:rsidRPr="00FD0DC0">
              <w:rPr>
                <w:color w:val="000000"/>
                <w:sz w:val="20"/>
              </w:rPr>
              <w:t xml:space="preserve"> APOTEX</w:t>
            </w:r>
          </w:p>
        </w:tc>
        <w:tc>
          <w:tcPr>
            <w:tcW w:w="1956" w:type="dxa"/>
            <w:shd w:val="clear" w:color="auto" w:fill="auto"/>
          </w:tcPr>
          <w:p w14:paraId="18FDBADC" w14:textId="210198AF" w:rsidR="00E20E1E" w:rsidRPr="00FD0DC0" w:rsidRDefault="00E20E1E" w:rsidP="00E20E1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 xml:space="preserve">4 months stock by reference to usual demand of both </w:t>
            </w:r>
            <w:proofErr w:type="spellStart"/>
            <w:r w:rsidRPr="00FD0DC0">
              <w:rPr>
                <w:color w:val="000000"/>
                <w:sz w:val="20"/>
              </w:rPr>
              <w:t>Aciclovir</w:t>
            </w:r>
            <w:proofErr w:type="spellEnd"/>
            <w:r w:rsidRPr="00FD0DC0">
              <w:rPr>
                <w:color w:val="000000"/>
                <w:sz w:val="20"/>
              </w:rPr>
              <w:t xml:space="preserve"> APOTEX and ARX-ACICLOVIR added together</w:t>
            </w:r>
          </w:p>
        </w:tc>
      </w:tr>
    </w:tbl>
    <w:p w14:paraId="7C226CA9" w14:textId="60150964" w:rsidR="00E5325D" w:rsidRPr="00FD0DC0" w:rsidRDefault="008142BA" w:rsidP="00E5325D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2</w:t>
      </w:r>
      <w:r w:rsidR="00E5325D" w:rsidRPr="00FD0DC0">
        <w:rPr>
          <w:rFonts w:ascii="Times New Roman" w:hAnsi="Times New Roman"/>
        </w:rPr>
        <w:t xml:space="preserve">  Schedule</w:t>
      </w:r>
      <w:r w:rsidR="00E2026A" w:rsidRPr="00FD0DC0">
        <w:rPr>
          <w:rFonts w:ascii="Times New Roman" w:hAnsi="Times New Roman"/>
        </w:rPr>
        <w:t xml:space="preserve"> </w:t>
      </w:r>
      <w:r w:rsidR="003A1808" w:rsidRPr="00FD0DC0">
        <w:rPr>
          <w:rFonts w:ascii="Times New Roman" w:hAnsi="Times New Roman"/>
        </w:rPr>
        <w:t>1</w:t>
      </w:r>
      <w:r w:rsidR="0035390A" w:rsidRPr="00FD0DC0">
        <w:rPr>
          <w:rFonts w:ascii="Times New Roman" w:hAnsi="Times New Roman"/>
        </w:rPr>
        <w:t xml:space="preserve"> (table)</w:t>
      </w:r>
    </w:p>
    <w:p w14:paraId="1A074A72" w14:textId="6C26F007" w:rsidR="00D1678D" w:rsidRPr="00FD0DC0" w:rsidRDefault="00F66DE0" w:rsidP="00D1678D">
      <w:pPr>
        <w:pStyle w:val="Item"/>
      </w:pPr>
      <w:r w:rsidRPr="00FD0DC0">
        <w:t>Omit</w:t>
      </w:r>
      <w:r w:rsidR="00D1678D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F737D" w:rsidRPr="00FD0DC0" w14:paraId="0EDB914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4BFAC51" w14:textId="502046DB" w:rsidR="000F737D" w:rsidRPr="00FD0DC0" w:rsidRDefault="000F737D" w:rsidP="000F73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Amisulpride</w:t>
            </w:r>
          </w:p>
        </w:tc>
        <w:tc>
          <w:tcPr>
            <w:tcW w:w="1956" w:type="dxa"/>
            <w:shd w:val="clear" w:color="auto" w:fill="auto"/>
          </w:tcPr>
          <w:p w14:paraId="68425C0A" w14:textId="37D83E36" w:rsidR="000F737D" w:rsidRPr="00FD0DC0" w:rsidRDefault="000F737D" w:rsidP="000F73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400 mg</w:t>
            </w:r>
          </w:p>
        </w:tc>
        <w:tc>
          <w:tcPr>
            <w:tcW w:w="1956" w:type="dxa"/>
            <w:shd w:val="clear" w:color="auto" w:fill="auto"/>
          </w:tcPr>
          <w:p w14:paraId="54D1E9D0" w14:textId="4E2B5F59" w:rsidR="000F737D" w:rsidRPr="00FD0DC0" w:rsidRDefault="000F737D" w:rsidP="000F73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403A5E9" w14:textId="1B38440F" w:rsidR="000F737D" w:rsidRPr="00FD0DC0" w:rsidRDefault="000F737D" w:rsidP="000F737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Amipride</w:t>
            </w:r>
            <w:proofErr w:type="spellEnd"/>
            <w:r w:rsidRPr="00FD0DC0">
              <w:rPr>
                <w:color w:val="000000"/>
                <w:sz w:val="20"/>
              </w:rPr>
              <w:t xml:space="preserve"> 400</w:t>
            </w:r>
          </w:p>
        </w:tc>
        <w:tc>
          <w:tcPr>
            <w:tcW w:w="1956" w:type="dxa"/>
            <w:shd w:val="clear" w:color="auto" w:fill="auto"/>
          </w:tcPr>
          <w:p w14:paraId="6B008AD9" w14:textId="4D811D0B" w:rsidR="000F737D" w:rsidRPr="00FD0DC0" w:rsidRDefault="000F737D" w:rsidP="000F73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77680001" w14:textId="13A9F5DD" w:rsidR="003802C7" w:rsidRPr="00FD0DC0" w:rsidRDefault="008142BA" w:rsidP="00FE6491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3</w:t>
      </w:r>
      <w:r w:rsidR="003802C7" w:rsidRPr="00FD0DC0">
        <w:rPr>
          <w:rFonts w:ascii="Times New Roman" w:hAnsi="Times New Roman"/>
        </w:rPr>
        <w:t xml:space="preserve">  Schedule 1 (table)</w:t>
      </w:r>
    </w:p>
    <w:p w14:paraId="11DDDF4E" w14:textId="19358BB0" w:rsidR="00F265BD" w:rsidRPr="00FD0DC0" w:rsidRDefault="00FC28D2" w:rsidP="00F265BD">
      <w:pPr>
        <w:pStyle w:val="Item"/>
      </w:pPr>
      <w:r w:rsidRPr="00FD0DC0">
        <w:t>Omit</w:t>
      </w:r>
      <w:r w:rsidR="00F265BD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C28D2" w:rsidRPr="00FD0DC0" w14:paraId="199D807A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07CC6E29" w14:textId="4DE677CA" w:rsidR="00FC28D2" w:rsidRPr="00FD0DC0" w:rsidRDefault="00FC28D2" w:rsidP="00FC28D2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Celecoxib</w:t>
            </w:r>
          </w:p>
        </w:tc>
        <w:tc>
          <w:tcPr>
            <w:tcW w:w="1956" w:type="dxa"/>
            <w:shd w:val="clear" w:color="auto" w:fill="auto"/>
          </w:tcPr>
          <w:p w14:paraId="48AABE8F" w14:textId="791C8EE5" w:rsidR="00FC28D2" w:rsidRPr="00FD0DC0" w:rsidRDefault="00FC28D2" w:rsidP="00FC28D2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Capsule 100 mg</w:t>
            </w:r>
          </w:p>
        </w:tc>
        <w:tc>
          <w:tcPr>
            <w:tcW w:w="1956" w:type="dxa"/>
            <w:shd w:val="clear" w:color="auto" w:fill="auto"/>
          </w:tcPr>
          <w:p w14:paraId="595D5F78" w14:textId="1C3B45FB" w:rsidR="00FC28D2" w:rsidRPr="00FD0DC0" w:rsidRDefault="00FC28D2" w:rsidP="00FC28D2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E247188" w14:textId="5CD2B60A" w:rsidR="00FC28D2" w:rsidRPr="00FD0DC0" w:rsidRDefault="00FC28D2" w:rsidP="00FC28D2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Blooms the Chemist Celecoxib</w:t>
            </w:r>
          </w:p>
        </w:tc>
        <w:tc>
          <w:tcPr>
            <w:tcW w:w="1956" w:type="dxa"/>
            <w:shd w:val="clear" w:color="auto" w:fill="auto"/>
          </w:tcPr>
          <w:p w14:paraId="072460AD" w14:textId="4C574EC2" w:rsidR="00FC28D2" w:rsidRPr="00FD0DC0" w:rsidRDefault="00FC28D2" w:rsidP="00FC28D2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7F03FFEE" w14:textId="14116743" w:rsidR="009A5A8F" w:rsidRPr="00FD0DC0" w:rsidRDefault="008142BA" w:rsidP="009A5A8F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4</w:t>
      </w:r>
      <w:r w:rsidR="009A5A8F" w:rsidRPr="00FD0DC0">
        <w:rPr>
          <w:rFonts w:ascii="Times New Roman" w:hAnsi="Times New Roman"/>
        </w:rPr>
        <w:t xml:space="preserve">  Schedule 1 (table)</w:t>
      </w:r>
    </w:p>
    <w:p w14:paraId="6E8979D1" w14:textId="5472B576" w:rsidR="003D6CDF" w:rsidRPr="00FD0DC0" w:rsidRDefault="00FC28D2" w:rsidP="003D6CDF">
      <w:pPr>
        <w:pStyle w:val="Item"/>
      </w:pPr>
      <w:r w:rsidRPr="00FD0DC0">
        <w:t>Omit</w:t>
      </w:r>
      <w:r w:rsidR="003D6CDF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04155" w:rsidRPr="00FD0DC0" w14:paraId="69E97092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2B134183" w14:textId="3EFE8B51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1CC4F85D" w14:textId="3CC375F3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1.28 mg</w:t>
            </w:r>
          </w:p>
        </w:tc>
        <w:tc>
          <w:tcPr>
            <w:tcW w:w="1956" w:type="dxa"/>
            <w:shd w:val="clear" w:color="auto" w:fill="auto"/>
          </w:tcPr>
          <w:p w14:paraId="4B78BCFC" w14:textId="1917EAE2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71F6E809" w14:textId="5A43F696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8308EF7" w14:textId="4CC5A884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  <w:tr w:rsidR="00B04155" w:rsidRPr="00FD0DC0" w14:paraId="66353CAD" w14:textId="77777777" w:rsidTr="00B04155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485EB" w14:textId="15FC2D67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24489" w14:textId="275AD2F5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10.20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C4200" w14:textId="74F66F88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CF6C1" w14:textId="7F574ACB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33496" w14:textId="104346BF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  <w:tr w:rsidR="00B04155" w:rsidRPr="00FD0DC0" w14:paraId="67510FED" w14:textId="77777777" w:rsidTr="002874FE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D36659F" w14:textId="60CD3FEE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AE566B1" w14:textId="3D1A85CC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12.375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DA17DA6" w14:textId="3D8BB202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75E3221" w14:textId="3338DAD5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Fenpatch</w:t>
            </w:r>
            <w:proofErr w:type="spellEnd"/>
            <w:r w:rsidRPr="00FD0DC0">
              <w:rPr>
                <w:color w:val="000000"/>
                <w:sz w:val="20"/>
              </w:rPr>
              <w:t xml:space="preserve"> 75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3B5FA53" w14:textId="272FEAA2" w:rsidR="00B04155" w:rsidRPr="00FD0DC0" w:rsidRDefault="00B04155" w:rsidP="00B0415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August 2025 and 31 August 2025—0 months stock by reference to usual demand</w:t>
            </w:r>
          </w:p>
        </w:tc>
      </w:tr>
    </w:tbl>
    <w:p w14:paraId="7DC61D46" w14:textId="77777777" w:rsidR="00092ECB" w:rsidRPr="00FD0DC0" w:rsidRDefault="00092ECB" w:rsidP="00FE6491">
      <w:pPr>
        <w:pStyle w:val="ItemHead"/>
        <w:rPr>
          <w:rFonts w:ascii="Times New Roman" w:hAnsi="Times New Roman"/>
          <w:b w:val="0"/>
          <w:bCs/>
        </w:rPr>
      </w:pPr>
    </w:p>
    <w:p w14:paraId="165984CA" w14:textId="77777777" w:rsidR="00092ECB" w:rsidRPr="00FD0DC0" w:rsidRDefault="00092ECB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r w:rsidRPr="00FD0DC0">
        <w:br w:type="page"/>
      </w:r>
    </w:p>
    <w:p w14:paraId="0CFDBCB5" w14:textId="345E07AF" w:rsidR="000E3962" w:rsidRPr="00FD0DC0" w:rsidRDefault="008142BA" w:rsidP="00FE6491">
      <w:pPr>
        <w:pStyle w:val="ItemHead"/>
        <w:rPr>
          <w:rFonts w:ascii="Times New Roman" w:hAnsi="Times New Roman"/>
        </w:rPr>
      </w:pPr>
      <w:proofErr w:type="gramStart"/>
      <w:r w:rsidRPr="00FD0DC0">
        <w:rPr>
          <w:rFonts w:ascii="Times New Roman" w:hAnsi="Times New Roman"/>
        </w:rPr>
        <w:lastRenderedPageBreak/>
        <w:t>5</w:t>
      </w:r>
      <w:r w:rsidR="000E3962" w:rsidRPr="00FD0DC0">
        <w:rPr>
          <w:rFonts w:ascii="Times New Roman" w:hAnsi="Times New Roman"/>
        </w:rPr>
        <w:t xml:space="preserve">  Schedule</w:t>
      </w:r>
      <w:proofErr w:type="gramEnd"/>
      <w:r w:rsidR="000E3962" w:rsidRPr="00FD0DC0">
        <w:rPr>
          <w:rFonts w:ascii="Times New Roman" w:hAnsi="Times New Roman"/>
        </w:rPr>
        <w:t xml:space="preserve"> 1 (table)</w:t>
      </w:r>
    </w:p>
    <w:p w14:paraId="6FD9EE90" w14:textId="77777777" w:rsidR="00257B3A" w:rsidRPr="00FD0DC0" w:rsidRDefault="00257B3A" w:rsidP="00257B3A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62DAE" w:rsidRPr="00FD0DC0" w14:paraId="6CCD27E5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6A1F4A3" w14:textId="665FF179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5E32E176" w14:textId="190BB0F1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2.063 mg</w:t>
            </w:r>
          </w:p>
        </w:tc>
        <w:tc>
          <w:tcPr>
            <w:tcW w:w="1956" w:type="dxa"/>
            <w:shd w:val="clear" w:color="auto" w:fill="auto"/>
          </w:tcPr>
          <w:p w14:paraId="61005A4F" w14:textId="5690D3D8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65957EDC" w14:textId="008F342B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Fenpatch</w:t>
            </w:r>
            <w:proofErr w:type="spellEnd"/>
            <w:r w:rsidRPr="00FD0DC0">
              <w:rPr>
                <w:color w:val="000000"/>
                <w:sz w:val="20"/>
              </w:rPr>
              <w:t xml:space="preserve"> 12</w:t>
            </w:r>
          </w:p>
        </w:tc>
        <w:tc>
          <w:tcPr>
            <w:tcW w:w="1956" w:type="dxa"/>
            <w:shd w:val="clear" w:color="auto" w:fill="auto"/>
          </w:tcPr>
          <w:p w14:paraId="3330A8EC" w14:textId="4006025B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August 2025 and 31 August 2025—0 months stock by reference to usual demand</w:t>
            </w:r>
          </w:p>
        </w:tc>
      </w:tr>
    </w:tbl>
    <w:p w14:paraId="773E626F" w14:textId="4572C987" w:rsidR="00D371D4" w:rsidRPr="00FD0DC0" w:rsidRDefault="008142BA" w:rsidP="00D371D4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6</w:t>
      </w:r>
      <w:r w:rsidR="00D371D4" w:rsidRPr="00FD0DC0">
        <w:rPr>
          <w:rFonts w:ascii="Times New Roman" w:hAnsi="Times New Roman"/>
        </w:rPr>
        <w:t xml:space="preserve">  Schedule 1 (table)</w:t>
      </w:r>
    </w:p>
    <w:p w14:paraId="2F5338DB" w14:textId="77777777" w:rsidR="00D371D4" w:rsidRPr="00FD0DC0" w:rsidRDefault="00D371D4" w:rsidP="00D371D4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62DAE" w:rsidRPr="00FD0DC0" w14:paraId="74185FB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6B8FF34" w14:textId="34E0E438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222338F9" w14:textId="4014BBB2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2.55 mg</w:t>
            </w:r>
          </w:p>
        </w:tc>
        <w:tc>
          <w:tcPr>
            <w:tcW w:w="1956" w:type="dxa"/>
            <w:shd w:val="clear" w:color="auto" w:fill="auto"/>
          </w:tcPr>
          <w:p w14:paraId="3C4D5C15" w14:textId="7BF48DAB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7ED2713C" w14:textId="4328B77D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A4F024E" w14:textId="7A24A8E2" w:rsidR="00162DAE" w:rsidRPr="00FD0DC0" w:rsidRDefault="00162DAE" w:rsidP="00162DAE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</w:tbl>
    <w:p w14:paraId="5CF11608" w14:textId="68EF954C" w:rsidR="00D371D4" w:rsidRPr="00FD0DC0" w:rsidRDefault="008142BA" w:rsidP="00D371D4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7</w:t>
      </w:r>
      <w:r w:rsidR="00D371D4" w:rsidRPr="00FD0DC0">
        <w:rPr>
          <w:rFonts w:ascii="Times New Roman" w:hAnsi="Times New Roman"/>
        </w:rPr>
        <w:t xml:space="preserve">  Schedule 1 (table)</w:t>
      </w:r>
    </w:p>
    <w:p w14:paraId="2ABD14AB" w14:textId="77777777" w:rsidR="00675AC6" w:rsidRPr="00FD0DC0" w:rsidRDefault="00675AC6" w:rsidP="00675AC6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75AC6" w:rsidRPr="00FD0DC0" w14:paraId="0810BABE" w14:textId="77777777" w:rsidTr="00675AC6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2CEA1F0" w14:textId="2E9BD655" w:rsidR="00675AC6" w:rsidRPr="00FD0DC0" w:rsidRDefault="00675AC6" w:rsidP="00675AC6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C274868" w14:textId="0AC9B9CB" w:rsidR="00675AC6" w:rsidRPr="00FD0DC0" w:rsidRDefault="00675AC6" w:rsidP="00675AC6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5.10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A119DEA" w14:textId="4CD545F0" w:rsidR="00675AC6" w:rsidRPr="00FD0DC0" w:rsidRDefault="00675AC6" w:rsidP="00675AC6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0E3F593" w14:textId="00B4CFDF" w:rsidR="00675AC6" w:rsidRPr="00FD0DC0" w:rsidRDefault="00675AC6" w:rsidP="00675AC6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450BA87" w14:textId="4C15DD00" w:rsidR="00675AC6" w:rsidRPr="00FD0DC0" w:rsidRDefault="00675AC6" w:rsidP="00675AC6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  <w:tr w:rsidR="00B5251F" w:rsidRPr="00FD0DC0" w14:paraId="30EFDD40" w14:textId="77777777" w:rsidTr="00675AC6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04D8BB82" w14:textId="009B5D2B" w:rsidR="00B5251F" w:rsidRPr="00FD0DC0" w:rsidRDefault="00B5251F" w:rsidP="00B5251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99E0B59" w14:textId="59DA3EBC" w:rsidR="00B5251F" w:rsidRPr="00FD0DC0" w:rsidRDefault="00B5251F" w:rsidP="00B5251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 patch 7.65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F2613C0" w14:textId="0198A2E1" w:rsidR="00B5251F" w:rsidRPr="00FD0DC0" w:rsidRDefault="00B5251F" w:rsidP="00B5251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2D06BFD" w14:textId="2A6DE160" w:rsidR="00B5251F" w:rsidRPr="00FD0DC0" w:rsidRDefault="00B5251F" w:rsidP="00B5251F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0CBAE70" w14:textId="4A441696" w:rsidR="00B5251F" w:rsidRPr="00FD0DC0" w:rsidRDefault="00B5251F" w:rsidP="00B5251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</w:tbl>
    <w:p w14:paraId="4FB61B05" w14:textId="77777777" w:rsidR="00092ECB" w:rsidRPr="00FD0DC0" w:rsidRDefault="00092ECB" w:rsidP="00897BB5">
      <w:pPr>
        <w:pStyle w:val="ItemHead"/>
        <w:ind w:left="0" w:firstLine="0"/>
        <w:rPr>
          <w:rFonts w:ascii="Times New Roman" w:hAnsi="Times New Roman"/>
          <w:b w:val="0"/>
          <w:bCs/>
        </w:rPr>
      </w:pPr>
    </w:p>
    <w:p w14:paraId="20076E98" w14:textId="77777777" w:rsidR="00092ECB" w:rsidRPr="00FD0DC0" w:rsidRDefault="00092ECB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r w:rsidRPr="00FD0DC0">
        <w:br w:type="page"/>
      </w:r>
    </w:p>
    <w:p w14:paraId="577F3CA8" w14:textId="18376416" w:rsidR="00897BB5" w:rsidRPr="00FD0DC0" w:rsidRDefault="00343653" w:rsidP="00897BB5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FD0DC0">
        <w:rPr>
          <w:rFonts w:ascii="Times New Roman" w:hAnsi="Times New Roman"/>
        </w:rPr>
        <w:lastRenderedPageBreak/>
        <w:t>8</w:t>
      </w:r>
      <w:r w:rsidR="00897BB5" w:rsidRPr="00FD0DC0">
        <w:rPr>
          <w:rFonts w:ascii="Times New Roman" w:hAnsi="Times New Roman"/>
        </w:rPr>
        <w:t xml:space="preserve">  Schedule</w:t>
      </w:r>
      <w:proofErr w:type="gramEnd"/>
      <w:r w:rsidR="00897BB5" w:rsidRPr="00FD0DC0">
        <w:rPr>
          <w:rFonts w:ascii="Times New Roman" w:hAnsi="Times New Roman"/>
        </w:rPr>
        <w:t xml:space="preserve"> 1 (table)</w:t>
      </w:r>
    </w:p>
    <w:p w14:paraId="4746D0FF" w14:textId="77777777" w:rsidR="00897BB5" w:rsidRPr="00FD0DC0" w:rsidRDefault="00897BB5" w:rsidP="00897BB5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43653" w:rsidRPr="00FD0DC0" w14:paraId="1FBB4BCA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02CCA9EC" w14:textId="03B78252" w:rsidR="00343653" w:rsidRPr="00FD0DC0" w:rsidRDefault="00343653" w:rsidP="00343653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Insect allergen extract</w:t>
            </w:r>
            <w:r w:rsidRPr="00FD0DC0">
              <w:rPr>
                <w:color w:val="000000"/>
                <w:sz w:val="20"/>
              </w:rPr>
              <w:noBreakHyphen/>
              <w:t>yellow jacket venom</w:t>
            </w:r>
          </w:p>
        </w:tc>
        <w:tc>
          <w:tcPr>
            <w:tcW w:w="1956" w:type="dxa"/>
            <w:shd w:val="clear" w:color="auto" w:fill="auto"/>
          </w:tcPr>
          <w:p w14:paraId="009F69B4" w14:textId="0BF906B1" w:rsidR="00343653" w:rsidRPr="00FD0DC0" w:rsidRDefault="00343653" w:rsidP="00343653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Injection set containing 550 micrograms with diluent</w:t>
            </w:r>
          </w:p>
        </w:tc>
        <w:tc>
          <w:tcPr>
            <w:tcW w:w="1956" w:type="dxa"/>
            <w:shd w:val="clear" w:color="auto" w:fill="auto"/>
          </w:tcPr>
          <w:p w14:paraId="7EA6BCE3" w14:textId="033BE155" w:rsidR="00343653" w:rsidRPr="00FD0DC0" w:rsidRDefault="00343653" w:rsidP="00343653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5DA93E87" w14:textId="597D3DB2" w:rsidR="00343653" w:rsidRPr="00FD0DC0" w:rsidRDefault="00343653" w:rsidP="00343653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Hymenoptera Yellow Jacket Venom</w:t>
            </w:r>
          </w:p>
        </w:tc>
        <w:tc>
          <w:tcPr>
            <w:tcW w:w="1956" w:type="dxa"/>
            <w:shd w:val="clear" w:color="auto" w:fill="auto"/>
          </w:tcPr>
          <w:p w14:paraId="40D0A79F" w14:textId="144787D2" w:rsidR="00343653" w:rsidRPr="00FD0DC0" w:rsidRDefault="00343653" w:rsidP="00343653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6F5753BB" w14:textId="77777777" w:rsidR="00897BB5" w:rsidRPr="00FD0DC0" w:rsidRDefault="00897BB5" w:rsidP="00897BB5">
      <w:pPr>
        <w:pStyle w:val="Item"/>
      </w:pPr>
      <w:r w:rsidRPr="00FD0DC0">
        <w:t>substitute: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ED37B4" w:rsidRPr="00FD0DC0" w14:paraId="33E873A9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0434147D" w14:textId="2FE77277" w:rsidR="00ED37B4" w:rsidRPr="00FD0DC0" w:rsidRDefault="00ED37B4" w:rsidP="00ED37B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Insect allergen extract-yellow jacket venom</w:t>
            </w:r>
          </w:p>
        </w:tc>
        <w:tc>
          <w:tcPr>
            <w:tcW w:w="1956" w:type="dxa"/>
            <w:shd w:val="clear" w:color="auto" w:fill="auto"/>
          </w:tcPr>
          <w:p w14:paraId="5D02B415" w14:textId="09294638" w:rsidR="00ED37B4" w:rsidRPr="00FD0DC0" w:rsidRDefault="00ED37B4" w:rsidP="00ED37B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Injection set containing 550 micrograms</w:t>
            </w:r>
          </w:p>
        </w:tc>
        <w:tc>
          <w:tcPr>
            <w:tcW w:w="1956" w:type="dxa"/>
            <w:shd w:val="clear" w:color="auto" w:fill="auto"/>
          </w:tcPr>
          <w:p w14:paraId="4BC37E11" w14:textId="7977C263" w:rsidR="00ED37B4" w:rsidRPr="00FD0DC0" w:rsidRDefault="00ED37B4" w:rsidP="00ED37B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25C8365B" w14:textId="1AC86F4E" w:rsidR="00ED37B4" w:rsidRPr="00FD0DC0" w:rsidRDefault="00ED37B4" w:rsidP="00ED37B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Albey Yellow Jacket Venom</w:t>
            </w:r>
          </w:p>
        </w:tc>
        <w:tc>
          <w:tcPr>
            <w:tcW w:w="1956" w:type="dxa"/>
            <w:shd w:val="clear" w:color="auto" w:fill="auto"/>
          </w:tcPr>
          <w:p w14:paraId="256F24EE" w14:textId="66313989" w:rsidR="00ED37B4" w:rsidRPr="00FD0DC0" w:rsidRDefault="00ED37B4" w:rsidP="00ED37B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6 months stock by reference to usual PBS demand of Insect allergen extract-yellow jacket venom, Injection set containing 550 micrograms with diluent, Injection (Hymenoptera Yellow Jacket Venom) and Insect allergen extract-yellow jacket venom, Injection set containing 550 micrograms, Injection (Albey Yellow Jacket Venom)</w:t>
            </w:r>
          </w:p>
        </w:tc>
      </w:tr>
    </w:tbl>
    <w:p w14:paraId="7F7A413A" w14:textId="60A9B103" w:rsidR="00F14A10" w:rsidRPr="00FD0DC0" w:rsidRDefault="009B0A69" w:rsidP="00F14A10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9</w:t>
      </w:r>
      <w:r w:rsidR="00F14A10" w:rsidRPr="00FD0DC0">
        <w:rPr>
          <w:rFonts w:ascii="Times New Roman" w:hAnsi="Times New Roman"/>
        </w:rPr>
        <w:t xml:space="preserve">  Schedule 1 (table)</w:t>
      </w:r>
    </w:p>
    <w:p w14:paraId="72E1E012" w14:textId="77777777" w:rsidR="00B5251F" w:rsidRPr="00FD0DC0" w:rsidRDefault="00B5251F" w:rsidP="00B5251F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87378" w:rsidRPr="00FD0DC0" w14:paraId="35179495" w14:textId="77777777" w:rsidTr="0032677F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E5E0793" w14:textId="216A1D5D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Irbesartan with hydrochlorothiazide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855881D" w14:textId="23DA1C86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150 mg-12.5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453A816" w14:textId="67EA4DEC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8642EE1" w14:textId="29BA07DE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Blooms the Chemist Irbesartan HCTZ 150/12.5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667543E" w14:textId="2242039E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  <w:tr w:rsidR="00087378" w:rsidRPr="00FD0DC0" w14:paraId="3AD8E08D" w14:textId="77777777" w:rsidTr="0032677F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64ABEB99" w14:textId="3A5755CE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Irbesartan with hydrochlorothiazide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27A33C2" w14:textId="2B048684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300 mg-12.5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52077E4" w14:textId="621416B2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9A41436" w14:textId="1AE6A68C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Blooms the Chemist Irbesartan HCTZ 300/12.5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6A81FCD" w14:textId="3C708BA2" w:rsidR="00087378" w:rsidRPr="00FD0DC0" w:rsidRDefault="00087378" w:rsidP="0008737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084BD07F" w14:textId="77777777" w:rsidR="00092ECB" w:rsidRPr="00FD0DC0" w:rsidRDefault="00092ECB" w:rsidP="00E80CFF">
      <w:pPr>
        <w:pStyle w:val="ItemHead"/>
        <w:ind w:left="0" w:firstLine="0"/>
        <w:rPr>
          <w:rFonts w:ascii="Times New Roman" w:hAnsi="Times New Roman"/>
          <w:b w:val="0"/>
          <w:bCs/>
        </w:rPr>
      </w:pPr>
    </w:p>
    <w:p w14:paraId="592D0491" w14:textId="77777777" w:rsidR="00092ECB" w:rsidRPr="00FD0DC0" w:rsidRDefault="00092ECB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r w:rsidRPr="00FD0DC0">
        <w:br w:type="page"/>
      </w:r>
    </w:p>
    <w:p w14:paraId="2123D07E" w14:textId="5F8A56B3" w:rsidR="00E80CFF" w:rsidRPr="00FD0DC0" w:rsidRDefault="003F6AB7" w:rsidP="00E80CFF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FD0DC0">
        <w:rPr>
          <w:rFonts w:ascii="Times New Roman" w:hAnsi="Times New Roman"/>
        </w:rPr>
        <w:lastRenderedPageBreak/>
        <w:t>10</w:t>
      </w:r>
      <w:r w:rsidR="00E80CFF" w:rsidRPr="00FD0DC0">
        <w:rPr>
          <w:rFonts w:ascii="Times New Roman" w:hAnsi="Times New Roman"/>
        </w:rPr>
        <w:t xml:space="preserve">  Schedule</w:t>
      </w:r>
      <w:proofErr w:type="gramEnd"/>
      <w:r w:rsidR="00E80CFF" w:rsidRPr="00FD0DC0">
        <w:rPr>
          <w:rFonts w:ascii="Times New Roman" w:hAnsi="Times New Roman"/>
        </w:rPr>
        <w:t xml:space="preserve"> 1 (table)</w:t>
      </w:r>
    </w:p>
    <w:p w14:paraId="76023E92" w14:textId="7162D8D7" w:rsidR="00E80CFF" w:rsidRPr="00FD0DC0" w:rsidRDefault="00586ACE" w:rsidP="00E80CFF">
      <w:pPr>
        <w:pStyle w:val="Item"/>
      </w:pPr>
      <w:r w:rsidRPr="00FD0DC0">
        <w:t>After</w:t>
      </w:r>
      <w:r w:rsidR="00E80CFF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E80CFF" w:rsidRPr="00FD0DC0" w14:paraId="4BF25FB4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4F276E36" w14:textId="0C6ADD4A" w:rsidR="00E80CFF" w:rsidRPr="00FD0DC0" w:rsidRDefault="00E80CFF" w:rsidP="00E80CF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Modafinil</w:t>
            </w:r>
          </w:p>
        </w:tc>
        <w:tc>
          <w:tcPr>
            <w:tcW w:w="1956" w:type="dxa"/>
            <w:shd w:val="clear" w:color="auto" w:fill="auto"/>
          </w:tcPr>
          <w:p w14:paraId="36BBDB2B" w14:textId="02B76301" w:rsidR="00E80CFF" w:rsidRPr="00FD0DC0" w:rsidRDefault="00E80CFF" w:rsidP="00E80CF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100 mg</w:t>
            </w:r>
          </w:p>
        </w:tc>
        <w:tc>
          <w:tcPr>
            <w:tcW w:w="1956" w:type="dxa"/>
            <w:shd w:val="clear" w:color="auto" w:fill="auto"/>
          </w:tcPr>
          <w:p w14:paraId="5FD3DA62" w14:textId="38A62ADA" w:rsidR="00E80CFF" w:rsidRPr="00FD0DC0" w:rsidRDefault="00E80CFF" w:rsidP="00E80CF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D6DD2AB" w14:textId="38786555" w:rsidR="00E80CFF" w:rsidRPr="00FD0DC0" w:rsidRDefault="00E80CFF" w:rsidP="00E80CF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Modafinil Viatris</w:t>
            </w:r>
          </w:p>
        </w:tc>
        <w:tc>
          <w:tcPr>
            <w:tcW w:w="1956" w:type="dxa"/>
            <w:shd w:val="clear" w:color="auto" w:fill="auto"/>
          </w:tcPr>
          <w:p w14:paraId="5937C7A1" w14:textId="527FDEA5" w:rsidR="00E80CFF" w:rsidRPr="00FD0DC0" w:rsidRDefault="00E80CFF" w:rsidP="00E80CFF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after 28 February 2025— 4 months stock by reference to usual demand of both Modafinil Viatris and Modafinil Mylan added together</w:t>
            </w:r>
          </w:p>
        </w:tc>
      </w:tr>
    </w:tbl>
    <w:p w14:paraId="2C4E4BAB" w14:textId="14D385D7" w:rsidR="00E80CFF" w:rsidRPr="00FD0DC0" w:rsidRDefault="00586ACE" w:rsidP="00E80CFF">
      <w:pPr>
        <w:pStyle w:val="Item"/>
      </w:pPr>
      <w:r w:rsidRPr="00FD0DC0">
        <w:t>insert</w:t>
      </w:r>
      <w:r w:rsidR="00E80CFF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0670A" w:rsidRPr="00FD0DC0" w14:paraId="2BC84DF9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52B99957" w14:textId="568358A3" w:rsidR="0010670A" w:rsidRPr="00FD0DC0" w:rsidRDefault="0010670A" w:rsidP="0010670A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Mometasone</w:t>
            </w:r>
          </w:p>
        </w:tc>
        <w:tc>
          <w:tcPr>
            <w:tcW w:w="1956" w:type="dxa"/>
            <w:shd w:val="clear" w:color="auto" w:fill="auto"/>
          </w:tcPr>
          <w:p w14:paraId="353C7D9E" w14:textId="0EE81A7E" w:rsidR="0010670A" w:rsidRPr="00FD0DC0" w:rsidRDefault="0010670A" w:rsidP="0010670A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Ointment containing mometasone furoate 1 mg per g, 15 g</w:t>
            </w:r>
          </w:p>
        </w:tc>
        <w:tc>
          <w:tcPr>
            <w:tcW w:w="1956" w:type="dxa"/>
            <w:shd w:val="clear" w:color="auto" w:fill="auto"/>
          </w:tcPr>
          <w:p w14:paraId="6CABD629" w14:textId="1B021517" w:rsidR="0010670A" w:rsidRPr="00FD0DC0" w:rsidRDefault="0010670A" w:rsidP="0010670A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Application</w:t>
            </w:r>
          </w:p>
        </w:tc>
        <w:tc>
          <w:tcPr>
            <w:tcW w:w="1956" w:type="dxa"/>
            <w:shd w:val="clear" w:color="auto" w:fill="auto"/>
          </w:tcPr>
          <w:p w14:paraId="1743D2D7" w14:textId="3E6C6DE5" w:rsidR="0010670A" w:rsidRPr="00FD0DC0" w:rsidRDefault="0010670A" w:rsidP="0010670A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Momasone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1FFC43F8" w14:textId="6032A14C" w:rsidR="0010670A" w:rsidRPr="00FD0DC0" w:rsidRDefault="0010670A" w:rsidP="0010670A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September 2025 to 28 February 2026—0 months stock by reference to usual demand</w:t>
            </w:r>
          </w:p>
        </w:tc>
      </w:tr>
    </w:tbl>
    <w:p w14:paraId="10010A79" w14:textId="7A57ED56" w:rsidR="003B1F8E" w:rsidRPr="00FD0DC0" w:rsidRDefault="009B0A69" w:rsidP="003B1F8E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1</w:t>
      </w:r>
      <w:r w:rsidR="003F6AB7" w:rsidRPr="00FD0DC0">
        <w:rPr>
          <w:rFonts w:ascii="Times New Roman" w:hAnsi="Times New Roman"/>
        </w:rPr>
        <w:t>1</w:t>
      </w:r>
      <w:r w:rsidR="003B1F8E" w:rsidRPr="00FD0DC0">
        <w:rPr>
          <w:rFonts w:ascii="Times New Roman" w:hAnsi="Times New Roman"/>
        </w:rPr>
        <w:t xml:space="preserve">  Schedule 1 (table)</w:t>
      </w:r>
    </w:p>
    <w:p w14:paraId="0AC3DC96" w14:textId="77777777" w:rsidR="00580FB9" w:rsidRPr="00FD0DC0" w:rsidRDefault="00580FB9" w:rsidP="00580FB9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52141" w:rsidRPr="00FD0DC0" w14:paraId="6171B078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16F226C9" w14:textId="1FB69CA3" w:rsidR="00652141" w:rsidRPr="00FD0DC0" w:rsidRDefault="00652141" w:rsidP="0065214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62C69AA6" w14:textId="16F61F36" w:rsidR="00652141" w:rsidRPr="00FD0DC0" w:rsidRDefault="00652141" w:rsidP="0065214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10 mg (orally disintegrating)</w:t>
            </w:r>
          </w:p>
        </w:tc>
        <w:tc>
          <w:tcPr>
            <w:tcW w:w="1956" w:type="dxa"/>
            <w:shd w:val="clear" w:color="auto" w:fill="auto"/>
          </w:tcPr>
          <w:p w14:paraId="7827C3E5" w14:textId="64BF01F1" w:rsidR="00652141" w:rsidRPr="00FD0DC0" w:rsidRDefault="00652141" w:rsidP="0065214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893101E" w14:textId="1EE23F61" w:rsidR="00652141" w:rsidRPr="00FD0DC0" w:rsidRDefault="00652141" w:rsidP="00652141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Zypine</w:t>
            </w:r>
            <w:proofErr w:type="spellEnd"/>
            <w:r w:rsidRPr="00FD0DC0">
              <w:rPr>
                <w:color w:val="000000"/>
                <w:sz w:val="20"/>
              </w:rPr>
              <w:t xml:space="preserve"> ODT</w:t>
            </w:r>
          </w:p>
        </w:tc>
        <w:tc>
          <w:tcPr>
            <w:tcW w:w="1956" w:type="dxa"/>
            <w:shd w:val="clear" w:color="auto" w:fill="auto"/>
          </w:tcPr>
          <w:p w14:paraId="3F528751" w14:textId="77777777" w:rsidR="00652141" w:rsidRPr="00FD0DC0" w:rsidRDefault="00652141" w:rsidP="00652141">
            <w:pPr>
              <w:pStyle w:val="Tablea"/>
            </w:pPr>
            <w:r w:rsidRPr="00FD0DC0">
              <w:t xml:space="preserve">(a) between 1 February 2024 and 30 September 2024—4 months stock by reference to usual demand of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10 mg, </w:t>
            </w:r>
            <w:proofErr w:type="gramStart"/>
            <w:r w:rsidRPr="00FD0DC0">
              <w:t>Oral;</w:t>
            </w:r>
            <w:proofErr w:type="gramEnd"/>
          </w:p>
          <w:p w14:paraId="2CDE2657" w14:textId="2CEDF165" w:rsidR="00652141" w:rsidRPr="00FD0DC0" w:rsidRDefault="00652141" w:rsidP="00652141">
            <w:pPr>
              <w:pStyle w:val="Tablea"/>
            </w:pPr>
            <w:r w:rsidRPr="00FD0DC0">
              <w:t xml:space="preserve">(b) between 1 October 2024 and 31 March 2025—4 months stock by reference to usual demand of both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10 mg, Oral and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Tablet 10 mg (orally disintegrating), Oral, added together</w:t>
            </w:r>
          </w:p>
        </w:tc>
      </w:tr>
    </w:tbl>
    <w:p w14:paraId="12182661" w14:textId="4ABC39C3" w:rsidR="00C452FD" w:rsidRPr="00FD0DC0" w:rsidRDefault="008142BA" w:rsidP="00C452FD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lastRenderedPageBreak/>
        <w:t>1</w:t>
      </w:r>
      <w:r w:rsidR="00EB2BC1" w:rsidRPr="00FD0DC0">
        <w:rPr>
          <w:rFonts w:ascii="Times New Roman" w:hAnsi="Times New Roman"/>
        </w:rPr>
        <w:t>2</w:t>
      </w:r>
      <w:r w:rsidR="00C452FD" w:rsidRPr="00FD0DC0">
        <w:rPr>
          <w:rFonts w:ascii="Times New Roman" w:hAnsi="Times New Roman"/>
        </w:rPr>
        <w:t xml:space="preserve">  Schedule 1 (table)</w:t>
      </w:r>
    </w:p>
    <w:p w14:paraId="7BFDAB63" w14:textId="77777777" w:rsidR="00713310" w:rsidRPr="00FD0DC0" w:rsidRDefault="00713310" w:rsidP="00713310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320A4" w:rsidRPr="00FD0DC0" w14:paraId="5484B30C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4DA500C8" w14:textId="54FB7599" w:rsidR="007320A4" w:rsidRPr="00FD0DC0" w:rsidRDefault="007320A4" w:rsidP="007320A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4E1BD066" w14:textId="70D224C4" w:rsidR="007320A4" w:rsidRPr="00FD0DC0" w:rsidRDefault="007320A4" w:rsidP="007320A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15 mg (orally disintegrating)</w:t>
            </w:r>
          </w:p>
        </w:tc>
        <w:tc>
          <w:tcPr>
            <w:tcW w:w="1956" w:type="dxa"/>
            <w:shd w:val="clear" w:color="auto" w:fill="auto"/>
          </w:tcPr>
          <w:p w14:paraId="1C16A76F" w14:textId="56980C46" w:rsidR="007320A4" w:rsidRPr="00FD0DC0" w:rsidRDefault="007320A4" w:rsidP="007320A4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C2200A7" w14:textId="1B0417E3" w:rsidR="007320A4" w:rsidRPr="00FD0DC0" w:rsidRDefault="007320A4" w:rsidP="007320A4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Zypine</w:t>
            </w:r>
            <w:proofErr w:type="spellEnd"/>
            <w:r w:rsidRPr="00FD0DC0">
              <w:rPr>
                <w:color w:val="000000"/>
                <w:sz w:val="20"/>
              </w:rPr>
              <w:t xml:space="preserve"> ODT</w:t>
            </w:r>
          </w:p>
        </w:tc>
        <w:tc>
          <w:tcPr>
            <w:tcW w:w="1956" w:type="dxa"/>
            <w:shd w:val="clear" w:color="auto" w:fill="auto"/>
          </w:tcPr>
          <w:p w14:paraId="74F77651" w14:textId="77777777" w:rsidR="007320A4" w:rsidRPr="00FD0DC0" w:rsidRDefault="007320A4" w:rsidP="007320A4">
            <w:pPr>
              <w:pStyle w:val="Tablea"/>
            </w:pPr>
            <w:r w:rsidRPr="00FD0DC0">
              <w:t xml:space="preserve">(a) between 1 February 2024 and 30 September 2024—4 months stock by reference to usual demand of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15 mg, </w:t>
            </w:r>
            <w:proofErr w:type="gramStart"/>
            <w:r w:rsidRPr="00FD0DC0">
              <w:t>Oral;</w:t>
            </w:r>
            <w:proofErr w:type="gramEnd"/>
          </w:p>
          <w:p w14:paraId="2F7FCA68" w14:textId="10CF1F7B" w:rsidR="007320A4" w:rsidRPr="00FD0DC0" w:rsidRDefault="007320A4" w:rsidP="007320A4">
            <w:pPr>
              <w:pStyle w:val="Tablea"/>
            </w:pPr>
            <w:r w:rsidRPr="00FD0DC0">
              <w:t xml:space="preserve">(b) between 1 October 2024 and 31 March 2025—4 months stock by reference to usual demand of both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15 mg, Oral and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Tablet 15 mg (orally disintegrating), Oral, added together.</w:t>
            </w:r>
          </w:p>
        </w:tc>
      </w:tr>
    </w:tbl>
    <w:p w14:paraId="670B8738" w14:textId="77777777" w:rsidR="00092ECB" w:rsidRPr="00FD0DC0" w:rsidRDefault="00092ECB" w:rsidP="004233ED">
      <w:pPr>
        <w:pStyle w:val="ItemHead"/>
        <w:rPr>
          <w:rFonts w:ascii="Times New Roman" w:hAnsi="Times New Roman"/>
          <w:b w:val="0"/>
          <w:bCs/>
        </w:rPr>
      </w:pPr>
    </w:p>
    <w:p w14:paraId="3EDF48EA" w14:textId="77777777" w:rsidR="00092ECB" w:rsidRPr="00FD0DC0" w:rsidRDefault="00092ECB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r w:rsidRPr="00FD0DC0">
        <w:br w:type="page"/>
      </w:r>
    </w:p>
    <w:p w14:paraId="7493B82D" w14:textId="404F5792" w:rsidR="004233ED" w:rsidRPr="00FD0DC0" w:rsidRDefault="004233ED" w:rsidP="004233ED">
      <w:pPr>
        <w:pStyle w:val="ItemHead"/>
        <w:rPr>
          <w:rFonts w:ascii="Times New Roman" w:hAnsi="Times New Roman"/>
        </w:rPr>
      </w:pPr>
      <w:proofErr w:type="gramStart"/>
      <w:r w:rsidRPr="00FD0DC0">
        <w:rPr>
          <w:rFonts w:ascii="Times New Roman" w:hAnsi="Times New Roman"/>
        </w:rPr>
        <w:lastRenderedPageBreak/>
        <w:t>1</w:t>
      </w:r>
      <w:r w:rsidR="00EB2BC1" w:rsidRPr="00FD0DC0">
        <w:rPr>
          <w:rFonts w:ascii="Times New Roman" w:hAnsi="Times New Roman"/>
        </w:rPr>
        <w:t>3</w:t>
      </w:r>
      <w:r w:rsidRPr="00FD0DC0">
        <w:rPr>
          <w:rFonts w:ascii="Times New Roman" w:hAnsi="Times New Roman"/>
        </w:rPr>
        <w:t xml:space="preserve">  Schedule</w:t>
      </w:r>
      <w:proofErr w:type="gramEnd"/>
      <w:r w:rsidRPr="00FD0DC0">
        <w:rPr>
          <w:rFonts w:ascii="Times New Roman" w:hAnsi="Times New Roman"/>
        </w:rPr>
        <w:t xml:space="preserve"> 1 (table)</w:t>
      </w:r>
    </w:p>
    <w:p w14:paraId="38EF1DC0" w14:textId="087ED5BF" w:rsidR="00DC64A6" w:rsidRPr="00FD0DC0" w:rsidRDefault="007320A4" w:rsidP="00DC64A6">
      <w:pPr>
        <w:pStyle w:val="Item"/>
      </w:pPr>
      <w:r w:rsidRPr="00FD0DC0">
        <w:t>Omit</w:t>
      </w:r>
      <w:r w:rsidR="00DC64A6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05030" w:rsidRPr="00FD0DC0" w14:paraId="2AD51173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48551449" w14:textId="5FB2EA2A" w:rsidR="00C05030" w:rsidRPr="00FD0DC0" w:rsidRDefault="00C05030" w:rsidP="00C05030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02F7FD94" w14:textId="19543508" w:rsidR="00C05030" w:rsidRPr="00FD0DC0" w:rsidRDefault="00C05030" w:rsidP="00C05030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20 mg (orally disintegrating)</w:t>
            </w:r>
          </w:p>
        </w:tc>
        <w:tc>
          <w:tcPr>
            <w:tcW w:w="1956" w:type="dxa"/>
            <w:shd w:val="clear" w:color="auto" w:fill="auto"/>
          </w:tcPr>
          <w:p w14:paraId="7EC7CE0F" w14:textId="1AE09160" w:rsidR="00C05030" w:rsidRPr="00FD0DC0" w:rsidRDefault="00C05030" w:rsidP="00C05030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239179A" w14:textId="1148BAB1" w:rsidR="00C05030" w:rsidRPr="00FD0DC0" w:rsidRDefault="00C05030" w:rsidP="00C05030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Zypine</w:t>
            </w:r>
            <w:proofErr w:type="spellEnd"/>
            <w:r w:rsidRPr="00FD0DC0">
              <w:rPr>
                <w:color w:val="000000"/>
                <w:sz w:val="20"/>
              </w:rPr>
              <w:t xml:space="preserve"> ODT</w:t>
            </w:r>
          </w:p>
        </w:tc>
        <w:tc>
          <w:tcPr>
            <w:tcW w:w="1956" w:type="dxa"/>
            <w:shd w:val="clear" w:color="auto" w:fill="auto"/>
          </w:tcPr>
          <w:p w14:paraId="2044EA18" w14:textId="77777777" w:rsidR="00C05030" w:rsidRPr="00FD0DC0" w:rsidRDefault="00C05030" w:rsidP="00C05030">
            <w:pPr>
              <w:pStyle w:val="Tablea"/>
            </w:pPr>
            <w:r w:rsidRPr="00FD0DC0">
              <w:t xml:space="preserve">(a) between 1 February 2024 and 30 September 2024—4 months stock by reference to usual demand of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20 mg, </w:t>
            </w:r>
            <w:proofErr w:type="gramStart"/>
            <w:r w:rsidRPr="00FD0DC0">
              <w:t>Oral;</w:t>
            </w:r>
            <w:proofErr w:type="gramEnd"/>
          </w:p>
          <w:p w14:paraId="734B4CFA" w14:textId="62B6F795" w:rsidR="00C05030" w:rsidRPr="00FD0DC0" w:rsidRDefault="00C05030" w:rsidP="00C05030">
            <w:pPr>
              <w:pStyle w:val="Tablea"/>
            </w:pPr>
            <w:r w:rsidRPr="00FD0DC0">
              <w:t xml:space="preserve">(b) between 1 October 2024 and 31 March 2025—4 months stock by reference to usual demand of both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20 mg, Oral and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Tablet 20 mg (orally disintegrating), Oral, added together</w:t>
            </w:r>
          </w:p>
        </w:tc>
      </w:tr>
    </w:tbl>
    <w:p w14:paraId="0F811A73" w14:textId="77777777" w:rsidR="00092ECB" w:rsidRPr="00FD0DC0" w:rsidRDefault="00092ECB" w:rsidP="002D1321">
      <w:pPr>
        <w:pStyle w:val="ItemHead"/>
        <w:rPr>
          <w:rFonts w:ascii="Times New Roman" w:hAnsi="Times New Roman"/>
          <w:b w:val="0"/>
          <w:bCs/>
        </w:rPr>
      </w:pPr>
    </w:p>
    <w:p w14:paraId="4BA62DC4" w14:textId="77777777" w:rsidR="00092ECB" w:rsidRPr="00FD0DC0" w:rsidRDefault="00092ECB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r w:rsidRPr="00FD0DC0">
        <w:br w:type="page"/>
      </w:r>
    </w:p>
    <w:p w14:paraId="26244286" w14:textId="66E072EF" w:rsidR="002D1321" w:rsidRPr="00FD0DC0" w:rsidRDefault="002D1321" w:rsidP="002D1321">
      <w:pPr>
        <w:pStyle w:val="ItemHead"/>
        <w:rPr>
          <w:rFonts w:ascii="Times New Roman" w:hAnsi="Times New Roman"/>
        </w:rPr>
      </w:pPr>
      <w:proofErr w:type="gramStart"/>
      <w:r w:rsidRPr="00FD0DC0">
        <w:rPr>
          <w:rFonts w:ascii="Times New Roman" w:hAnsi="Times New Roman"/>
        </w:rPr>
        <w:lastRenderedPageBreak/>
        <w:t>1</w:t>
      </w:r>
      <w:r w:rsidR="00EB2BC1" w:rsidRPr="00FD0DC0">
        <w:rPr>
          <w:rFonts w:ascii="Times New Roman" w:hAnsi="Times New Roman"/>
        </w:rPr>
        <w:t>4</w:t>
      </w:r>
      <w:r w:rsidRPr="00FD0DC0">
        <w:rPr>
          <w:rFonts w:ascii="Times New Roman" w:hAnsi="Times New Roman"/>
        </w:rPr>
        <w:t xml:space="preserve">  Schedule</w:t>
      </w:r>
      <w:proofErr w:type="gramEnd"/>
      <w:r w:rsidRPr="00FD0DC0">
        <w:rPr>
          <w:rFonts w:ascii="Times New Roman" w:hAnsi="Times New Roman"/>
        </w:rPr>
        <w:t xml:space="preserve"> 1 (table)</w:t>
      </w:r>
    </w:p>
    <w:p w14:paraId="3F6AE73A" w14:textId="77777777" w:rsidR="00AB4A4C" w:rsidRPr="00FD0DC0" w:rsidRDefault="00AB4A4C" w:rsidP="00AB4A4C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9754D" w:rsidRPr="00FD0DC0" w14:paraId="5849EAB1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033570AB" w14:textId="5D5E0C48" w:rsidR="0009754D" w:rsidRPr="00FD0DC0" w:rsidRDefault="0009754D" w:rsidP="0009754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3430065F" w14:textId="28079BCB" w:rsidR="0009754D" w:rsidRPr="00FD0DC0" w:rsidRDefault="0009754D" w:rsidP="0009754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5 mg (orally disintegrating)</w:t>
            </w:r>
          </w:p>
        </w:tc>
        <w:tc>
          <w:tcPr>
            <w:tcW w:w="1956" w:type="dxa"/>
            <w:shd w:val="clear" w:color="auto" w:fill="auto"/>
          </w:tcPr>
          <w:p w14:paraId="31713179" w14:textId="1156CBA8" w:rsidR="0009754D" w:rsidRPr="00FD0DC0" w:rsidRDefault="0009754D" w:rsidP="0009754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E83B9F5" w14:textId="3F773542" w:rsidR="0009754D" w:rsidRPr="00FD0DC0" w:rsidRDefault="0009754D" w:rsidP="0009754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Zypine</w:t>
            </w:r>
            <w:proofErr w:type="spellEnd"/>
            <w:r w:rsidRPr="00FD0DC0">
              <w:rPr>
                <w:color w:val="000000"/>
                <w:sz w:val="20"/>
              </w:rPr>
              <w:t xml:space="preserve"> ODT</w:t>
            </w:r>
          </w:p>
        </w:tc>
        <w:tc>
          <w:tcPr>
            <w:tcW w:w="1956" w:type="dxa"/>
            <w:shd w:val="clear" w:color="auto" w:fill="auto"/>
          </w:tcPr>
          <w:p w14:paraId="6DD77198" w14:textId="77777777" w:rsidR="0009754D" w:rsidRPr="00FD0DC0" w:rsidRDefault="0009754D" w:rsidP="0009754D">
            <w:pPr>
              <w:pStyle w:val="Tablea"/>
            </w:pPr>
            <w:r w:rsidRPr="00FD0DC0">
              <w:t xml:space="preserve">(a) between 1 February 2024 and 30 September 2024—4 months stock by reference to usual demand of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5 mg, </w:t>
            </w:r>
            <w:proofErr w:type="gramStart"/>
            <w:r w:rsidRPr="00FD0DC0">
              <w:t>Oral;</w:t>
            </w:r>
            <w:proofErr w:type="gramEnd"/>
          </w:p>
          <w:p w14:paraId="7E81E562" w14:textId="7C629ABE" w:rsidR="0009754D" w:rsidRPr="00FD0DC0" w:rsidRDefault="0009754D" w:rsidP="0009754D">
            <w:pPr>
              <w:pStyle w:val="Tablea"/>
            </w:pPr>
            <w:r w:rsidRPr="00FD0DC0">
              <w:t xml:space="preserve">(b) between 1 October 2024 and 31 March 2025—4 months stock by reference to usual demand of both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Wafer 5 mg, Oral and the brand </w:t>
            </w:r>
            <w:proofErr w:type="spellStart"/>
            <w:r w:rsidRPr="00FD0DC0">
              <w:t>Zypine</w:t>
            </w:r>
            <w:proofErr w:type="spellEnd"/>
            <w:r w:rsidRPr="00FD0DC0">
              <w:t xml:space="preserve"> ODT of the pharmaceutical item Olanzapine, Tablet 5 mg (orally disintegrating), Oral, added together</w:t>
            </w:r>
          </w:p>
        </w:tc>
      </w:tr>
    </w:tbl>
    <w:p w14:paraId="4A2BDFDC" w14:textId="1ED98ACC" w:rsidR="00422D0C" w:rsidRPr="00FD0DC0" w:rsidRDefault="00422D0C" w:rsidP="00422D0C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1</w:t>
      </w:r>
      <w:r w:rsidR="00EB2BC1" w:rsidRPr="00FD0DC0">
        <w:rPr>
          <w:rFonts w:ascii="Times New Roman" w:hAnsi="Times New Roman"/>
        </w:rPr>
        <w:t>5</w:t>
      </w:r>
      <w:r w:rsidRPr="00FD0DC0">
        <w:rPr>
          <w:rFonts w:ascii="Times New Roman" w:hAnsi="Times New Roman"/>
        </w:rPr>
        <w:t xml:space="preserve">  Schedule 1 (table)</w:t>
      </w:r>
    </w:p>
    <w:p w14:paraId="344CC119" w14:textId="77777777" w:rsidR="005B41F3" w:rsidRPr="00FD0DC0" w:rsidRDefault="005B41F3" w:rsidP="005B41F3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770CB" w:rsidRPr="00FD0DC0" w14:paraId="498EC42E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7F98A582" w14:textId="5604A002" w:rsidR="005770CB" w:rsidRPr="00FD0DC0" w:rsidRDefault="005770CB" w:rsidP="005770C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  <w:shd w:val="clear" w:color="auto" w:fill="auto"/>
          </w:tcPr>
          <w:p w14:paraId="1E126CBB" w14:textId="3A934934" w:rsidR="005770CB" w:rsidRPr="00FD0DC0" w:rsidRDefault="005770CB" w:rsidP="005770C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Tablet containing tenofovir disoproxil fumarate 300 mg</w:t>
            </w:r>
          </w:p>
        </w:tc>
        <w:tc>
          <w:tcPr>
            <w:tcW w:w="1956" w:type="dxa"/>
            <w:shd w:val="clear" w:color="auto" w:fill="auto"/>
          </w:tcPr>
          <w:p w14:paraId="43E20931" w14:textId="3480F17C" w:rsidR="005770CB" w:rsidRPr="00FD0DC0" w:rsidRDefault="005770CB" w:rsidP="005770C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1876CAC" w14:textId="58A815B0" w:rsidR="005770CB" w:rsidRPr="00FD0DC0" w:rsidRDefault="005770CB" w:rsidP="005770C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Tenofovir APOTEX</w:t>
            </w:r>
          </w:p>
        </w:tc>
        <w:tc>
          <w:tcPr>
            <w:tcW w:w="1956" w:type="dxa"/>
            <w:shd w:val="clear" w:color="auto" w:fill="auto"/>
          </w:tcPr>
          <w:p w14:paraId="5360F473" w14:textId="2D986515" w:rsidR="005770CB" w:rsidRPr="00FD0DC0" w:rsidRDefault="005770CB" w:rsidP="005770C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4 months stock by reference to usual demand of both Tenofovir APOTEX and Tenofovir ARX added together</w:t>
            </w:r>
          </w:p>
        </w:tc>
      </w:tr>
    </w:tbl>
    <w:p w14:paraId="277BA567" w14:textId="68B565EB" w:rsidR="001F253C" w:rsidRPr="00FD0DC0" w:rsidRDefault="001F253C" w:rsidP="001F253C">
      <w:pPr>
        <w:pStyle w:val="ItemHead"/>
        <w:rPr>
          <w:rFonts w:ascii="Times New Roman" w:hAnsi="Times New Roman"/>
        </w:rPr>
      </w:pPr>
      <w:r w:rsidRPr="00FD0DC0">
        <w:rPr>
          <w:rFonts w:ascii="Times New Roman" w:hAnsi="Times New Roman"/>
        </w:rPr>
        <w:t>1</w:t>
      </w:r>
      <w:r w:rsidR="00EB2BC1" w:rsidRPr="00FD0DC0">
        <w:rPr>
          <w:rFonts w:ascii="Times New Roman" w:hAnsi="Times New Roman"/>
        </w:rPr>
        <w:t>6</w:t>
      </w:r>
      <w:r w:rsidRPr="00FD0DC0">
        <w:rPr>
          <w:rFonts w:ascii="Times New Roman" w:hAnsi="Times New Roman"/>
        </w:rPr>
        <w:t xml:space="preserve">  Schedule 1 (table)</w:t>
      </w:r>
    </w:p>
    <w:p w14:paraId="0E2E109C" w14:textId="77777777" w:rsidR="00706CF3" w:rsidRPr="00FD0DC0" w:rsidRDefault="00706CF3" w:rsidP="00706CF3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4685B" w:rsidRPr="00FD0DC0" w14:paraId="50ECA7C5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183FFA1B" w14:textId="6FF0CA43" w:rsidR="0064685B" w:rsidRPr="00FD0DC0" w:rsidRDefault="0064685B" w:rsidP="0064685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Vinorelbine</w:t>
            </w:r>
          </w:p>
        </w:tc>
        <w:tc>
          <w:tcPr>
            <w:tcW w:w="1956" w:type="dxa"/>
            <w:shd w:val="clear" w:color="auto" w:fill="auto"/>
          </w:tcPr>
          <w:p w14:paraId="696A9195" w14:textId="3C5DEB8E" w:rsidR="0064685B" w:rsidRPr="00FD0DC0" w:rsidRDefault="0064685B" w:rsidP="0064685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Solution for I.V. infusion 50 mg (as tartrate) in 5 mL</w:t>
            </w:r>
          </w:p>
        </w:tc>
        <w:tc>
          <w:tcPr>
            <w:tcW w:w="1956" w:type="dxa"/>
            <w:shd w:val="clear" w:color="auto" w:fill="auto"/>
          </w:tcPr>
          <w:p w14:paraId="385FEEAD" w14:textId="1818CD9C" w:rsidR="0064685B" w:rsidRPr="00FD0DC0" w:rsidRDefault="0064685B" w:rsidP="0064685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53542BC1" w14:textId="016D6BAB" w:rsidR="0064685B" w:rsidRPr="00FD0DC0" w:rsidRDefault="0064685B" w:rsidP="0064685B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Navelbine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F1F5AD6" w14:textId="646C67B4" w:rsidR="0064685B" w:rsidRPr="00FD0DC0" w:rsidRDefault="0064685B" w:rsidP="0064685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23136FB7" w14:textId="77777777" w:rsidR="00E90208" w:rsidRPr="00FD0DC0" w:rsidRDefault="00E90208" w:rsidP="007B5E4A">
      <w:pPr>
        <w:pStyle w:val="ItemHead"/>
        <w:rPr>
          <w:rFonts w:ascii="Times New Roman" w:hAnsi="Times New Roman"/>
          <w:b w:val="0"/>
          <w:bCs/>
        </w:rPr>
      </w:pPr>
    </w:p>
    <w:p w14:paraId="7DED9C8B" w14:textId="7606B649" w:rsidR="00A139CE" w:rsidRPr="00FD0DC0" w:rsidRDefault="00A139CE" w:rsidP="00A139CE">
      <w:pPr>
        <w:pStyle w:val="ActHead6"/>
        <w:pageBreakBefore/>
        <w:rPr>
          <w:rFonts w:ascii="Times New Roman" w:hAnsi="Times New Roman"/>
        </w:rPr>
      </w:pPr>
      <w:bookmarkStart w:id="126" w:name="_Toc165035274"/>
      <w:bookmarkStart w:id="127" w:name="_Toc170150632"/>
      <w:bookmarkStart w:id="128" w:name="_Toc178179433"/>
      <w:bookmarkStart w:id="129" w:name="_Toc181033715"/>
      <w:bookmarkStart w:id="130" w:name="_Toc185400316"/>
      <w:bookmarkStart w:id="131" w:name="_Toc188945258"/>
      <w:bookmarkStart w:id="132" w:name="_Toc191276705"/>
      <w:bookmarkStart w:id="133" w:name="_Toc193805074"/>
      <w:bookmarkStart w:id="134" w:name="_Toc195526839"/>
      <w:bookmarkStart w:id="135" w:name="_Toc198880251"/>
      <w:bookmarkStart w:id="136" w:name="_Toc201557629"/>
      <w:bookmarkStart w:id="137" w:name="_Toc204153505"/>
      <w:bookmarkStart w:id="138" w:name="_Toc204669723"/>
      <w:bookmarkStart w:id="139" w:name="_Toc206667980"/>
      <w:r w:rsidRPr="00FD0DC0">
        <w:rPr>
          <w:rStyle w:val="CharAmSchNo"/>
          <w:rFonts w:ascii="Times New Roman" w:hAnsi="Times New Roman"/>
        </w:rPr>
        <w:lastRenderedPageBreak/>
        <w:t>Schedule 2</w:t>
      </w:r>
      <w:r w:rsidRPr="00FD0DC0">
        <w:rPr>
          <w:rFonts w:ascii="Times New Roman" w:hAnsi="Times New Roman"/>
        </w:rPr>
        <w:t>—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="00F52DA7" w:rsidRPr="00FD0DC0">
        <w:rPr>
          <w:rStyle w:val="CharAmSchText"/>
          <w:rFonts w:ascii="Times New Roman" w:hAnsi="Times New Roman"/>
        </w:rPr>
        <w:t>Amendments commencing</w:t>
      </w:r>
      <w:r w:rsidR="00C70306" w:rsidRPr="00FD0DC0">
        <w:rPr>
          <w:rStyle w:val="CharAmSchText"/>
          <w:rFonts w:ascii="Times New Roman" w:hAnsi="Times New Roman"/>
        </w:rPr>
        <w:t xml:space="preserve"> </w:t>
      </w:r>
      <w:r w:rsidR="00F52DA7" w:rsidRPr="00FD0DC0">
        <w:rPr>
          <w:rStyle w:val="CharAmSchText"/>
          <w:rFonts w:ascii="Times New Roman" w:hAnsi="Times New Roman"/>
        </w:rPr>
        <w:t xml:space="preserve">1 </w:t>
      </w:r>
      <w:r w:rsidR="00C70306" w:rsidRPr="00FD0DC0">
        <w:rPr>
          <w:rStyle w:val="CharAmSchText"/>
          <w:rFonts w:ascii="Times New Roman" w:hAnsi="Times New Roman"/>
        </w:rPr>
        <w:t>October</w:t>
      </w:r>
      <w:r w:rsidR="00F52DA7" w:rsidRPr="00FD0DC0">
        <w:rPr>
          <w:rStyle w:val="CharAmSchText"/>
          <w:rFonts w:ascii="Times New Roman" w:hAnsi="Times New Roman"/>
        </w:rPr>
        <w:t xml:space="preserve"> 2025</w:t>
      </w:r>
      <w:bookmarkEnd w:id="137"/>
      <w:bookmarkEnd w:id="138"/>
      <w:bookmarkEnd w:id="139"/>
    </w:p>
    <w:p w14:paraId="1F9B789C" w14:textId="77777777" w:rsidR="00A139CE" w:rsidRPr="00FD0DC0" w:rsidRDefault="00A139CE" w:rsidP="00A139CE">
      <w:pPr>
        <w:pStyle w:val="ActHead9"/>
      </w:pPr>
      <w:bookmarkStart w:id="140" w:name="_Toc165035275"/>
      <w:bookmarkStart w:id="141" w:name="_Toc170150633"/>
      <w:bookmarkStart w:id="142" w:name="_Toc178179434"/>
      <w:bookmarkStart w:id="143" w:name="_Toc181033716"/>
      <w:bookmarkStart w:id="144" w:name="_Toc185400317"/>
      <w:bookmarkStart w:id="145" w:name="_Toc188945259"/>
      <w:bookmarkStart w:id="146" w:name="_Toc191276706"/>
      <w:bookmarkStart w:id="147" w:name="_Toc193805075"/>
      <w:bookmarkStart w:id="148" w:name="_Toc195526840"/>
      <w:bookmarkStart w:id="149" w:name="_Toc198880252"/>
      <w:bookmarkStart w:id="150" w:name="_Toc201557630"/>
      <w:bookmarkStart w:id="151" w:name="_Toc204153506"/>
      <w:bookmarkStart w:id="152" w:name="_Toc204669724"/>
      <w:bookmarkStart w:id="153" w:name="_Toc206667981"/>
      <w:r w:rsidRPr="00FD0DC0">
        <w:t>National Health (Minimum Stockholding) Determination 2023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4CCB10D9" w14:textId="24F58198" w:rsidR="00914519" w:rsidRPr="00FD0DC0" w:rsidRDefault="000F5430" w:rsidP="000F5430">
      <w:pPr>
        <w:pStyle w:val="ItemHead"/>
        <w:ind w:left="0" w:firstLine="0"/>
        <w:rPr>
          <w:rFonts w:ascii="Times New Roman" w:hAnsi="Times New Roman"/>
        </w:rPr>
      </w:pPr>
      <w:r w:rsidRPr="00FD0DC0">
        <w:rPr>
          <w:rFonts w:ascii="Times New Roman" w:hAnsi="Times New Roman"/>
        </w:rPr>
        <w:t>1</w:t>
      </w:r>
      <w:r w:rsidR="00914519" w:rsidRPr="00FD0DC0">
        <w:rPr>
          <w:rFonts w:ascii="Times New Roman" w:hAnsi="Times New Roman"/>
        </w:rPr>
        <w:t xml:space="preserve">  Schedule 1 (table)</w:t>
      </w:r>
    </w:p>
    <w:p w14:paraId="255239C3" w14:textId="246F98FD" w:rsidR="00914519" w:rsidRPr="00FD0DC0" w:rsidRDefault="00F52CE1" w:rsidP="00914519">
      <w:pPr>
        <w:pStyle w:val="Item"/>
      </w:pPr>
      <w:r w:rsidRPr="00FD0DC0">
        <w:t>Omit</w:t>
      </w:r>
      <w:r w:rsidR="00914519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90801" w:rsidRPr="00FD0DC0" w14:paraId="0E206DE8" w14:textId="77777777" w:rsidTr="004C1E60">
        <w:trPr>
          <w:jc w:val="center"/>
        </w:trPr>
        <w:tc>
          <w:tcPr>
            <w:tcW w:w="1957" w:type="dxa"/>
            <w:shd w:val="clear" w:color="auto" w:fill="auto"/>
          </w:tcPr>
          <w:p w14:paraId="5E7EBB04" w14:textId="63223802" w:rsidR="00190801" w:rsidRPr="00FD0DC0" w:rsidRDefault="00190801" w:rsidP="0019080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Budesonide</w:t>
            </w:r>
          </w:p>
        </w:tc>
        <w:tc>
          <w:tcPr>
            <w:tcW w:w="1956" w:type="dxa"/>
            <w:shd w:val="clear" w:color="auto" w:fill="auto"/>
          </w:tcPr>
          <w:p w14:paraId="3ED965BD" w14:textId="47FF0197" w:rsidR="00190801" w:rsidRPr="00FD0DC0" w:rsidRDefault="00190801" w:rsidP="0019080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Nebuliser suspension 500 micrograms in 2 mL single dose units, 30</w:t>
            </w:r>
          </w:p>
        </w:tc>
        <w:tc>
          <w:tcPr>
            <w:tcW w:w="1956" w:type="dxa"/>
            <w:shd w:val="clear" w:color="auto" w:fill="auto"/>
          </w:tcPr>
          <w:p w14:paraId="3520E2F8" w14:textId="47ED18E0" w:rsidR="00190801" w:rsidRPr="00FD0DC0" w:rsidRDefault="00190801" w:rsidP="0019080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Inhalation</w:t>
            </w:r>
          </w:p>
        </w:tc>
        <w:tc>
          <w:tcPr>
            <w:tcW w:w="1956" w:type="dxa"/>
            <w:shd w:val="clear" w:color="auto" w:fill="auto"/>
          </w:tcPr>
          <w:p w14:paraId="49B01FBB" w14:textId="4AD924F9" w:rsidR="00190801" w:rsidRPr="00FD0DC0" w:rsidRDefault="00190801" w:rsidP="0019080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 xml:space="preserve">Pulmicort </w:t>
            </w:r>
            <w:proofErr w:type="spellStart"/>
            <w:r w:rsidRPr="00FD0DC0">
              <w:rPr>
                <w:color w:val="000000"/>
                <w:sz w:val="20"/>
              </w:rPr>
              <w:t>Respules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4BE2865" w14:textId="5C48D62E" w:rsidR="00190801" w:rsidRPr="00FD0DC0" w:rsidRDefault="00190801" w:rsidP="0019080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0D250E23" w14:textId="1DB012E7" w:rsidR="00914519" w:rsidRPr="00FD0DC0" w:rsidRDefault="00F52CE1" w:rsidP="00914519">
      <w:pPr>
        <w:pStyle w:val="Item"/>
      </w:pPr>
      <w:r w:rsidRPr="00FD0DC0">
        <w:t>substitute</w:t>
      </w:r>
      <w:r w:rsidR="00914519" w:rsidRPr="00FD0DC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EC4E4B" w:rsidRPr="00FD0DC0" w14:paraId="0B031149" w14:textId="77777777" w:rsidTr="00EC4E4B">
        <w:trPr>
          <w:jc w:val="center"/>
        </w:trPr>
        <w:tc>
          <w:tcPr>
            <w:tcW w:w="1957" w:type="dxa"/>
            <w:shd w:val="clear" w:color="auto" w:fill="auto"/>
          </w:tcPr>
          <w:p w14:paraId="619C18AC" w14:textId="57E1F348" w:rsidR="00EC4E4B" w:rsidRPr="00FD0DC0" w:rsidRDefault="00EC4E4B" w:rsidP="00EC4E4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Budesonide</w:t>
            </w:r>
          </w:p>
        </w:tc>
        <w:tc>
          <w:tcPr>
            <w:tcW w:w="1956" w:type="dxa"/>
            <w:shd w:val="clear" w:color="auto" w:fill="auto"/>
          </w:tcPr>
          <w:p w14:paraId="3C6B7505" w14:textId="131D6690" w:rsidR="00EC4E4B" w:rsidRPr="00FD0DC0" w:rsidRDefault="00EC4E4B" w:rsidP="00EC4E4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Nebuliser suspension 500 micrograms in 2 mL single dose units, 30</w:t>
            </w:r>
          </w:p>
        </w:tc>
        <w:tc>
          <w:tcPr>
            <w:tcW w:w="1956" w:type="dxa"/>
            <w:shd w:val="clear" w:color="auto" w:fill="auto"/>
          </w:tcPr>
          <w:p w14:paraId="0175284C" w14:textId="5CD12076" w:rsidR="00EC4E4B" w:rsidRPr="00FD0DC0" w:rsidRDefault="00EC4E4B" w:rsidP="00EC4E4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Inhalation</w:t>
            </w:r>
          </w:p>
        </w:tc>
        <w:tc>
          <w:tcPr>
            <w:tcW w:w="1956" w:type="dxa"/>
            <w:shd w:val="clear" w:color="auto" w:fill="auto"/>
          </w:tcPr>
          <w:p w14:paraId="0697992B" w14:textId="22165B5E" w:rsidR="00EC4E4B" w:rsidRPr="00FD0DC0" w:rsidRDefault="00EC4E4B" w:rsidP="00EC4E4B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 xml:space="preserve">Pulmicort </w:t>
            </w:r>
            <w:proofErr w:type="spellStart"/>
            <w:r w:rsidRPr="00FD0DC0">
              <w:rPr>
                <w:color w:val="000000"/>
                <w:sz w:val="20"/>
              </w:rPr>
              <w:t>Respules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3795167" w14:textId="77777777" w:rsidR="00EC4E4B" w:rsidRPr="00FD0DC0" w:rsidRDefault="00EC4E4B" w:rsidP="00EC4E4B">
            <w:pPr>
              <w:pStyle w:val="Tablea"/>
            </w:pPr>
            <w:r w:rsidRPr="00FD0DC0">
              <w:t>(a) between 1 October 2025 and 31 March 2026—7,770 packs of a pack quantity of 1</w:t>
            </w:r>
          </w:p>
          <w:p w14:paraId="00DBCAE3" w14:textId="55C78D01" w:rsidR="00EC4E4B" w:rsidRPr="00FD0DC0" w:rsidRDefault="00EC4E4B" w:rsidP="00EC4E4B">
            <w:pPr>
              <w:pStyle w:val="Tablea"/>
            </w:pPr>
            <w:r w:rsidRPr="00FD0DC0">
              <w:t>(b) after 31 March 2026—6 months stock by reference to usual PBS demand</w:t>
            </w:r>
          </w:p>
        </w:tc>
      </w:tr>
    </w:tbl>
    <w:p w14:paraId="63FA107E" w14:textId="34240DC4" w:rsidR="00EF7298" w:rsidRPr="00FD0DC0" w:rsidRDefault="00EF7298" w:rsidP="00EF7298">
      <w:pPr>
        <w:pStyle w:val="ItemHead"/>
        <w:ind w:left="0" w:firstLine="0"/>
        <w:rPr>
          <w:rFonts w:ascii="Times New Roman" w:hAnsi="Times New Roman"/>
        </w:rPr>
      </w:pPr>
      <w:r w:rsidRPr="00FD0DC0">
        <w:rPr>
          <w:rFonts w:ascii="Times New Roman" w:hAnsi="Times New Roman"/>
        </w:rPr>
        <w:t>2  Schedule 1 (table)</w:t>
      </w:r>
    </w:p>
    <w:p w14:paraId="0B57A468" w14:textId="77777777" w:rsidR="00EF7298" w:rsidRPr="00FD0DC0" w:rsidRDefault="00EF7298" w:rsidP="00EF7298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424E5" w:rsidRPr="00FD0DC0" w14:paraId="66ABBC97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3C4AF0E4" w14:textId="1EB34045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Budesonide</w:t>
            </w:r>
          </w:p>
        </w:tc>
        <w:tc>
          <w:tcPr>
            <w:tcW w:w="1956" w:type="dxa"/>
            <w:shd w:val="clear" w:color="auto" w:fill="auto"/>
          </w:tcPr>
          <w:p w14:paraId="22081CC4" w14:textId="136ECBD5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Powder for oral inhalation in breath actuated device 200 micrograms per dose, 200 doses</w:t>
            </w:r>
          </w:p>
        </w:tc>
        <w:tc>
          <w:tcPr>
            <w:tcW w:w="1956" w:type="dxa"/>
            <w:shd w:val="clear" w:color="auto" w:fill="auto"/>
          </w:tcPr>
          <w:p w14:paraId="2C445F0D" w14:textId="1D4EA540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Inhalation by Mouth</w:t>
            </w:r>
          </w:p>
        </w:tc>
        <w:tc>
          <w:tcPr>
            <w:tcW w:w="1956" w:type="dxa"/>
            <w:shd w:val="clear" w:color="auto" w:fill="auto"/>
          </w:tcPr>
          <w:p w14:paraId="55FF3303" w14:textId="6FE213D3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 xml:space="preserve">Pulmicort </w:t>
            </w:r>
            <w:proofErr w:type="spellStart"/>
            <w:r w:rsidRPr="00FD0DC0">
              <w:rPr>
                <w:color w:val="000000"/>
                <w:sz w:val="20"/>
              </w:rPr>
              <w:t>Turbuhaler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3A54EA42" w14:textId="05878985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656EEC28" w14:textId="77777777" w:rsidR="00EF7298" w:rsidRPr="00FD0DC0" w:rsidRDefault="00EF7298" w:rsidP="00EF7298">
      <w:pPr>
        <w:pStyle w:val="Item"/>
      </w:pPr>
      <w:r w:rsidRPr="00FD0DC0">
        <w:t>substitute: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424E5" w:rsidRPr="00FD0DC0" w14:paraId="5795FCED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6B66ABAC" w14:textId="014AA293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Budesonide</w:t>
            </w:r>
          </w:p>
        </w:tc>
        <w:tc>
          <w:tcPr>
            <w:tcW w:w="1956" w:type="dxa"/>
            <w:shd w:val="clear" w:color="auto" w:fill="auto"/>
          </w:tcPr>
          <w:p w14:paraId="5CD4C9F6" w14:textId="1AF15E06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Powder for oral inhalation in breath actuated device 200 micrograms per dose, 200 doses</w:t>
            </w:r>
          </w:p>
        </w:tc>
        <w:tc>
          <w:tcPr>
            <w:tcW w:w="1956" w:type="dxa"/>
            <w:shd w:val="clear" w:color="auto" w:fill="auto"/>
          </w:tcPr>
          <w:p w14:paraId="6A54D288" w14:textId="729C7045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Inhalation by Mouth</w:t>
            </w:r>
          </w:p>
        </w:tc>
        <w:tc>
          <w:tcPr>
            <w:tcW w:w="1956" w:type="dxa"/>
            <w:shd w:val="clear" w:color="auto" w:fill="auto"/>
          </w:tcPr>
          <w:p w14:paraId="531DA863" w14:textId="7364A63B" w:rsidR="000424E5" w:rsidRPr="00FD0DC0" w:rsidRDefault="000424E5" w:rsidP="000424E5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 xml:space="preserve">Pulmicort </w:t>
            </w:r>
            <w:proofErr w:type="spellStart"/>
            <w:r w:rsidRPr="00FD0DC0">
              <w:rPr>
                <w:color w:val="000000"/>
                <w:sz w:val="20"/>
              </w:rPr>
              <w:t>Turbuhaler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7E207B5" w14:textId="77777777" w:rsidR="000424E5" w:rsidRPr="00FD0DC0" w:rsidRDefault="000424E5" w:rsidP="000424E5">
            <w:pPr>
              <w:pStyle w:val="Tablea"/>
              <w:rPr>
                <w:color w:val="000000"/>
              </w:rPr>
            </w:pPr>
            <w:r w:rsidRPr="00FD0DC0">
              <w:rPr>
                <w:color w:val="000000"/>
              </w:rPr>
              <w:t>(a) between 1 October 2025 and 31 March 2026—31,080 packs of a pack quantity of 1</w:t>
            </w:r>
          </w:p>
          <w:p w14:paraId="0F62AD10" w14:textId="2A76BA9E" w:rsidR="000424E5" w:rsidRPr="00FD0DC0" w:rsidRDefault="000424E5" w:rsidP="000424E5">
            <w:pPr>
              <w:pStyle w:val="Tablea"/>
            </w:pPr>
            <w:r w:rsidRPr="00FD0DC0">
              <w:rPr>
                <w:color w:val="000000"/>
              </w:rPr>
              <w:t>(b) after 31 March 2026—6 months stock by reference to usual PBS demand</w:t>
            </w:r>
          </w:p>
        </w:tc>
      </w:tr>
    </w:tbl>
    <w:p w14:paraId="7F10CB01" w14:textId="77777777" w:rsidR="00092ECB" w:rsidRPr="00FD0DC0" w:rsidRDefault="00092ECB" w:rsidP="00092ECB">
      <w:pPr>
        <w:pStyle w:val="ItemHead"/>
        <w:ind w:left="0" w:firstLine="0"/>
        <w:rPr>
          <w:rFonts w:ascii="Times New Roman" w:hAnsi="Times New Roman"/>
          <w:b w:val="0"/>
          <w:bCs/>
        </w:rPr>
      </w:pPr>
    </w:p>
    <w:p w14:paraId="0381877F" w14:textId="77777777" w:rsidR="00092ECB" w:rsidRPr="00FD0DC0" w:rsidRDefault="00092ECB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r w:rsidRPr="00FD0DC0">
        <w:br w:type="page"/>
      </w:r>
    </w:p>
    <w:p w14:paraId="10604BC1" w14:textId="4248F23B" w:rsidR="00092ECB" w:rsidRPr="00FD0DC0" w:rsidRDefault="00092ECB" w:rsidP="00092ECB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FD0DC0">
        <w:rPr>
          <w:rFonts w:ascii="Times New Roman" w:hAnsi="Times New Roman"/>
        </w:rPr>
        <w:lastRenderedPageBreak/>
        <w:t>3  Schedule</w:t>
      </w:r>
      <w:proofErr w:type="gramEnd"/>
      <w:r w:rsidRPr="00FD0DC0">
        <w:rPr>
          <w:rFonts w:ascii="Times New Roman" w:hAnsi="Times New Roman"/>
        </w:rPr>
        <w:t xml:space="preserve"> 1 (table)</w:t>
      </w:r>
    </w:p>
    <w:p w14:paraId="5946EE3F" w14:textId="77777777" w:rsidR="00092ECB" w:rsidRPr="00FD0DC0" w:rsidRDefault="00092ECB" w:rsidP="00092ECB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A7F38" w:rsidRPr="00FD0DC0" w14:paraId="6CFD5545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112EDD80" w14:textId="7CBC1AD1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Ondansetron</w:t>
            </w:r>
          </w:p>
        </w:tc>
        <w:tc>
          <w:tcPr>
            <w:tcW w:w="1956" w:type="dxa"/>
            <w:shd w:val="clear" w:color="auto" w:fill="auto"/>
          </w:tcPr>
          <w:p w14:paraId="4DF43F95" w14:textId="418DAB14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Syrup 4 mg (as hydrochloride dihydrate) per 5 mL, 50 mL</w:t>
            </w:r>
          </w:p>
        </w:tc>
        <w:tc>
          <w:tcPr>
            <w:tcW w:w="1956" w:type="dxa"/>
            <w:shd w:val="clear" w:color="auto" w:fill="auto"/>
          </w:tcPr>
          <w:p w14:paraId="2E3806EE" w14:textId="7090FDD0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66E9D19" w14:textId="3460612E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Zofran syrup 50 mL</w:t>
            </w:r>
          </w:p>
        </w:tc>
        <w:tc>
          <w:tcPr>
            <w:tcW w:w="1956" w:type="dxa"/>
            <w:shd w:val="clear" w:color="auto" w:fill="auto"/>
          </w:tcPr>
          <w:p w14:paraId="4C8D8A3E" w14:textId="054407FA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4DBD35B8" w14:textId="77777777" w:rsidR="00092ECB" w:rsidRPr="00FD0DC0" w:rsidRDefault="00092ECB" w:rsidP="00092ECB">
      <w:pPr>
        <w:pStyle w:val="Item"/>
      </w:pPr>
      <w:r w:rsidRPr="00FD0DC0">
        <w:t>substitute: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A7F38" w:rsidRPr="00FD0DC0" w14:paraId="5155BEC8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6EC2C535" w14:textId="2946B7C1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Ondansetron</w:t>
            </w:r>
          </w:p>
        </w:tc>
        <w:tc>
          <w:tcPr>
            <w:tcW w:w="1956" w:type="dxa"/>
            <w:shd w:val="clear" w:color="auto" w:fill="auto"/>
          </w:tcPr>
          <w:p w14:paraId="41147BA3" w14:textId="4ED01544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Syrup 4 mg (as hydrochloride dihydrate) per 5 mL, 50 mL</w:t>
            </w:r>
          </w:p>
        </w:tc>
        <w:tc>
          <w:tcPr>
            <w:tcW w:w="1956" w:type="dxa"/>
            <w:shd w:val="clear" w:color="auto" w:fill="auto"/>
          </w:tcPr>
          <w:p w14:paraId="49D7FFF2" w14:textId="0BA9B07B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E82B7AF" w14:textId="52744DC2" w:rsidR="006A7F38" w:rsidRPr="00FD0DC0" w:rsidRDefault="006A7F38" w:rsidP="006A7F38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Zofran syrup 50 mL</w:t>
            </w:r>
          </w:p>
        </w:tc>
        <w:tc>
          <w:tcPr>
            <w:tcW w:w="1956" w:type="dxa"/>
            <w:shd w:val="clear" w:color="auto" w:fill="auto"/>
          </w:tcPr>
          <w:p w14:paraId="3F75FF39" w14:textId="77777777" w:rsidR="006A7F38" w:rsidRPr="00FD0DC0" w:rsidRDefault="006A7F38" w:rsidP="006A7F38">
            <w:pPr>
              <w:pStyle w:val="Tablea"/>
              <w:rPr>
                <w:color w:val="000000"/>
              </w:rPr>
            </w:pPr>
            <w:r w:rsidRPr="00FD0DC0">
              <w:rPr>
                <w:color w:val="000000"/>
              </w:rPr>
              <w:t>(a) between 1 October 2025 and 31 March 2026—2,204 packs of a pack quantity of 1</w:t>
            </w:r>
          </w:p>
          <w:p w14:paraId="288354B7" w14:textId="4034AA4C" w:rsidR="006A7F38" w:rsidRPr="00FD0DC0" w:rsidRDefault="006A7F38" w:rsidP="006A7F38">
            <w:pPr>
              <w:pStyle w:val="Tablea"/>
            </w:pPr>
            <w:r w:rsidRPr="00FD0DC0">
              <w:rPr>
                <w:color w:val="000000"/>
              </w:rPr>
              <w:t>(b) after 31 March 2026—4 months stock by reference to usual PBS demand</w:t>
            </w:r>
          </w:p>
        </w:tc>
      </w:tr>
    </w:tbl>
    <w:p w14:paraId="2AA0EA41" w14:textId="07F6624A" w:rsidR="006A7F38" w:rsidRPr="00FD0DC0" w:rsidRDefault="006A7F38" w:rsidP="006A7F38">
      <w:pPr>
        <w:pStyle w:val="ItemHead"/>
        <w:ind w:left="0" w:firstLine="0"/>
        <w:rPr>
          <w:rFonts w:ascii="Times New Roman" w:hAnsi="Times New Roman"/>
        </w:rPr>
      </w:pPr>
      <w:r w:rsidRPr="00FD0DC0">
        <w:rPr>
          <w:rFonts w:ascii="Times New Roman" w:hAnsi="Times New Roman"/>
        </w:rPr>
        <w:t>4  Schedule 1 (table)</w:t>
      </w:r>
    </w:p>
    <w:p w14:paraId="7A479661" w14:textId="77777777" w:rsidR="006A7F38" w:rsidRPr="00FD0DC0" w:rsidRDefault="006A7F38" w:rsidP="006A7F38">
      <w:pPr>
        <w:pStyle w:val="Item"/>
      </w:pPr>
      <w:r w:rsidRPr="00FD0DC0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A6E7D" w:rsidRPr="00FD0DC0" w14:paraId="4311559C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2760EE1E" w14:textId="1AF54294" w:rsidR="00CA6E7D" w:rsidRPr="00FD0DC0" w:rsidRDefault="00CA6E7D" w:rsidP="00CA6E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Permethrin</w:t>
            </w:r>
          </w:p>
        </w:tc>
        <w:tc>
          <w:tcPr>
            <w:tcW w:w="1956" w:type="dxa"/>
            <w:shd w:val="clear" w:color="auto" w:fill="auto"/>
          </w:tcPr>
          <w:p w14:paraId="4C9BB782" w14:textId="22E7D7DB" w:rsidR="00CA6E7D" w:rsidRPr="00FD0DC0" w:rsidRDefault="00CA6E7D" w:rsidP="00CA6E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Cream 50 mg per g, 30 g</w:t>
            </w:r>
          </w:p>
        </w:tc>
        <w:tc>
          <w:tcPr>
            <w:tcW w:w="1956" w:type="dxa"/>
            <w:shd w:val="clear" w:color="auto" w:fill="auto"/>
          </w:tcPr>
          <w:p w14:paraId="0CDBE26D" w14:textId="390F544F" w:rsidR="00CA6E7D" w:rsidRPr="00FD0DC0" w:rsidRDefault="00CA6E7D" w:rsidP="00CA6E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Application</w:t>
            </w:r>
          </w:p>
        </w:tc>
        <w:tc>
          <w:tcPr>
            <w:tcW w:w="1956" w:type="dxa"/>
            <w:shd w:val="clear" w:color="auto" w:fill="auto"/>
          </w:tcPr>
          <w:p w14:paraId="6A8A2E29" w14:textId="685D3742" w:rsidR="00CA6E7D" w:rsidRPr="00FD0DC0" w:rsidRDefault="00CA6E7D" w:rsidP="00CA6E7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Lyclear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219CE6F" w14:textId="218C75F7" w:rsidR="00CA6E7D" w:rsidRPr="00FD0DC0" w:rsidRDefault="00CA6E7D" w:rsidP="00CA6E7D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0B0E20FC" w14:textId="77777777" w:rsidR="006A7F38" w:rsidRPr="00FD0DC0" w:rsidRDefault="006A7F38" w:rsidP="006A7F38">
      <w:pPr>
        <w:pStyle w:val="Item"/>
      </w:pPr>
      <w:r w:rsidRPr="00FD0DC0">
        <w:t>substitute: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61B41" w:rsidRPr="00901CB2" w14:paraId="43DA7BBE" w14:textId="77777777" w:rsidTr="0032677F">
        <w:trPr>
          <w:jc w:val="center"/>
        </w:trPr>
        <w:tc>
          <w:tcPr>
            <w:tcW w:w="1957" w:type="dxa"/>
            <w:shd w:val="clear" w:color="auto" w:fill="auto"/>
          </w:tcPr>
          <w:p w14:paraId="381418D2" w14:textId="10554A9A" w:rsidR="00961B41" w:rsidRPr="00FD0DC0" w:rsidRDefault="00961B41" w:rsidP="00961B4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Permethrin</w:t>
            </w:r>
          </w:p>
        </w:tc>
        <w:tc>
          <w:tcPr>
            <w:tcW w:w="1956" w:type="dxa"/>
            <w:shd w:val="clear" w:color="auto" w:fill="auto"/>
          </w:tcPr>
          <w:p w14:paraId="76090FBF" w14:textId="47B260BC" w:rsidR="00961B41" w:rsidRPr="00FD0DC0" w:rsidRDefault="00961B41" w:rsidP="00961B4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Cream 50 mg per g, 30 g</w:t>
            </w:r>
          </w:p>
        </w:tc>
        <w:tc>
          <w:tcPr>
            <w:tcW w:w="1956" w:type="dxa"/>
            <w:shd w:val="clear" w:color="auto" w:fill="auto"/>
          </w:tcPr>
          <w:p w14:paraId="54ADFBF6" w14:textId="2A0472D2" w:rsidR="00961B41" w:rsidRPr="00FD0DC0" w:rsidRDefault="00961B41" w:rsidP="00961B41">
            <w:pPr>
              <w:spacing w:before="60" w:line="240" w:lineRule="auto"/>
              <w:rPr>
                <w:color w:val="000000"/>
                <w:sz w:val="20"/>
              </w:rPr>
            </w:pPr>
            <w:r w:rsidRPr="00FD0DC0">
              <w:rPr>
                <w:color w:val="000000"/>
                <w:sz w:val="20"/>
              </w:rPr>
              <w:t>Application</w:t>
            </w:r>
          </w:p>
        </w:tc>
        <w:tc>
          <w:tcPr>
            <w:tcW w:w="1956" w:type="dxa"/>
            <w:shd w:val="clear" w:color="auto" w:fill="auto"/>
          </w:tcPr>
          <w:p w14:paraId="31A7E3A9" w14:textId="61C5923F" w:rsidR="00961B41" w:rsidRPr="00FD0DC0" w:rsidRDefault="00961B41" w:rsidP="00961B41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FD0DC0">
              <w:rPr>
                <w:color w:val="000000"/>
                <w:sz w:val="20"/>
              </w:rPr>
              <w:t>Lyclear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2712B4C" w14:textId="77777777" w:rsidR="00961B41" w:rsidRPr="00FD0DC0" w:rsidRDefault="00961B41" w:rsidP="00961B41">
            <w:pPr>
              <w:pStyle w:val="Tablea"/>
              <w:rPr>
                <w:color w:val="000000"/>
              </w:rPr>
            </w:pPr>
            <w:r w:rsidRPr="00FD0DC0">
              <w:rPr>
                <w:color w:val="000000"/>
              </w:rPr>
              <w:t>(a) between 1 October 2025 and 31 March 2026—25,734 packs of a pack quantity of 1</w:t>
            </w:r>
          </w:p>
          <w:p w14:paraId="6CCE5D34" w14:textId="49502390" w:rsidR="00961B41" w:rsidRPr="00EC4E4B" w:rsidRDefault="00961B41" w:rsidP="00961B41">
            <w:pPr>
              <w:pStyle w:val="Tablea"/>
            </w:pPr>
            <w:r w:rsidRPr="00FD0DC0">
              <w:rPr>
                <w:color w:val="000000"/>
              </w:rPr>
              <w:t>(b) after 31 March 2026—6 months stock by reference to usual PBS demand</w:t>
            </w:r>
          </w:p>
        </w:tc>
      </w:tr>
    </w:tbl>
    <w:p w14:paraId="0DF6C214" w14:textId="1FDEFCDB" w:rsidR="00486859" w:rsidRPr="00451C99" w:rsidRDefault="00486859">
      <w:pPr>
        <w:spacing w:line="240" w:lineRule="auto"/>
        <w:rPr>
          <w:rFonts w:ascii="Arial" w:eastAsia="Times New Roman" w:hAnsi="Arial" w:cs="Times New Roman"/>
          <w:bCs/>
          <w:kern w:val="28"/>
          <w:sz w:val="24"/>
          <w:lang w:eastAsia="en-AU"/>
        </w:rPr>
      </w:pPr>
    </w:p>
    <w:p w14:paraId="2CAA1DC5" w14:textId="77777777" w:rsidR="00BD5565" w:rsidRPr="00451C99" w:rsidRDefault="00BD5565" w:rsidP="00B61019">
      <w:pPr>
        <w:pStyle w:val="ItemHead"/>
        <w:ind w:left="0" w:firstLine="0"/>
        <w:rPr>
          <w:b w:val="0"/>
          <w:bCs/>
        </w:rPr>
      </w:pPr>
    </w:p>
    <w:sectPr w:rsidR="00BD5565" w:rsidRPr="00451C99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ADCB" w14:textId="77777777" w:rsidR="007C7810" w:rsidRDefault="007C7810" w:rsidP="0048364F">
      <w:pPr>
        <w:spacing w:line="240" w:lineRule="auto"/>
      </w:pPr>
      <w:r>
        <w:separator/>
      </w:r>
    </w:p>
  </w:endnote>
  <w:endnote w:type="continuationSeparator" w:id="0">
    <w:p w14:paraId="7E62F908" w14:textId="77777777" w:rsidR="007C7810" w:rsidRDefault="007C7810" w:rsidP="0048364F">
      <w:pPr>
        <w:spacing w:line="240" w:lineRule="auto"/>
      </w:pPr>
      <w:r>
        <w:continuationSeparator/>
      </w:r>
    </w:p>
  </w:endnote>
  <w:endnote w:type="continuationNotice" w:id="1">
    <w:p w14:paraId="1E81557E" w14:textId="77777777" w:rsidR="007C7810" w:rsidRDefault="007C78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5EA40FA-F248-4019-BE50-DDCEA793B6C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19C1" w14:textId="0B213C39" w:rsidR="00D20A95" w:rsidRPr="005F1388" w:rsidRDefault="009F6D3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100085" wp14:editId="0C30A5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5140339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ABC5D" w14:textId="34D90178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0008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6BABC5D" w14:textId="34D90178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0A95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BCA9" w14:textId="42AABEF7" w:rsidR="00D20A95" w:rsidRDefault="00D20A95" w:rsidP="00E97334"/>
  <w:p w14:paraId="04418C92" w14:textId="77777777" w:rsidR="00D20A95" w:rsidRPr="00E97334" w:rsidRDefault="00D20A9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86C9" w14:textId="73091A78" w:rsidR="00D20A95" w:rsidRPr="00ED79B6" w:rsidRDefault="009F6D3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F497238" wp14:editId="70C66D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0891541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B107B" w14:textId="23A4092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9723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EAB107B" w14:textId="23A4092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0117" w14:textId="2B46002B" w:rsidR="009E11EF" w:rsidRPr="00E33C1C" w:rsidRDefault="009F6D3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813B47" wp14:editId="12BA67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2147634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6392E" w14:textId="184C8C47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13B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86392E" w14:textId="184C8C47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11EF" w14:paraId="42CFA424" w14:textId="77777777" w:rsidTr="00C811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09B303" w14:textId="77777777" w:rsidR="009E11EF" w:rsidRDefault="009E11EF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2543E5" w14:textId="3068120F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4A7BCB">
            <w:rPr>
              <w:i/>
              <w:noProof/>
              <w:sz w:val="18"/>
            </w:rPr>
            <w:t>National Health (Minimum Stockholding) Amendment Determination (</w:t>
          </w:r>
          <w:r w:rsidR="00877FF1">
            <w:rPr>
              <w:i/>
              <w:noProof/>
              <w:sz w:val="18"/>
            </w:rPr>
            <w:t>No. 1</w:t>
          </w:r>
          <w:r w:rsidR="004A7BCB">
            <w:rPr>
              <w:i/>
              <w:noProof/>
              <w:sz w:val="18"/>
            </w:rPr>
            <w:t>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AA7ECF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32D8C3DC" w14:textId="77777777" w:rsidR="009E11EF" w:rsidRPr="00ED79B6" w:rsidRDefault="009E11EF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25D" w14:textId="75171339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11EF" w14:paraId="033071E5" w14:textId="77777777" w:rsidTr="00C811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F6F96E" w14:textId="77777777" w:rsidR="009E11EF" w:rsidRDefault="009E11EF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CBF464" w14:textId="3558EBBC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FD0DC0">
            <w:rPr>
              <w:i/>
              <w:noProof/>
              <w:sz w:val="18"/>
            </w:rPr>
            <w:t>National Health (Minimum Stockholding) Amendment Determination (No. 8)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6B4484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E0DEB" w14:textId="77777777" w:rsidR="009E11EF" w:rsidRPr="00ED79B6" w:rsidRDefault="009E11E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32A" w14:textId="55B097FC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D20A95" w14:paraId="70DB5581" w14:textId="77777777" w:rsidTr="00FB1C6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3269E31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B8FB922" w14:textId="136E2770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FD0DC0">
            <w:rPr>
              <w:i/>
              <w:noProof/>
              <w:sz w:val="18"/>
            </w:rPr>
            <w:t>National Health (Minimum Stockholding) Amendment Determination (No. 8)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BE2697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296C3039" w14:textId="77777777" w:rsidR="00D20A95" w:rsidRPr="00ED79B6" w:rsidRDefault="00D20A9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299F" w14:textId="2812410E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D20A95" w14:paraId="0E409682" w14:textId="77777777" w:rsidTr="00FB1C68">
      <w:trPr>
        <w:trHeight w:val="433"/>
      </w:trPr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8908C01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C57FAFF" w14:textId="1A08418A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FD0DC0">
            <w:rPr>
              <w:i/>
              <w:noProof/>
              <w:sz w:val="18"/>
            </w:rPr>
            <w:t>National Health (Minimum Stockholding) Amendment Determination (No. 8)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44F38F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DABFBC" w14:textId="77777777" w:rsidR="00D20A95" w:rsidRPr="00ED79B6" w:rsidRDefault="00D20A9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960" w14:textId="3AFE4F20" w:rsidR="00D20A95" w:rsidRPr="00E33C1C" w:rsidRDefault="009F6D3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92E6188" wp14:editId="78A33A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4630367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8D677" w14:textId="19283494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E61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58D677" w14:textId="19283494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0A95" w14:paraId="1A0942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069E2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ACD0E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976A4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06951" w14:textId="77777777" w:rsidR="00D20A95" w:rsidRPr="00ED79B6" w:rsidRDefault="00D20A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CBEB" w14:textId="77777777" w:rsidR="007C7810" w:rsidRDefault="007C7810" w:rsidP="0048364F">
      <w:pPr>
        <w:spacing w:line="240" w:lineRule="auto"/>
      </w:pPr>
      <w:r>
        <w:separator/>
      </w:r>
    </w:p>
  </w:footnote>
  <w:footnote w:type="continuationSeparator" w:id="0">
    <w:p w14:paraId="3FD4F188" w14:textId="77777777" w:rsidR="007C7810" w:rsidRDefault="007C7810" w:rsidP="0048364F">
      <w:pPr>
        <w:spacing w:line="240" w:lineRule="auto"/>
      </w:pPr>
      <w:r>
        <w:continuationSeparator/>
      </w:r>
    </w:p>
  </w:footnote>
  <w:footnote w:type="continuationNotice" w:id="1">
    <w:p w14:paraId="056E0891" w14:textId="77777777" w:rsidR="007C7810" w:rsidRDefault="007C78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462" w14:textId="3057B408" w:rsidR="00B6042E" w:rsidRDefault="009F6D3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A255D9" wp14:editId="019B6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099483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72E8A" w14:textId="7321452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255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DD72E8A" w14:textId="7321452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03871A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D392" w14:textId="516E52D4" w:rsidR="00B6042E" w:rsidRDefault="00B6042E" w:rsidP="0048364F">
    <w:pPr>
      <w:pStyle w:val="Header"/>
      <w:tabs>
        <w:tab w:val="clear" w:pos="4150"/>
        <w:tab w:val="clear" w:pos="8307"/>
      </w:tabs>
    </w:pPr>
  </w:p>
  <w:p w14:paraId="32D940D6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A0A5" w14:textId="4DD85E31" w:rsidR="00B6042E" w:rsidRDefault="009F6D3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26727" wp14:editId="52D1A7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502949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F751" w14:textId="7A69A920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26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4B1F751" w14:textId="7A69A920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CEB7FB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B63" w14:textId="43584091" w:rsidR="009E11EF" w:rsidRDefault="009F6D3E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1CBD3" wp14:editId="24CEAF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249924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2AA7" w14:textId="0AA253A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1C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8E52AA7" w14:textId="0AA253A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F7296" w14:textId="77777777" w:rsidR="009E11EF" w:rsidRPr="00ED79B6" w:rsidRDefault="009E11E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45C1" w14:textId="20C89D91" w:rsidR="009E11EF" w:rsidRDefault="009E11EF" w:rsidP="00220A0C">
    <w:pPr>
      <w:pBdr>
        <w:bottom w:val="single" w:sz="6" w:space="1" w:color="auto"/>
      </w:pBdr>
      <w:spacing w:before="1000" w:line="240" w:lineRule="auto"/>
    </w:pPr>
  </w:p>
  <w:p w14:paraId="7547BB27" w14:textId="77777777" w:rsidR="009E11EF" w:rsidRPr="00ED79B6" w:rsidRDefault="009E11E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3AE" w14:textId="22C10BB2" w:rsidR="009E11EF" w:rsidRDefault="009F6D3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EA7864" wp14:editId="3B0BA7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706359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6CBA3" w14:textId="3E2EFA71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A78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136CBA3" w14:textId="3E2EFA71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3FD9F9" w14:textId="77777777" w:rsidR="009E11EF" w:rsidRPr="00ED79B6" w:rsidRDefault="009E11E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DC9D" w14:textId="42C9B8B5" w:rsidR="00D20A95" w:rsidRPr="00A961C4" w:rsidRDefault="00D20A95" w:rsidP="0048364F">
    <w:pPr>
      <w:rPr>
        <w:b/>
        <w:sz w:val="20"/>
      </w:rPr>
    </w:pPr>
  </w:p>
  <w:p w14:paraId="0A664995" w14:textId="77777777" w:rsidR="00D20A95" w:rsidRPr="00A961C4" w:rsidRDefault="00D20A95" w:rsidP="0048364F">
    <w:pPr>
      <w:rPr>
        <w:b/>
        <w:sz w:val="20"/>
      </w:rPr>
    </w:pPr>
  </w:p>
  <w:p w14:paraId="112184BE" w14:textId="77777777" w:rsidR="00D20A95" w:rsidRPr="00A961C4" w:rsidRDefault="00D20A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F30E" w14:textId="3D0BAD8F" w:rsidR="00B6042E" w:rsidRDefault="00B6042E" w:rsidP="0048364F">
    <w:pPr>
      <w:jc w:val="right"/>
      <w:rPr>
        <w:sz w:val="20"/>
      </w:rPr>
    </w:pPr>
  </w:p>
  <w:p w14:paraId="2F222D57" w14:textId="77777777" w:rsidR="00D20A95" w:rsidRPr="00A961C4" w:rsidRDefault="00D20A95" w:rsidP="0048364F">
    <w:pPr>
      <w:jc w:val="right"/>
      <w:rPr>
        <w:b/>
        <w:sz w:val="20"/>
      </w:rPr>
    </w:pPr>
  </w:p>
  <w:p w14:paraId="4D32207F" w14:textId="77777777" w:rsidR="00D20A95" w:rsidRPr="00A961C4" w:rsidRDefault="00D20A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1A6F" w14:textId="645C1CB3" w:rsidR="00D20A95" w:rsidRPr="00A961C4" w:rsidRDefault="009F6D3E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C5DB90" wp14:editId="0FAF5B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909794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D2F3D" w14:textId="2179F73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5DB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52D2F3D" w14:textId="2179F73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27520B"/>
    <w:multiLevelType w:val="hybridMultilevel"/>
    <w:tmpl w:val="C638D78A"/>
    <w:lvl w:ilvl="0" w:tplc="073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E06772"/>
    <w:multiLevelType w:val="hybridMultilevel"/>
    <w:tmpl w:val="C8B68A12"/>
    <w:lvl w:ilvl="0" w:tplc="DF2655D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4BC00B9"/>
    <w:multiLevelType w:val="hybridMultilevel"/>
    <w:tmpl w:val="B11E6EE2"/>
    <w:lvl w:ilvl="0" w:tplc="2E140A5A">
      <w:start w:val="1"/>
      <w:numFmt w:val="decimal"/>
      <w:lvlText w:val="%1."/>
      <w:lvlJc w:val="left"/>
      <w:pPr>
        <w:ind w:left="1020" w:hanging="360"/>
      </w:pPr>
    </w:lvl>
    <w:lvl w:ilvl="1" w:tplc="7320EFB4">
      <w:start w:val="1"/>
      <w:numFmt w:val="decimal"/>
      <w:lvlText w:val="%2."/>
      <w:lvlJc w:val="left"/>
      <w:pPr>
        <w:ind w:left="1020" w:hanging="360"/>
      </w:pPr>
    </w:lvl>
    <w:lvl w:ilvl="2" w:tplc="6F988D24">
      <w:start w:val="1"/>
      <w:numFmt w:val="decimal"/>
      <w:lvlText w:val="%3."/>
      <w:lvlJc w:val="left"/>
      <w:pPr>
        <w:ind w:left="1020" w:hanging="360"/>
      </w:pPr>
    </w:lvl>
    <w:lvl w:ilvl="3" w:tplc="44FA8396">
      <w:start w:val="1"/>
      <w:numFmt w:val="decimal"/>
      <w:lvlText w:val="%4."/>
      <w:lvlJc w:val="left"/>
      <w:pPr>
        <w:ind w:left="1020" w:hanging="360"/>
      </w:pPr>
    </w:lvl>
    <w:lvl w:ilvl="4" w:tplc="84041138">
      <w:start w:val="1"/>
      <w:numFmt w:val="decimal"/>
      <w:lvlText w:val="%5."/>
      <w:lvlJc w:val="left"/>
      <w:pPr>
        <w:ind w:left="1020" w:hanging="360"/>
      </w:pPr>
    </w:lvl>
    <w:lvl w:ilvl="5" w:tplc="F8C4044A">
      <w:start w:val="1"/>
      <w:numFmt w:val="decimal"/>
      <w:lvlText w:val="%6."/>
      <w:lvlJc w:val="left"/>
      <w:pPr>
        <w:ind w:left="1020" w:hanging="360"/>
      </w:pPr>
    </w:lvl>
    <w:lvl w:ilvl="6" w:tplc="0018F23A">
      <w:start w:val="1"/>
      <w:numFmt w:val="decimal"/>
      <w:lvlText w:val="%7."/>
      <w:lvlJc w:val="left"/>
      <w:pPr>
        <w:ind w:left="1020" w:hanging="360"/>
      </w:pPr>
    </w:lvl>
    <w:lvl w:ilvl="7" w:tplc="2F3C93AE">
      <w:start w:val="1"/>
      <w:numFmt w:val="decimal"/>
      <w:lvlText w:val="%8."/>
      <w:lvlJc w:val="left"/>
      <w:pPr>
        <w:ind w:left="1020" w:hanging="360"/>
      </w:pPr>
    </w:lvl>
    <w:lvl w:ilvl="8" w:tplc="01B4AF0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18C"/>
    <w:multiLevelType w:val="hybridMultilevel"/>
    <w:tmpl w:val="0E3C7AF8"/>
    <w:lvl w:ilvl="0" w:tplc="A4EA48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1468756">
    <w:abstractNumId w:val="9"/>
  </w:num>
  <w:num w:numId="2" w16cid:durableId="893390771">
    <w:abstractNumId w:val="7"/>
  </w:num>
  <w:num w:numId="3" w16cid:durableId="216279825">
    <w:abstractNumId w:val="6"/>
  </w:num>
  <w:num w:numId="4" w16cid:durableId="1258907315">
    <w:abstractNumId w:val="5"/>
  </w:num>
  <w:num w:numId="5" w16cid:durableId="73207574">
    <w:abstractNumId w:val="4"/>
  </w:num>
  <w:num w:numId="6" w16cid:durableId="63143535">
    <w:abstractNumId w:val="8"/>
  </w:num>
  <w:num w:numId="7" w16cid:durableId="755978051">
    <w:abstractNumId w:val="3"/>
  </w:num>
  <w:num w:numId="8" w16cid:durableId="1440444625">
    <w:abstractNumId w:val="2"/>
  </w:num>
  <w:num w:numId="9" w16cid:durableId="1965849937">
    <w:abstractNumId w:val="1"/>
  </w:num>
  <w:num w:numId="10" w16cid:durableId="1798529661">
    <w:abstractNumId w:val="0"/>
  </w:num>
  <w:num w:numId="11" w16cid:durableId="798572302">
    <w:abstractNumId w:val="18"/>
  </w:num>
  <w:num w:numId="12" w16cid:durableId="287123062">
    <w:abstractNumId w:val="11"/>
  </w:num>
  <w:num w:numId="13" w16cid:durableId="1085804994">
    <w:abstractNumId w:val="12"/>
  </w:num>
  <w:num w:numId="14" w16cid:durableId="1244922760">
    <w:abstractNumId w:val="16"/>
  </w:num>
  <w:num w:numId="15" w16cid:durableId="726419721">
    <w:abstractNumId w:val="13"/>
  </w:num>
  <w:num w:numId="16" w16cid:durableId="1303269264">
    <w:abstractNumId w:val="10"/>
  </w:num>
  <w:num w:numId="17" w16cid:durableId="424422036">
    <w:abstractNumId w:val="20"/>
  </w:num>
  <w:num w:numId="18" w16cid:durableId="833492649">
    <w:abstractNumId w:val="19"/>
  </w:num>
  <w:num w:numId="19" w16cid:durableId="1241913445">
    <w:abstractNumId w:val="14"/>
  </w:num>
  <w:num w:numId="20" w16cid:durableId="9752996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909752">
    <w:abstractNumId w:val="23"/>
  </w:num>
  <w:num w:numId="22" w16cid:durableId="467821259">
    <w:abstractNumId w:val="15"/>
  </w:num>
  <w:num w:numId="23" w16cid:durableId="1221090882">
    <w:abstractNumId w:val="22"/>
  </w:num>
  <w:num w:numId="24" w16cid:durableId="1480925932">
    <w:abstractNumId w:val="17"/>
  </w:num>
  <w:num w:numId="25" w16cid:durableId="692852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E4E6464-2465-4070-B581-56A8B2D014A2}"/>
    <w:docVar w:name="dgnword-eventsink" w:val="518837960"/>
  </w:docVars>
  <w:rsids>
    <w:rsidRoot w:val="007936DE"/>
    <w:rsid w:val="00000263"/>
    <w:rsid w:val="000007CE"/>
    <w:rsid w:val="00000815"/>
    <w:rsid w:val="00003054"/>
    <w:rsid w:val="00003085"/>
    <w:rsid w:val="000037F0"/>
    <w:rsid w:val="00005DCC"/>
    <w:rsid w:val="00006D56"/>
    <w:rsid w:val="00010206"/>
    <w:rsid w:val="000113BC"/>
    <w:rsid w:val="00011B77"/>
    <w:rsid w:val="00011ED8"/>
    <w:rsid w:val="0001291D"/>
    <w:rsid w:val="000136AF"/>
    <w:rsid w:val="00014F97"/>
    <w:rsid w:val="00015C21"/>
    <w:rsid w:val="00015EF1"/>
    <w:rsid w:val="00016D2B"/>
    <w:rsid w:val="0001740F"/>
    <w:rsid w:val="000175ED"/>
    <w:rsid w:val="00020BA3"/>
    <w:rsid w:val="00021FEF"/>
    <w:rsid w:val="000229B7"/>
    <w:rsid w:val="00022A9B"/>
    <w:rsid w:val="00022D2B"/>
    <w:rsid w:val="00022FAB"/>
    <w:rsid w:val="00023200"/>
    <w:rsid w:val="0002351D"/>
    <w:rsid w:val="00023527"/>
    <w:rsid w:val="00023A94"/>
    <w:rsid w:val="00023AB8"/>
    <w:rsid w:val="00025221"/>
    <w:rsid w:val="00026052"/>
    <w:rsid w:val="00027181"/>
    <w:rsid w:val="00027367"/>
    <w:rsid w:val="00027AB7"/>
    <w:rsid w:val="00027ADA"/>
    <w:rsid w:val="00027E93"/>
    <w:rsid w:val="00030748"/>
    <w:rsid w:val="00030BCF"/>
    <w:rsid w:val="00032B2F"/>
    <w:rsid w:val="00033D3D"/>
    <w:rsid w:val="00034F36"/>
    <w:rsid w:val="000354F8"/>
    <w:rsid w:val="00036844"/>
    <w:rsid w:val="00036A2E"/>
    <w:rsid w:val="00036E24"/>
    <w:rsid w:val="00037231"/>
    <w:rsid w:val="00037BA2"/>
    <w:rsid w:val="00037C26"/>
    <w:rsid w:val="0004044E"/>
    <w:rsid w:val="0004159F"/>
    <w:rsid w:val="00041D63"/>
    <w:rsid w:val="000421E6"/>
    <w:rsid w:val="000424E5"/>
    <w:rsid w:val="00042945"/>
    <w:rsid w:val="00043625"/>
    <w:rsid w:val="000436A2"/>
    <w:rsid w:val="000441EA"/>
    <w:rsid w:val="00044276"/>
    <w:rsid w:val="000447C0"/>
    <w:rsid w:val="00044A80"/>
    <w:rsid w:val="00044C76"/>
    <w:rsid w:val="00045F87"/>
    <w:rsid w:val="00046F47"/>
    <w:rsid w:val="000507E3"/>
    <w:rsid w:val="00050A62"/>
    <w:rsid w:val="00050F13"/>
    <w:rsid w:val="0005120E"/>
    <w:rsid w:val="00051A41"/>
    <w:rsid w:val="000527DD"/>
    <w:rsid w:val="0005375E"/>
    <w:rsid w:val="00053F53"/>
    <w:rsid w:val="00054577"/>
    <w:rsid w:val="000545BF"/>
    <w:rsid w:val="00054AAE"/>
    <w:rsid w:val="00054E5B"/>
    <w:rsid w:val="0005570D"/>
    <w:rsid w:val="00056730"/>
    <w:rsid w:val="00056C18"/>
    <w:rsid w:val="00060291"/>
    <w:rsid w:val="0006087B"/>
    <w:rsid w:val="00061434"/>
    <w:rsid w:val="000614BF"/>
    <w:rsid w:val="0006252A"/>
    <w:rsid w:val="000628B5"/>
    <w:rsid w:val="000638C4"/>
    <w:rsid w:val="0006415A"/>
    <w:rsid w:val="000641D6"/>
    <w:rsid w:val="00065A49"/>
    <w:rsid w:val="00067615"/>
    <w:rsid w:val="00067722"/>
    <w:rsid w:val="000677EA"/>
    <w:rsid w:val="00067956"/>
    <w:rsid w:val="00067A25"/>
    <w:rsid w:val="00070006"/>
    <w:rsid w:val="00070258"/>
    <w:rsid w:val="00070D31"/>
    <w:rsid w:val="00070E73"/>
    <w:rsid w:val="0007169C"/>
    <w:rsid w:val="00072483"/>
    <w:rsid w:val="000744B5"/>
    <w:rsid w:val="000744CC"/>
    <w:rsid w:val="000746C2"/>
    <w:rsid w:val="00074D64"/>
    <w:rsid w:val="00075791"/>
    <w:rsid w:val="00075B0B"/>
    <w:rsid w:val="0007693E"/>
    <w:rsid w:val="000771A5"/>
    <w:rsid w:val="00077593"/>
    <w:rsid w:val="00080087"/>
    <w:rsid w:val="00081A78"/>
    <w:rsid w:val="00082134"/>
    <w:rsid w:val="00082EBE"/>
    <w:rsid w:val="0008307D"/>
    <w:rsid w:val="00083F48"/>
    <w:rsid w:val="00084BAE"/>
    <w:rsid w:val="00087378"/>
    <w:rsid w:val="00087722"/>
    <w:rsid w:val="000879A5"/>
    <w:rsid w:val="00087E8E"/>
    <w:rsid w:val="0009090A"/>
    <w:rsid w:val="0009103F"/>
    <w:rsid w:val="00091094"/>
    <w:rsid w:val="00092496"/>
    <w:rsid w:val="000924B6"/>
    <w:rsid w:val="00092ECB"/>
    <w:rsid w:val="0009325A"/>
    <w:rsid w:val="00093D2B"/>
    <w:rsid w:val="00093FDF"/>
    <w:rsid w:val="00096654"/>
    <w:rsid w:val="00096A75"/>
    <w:rsid w:val="00096F18"/>
    <w:rsid w:val="0009754D"/>
    <w:rsid w:val="0009777A"/>
    <w:rsid w:val="000A0671"/>
    <w:rsid w:val="000A0F5D"/>
    <w:rsid w:val="000A2518"/>
    <w:rsid w:val="000A2B6A"/>
    <w:rsid w:val="000A2F1F"/>
    <w:rsid w:val="000A361F"/>
    <w:rsid w:val="000A3EEB"/>
    <w:rsid w:val="000A537E"/>
    <w:rsid w:val="000A67D5"/>
    <w:rsid w:val="000A7DF9"/>
    <w:rsid w:val="000A7EB3"/>
    <w:rsid w:val="000B2E8D"/>
    <w:rsid w:val="000B3CD1"/>
    <w:rsid w:val="000B6A41"/>
    <w:rsid w:val="000C20A8"/>
    <w:rsid w:val="000C2A06"/>
    <w:rsid w:val="000C36B0"/>
    <w:rsid w:val="000C45E8"/>
    <w:rsid w:val="000C45E9"/>
    <w:rsid w:val="000C5289"/>
    <w:rsid w:val="000C6019"/>
    <w:rsid w:val="000C719B"/>
    <w:rsid w:val="000C72FF"/>
    <w:rsid w:val="000C772A"/>
    <w:rsid w:val="000C78DA"/>
    <w:rsid w:val="000C7948"/>
    <w:rsid w:val="000C7D69"/>
    <w:rsid w:val="000D05EF"/>
    <w:rsid w:val="000D0B57"/>
    <w:rsid w:val="000D13EE"/>
    <w:rsid w:val="000D2B4B"/>
    <w:rsid w:val="000D37FF"/>
    <w:rsid w:val="000D4323"/>
    <w:rsid w:val="000D539C"/>
    <w:rsid w:val="000D5485"/>
    <w:rsid w:val="000D5F9C"/>
    <w:rsid w:val="000D616B"/>
    <w:rsid w:val="000D66DA"/>
    <w:rsid w:val="000D7674"/>
    <w:rsid w:val="000E05BC"/>
    <w:rsid w:val="000E0F9E"/>
    <w:rsid w:val="000E2056"/>
    <w:rsid w:val="000E2953"/>
    <w:rsid w:val="000E3102"/>
    <w:rsid w:val="000E3962"/>
    <w:rsid w:val="000E4A1E"/>
    <w:rsid w:val="000E5379"/>
    <w:rsid w:val="000E578A"/>
    <w:rsid w:val="000E580E"/>
    <w:rsid w:val="000E58CA"/>
    <w:rsid w:val="000E6F88"/>
    <w:rsid w:val="000E71F4"/>
    <w:rsid w:val="000E7606"/>
    <w:rsid w:val="000E7F0F"/>
    <w:rsid w:val="000E7F71"/>
    <w:rsid w:val="000F1629"/>
    <w:rsid w:val="000F17DA"/>
    <w:rsid w:val="000F21C1"/>
    <w:rsid w:val="000F3145"/>
    <w:rsid w:val="000F3D54"/>
    <w:rsid w:val="000F5430"/>
    <w:rsid w:val="000F6E8D"/>
    <w:rsid w:val="000F737D"/>
    <w:rsid w:val="000F73CB"/>
    <w:rsid w:val="001005EC"/>
    <w:rsid w:val="00100A8D"/>
    <w:rsid w:val="00100F94"/>
    <w:rsid w:val="001020E2"/>
    <w:rsid w:val="00102DF9"/>
    <w:rsid w:val="00105B0B"/>
    <w:rsid w:val="00105D72"/>
    <w:rsid w:val="0010670A"/>
    <w:rsid w:val="00106A6F"/>
    <w:rsid w:val="00107108"/>
    <w:rsid w:val="0010745C"/>
    <w:rsid w:val="001100CB"/>
    <w:rsid w:val="00113CF1"/>
    <w:rsid w:val="00114129"/>
    <w:rsid w:val="001149D5"/>
    <w:rsid w:val="00117277"/>
    <w:rsid w:val="00117428"/>
    <w:rsid w:val="00117A7F"/>
    <w:rsid w:val="00117D52"/>
    <w:rsid w:val="001212F8"/>
    <w:rsid w:val="00121ED8"/>
    <w:rsid w:val="00122A5D"/>
    <w:rsid w:val="00123DC9"/>
    <w:rsid w:val="00123DD5"/>
    <w:rsid w:val="0012458A"/>
    <w:rsid w:val="00124C59"/>
    <w:rsid w:val="00125499"/>
    <w:rsid w:val="00126162"/>
    <w:rsid w:val="00126CF5"/>
    <w:rsid w:val="0012763B"/>
    <w:rsid w:val="00127F48"/>
    <w:rsid w:val="00130387"/>
    <w:rsid w:val="00130774"/>
    <w:rsid w:val="00134AEC"/>
    <w:rsid w:val="001350A1"/>
    <w:rsid w:val="001360C3"/>
    <w:rsid w:val="00137277"/>
    <w:rsid w:val="0013753F"/>
    <w:rsid w:val="00137590"/>
    <w:rsid w:val="00143D0E"/>
    <w:rsid w:val="00145739"/>
    <w:rsid w:val="00145FFC"/>
    <w:rsid w:val="00146C4B"/>
    <w:rsid w:val="00146FA9"/>
    <w:rsid w:val="00146FD3"/>
    <w:rsid w:val="0015064F"/>
    <w:rsid w:val="00150F07"/>
    <w:rsid w:val="00152508"/>
    <w:rsid w:val="00153EB9"/>
    <w:rsid w:val="001548FB"/>
    <w:rsid w:val="00155873"/>
    <w:rsid w:val="00155941"/>
    <w:rsid w:val="00156E75"/>
    <w:rsid w:val="00157E15"/>
    <w:rsid w:val="001601ED"/>
    <w:rsid w:val="00160BD7"/>
    <w:rsid w:val="00160D94"/>
    <w:rsid w:val="00161942"/>
    <w:rsid w:val="00162DAE"/>
    <w:rsid w:val="00162EDC"/>
    <w:rsid w:val="00163BB4"/>
    <w:rsid w:val="001641F9"/>
    <w:rsid w:val="001643C9"/>
    <w:rsid w:val="0016555F"/>
    <w:rsid w:val="00165568"/>
    <w:rsid w:val="00165A09"/>
    <w:rsid w:val="00166082"/>
    <w:rsid w:val="001663A2"/>
    <w:rsid w:val="0016696D"/>
    <w:rsid w:val="001669D4"/>
    <w:rsid w:val="00166C2F"/>
    <w:rsid w:val="001678F4"/>
    <w:rsid w:val="001716C9"/>
    <w:rsid w:val="0017250B"/>
    <w:rsid w:val="0017268B"/>
    <w:rsid w:val="001726B6"/>
    <w:rsid w:val="00172B17"/>
    <w:rsid w:val="0017427B"/>
    <w:rsid w:val="00174966"/>
    <w:rsid w:val="00174FD0"/>
    <w:rsid w:val="00175331"/>
    <w:rsid w:val="00176120"/>
    <w:rsid w:val="00176893"/>
    <w:rsid w:val="00177C32"/>
    <w:rsid w:val="00180AA6"/>
    <w:rsid w:val="00180CC2"/>
    <w:rsid w:val="0018124C"/>
    <w:rsid w:val="001826BF"/>
    <w:rsid w:val="001835DA"/>
    <w:rsid w:val="00183C42"/>
    <w:rsid w:val="00184261"/>
    <w:rsid w:val="00184967"/>
    <w:rsid w:val="001859F3"/>
    <w:rsid w:val="001878A0"/>
    <w:rsid w:val="00190801"/>
    <w:rsid w:val="00190BA1"/>
    <w:rsid w:val="00190DF5"/>
    <w:rsid w:val="00191A8A"/>
    <w:rsid w:val="00192AC8"/>
    <w:rsid w:val="00192F35"/>
    <w:rsid w:val="00193461"/>
    <w:rsid w:val="001938AF"/>
    <w:rsid w:val="001939E1"/>
    <w:rsid w:val="00193BE8"/>
    <w:rsid w:val="00194B21"/>
    <w:rsid w:val="00195382"/>
    <w:rsid w:val="00195428"/>
    <w:rsid w:val="0019649D"/>
    <w:rsid w:val="001965C1"/>
    <w:rsid w:val="00196C41"/>
    <w:rsid w:val="0019721A"/>
    <w:rsid w:val="001972E9"/>
    <w:rsid w:val="001A1F27"/>
    <w:rsid w:val="001A3B9F"/>
    <w:rsid w:val="001A4302"/>
    <w:rsid w:val="001A4546"/>
    <w:rsid w:val="001A5B32"/>
    <w:rsid w:val="001A61F9"/>
    <w:rsid w:val="001A65C0"/>
    <w:rsid w:val="001A65D1"/>
    <w:rsid w:val="001A66C4"/>
    <w:rsid w:val="001B13BC"/>
    <w:rsid w:val="001B192D"/>
    <w:rsid w:val="001B2135"/>
    <w:rsid w:val="001B2210"/>
    <w:rsid w:val="001B23D0"/>
    <w:rsid w:val="001B3757"/>
    <w:rsid w:val="001B3AED"/>
    <w:rsid w:val="001B4102"/>
    <w:rsid w:val="001B53B7"/>
    <w:rsid w:val="001B6369"/>
    <w:rsid w:val="001B6456"/>
    <w:rsid w:val="001B6972"/>
    <w:rsid w:val="001B7A5D"/>
    <w:rsid w:val="001B7EBC"/>
    <w:rsid w:val="001C0C10"/>
    <w:rsid w:val="001C0F68"/>
    <w:rsid w:val="001C3143"/>
    <w:rsid w:val="001C38AA"/>
    <w:rsid w:val="001C4476"/>
    <w:rsid w:val="001C69C4"/>
    <w:rsid w:val="001C7AC1"/>
    <w:rsid w:val="001D29FC"/>
    <w:rsid w:val="001D3ABD"/>
    <w:rsid w:val="001D565C"/>
    <w:rsid w:val="001E0A8D"/>
    <w:rsid w:val="001E0B97"/>
    <w:rsid w:val="001E1E50"/>
    <w:rsid w:val="001E31D2"/>
    <w:rsid w:val="001E3590"/>
    <w:rsid w:val="001E3DA8"/>
    <w:rsid w:val="001E4595"/>
    <w:rsid w:val="001E46BE"/>
    <w:rsid w:val="001E6236"/>
    <w:rsid w:val="001E6BF0"/>
    <w:rsid w:val="001E72E2"/>
    <w:rsid w:val="001E7407"/>
    <w:rsid w:val="001E7EF7"/>
    <w:rsid w:val="001F0117"/>
    <w:rsid w:val="001F2192"/>
    <w:rsid w:val="001F253C"/>
    <w:rsid w:val="001F381E"/>
    <w:rsid w:val="001F4401"/>
    <w:rsid w:val="001F454A"/>
    <w:rsid w:val="001F5890"/>
    <w:rsid w:val="001F5ACB"/>
    <w:rsid w:val="00200D28"/>
    <w:rsid w:val="00201D27"/>
    <w:rsid w:val="00202650"/>
    <w:rsid w:val="00202968"/>
    <w:rsid w:val="0020300C"/>
    <w:rsid w:val="00206595"/>
    <w:rsid w:val="00211F1A"/>
    <w:rsid w:val="00212C85"/>
    <w:rsid w:val="00213B47"/>
    <w:rsid w:val="002150AA"/>
    <w:rsid w:val="0021551F"/>
    <w:rsid w:val="00216684"/>
    <w:rsid w:val="00217309"/>
    <w:rsid w:val="002204CD"/>
    <w:rsid w:val="00220A0C"/>
    <w:rsid w:val="002211E7"/>
    <w:rsid w:val="0022368D"/>
    <w:rsid w:val="00223835"/>
    <w:rsid w:val="00223E4A"/>
    <w:rsid w:val="00224432"/>
    <w:rsid w:val="00227DEF"/>
    <w:rsid w:val="00227EB9"/>
    <w:rsid w:val="00227FA0"/>
    <w:rsid w:val="002302EA"/>
    <w:rsid w:val="00230CB8"/>
    <w:rsid w:val="00231E5D"/>
    <w:rsid w:val="002347D3"/>
    <w:rsid w:val="00235B1F"/>
    <w:rsid w:val="00235B20"/>
    <w:rsid w:val="00237D72"/>
    <w:rsid w:val="00240749"/>
    <w:rsid w:val="00240D51"/>
    <w:rsid w:val="00240FD5"/>
    <w:rsid w:val="00241857"/>
    <w:rsid w:val="00243229"/>
    <w:rsid w:val="00243734"/>
    <w:rsid w:val="00243A61"/>
    <w:rsid w:val="0024404C"/>
    <w:rsid w:val="00244625"/>
    <w:rsid w:val="00244A68"/>
    <w:rsid w:val="00245353"/>
    <w:rsid w:val="00245865"/>
    <w:rsid w:val="00245A9F"/>
    <w:rsid w:val="002460EF"/>
    <w:rsid w:val="002468AF"/>
    <w:rsid w:val="002468D7"/>
    <w:rsid w:val="00251F9F"/>
    <w:rsid w:val="00253F80"/>
    <w:rsid w:val="00254748"/>
    <w:rsid w:val="00255E1F"/>
    <w:rsid w:val="0025642B"/>
    <w:rsid w:val="00256712"/>
    <w:rsid w:val="00256C62"/>
    <w:rsid w:val="002578E4"/>
    <w:rsid w:val="002578EA"/>
    <w:rsid w:val="00257B3A"/>
    <w:rsid w:val="002601E1"/>
    <w:rsid w:val="0026054B"/>
    <w:rsid w:val="0026262F"/>
    <w:rsid w:val="00262944"/>
    <w:rsid w:val="0026345B"/>
    <w:rsid w:val="00263886"/>
    <w:rsid w:val="002642C4"/>
    <w:rsid w:val="00264354"/>
    <w:rsid w:val="002648EB"/>
    <w:rsid w:val="00264BEE"/>
    <w:rsid w:val="002651A4"/>
    <w:rsid w:val="002651E7"/>
    <w:rsid w:val="0026588D"/>
    <w:rsid w:val="00265AD7"/>
    <w:rsid w:val="00265E57"/>
    <w:rsid w:val="00265FD9"/>
    <w:rsid w:val="002660F1"/>
    <w:rsid w:val="00266805"/>
    <w:rsid w:val="002674F1"/>
    <w:rsid w:val="00267ADE"/>
    <w:rsid w:val="00267CEE"/>
    <w:rsid w:val="00270F2A"/>
    <w:rsid w:val="00271BAC"/>
    <w:rsid w:val="002736BB"/>
    <w:rsid w:val="00274963"/>
    <w:rsid w:val="00275354"/>
    <w:rsid w:val="00275B43"/>
    <w:rsid w:val="00277751"/>
    <w:rsid w:val="00280877"/>
    <w:rsid w:val="0028184D"/>
    <w:rsid w:val="00281E23"/>
    <w:rsid w:val="00282329"/>
    <w:rsid w:val="002826DF"/>
    <w:rsid w:val="00282E6C"/>
    <w:rsid w:val="00285CDD"/>
    <w:rsid w:val="002867C0"/>
    <w:rsid w:val="002874FE"/>
    <w:rsid w:val="00287C0E"/>
    <w:rsid w:val="00287CCB"/>
    <w:rsid w:val="00287D27"/>
    <w:rsid w:val="00291167"/>
    <w:rsid w:val="00291200"/>
    <w:rsid w:val="00291A97"/>
    <w:rsid w:val="00291AC5"/>
    <w:rsid w:val="0029317D"/>
    <w:rsid w:val="002942A9"/>
    <w:rsid w:val="00294FA9"/>
    <w:rsid w:val="00294FAB"/>
    <w:rsid w:val="002952D2"/>
    <w:rsid w:val="00295FAA"/>
    <w:rsid w:val="00297ECB"/>
    <w:rsid w:val="002A0A48"/>
    <w:rsid w:val="002A1B25"/>
    <w:rsid w:val="002A1E10"/>
    <w:rsid w:val="002A300A"/>
    <w:rsid w:val="002A74DA"/>
    <w:rsid w:val="002A7BB3"/>
    <w:rsid w:val="002A7EEF"/>
    <w:rsid w:val="002B0466"/>
    <w:rsid w:val="002B07EC"/>
    <w:rsid w:val="002B1264"/>
    <w:rsid w:val="002B2718"/>
    <w:rsid w:val="002B3103"/>
    <w:rsid w:val="002B5163"/>
    <w:rsid w:val="002B5378"/>
    <w:rsid w:val="002B574C"/>
    <w:rsid w:val="002B691D"/>
    <w:rsid w:val="002B6EB7"/>
    <w:rsid w:val="002B7FBE"/>
    <w:rsid w:val="002C152A"/>
    <w:rsid w:val="002C27B9"/>
    <w:rsid w:val="002C3C24"/>
    <w:rsid w:val="002C3CFC"/>
    <w:rsid w:val="002C4286"/>
    <w:rsid w:val="002C53E0"/>
    <w:rsid w:val="002C5C6C"/>
    <w:rsid w:val="002C6F7B"/>
    <w:rsid w:val="002C77D2"/>
    <w:rsid w:val="002C7A9B"/>
    <w:rsid w:val="002C7ADC"/>
    <w:rsid w:val="002C7CD8"/>
    <w:rsid w:val="002D043A"/>
    <w:rsid w:val="002D0737"/>
    <w:rsid w:val="002D094B"/>
    <w:rsid w:val="002D0CD9"/>
    <w:rsid w:val="002D1321"/>
    <w:rsid w:val="002D1F30"/>
    <w:rsid w:val="002D37AF"/>
    <w:rsid w:val="002D4A3E"/>
    <w:rsid w:val="002D5246"/>
    <w:rsid w:val="002D5516"/>
    <w:rsid w:val="002D6032"/>
    <w:rsid w:val="002D65DA"/>
    <w:rsid w:val="002D6C52"/>
    <w:rsid w:val="002D741D"/>
    <w:rsid w:val="002E2BDB"/>
    <w:rsid w:val="002E3070"/>
    <w:rsid w:val="002E36C4"/>
    <w:rsid w:val="002E4E70"/>
    <w:rsid w:val="002E5194"/>
    <w:rsid w:val="002E54B9"/>
    <w:rsid w:val="002E5D8E"/>
    <w:rsid w:val="002E7D57"/>
    <w:rsid w:val="002F0591"/>
    <w:rsid w:val="002F0E80"/>
    <w:rsid w:val="002F1DD9"/>
    <w:rsid w:val="002F24A4"/>
    <w:rsid w:val="002F2DE8"/>
    <w:rsid w:val="002F2FA7"/>
    <w:rsid w:val="002F4E42"/>
    <w:rsid w:val="002F58EE"/>
    <w:rsid w:val="002F6CC6"/>
    <w:rsid w:val="002F7C22"/>
    <w:rsid w:val="00300856"/>
    <w:rsid w:val="00302D7E"/>
    <w:rsid w:val="00303650"/>
    <w:rsid w:val="00303D44"/>
    <w:rsid w:val="00305250"/>
    <w:rsid w:val="0030594C"/>
    <w:rsid w:val="00307A00"/>
    <w:rsid w:val="00311450"/>
    <w:rsid w:val="003114D3"/>
    <w:rsid w:val="0031199A"/>
    <w:rsid w:val="003126FE"/>
    <w:rsid w:val="00314CCA"/>
    <w:rsid w:val="003153A4"/>
    <w:rsid w:val="00315DBB"/>
    <w:rsid w:val="0031713F"/>
    <w:rsid w:val="00317DAF"/>
    <w:rsid w:val="0032042F"/>
    <w:rsid w:val="0032067F"/>
    <w:rsid w:val="00320F15"/>
    <w:rsid w:val="003217EF"/>
    <w:rsid w:val="00321913"/>
    <w:rsid w:val="00322064"/>
    <w:rsid w:val="0032238C"/>
    <w:rsid w:val="00323179"/>
    <w:rsid w:val="00323EF2"/>
    <w:rsid w:val="00324CFB"/>
    <w:rsid w:val="00324EE6"/>
    <w:rsid w:val="00325131"/>
    <w:rsid w:val="00325513"/>
    <w:rsid w:val="003262B7"/>
    <w:rsid w:val="00326626"/>
    <w:rsid w:val="003301D5"/>
    <w:rsid w:val="003313DB"/>
    <w:rsid w:val="003316DC"/>
    <w:rsid w:val="003317B1"/>
    <w:rsid w:val="0033186D"/>
    <w:rsid w:val="00332C5C"/>
    <w:rsid w:val="00332E0D"/>
    <w:rsid w:val="0033349E"/>
    <w:rsid w:val="00333913"/>
    <w:rsid w:val="00334A12"/>
    <w:rsid w:val="00336685"/>
    <w:rsid w:val="003367B4"/>
    <w:rsid w:val="00337439"/>
    <w:rsid w:val="00341137"/>
    <w:rsid w:val="003415D3"/>
    <w:rsid w:val="00343653"/>
    <w:rsid w:val="003438E3"/>
    <w:rsid w:val="00344030"/>
    <w:rsid w:val="00344A72"/>
    <w:rsid w:val="00344E0B"/>
    <w:rsid w:val="00345976"/>
    <w:rsid w:val="00346196"/>
    <w:rsid w:val="00346335"/>
    <w:rsid w:val="003464A6"/>
    <w:rsid w:val="00346E79"/>
    <w:rsid w:val="003470BE"/>
    <w:rsid w:val="00347E1D"/>
    <w:rsid w:val="00347E7B"/>
    <w:rsid w:val="00347EA0"/>
    <w:rsid w:val="00347EAA"/>
    <w:rsid w:val="003519EC"/>
    <w:rsid w:val="00352B0F"/>
    <w:rsid w:val="0035390A"/>
    <w:rsid w:val="00353ECD"/>
    <w:rsid w:val="00354A4B"/>
    <w:rsid w:val="003561B0"/>
    <w:rsid w:val="00356843"/>
    <w:rsid w:val="00356A08"/>
    <w:rsid w:val="0036102B"/>
    <w:rsid w:val="00361EE7"/>
    <w:rsid w:val="0036323C"/>
    <w:rsid w:val="00363711"/>
    <w:rsid w:val="00363E37"/>
    <w:rsid w:val="00365218"/>
    <w:rsid w:val="0036557D"/>
    <w:rsid w:val="00365953"/>
    <w:rsid w:val="00365B93"/>
    <w:rsid w:val="003674A1"/>
    <w:rsid w:val="0036770A"/>
    <w:rsid w:val="00367960"/>
    <w:rsid w:val="003706E4"/>
    <w:rsid w:val="0037093F"/>
    <w:rsid w:val="0037143B"/>
    <w:rsid w:val="0037374E"/>
    <w:rsid w:val="003742FD"/>
    <w:rsid w:val="00376E45"/>
    <w:rsid w:val="003802C7"/>
    <w:rsid w:val="0038213D"/>
    <w:rsid w:val="00384A30"/>
    <w:rsid w:val="00386028"/>
    <w:rsid w:val="003873DD"/>
    <w:rsid w:val="00387A8F"/>
    <w:rsid w:val="00390074"/>
    <w:rsid w:val="00392683"/>
    <w:rsid w:val="003934E5"/>
    <w:rsid w:val="00393AAC"/>
    <w:rsid w:val="00394204"/>
    <w:rsid w:val="00395529"/>
    <w:rsid w:val="00395684"/>
    <w:rsid w:val="0039671F"/>
    <w:rsid w:val="003A0024"/>
    <w:rsid w:val="003A0283"/>
    <w:rsid w:val="003A15AC"/>
    <w:rsid w:val="003A1808"/>
    <w:rsid w:val="003A1B30"/>
    <w:rsid w:val="003A2790"/>
    <w:rsid w:val="003A2872"/>
    <w:rsid w:val="003A2A7F"/>
    <w:rsid w:val="003A3B2E"/>
    <w:rsid w:val="003A4C94"/>
    <w:rsid w:val="003A4D03"/>
    <w:rsid w:val="003A52C2"/>
    <w:rsid w:val="003A56EB"/>
    <w:rsid w:val="003B0627"/>
    <w:rsid w:val="003B0826"/>
    <w:rsid w:val="003B0ABE"/>
    <w:rsid w:val="003B0D52"/>
    <w:rsid w:val="003B0E17"/>
    <w:rsid w:val="003B14E6"/>
    <w:rsid w:val="003B1F8E"/>
    <w:rsid w:val="003B2672"/>
    <w:rsid w:val="003B2ABF"/>
    <w:rsid w:val="003B4EDB"/>
    <w:rsid w:val="003B57B3"/>
    <w:rsid w:val="003B5C5A"/>
    <w:rsid w:val="003B6862"/>
    <w:rsid w:val="003B7319"/>
    <w:rsid w:val="003C0BF8"/>
    <w:rsid w:val="003C221D"/>
    <w:rsid w:val="003C39CC"/>
    <w:rsid w:val="003C4007"/>
    <w:rsid w:val="003C46CC"/>
    <w:rsid w:val="003C4C22"/>
    <w:rsid w:val="003C55AD"/>
    <w:rsid w:val="003C5F2B"/>
    <w:rsid w:val="003C61AB"/>
    <w:rsid w:val="003C67AB"/>
    <w:rsid w:val="003C791B"/>
    <w:rsid w:val="003D0AD2"/>
    <w:rsid w:val="003D0BFE"/>
    <w:rsid w:val="003D0E1F"/>
    <w:rsid w:val="003D0E4D"/>
    <w:rsid w:val="003D1DB0"/>
    <w:rsid w:val="003D1E64"/>
    <w:rsid w:val="003D436D"/>
    <w:rsid w:val="003D460E"/>
    <w:rsid w:val="003D5700"/>
    <w:rsid w:val="003D58A0"/>
    <w:rsid w:val="003D58B5"/>
    <w:rsid w:val="003D6CDF"/>
    <w:rsid w:val="003E0083"/>
    <w:rsid w:val="003E31FC"/>
    <w:rsid w:val="003E3C92"/>
    <w:rsid w:val="003E4722"/>
    <w:rsid w:val="003E47B4"/>
    <w:rsid w:val="003E679A"/>
    <w:rsid w:val="003E7303"/>
    <w:rsid w:val="003E744D"/>
    <w:rsid w:val="003F0906"/>
    <w:rsid w:val="003F0F5A"/>
    <w:rsid w:val="003F1CB0"/>
    <w:rsid w:val="003F39A7"/>
    <w:rsid w:val="003F43B1"/>
    <w:rsid w:val="003F4545"/>
    <w:rsid w:val="003F53C0"/>
    <w:rsid w:val="003F5AC4"/>
    <w:rsid w:val="003F6AB7"/>
    <w:rsid w:val="003F6CD9"/>
    <w:rsid w:val="003F7C07"/>
    <w:rsid w:val="003F7C2D"/>
    <w:rsid w:val="00400A30"/>
    <w:rsid w:val="00401796"/>
    <w:rsid w:val="004020EF"/>
    <w:rsid w:val="004022CA"/>
    <w:rsid w:val="0040269A"/>
    <w:rsid w:val="00403347"/>
    <w:rsid w:val="0040361B"/>
    <w:rsid w:val="00403E24"/>
    <w:rsid w:val="00404308"/>
    <w:rsid w:val="004048B9"/>
    <w:rsid w:val="00406CE8"/>
    <w:rsid w:val="00406D20"/>
    <w:rsid w:val="00406D44"/>
    <w:rsid w:val="004070AC"/>
    <w:rsid w:val="004073C5"/>
    <w:rsid w:val="004075B9"/>
    <w:rsid w:val="00407AD7"/>
    <w:rsid w:val="00410F4B"/>
    <w:rsid w:val="004113AA"/>
    <w:rsid w:val="004116CD"/>
    <w:rsid w:val="00411D48"/>
    <w:rsid w:val="0041245F"/>
    <w:rsid w:val="00413AAF"/>
    <w:rsid w:val="0041476B"/>
    <w:rsid w:val="00414ADE"/>
    <w:rsid w:val="00416687"/>
    <w:rsid w:val="004174DC"/>
    <w:rsid w:val="00421A98"/>
    <w:rsid w:val="00421FBE"/>
    <w:rsid w:val="004221A8"/>
    <w:rsid w:val="00422D0C"/>
    <w:rsid w:val="004233ED"/>
    <w:rsid w:val="00423416"/>
    <w:rsid w:val="00423AC1"/>
    <w:rsid w:val="00424CA9"/>
    <w:rsid w:val="00424E63"/>
    <w:rsid w:val="00424F89"/>
    <w:rsid w:val="004257BB"/>
    <w:rsid w:val="00425E13"/>
    <w:rsid w:val="004261D9"/>
    <w:rsid w:val="0042675F"/>
    <w:rsid w:val="00426A86"/>
    <w:rsid w:val="004271AF"/>
    <w:rsid w:val="004278A8"/>
    <w:rsid w:val="00427CEE"/>
    <w:rsid w:val="0043065B"/>
    <w:rsid w:val="004311F1"/>
    <w:rsid w:val="00431442"/>
    <w:rsid w:val="0043256C"/>
    <w:rsid w:val="00432C0B"/>
    <w:rsid w:val="004336AD"/>
    <w:rsid w:val="00434B2B"/>
    <w:rsid w:val="00434CDD"/>
    <w:rsid w:val="004353BB"/>
    <w:rsid w:val="004357F8"/>
    <w:rsid w:val="00435AC3"/>
    <w:rsid w:val="00436019"/>
    <w:rsid w:val="00436532"/>
    <w:rsid w:val="004365BE"/>
    <w:rsid w:val="00437B65"/>
    <w:rsid w:val="0044291A"/>
    <w:rsid w:val="004432C2"/>
    <w:rsid w:val="00444264"/>
    <w:rsid w:val="00444C19"/>
    <w:rsid w:val="00445FE2"/>
    <w:rsid w:val="00446402"/>
    <w:rsid w:val="00446505"/>
    <w:rsid w:val="004466A8"/>
    <w:rsid w:val="0044720B"/>
    <w:rsid w:val="0044784A"/>
    <w:rsid w:val="00451249"/>
    <w:rsid w:val="004516C0"/>
    <w:rsid w:val="00451C99"/>
    <w:rsid w:val="004522CD"/>
    <w:rsid w:val="0045298E"/>
    <w:rsid w:val="00455F0B"/>
    <w:rsid w:val="0045620D"/>
    <w:rsid w:val="00456933"/>
    <w:rsid w:val="00457189"/>
    <w:rsid w:val="0045749C"/>
    <w:rsid w:val="00460499"/>
    <w:rsid w:val="00460764"/>
    <w:rsid w:val="00460786"/>
    <w:rsid w:val="004611E3"/>
    <w:rsid w:val="004618C8"/>
    <w:rsid w:val="00461E80"/>
    <w:rsid w:val="00465FB9"/>
    <w:rsid w:val="0046799F"/>
    <w:rsid w:val="00467BBF"/>
    <w:rsid w:val="00467EB1"/>
    <w:rsid w:val="00470F6A"/>
    <w:rsid w:val="00471AD2"/>
    <w:rsid w:val="00474601"/>
    <w:rsid w:val="00474835"/>
    <w:rsid w:val="00474BA3"/>
    <w:rsid w:val="004752C3"/>
    <w:rsid w:val="004755CA"/>
    <w:rsid w:val="00476BFE"/>
    <w:rsid w:val="00476F36"/>
    <w:rsid w:val="00477416"/>
    <w:rsid w:val="0048001D"/>
    <w:rsid w:val="004804C4"/>
    <w:rsid w:val="00480B89"/>
    <w:rsid w:val="004819C7"/>
    <w:rsid w:val="0048222B"/>
    <w:rsid w:val="0048364F"/>
    <w:rsid w:val="0048437F"/>
    <w:rsid w:val="00486265"/>
    <w:rsid w:val="00486859"/>
    <w:rsid w:val="00486888"/>
    <w:rsid w:val="00486E5E"/>
    <w:rsid w:val="00487222"/>
    <w:rsid w:val="0049067C"/>
    <w:rsid w:val="004909F9"/>
    <w:rsid w:val="00490F2E"/>
    <w:rsid w:val="00491FC0"/>
    <w:rsid w:val="0049265E"/>
    <w:rsid w:val="00493488"/>
    <w:rsid w:val="00493671"/>
    <w:rsid w:val="00493C4D"/>
    <w:rsid w:val="00494AE7"/>
    <w:rsid w:val="0049541B"/>
    <w:rsid w:val="00496CA0"/>
    <w:rsid w:val="00496DB3"/>
    <w:rsid w:val="00496DD9"/>
    <w:rsid w:val="00496F97"/>
    <w:rsid w:val="00497952"/>
    <w:rsid w:val="004A0D85"/>
    <w:rsid w:val="004A1929"/>
    <w:rsid w:val="004A1972"/>
    <w:rsid w:val="004A53EA"/>
    <w:rsid w:val="004A613D"/>
    <w:rsid w:val="004A6652"/>
    <w:rsid w:val="004A6FFD"/>
    <w:rsid w:val="004A796F"/>
    <w:rsid w:val="004A7BCB"/>
    <w:rsid w:val="004B0450"/>
    <w:rsid w:val="004B1634"/>
    <w:rsid w:val="004B213F"/>
    <w:rsid w:val="004B28F8"/>
    <w:rsid w:val="004B358F"/>
    <w:rsid w:val="004B35AD"/>
    <w:rsid w:val="004B4C5C"/>
    <w:rsid w:val="004B545F"/>
    <w:rsid w:val="004B7ABF"/>
    <w:rsid w:val="004B7CDB"/>
    <w:rsid w:val="004C0B55"/>
    <w:rsid w:val="004C13D5"/>
    <w:rsid w:val="004C182B"/>
    <w:rsid w:val="004C208A"/>
    <w:rsid w:val="004C3AE0"/>
    <w:rsid w:val="004C3D71"/>
    <w:rsid w:val="004C4709"/>
    <w:rsid w:val="004C4D56"/>
    <w:rsid w:val="004C5802"/>
    <w:rsid w:val="004C62FC"/>
    <w:rsid w:val="004C649F"/>
    <w:rsid w:val="004C7BD7"/>
    <w:rsid w:val="004C7EB1"/>
    <w:rsid w:val="004D0A1A"/>
    <w:rsid w:val="004D0E09"/>
    <w:rsid w:val="004D1B0C"/>
    <w:rsid w:val="004D1C14"/>
    <w:rsid w:val="004D2029"/>
    <w:rsid w:val="004D26E2"/>
    <w:rsid w:val="004D2B6E"/>
    <w:rsid w:val="004D446C"/>
    <w:rsid w:val="004D44C6"/>
    <w:rsid w:val="004D52FD"/>
    <w:rsid w:val="004D5ABA"/>
    <w:rsid w:val="004D616A"/>
    <w:rsid w:val="004D6A09"/>
    <w:rsid w:val="004D6FE0"/>
    <w:rsid w:val="004D71AB"/>
    <w:rsid w:val="004D74A4"/>
    <w:rsid w:val="004E14F5"/>
    <w:rsid w:val="004E1CE2"/>
    <w:rsid w:val="004E1D7B"/>
    <w:rsid w:val="004E24B8"/>
    <w:rsid w:val="004E3172"/>
    <w:rsid w:val="004E32B9"/>
    <w:rsid w:val="004E38EE"/>
    <w:rsid w:val="004E3BAC"/>
    <w:rsid w:val="004E5107"/>
    <w:rsid w:val="004E59B5"/>
    <w:rsid w:val="004E7CD3"/>
    <w:rsid w:val="004F0912"/>
    <w:rsid w:val="004F184C"/>
    <w:rsid w:val="004F1DA2"/>
    <w:rsid w:val="004F1FAC"/>
    <w:rsid w:val="004F2E5E"/>
    <w:rsid w:val="004F3EA4"/>
    <w:rsid w:val="004F433D"/>
    <w:rsid w:val="004F48FE"/>
    <w:rsid w:val="004F544A"/>
    <w:rsid w:val="004F5C6A"/>
    <w:rsid w:val="004F676E"/>
    <w:rsid w:val="004F6948"/>
    <w:rsid w:val="004F723B"/>
    <w:rsid w:val="004F7C79"/>
    <w:rsid w:val="004F7E84"/>
    <w:rsid w:val="00500722"/>
    <w:rsid w:val="00501932"/>
    <w:rsid w:val="00501947"/>
    <w:rsid w:val="00503255"/>
    <w:rsid w:val="0050326E"/>
    <w:rsid w:val="00505B3E"/>
    <w:rsid w:val="005101CE"/>
    <w:rsid w:val="0051154E"/>
    <w:rsid w:val="00512024"/>
    <w:rsid w:val="00513EC5"/>
    <w:rsid w:val="0051434A"/>
    <w:rsid w:val="00514EFA"/>
    <w:rsid w:val="00516B8D"/>
    <w:rsid w:val="005174E8"/>
    <w:rsid w:val="00517D41"/>
    <w:rsid w:val="00520740"/>
    <w:rsid w:val="00520D04"/>
    <w:rsid w:val="0052167B"/>
    <w:rsid w:val="005221BB"/>
    <w:rsid w:val="00522E24"/>
    <w:rsid w:val="00522FBD"/>
    <w:rsid w:val="0052303B"/>
    <w:rsid w:val="00523372"/>
    <w:rsid w:val="0052412B"/>
    <w:rsid w:val="005242A7"/>
    <w:rsid w:val="00525697"/>
    <w:rsid w:val="0052573A"/>
    <w:rsid w:val="00526249"/>
    <w:rsid w:val="0052686F"/>
    <w:rsid w:val="0052756C"/>
    <w:rsid w:val="00527D00"/>
    <w:rsid w:val="00530230"/>
    <w:rsid w:val="00530CC9"/>
    <w:rsid w:val="0053275B"/>
    <w:rsid w:val="005327CB"/>
    <w:rsid w:val="00532936"/>
    <w:rsid w:val="00533836"/>
    <w:rsid w:val="00533B6E"/>
    <w:rsid w:val="00533D4D"/>
    <w:rsid w:val="0053495C"/>
    <w:rsid w:val="00535A95"/>
    <w:rsid w:val="00535EC7"/>
    <w:rsid w:val="00535F7E"/>
    <w:rsid w:val="00536CC7"/>
    <w:rsid w:val="00537860"/>
    <w:rsid w:val="00537A38"/>
    <w:rsid w:val="00537A5A"/>
    <w:rsid w:val="00537E00"/>
    <w:rsid w:val="00537FBC"/>
    <w:rsid w:val="00540D9C"/>
    <w:rsid w:val="00541B05"/>
    <w:rsid w:val="00541D73"/>
    <w:rsid w:val="00542EAA"/>
    <w:rsid w:val="00543469"/>
    <w:rsid w:val="00543EBD"/>
    <w:rsid w:val="005452CC"/>
    <w:rsid w:val="0054576B"/>
    <w:rsid w:val="00546144"/>
    <w:rsid w:val="00546FA3"/>
    <w:rsid w:val="0054704F"/>
    <w:rsid w:val="0055113A"/>
    <w:rsid w:val="005528C1"/>
    <w:rsid w:val="005534E9"/>
    <w:rsid w:val="0055368D"/>
    <w:rsid w:val="00554012"/>
    <w:rsid w:val="00554243"/>
    <w:rsid w:val="00554293"/>
    <w:rsid w:val="00554559"/>
    <w:rsid w:val="0055601B"/>
    <w:rsid w:val="00556ED5"/>
    <w:rsid w:val="00557C7A"/>
    <w:rsid w:val="005600B0"/>
    <w:rsid w:val="005604DC"/>
    <w:rsid w:val="005605FD"/>
    <w:rsid w:val="00560BAF"/>
    <w:rsid w:val="00562088"/>
    <w:rsid w:val="005623CE"/>
    <w:rsid w:val="00562A58"/>
    <w:rsid w:val="00563905"/>
    <w:rsid w:val="005640B8"/>
    <w:rsid w:val="00564894"/>
    <w:rsid w:val="00565831"/>
    <w:rsid w:val="00565EB2"/>
    <w:rsid w:val="005700DC"/>
    <w:rsid w:val="00570856"/>
    <w:rsid w:val="00570C1F"/>
    <w:rsid w:val="00570FF7"/>
    <w:rsid w:val="00571A82"/>
    <w:rsid w:val="00572321"/>
    <w:rsid w:val="005728A8"/>
    <w:rsid w:val="0057322E"/>
    <w:rsid w:val="005732F5"/>
    <w:rsid w:val="00575CAD"/>
    <w:rsid w:val="005770CB"/>
    <w:rsid w:val="005801B5"/>
    <w:rsid w:val="005804A5"/>
    <w:rsid w:val="00580FB9"/>
    <w:rsid w:val="00581211"/>
    <w:rsid w:val="00581AA9"/>
    <w:rsid w:val="005829A4"/>
    <w:rsid w:val="00584530"/>
    <w:rsid w:val="005847BF"/>
    <w:rsid w:val="00584811"/>
    <w:rsid w:val="005850E2"/>
    <w:rsid w:val="00585B36"/>
    <w:rsid w:val="00586ACE"/>
    <w:rsid w:val="00586FC6"/>
    <w:rsid w:val="005913B4"/>
    <w:rsid w:val="00593AA6"/>
    <w:rsid w:val="00594161"/>
    <w:rsid w:val="00594512"/>
    <w:rsid w:val="00594749"/>
    <w:rsid w:val="005965BD"/>
    <w:rsid w:val="005970AB"/>
    <w:rsid w:val="0059759A"/>
    <w:rsid w:val="005A04F1"/>
    <w:rsid w:val="005A0A60"/>
    <w:rsid w:val="005A10A5"/>
    <w:rsid w:val="005A403B"/>
    <w:rsid w:val="005A473E"/>
    <w:rsid w:val="005A482B"/>
    <w:rsid w:val="005A5C84"/>
    <w:rsid w:val="005A62E3"/>
    <w:rsid w:val="005A6A44"/>
    <w:rsid w:val="005A6F68"/>
    <w:rsid w:val="005A7DF0"/>
    <w:rsid w:val="005B0451"/>
    <w:rsid w:val="005B13F9"/>
    <w:rsid w:val="005B2080"/>
    <w:rsid w:val="005B3993"/>
    <w:rsid w:val="005B3D56"/>
    <w:rsid w:val="005B4067"/>
    <w:rsid w:val="005B41F3"/>
    <w:rsid w:val="005B43F1"/>
    <w:rsid w:val="005B6436"/>
    <w:rsid w:val="005B69ED"/>
    <w:rsid w:val="005C05AE"/>
    <w:rsid w:val="005C1E95"/>
    <w:rsid w:val="005C2A9A"/>
    <w:rsid w:val="005C36E0"/>
    <w:rsid w:val="005C3CE9"/>
    <w:rsid w:val="005C3F41"/>
    <w:rsid w:val="005C45B9"/>
    <w:rsid w:val="005C463A"/>
    <w:rsid w:val="005C537B"/>
    <w:rsid w:val="005D168D"/>
    <w:rsid w:val="005D20C6"/>
    <w:rsid w:val="005D3ACE"/>
    <w:rsid w:val="005D4B33"/>
    <w:rsid w:val="005D5EA1"/>
    <w:rsid w:val="005D672A"/>
    <w:rsid w:val="005D67B3"/>
    <w:rsid w:val="005D7861"/>
    <w:rsid w:val="005D7E6E"/>
    <w:rsid w:val="005D7EFB"/>
    <w:rsid w:val="005E0803"/>
    <w:rsid w:val="005E0A79"/>
    <w:rsid w:val="005E0FD9"/>
    <w:rsid w:val="005E1B80"/>
    <w:rsid w:val="005E2AA9"/>
    <w:rsid w:val="005E2DA0"/>
    <w:rsid w:val="005E5258"/>
    <w:rsid w:val="005E54E0"/>
    <w:rsid w:val="005E61D3"/>
    <w:rsid w:val="005E63ED"/>
    <w:rsid w:val="005E69A9"/>
    <w:rsid w:val="005E6F2B"/>
    <w:rsid w:val="005F075B"/>
    <w:rsid w:val="005F1023"/>
    <w:rsid w:val="005F1188"/>
    <w:rsid w:val="005F1F76"/>
    <w:rsid w:val="005F2AFF"/>
    <w:rsid w:val="005F37BA"/>
    <w:rsid w:val="005F37F1"/>
    <w:rsid w:val="005F428F"/>
    <w:rsid w:val="005F45DF"/>
    <w:rsid w:val="005F4840"/>
    <w:rsid w:val="005F5900"/>
    <w:rsid w:val="005F6CB9"/>
    <w:rsid w:val="005F6CEA"/>
    <w:rsid w:val="005F7536"/>
    <w:rsid w:val="005F75D0"/>
    <w:rsid w:val="005F7738"/>
    <w:rsid w:val="00600219"/>
    <w:rsid w:val="00600B8D"/>
    <w:rsid w:val="00602417"/>
    <w:rsid w:val="00602B24"/>
    <w:rsid w:val="0060389B"/>
    <w:rsid w:val="00605265"/>
    <w:rsid w:val="00605F50"/>
    <w:rsid w:val="006060FD"/>
    <w:rsid w:val="00606938"/>
    <w:rsid w:val="0060739D"/>
    <w:rsid w:val="00607BB0"/>
    <w:rsid w:val="00610E2E"/>
    <w:rsid w:val="00611479"/>
    <w:rsid w:val="00611B98"/>
    <w:rsid w:val="00611DF2"/>
    <w:rsid w:val="00612FF8"/>
    <w:rsid w:val="006134C7"/>
    <w:rsid w:val="006138AE"/>
    <w:rsid w:val="00613EAD"/>
    <w:rsid w:val="00614452"/>
    <w:rsid w:val="006146C8"/>
    <w:rsid w:val="006158AC"/>
    <w:rsid w:val="00616E38"/>
    <w:rsid w:val="0061735F"/>
    <w:rsid w:val="00621225"/>
    <w:rsid w:val="006212B5"/>
    <w:rsid w:val="00621FE2"/>
    <w:rsid w:val="006228DA"/>
    <w:rsid w:val="006257DA"/>
    <w:rsid w:val="00625F03"/>
    <w:rsid w:val="00630B9D"/>
    <w:rsid w:val="00630BC7"/>
    <w:rsid w:val="006322FB"/>
    <w:rsid w:val="00633B91"/>
    <w:rsid w:val="00635730"/>
    <w:rsid w:val="006358EF"/>
    <w:rsid w:val="00635C1C"/>
    <w:rsid w:val="0063672F"/>
    <w:rsid w:val="00637E8F"/>
    <w:rsid w:val="00640402"/>
    <w:rsid w:val="00640F78"/>
    <w:rsid w:val="0064149D"/>
    <w:rsid w:val="00641766"/>
    <w:rsid w:val="00641D72"/>
    <w:rsid w:val="00642459"/>
    <w:rsid w:val="006426BA"/>
    <w:rsid w:val="00644603"/>
    <w:rsid w:val="0064507B"/>
    <w:rsid w:val="006450D0"/>
    <w:rsid w:val="0064545E"/>
    <w:rsid w:val="00645D7B"/>
    <w:rsid w:val="00645E77"/>
    <w:rsid w:val="0064685B"/>
    <w:rsid w:val="00646D77"/>
    <w:rsid w:val="00646E7B"/>
    <w:rsid w:val="0064754B"/>
    <w:rsid w:val="00652070"/>
    <w:rsid w:val="00652141"/>
    <w:rsid w:val="00653FC1"/>
    <w:rsid w:val="00655D6A"/>
    <w:rsid w:val="00656DE9"/>
    <w:rsid w:val="00657D02"/>
    <w:rsid w:val="00661F58"/>
    <w:rsid w:val="00663011"/>
    <w:rsid w:val="00666FDA"/>
    <w:rsid w:val="006674BD"/>
    <w:rsid w:val="00670B23"/>
    <w:rsid w:val="00671DE7"/>
    <w:rsid w:val="006726FB"/>
    <w:rsid w:val="00673D59"/>
    <w:rsid w:val="00675A12"/>
    <w:rsid w:val="00675AC6"/>
    <w:rsid w:val="00676D24"/>
    <w:rsid w:val="00676E15"/>
    <w:rsid w:val="00677CC2"/>
    <w:rsid w:val="00681CAF"/>
    <w:rsid w:val="00681F7C"/>
    <w:rsid w:val="00682212"/>
    <w:rsid w:val="00682A45"/>
    <w:rsid w:val="006838DF"/>
    <w:rsid w:val="00685097"/>
    <w:rsid w:val="00685F42"/>
    <w:rsid w:val="006866A1"/>
    <w:rsid w:val="0069013E"/>
    <w:rsid w:val="00690225"/>
    <w:rsid w:val="00690C98"/>
    <w:rsid w:val="006913CC"/>
    <w:rsid w:val="0069179C"/>
    <w:rsid w:val="006917E6"/>
    <w:rsid w:val="00691C94"/>
    <w:rsid w:val="0069207B"/>
    <w:rsid w:val="00692146"/>
    <w:rsid w:val="00692D05"/>
    <w:rsid w:val="00693122"/>
    <w:rsid w:val="006932F2"/>
    <w:rsid w:val="0069415E"/>
    <w:rsid w:val="006945F4"/>
    <w:rsid w:val="0069647E"/>
    <w:rsid w:val="0069665B"/>
    <w:rsid w:val="00697234"/>
    <w:rsid w:val="006975D1"/>
    <w:rsid w:val="006A136D"/>
    <w:rsid w:val="006A1EF9"/>
    <w:rsid w:val="006A2338"/>
    <w:rsid w:val="006A2B9C"/>
    <w:rsid w:val="006A416E"/>
    <w:rsid w:val="006A4309"/>
    <w:rsid w:val="006A4BAB"/>
    <w:rsid w:val="006A4D59"/>
    <w:rsid w:val="006A5577"/>
    <w:rsid w:val="006A643D"/>
    <w:rsid w:val="006A7E29"/>
    <w:rsid w:val="006A7F38"/>
    <w:rsid w:val="006B0E55"/>
    <w:rsid w:val="006B1536"/>
    <w:rsid w:val="006B18F9"/>
    <w:rsid w:val="006B228B"/>
    <w:rsid w:val="006B2B21"/>
    <w:rsid w:val="006B3E76"/>
    <w:rsid w:val="006B43BB"/>
    <w:rsid w:val="006B4E49"/>
    <w:rsid w:val="006B5455"/>
    <w:rsid w:val="006B644A"/>
    <w:rsid w:val="006B7006"/>
    <w:rsid w:val="006B7C59"/>
    <w:rsid w:val="006B7F50"/>
    <w:rsid w:val="006C1994"/>
    <w:rsid w:val="006C32FD"/>
    <w:rsid w:val="006C3735"/>
    <w:rsid w:val="006C4A0E"/>
    <w:rsid w:val="006C603E"/>
    <w:rsid w:val="006C63CA"/>
    <w:rsid w:val="006C6446"/>
    <w:rsid w:val="006C7DC2"/>
    <w:rsid w:val="006C7F8C"/>
    <w:rsid w:val="006D0102"/>
    <w:rsid w:val="006D1187"/>
    <w:rsid w:val="006D2FBE"/>
    <w:rsid w:val="006D32FB"/>
    <w:rsid w:val="006D57AB"/>
    <w:rsid w:val="006D60AE"/>
    <w:rsid w:val="006D65F0"/>
    <w:rsid w:val="006D6AA7"/>
    <w:rsid w:val="006D7AB9"/>
    <w:rsid w:val="006E05AF"/>
    <w:rsid w:val="006E066E"/>
    <w:rsid w:val="006E0B8A"/>
    <w:rsid w:val="006E1516"/>
    <w:rsid w:val="006E18A7"/>
    <w:rsid w:val="006E1A80"/>
    <w:rsid w:val="006E23EB"/>
    <w:rsid w:val="006E35FC"/>
    <w:rsid w:val="006E3AC2"/>
    <w:rsid w:val="006E3F07"/>
    <w:rsid w:val="006E4BCE"/>
    <w:rsid w:val="006E5572"/>
    <w:rsid w:val="006E7304"/>
    <w:rsid w:val="006F031D"/>
    <w:rsid w:val="006F1109"/>
    <w:rsid w:val="006F17E9"/>
    <w:rsid w:val="006F2102"/>
    <w:rsid w:val="006F7E09"/>
    <w:rsid w:val="00700904"/>
    <w:rsid w:val="00700B2C"/>
    <w:rsid w:val="00702978"/>
    <w:rsid w:val="007035FF"/>
    <w:rsid w:val="00703CDA"/>
    <w:rsid w:val="0070414F"/>
    <w:rsid w:val="00705A5D"/>
    <w:rsid w:val="00706AF9"/>
    <w:rsid w:val="00706CF3"/>
    <w:rsid w:val="00707C28"/>
    <w:rsid w:val="007118D4"/>
    <w:rsid w:val="0071235B"/>
    <w:rsid w:val="00713084"/>
    <w:rsid w:val="007130C1"/>
    <w:rsid w:val="00713310"/>
    <w:rsid w:val="0071383C"/>
    <w:rsid w:val="007140B0"/>
    <w:rsid w:val="007140C0"/>
    <w:rsid w:val="007144E9"/>
    <w:rsid w:val="007157C3"/>
    <w:rsid w:val="0071666A"/>
    <w:rsid w:val="007173C7"/>
    <w:rsid w:val="00720FC2"/>
    <w:rsid w:val="00723844"/>
    <w:rsid w:val="00724069"/>
    <w:rsid w:val="0072430B"/>
    <w:rsid w:val="0072447C"/>
    <w:rsid w:val="00724F56"/>
    <w:rsid w:val="00724FFD"/>
    <w:rsid w:val="007265A8"/>
    <w:rsid w:val="00727617"/>
    <w:rsid w:val="00730F60"/>
    <w:rsid w:val="00731506"/>
    <w:rsid w:val="0073192E"/>
    <w:rsid w:val="00731E00"/>
    <w:rsid w:val="007320A4"/>
    <w:rsid w:val="00732E9D"/>
    <w:rsid w:val="00733CDE"/>
    <w:rsid w:val="00734719"/>
    <w:rsid w:val="0073491A"/>
    <w:rsid w:val="0073608C"/>
    <w:rsid w:val="0073657C"/>
    <w:rsid w:val="0073697C"/>
    <w:rsid w:val="00736BB6"/>
    <w:rsid w:val="00737CCF"/>
    <w:rsid w:val="0074053B"/>
    <w:rsid w:val="00741B3F"/>
    <w:rsid w:val="00741C05"/>
    <w:rsid w:val="00741FE3"/>
    <w:rsid w:val="007432A9"/>
    <w:rsid w:val="00743BEF"/>
    <w:rsid w:val="007440B7"/>
    <w:rsid w:val="0074476B"/>
    <w:rsid w:val="007447E8"/>
    <w:rsid w:val="00745324"/>
    <w:rsid w:val="00747582"/>
    <w:rsid w:val="00747993"/>
    <w:rsid w:val="00747BC5"/>
    <w:rsid w:val="00751498"/>
    <w:rsid w:val="00752500"/>
    <w:rsid w:val="00752B52"/>
    <w:rsid w:val="007532FD"/>
    <w:rsid w:val="00753610"/>
    <w:rsid w:val="00753D2F"/>
    <w:rsid w:val="00755235"/>
    <w:rsid w:val="007569F2"/>
    <w:rsid w:val="00761D27"/>
    <w:rsid w:val="00761EB7"/>
    <w:rsid w:val="0076240F"/>
    <w:rsid w:val="00762B40"/>
    <w:rsid w:val="007634AD"/>
    <w:rsid w:val="00763CF3"/>
    <w:rsid w:val="00765C85"/>
    <w:rsid w:val="00765CF5"/>
    <w:rsid w:val="0076713E"/>
    <w:rsid w:val="007715C9"/>
    <w:rsid w:val="007725D9"/>
    <w:rsid w:val="00772AEB"/>
    <w:rsid w:val="00772F52"/>
    <w:rsid w:val="007731FC"/>
    <w:rsid w:val="00773BEE"/>
    <w:rsid w:val="00773C62"/>
    <w:rsid w:val="00773EEA"/>
    <w:rsid w:val="007746BE"/>
    <w:rsid w:val="00774ED9"/>
    <w:rsid w:val="00774EDD"/>
    <w:rsid w:val="007757EC"/>
    <w:rsid w:val="00776F83"/>
    <w:rsid w:val="00777C59"/>
    <w:rsid w:val="00780767"/>
    <w:rsid w:val="00780CD0"/>
    <w:rsid w:val="0078364B"/>
    <w:rsid w:val="00784BCA"/>
    <w:rsid w:val="00785BC7"/>
    <w:rsid w:val="00785CBD"/>
    <w:rsid w:val="00786E9F"/>
    <w:rsid w:val="007871FC"/>
    <w:rsid w:val="00790750"/>
    <w:rsid w:val="0079150D"/>
    <w:rsid w:val="0079234E"/>
    <w:rsid w:val="007936DE"/>
    <w:rsid w:val="00794705"/>
    <w:rsid w:val="007953A1"/>
    <w:rsid w:val="00795E3D"/>
    <w:rsid w:val="007A0D01"/>
    <w:rsid w:val="007A1124"/>
    <w:rsid w:val="007A115D"/>
    <w:rsid w:val="007A1303"/>
    <w:rsid w:val="007A1F48"/>
    <w:rsid w:val="007A2210"/>
    <w:rsid w:val="007A35E6"/>
    <w:rsid w:val="007A388A"/>
    <w:rsid w:val="007A396C"/>
    <w:rsid w:val="007A3B6E"/>
    <w:rsid w:val="007A3FBB"/>
    <w:rsid w:val="007A4D4B"/>
    <w:rsid w:val="007A58CD"/>
    <w:rsid w:val="007A5C2D"/>
    <w:rsid w:val="007A6863"/>
    <w:rsid w:val="007A6972"/>
    <w:rsid w:val="007A6A42"/>
    <w:rsid w:val="007B10A2"/>
    <w:rsid w:val="007B1382"/>
    <w:rsid w:val="007B4D7C"/>
    <w:rsid w:val="007B5E4A"/>
    <w:rsid w:val="007B6914"/>
    <w:rsid w:val="007B6DE7"/>
    <w:rsid w:val="007B6EF2"/>
    <w:rsid w:val="007B6F0D"/>
    <w:rsid w:val="007C03CE"/>
    <w:rsid w:val="007C2049"/>
    <w:rsid w:val="007C206D"/>
    <w:rsid w:val="007C38C5"/>
    <w:rsid w:val="007C43BF"/>
    <w:rsid w:val="007C6765"/>
    <w:rsid w:val="007C6FAC"/>
    <w:rsid w:val="007C7810"/>
    <w:rsid w:val="007D1BEB"/>
    <w:rsid w:val="007D24B6"/>
    <w:rsid w:val="007D2E06"/>
    <w:rsid w:val="007D45BA"/>
    <w:rsid w:val="007D45C1"/>
    <w:rsid w:val="007D4934"/>
    <w:rsid w:val="007E1A51"/>
    <w:rsid w:val="007E1F2E"/>
    <w:rsid w:val="007E24A6"/>
    <w:rsid w:val="007E3798"/>
    <w:rsid w:val="007E3AA1"/>
    <w:rsid w:val="007E3D4E"/>
    <w:rsid w:val="007E3F4C"/>
    <w:rsid w:val="007E4458"/>
    <w:rsid w:val="007E4C07"/>
    <w:rsid w:val="007E4C75"/>
    <w:rsid w:val="007E5FC7"/>
    <w:rsid w:val="007E79BA"/>
    <w:rsid w:val="007E7D4A"/>
    <w:rsid w:val="007F024F"/>
    <w:rsid w:val="007F05B4"/>
    <w:rsid w:val="007F109E"/>
    <w:rsid w:val="007F120D"/>
    <w:rsid w:val="007F353A"/>
    <w:rsid w:val="007F3836"/>
    <w:rsid w:val="007F399D"/>
    <w:rsid w:val="007F48ED"/>
    <w:rsid w:val="007F5653"/>
    <w:rsid w:val="007F5DAC"/>
    <w:rsid w:val="007F6306"/>
    <w:rsid w:val="007F6C6A"/>
    <w:rsid w:val="007F7947"/>
    <w:rsid w:val="007F7D49"/>
    <w:rsid w:val="007F7DFB"/>
    <w:rsid w:val="0080177B"/>
    <w:rsid w:val="00801CA4"/>
    <w:rsid w:val="008021D5"/>
    <w:rsid w:val="008024A8"/>
    <w:rsid w:val="0080437D"/>
    <w:rsid w:val="00804403"/>
    <w:rsid w:val="008054B6"/>
    <w:rsid w:val="00806D71"/>
    <w:rsid w:val="00807041"/>
    <w:rsid w:val="008073F6"/>
    <w:rsid w:val="00807909"/>
    <w:rsid w:val="00807D99"/>
    <w:rsid w:val="00811167"/>
    <w:rsid w:val="008129AB"/>
    <w:rsid w:val="00812F45"/>
    <w:rsid w:val="008132BE"/>
    <w:rsid w:val="00813AEE"/>
    <w:rsid w:val="00813E06"/>
    <w:rsid w:val="008142BA"/>
    <w:rsid w:val="0081519B"/>
    <w:rsid w:val="00815D4F"/>
    <w:rsid w:val="0081674A"/>
    <w:rsid w:val="00816E31"/>
    <w:rsid w:val="008172C2"/>
    <w:rsid w:val="00817597"/>
    <w:rsid w:val="008210D5"/>
    <w:rsid w:val="008212AA"/>
    <w:rsid w:val="00823120"/>
    <w:rsid w:val="0082327D"/>
    <w:rsid w:val="0082341D"/>
    <w:rsid w:val="0082380F"/>
    <w:rsid w:val="00823B55"/>
    <w:rsid w:val="00823B77"/>
    <w:rsid w:val="00823DCA"/>
    <w:rsid w:val="00824058"/>
    <w:rsid w:val="00824A83"/>
    <w:rsid w:val="00824B02"/>
    <w:rsid w:val="00824BCC"/>
    <w:rsid w:val="00825333"/>
    <w:rsid w:val="00825913"/>
    <w:rsid w:val="00825D25"/>
    <w:rsid w:val="00827AF5"/>
    <w:rsid w:val="0083090B"/>
    <w:rsid w:val="00833F12"/>
    <w:rsid w:val="00834F6F"/>
    <w:rsid w:val="008357E4"/>
    <w:rsid w:val="00835D43"/>
    <w:rsid w:val="00841666"/>
    <w:rsid w:val="0084172C"/>
    <w:rsid w:val="00841A4D"/>
    <w:rsid w:val="00842358"/>
    <w:rsid w:val="008424E3"/>
    <w:rsid w:val="00844279"/>
    <w:rsid w:val="00844A6F"/>
    <w:rsid w:val="00844C3B"/>
    <w:rsid w:val="008452A7"/>
    <w:rsid w:val="00845FE1"/>
    <w:rsid w:val="008471D6"/>
    <w:rsid w:val="00847DB8"/>
    <w:rsid w:val="008507E8"/>
    <w:rsid w:val="0085093E"/>
    <w:rsid w:val="00850F73"/>
    <w:rsid w:val="0085292E"/>
    <w:rsid w:val="008533F3"/>
    <w:rsid w:val="00853760"/>
    <w:rsid w:val="00853C7B"/>
    <w:rsid w:val="00853E1B"/>
    <w:rsid w:val="0085421F"/>
    <w:rsid w:val="00854F4D"/>
    <w:rsid w:val="00855D71"/>
    <w:rsid w:val="008560C0"/>
    <w:rsid w:val="00856A31"/>
    <w:rsid w:val="00856C0A"/>
    <w:rsid w:val="00856D45"/>
    <w:rsid w:val="00857377"/>
    <w:rsid w:val="00860CCE"/>
    <w:rsid w:val="008628A4"/>
    <w:rsid w:val="00862DDF"/>
    <w:rsid w:val="00862FA1"/>
    <w:rsid w:val="00863C91"/>
    <w:rsid w:val="00864804"/>
    <w:rsid w:val="00864DEB"/>
    <w:rsid w:val="00865DAB"/>
    <w:rsid w:val="00865ED5"/>
    <w:rsid w:val="008660B4"/>
    <w:rsid w:val="00866397"/>
    <w:rsid w:val="00866BA4"/>
    <w:rsid w:val="0086780C"/>
    <w:rsid w:val="008679BC"/>
    <w:rsid w:val="00867FC7"/>
    <w:rsid w:val="00870256"/>
    <w:rsid w:val="0087033C"/>
    <w:rsid w:val="0087122B"/>
    <w:rsid w:val="00871A43"/>
    <w:rsid w:val="008730C1"/>
    <w:rsid w:val="00873118"/>
    <w:rsid w:val="00873E15"/>
    <w:rsid w:val="00874090"/>
    <w:rsid w:val="00874B84"/>
    <w:rsid w:val="008754D0"/>
    <w:rsid w:val="008765E3"/>
    <w:rsid w:val="00877215"/>
    <w:rsid w:val="00877D48"/>
    <w:rsid w:val="00877FF1"/>
    <w:rsid w:val="008804C2"/>
    <w:rsid w:val="008816F0"/>
    <w:rsid w:val="008817E8"/>
    <w:rsid w:val="008823A8"/>
    <w:rsid w:val="0088345B"/>
    <w:rsid w:val="008839BB"/>
    <w:rsid w:val="00883E69"/>
    <w:rsid w:val="008840A3"/>
    <w:rsid w:val="0088420B"/>
    <w:rsid w:val="008846FD"/>
    <w:rsid w:val="008853C8"/>
    <w:rsid w:val="00885564"/>
    <w:rsid w:val="0088701B"/>
    <w:rsid w:val="00887199"/>
    <w:rsid w:val="0089218B"/>
    <w:rsid w:val="008924D1"/>
    <w:rsid w:val="00895218"/>
    <w:rsid w:val="00895982"/>
    <w:rsid w:val="00895991"/>
    <w:rsid w:val="00895C20"/>
    <w:rsid w:val="00895DF6"/>
    <w:rsid w:val="00897BB5"/>
    <w:rsid w:val="008A00D1"/>
    <w:rsid w:val="008A16A5"/>
    <w:rsid w:val="008A1CAC"/>
    <w:rsid w:val="008A21E7"/>
    <w:rsid w:val="008A2E74"/>
    <w:rsid w:val="008A50F5"/>
    <w:rsid w:val="008A620D"/>
    <w:rsid w:val="008A6642"/>
    <w:rsid w:val="008A7B7F"/>
    <w:rsid w:val="008A7BDE"/>
    <w:rsid w:val="008B000B"/>
    <w:rsid w:val="008B106F"/>
    <w:rsid w:val="008B21B2"/>
    <w:rsid w:val="008B3003"/>
    <w:rsid w:val="008B313A"/>
    <w:rsid w:val="008B3F5B"/>
    <w:rsid w:val="008B3FCC"/>
    <w:rsid w:val="008B4816"/>
    <w:rsid w:val="008B5047"/>
    <w:rsid w:val="008B596A"/>
    <w:rsid w:val="008B5D42"/>
    <w:rsid w:val="008C2B5D"/>
    <w:rsid w:val="008C2B6C"/>
    <w:rsid w:val="008C323A"/>
    <w:rsid w:val="008C5DAA"/>
    <w:rsid w:val="008C7034"/>
    <w:rsid w:val="008C7F42"/>
    <w:rsid w:val="008D0EE0"/>
    <w:rsid w:val="008D107B"/>
    <w:rsid w:val="008D3B97"/>
    <w:rsid w:val="008D3C0B"/>
    <w:rsid w:val="008D4D91"/>
    <w:rsid w:val="008D5B99"/>
    <w:rsid w:val="008D5C0E"/>
    <w:rsid w:val="008D7A27"/>
    <w:rsid w:val="008D7CA0"/>
    <w:rsid w:val="008E03AC"/>
    <w:rsid w:val="008E1005"/>
    <w:rsid w:val="008E28CE"/>
    <w:rsid w:val="008E2A2E"/>
    <w:rsid w:val="008E2BDF"/>
    <w:rsid w:val="008E2DC8"/>
    <w:rsid w:val="008E4702"/>
    <w:rsid w:val="008E47EE"/>
    <w:rsid w:val="008E5272"/>
    <w:rsid w:val="008E532D"/>
    <w:rsid w:val="008E617E"/>
    <w:rsid w:val="008E69AA"/>
    <w:rsid w:val="008E6D84"/>
    <w:rsid w:val="008E7331"/>
    <w:rsid w:val="008E7A2F"/>
    <w:rsid w:val="008F02EF"/>
    <w:rsid w:val="008F190E"/>
    <w:rsid w:val="008F257E"/>
    <w:rsid w:val="008F3FC5"/>
    <w:rsid w:val="008F46AD"/>
    <w:rsid w:val="008F4F1C"/>
    <w:rsid w:val="008F5183"/>
    <w:rsid w:val="008F55F8"/>
    <w:rsid w:val="008F7B09"/>
    <w:rsid w:val="00900570"/>
    <w:rsid w:val="009008B8"/>
    <w:rsid w:val="00901A07"/>
    <w:rsid w:val="00901CB2"/>
    <w:rsid w:val="00901F46"/>
    <w:rsid w:val="009027D9"/>
    <w:rsid w:val="00902F37"/>
    <w:rsid w:val="00902F8E"/>
    <w:rsid w:val="0090421A"/>
    <w:rsid w:val="0090791B"/>
    <w:rsid w:val="0091002E"/>
    <w:rsid w:val="00911F87"/>
    <w:rsid w:val="00912947"/>
    <w:rsid w:val="00912DC9"/>
    <w:rsid w:val="00914519"/>
    <w:rsid w:val="00915BB3"/>
    <w:rsid w:val="00917A8C"/>
    <w:rsid w:val="00917E6E"/>
    <w:rsid w:val="00917F99"/>
    <w:rsid w:val="00920589"/>
    <w:rsid w:val="00922764"/>
    <w:rsid w:val="00922BD7"/>
    <w:rsid w:val="00924A7C"/>
    <w:rsid w:val="00927066"/>
    <w:rsid w:val="009273A7"/>
    <w:rsid w:val="0092758E"/>
    <w:rsid w:val="009303B8"/>
    <w:rsid w:val="00930645"/>
    <w:rsid w:val="0093098D"/>
    <w:rsid w:val="00930A77"/>
    <w:rsid w:val="00931007"/>
    <w:rsid w:val="00931057"/>
    <w:rsid w:val="00932377"/>
    <w:rsid w:val="009332E6"/>
    <w:rsid w:val="0093445A"/>
    <w:rsid w:val="00934CBA"/>
    <w:rsid w:val="00935523"/>
    <w:rsid w:val="00935781"/>
    <w:rsid w:val="009358D1"/>
    <w:rsid w:val="00935D8A"/>
    <w:rsid w:val="009369D8"/>
    <w:rsid w:val="0094070C"/>
    <w:rsid w:val="009408EA"/>
    <w:rsid w:val="00941746"/>
    <w:rsid w:val="00941CD0"/>
    <w:rsid w:val="00942052"/>
    <w:rsid w:val="00942439"/>
    <w:rsid w:val="00942A79"/>
    <w:rsid w:val="00943102"/>
    <w:rsid w:val="00943A92"/>
    <w:rsid w:val="00944539"/>
    <w:rsid w:val="0094523D"/>
    <w:rsid w:val="0094529D"/>
    <w:rsid w:val="009459B8"/>
    <w:rsid w:val="00945C2A"/>
    <w:rsid w:val="00945F26"/>
    <w:rsid w:val="00946EF8"/>
    <w:rsid w:val="009471A8"/>
    <w:rsid w:val="00950750"/>
    <w:rsid w:val="0095112D"/>
    <w:rsid w:val="0095205D"/>
    <w:rsid w:val="00953589"/>
    <w:rsid w:val="009559E6"/>
    <w:rsid w:val="00955CBB"/>
    <w:rsid w:val="009560C3"/>
    <w:rsid w:val="00956FAB"/>
    <w:rsid w:val="009573A0"/>
    <w:rsid w:val="00957718"/>
    <w:rsid w:val="009578E0"/>
    <w:rsid w:val="00957D55"/>
    <w:rsid w:val="00960636"/>
    <w:rsid w:val="00960C90"/>
    <w:rsid w:val="00960E4C"/>
    <w:rsid w:val="00961B41"/>
    <w:rsid w:val="00961FAF"/>
    <w:rsid w:val="00961FED"/>
    <w:rsid w:val="00962013"/>
    <w:rsid w:val="00963E65"/>
    <w:rsid w:val="0096597C"/>
    <w:rsid w:val="00965CC3"/>
    <w:rsid w:val="00965E42"/>
    <w:rsid w:val="00966116"/>
    <w:rsid w:val="0096661F"/>
    <w:rsid w:val="00966C72"/>
    <w:rsid w:val="009709E5"/>
    <w:rsid w:val="00970ACA"/>
    <w:rsid w:val="00970EC8"/>
    <w:rsid w:val="00971B57"/>
    <w:rsid w:val="00972F40"/>
    <w:rsid w:val="0097471C"/>
    <w:rsid w:val="00974AAD"/>
    <w:rsid w:val="00974AF1"/>
    <w:rsid w:val="00974E8C"/>
    <w:rsid w:val="0097516A"/>
    <w:rsid w:val="009755B1"/>
    <w:rsid w:val="00975656"/>
    <w:rsid w:val="0097617C"/>
    <w:rsid w:val="00976A63"/>
    <w:rsid w:val="00976E22"/>
    <w:rsid w:val="009773B7"/>
    <w:rsid w:val="00977952"/>
    <w:rsid w:val="00977D8C"/>
    <w:rsid w:val="00982CAA"/>
    <w:rsid w:val="00983419"/>
    <w:rsid w:val="009840F0"/>
    <w:rsid w:val="00984A43"/>
    <w:rsid w:val="009851FD"/>
    <w:rsid w:val="0098592B"/>
    <w:rsid w:val="009859E0"/>
    <w:rsid w:val="0098625C"/>
    <w:rsid w:val="00986491"/>
    <w:rsid w:val="009864B1"/>
    <w:rsid w:val="00986B7A"/>
    <w:rsid w:val="009907FD"/>
    <w:rsid w:val="009913E5"/>
    <w:rsid w:val="00992CB1"/>
    <w:rsid w:val="009934A2"/>
    <w:rsid w:val="00994821"/>
    <w:rsid w:val="00996332"/>
    <w:rsid w:val="009971AE"/>
    <w:rsid w:val="0099724B"/>
    <w:rsid w:val="009A047A"/>
    <w:rsid w:val="009A0BD6"/>
    <w:rsid w:val="009A0C40"/>
    <w:rsid w:val="009A14D2"/>
    <w:rsid w:val="009A31E5"/>
    <w:rsid w:val="009A44E0"/>
    <w:rsid w:val="009A47EF"/>
    <w:rsid w:val="009A573A"/>
    <w:rsid w:val="009A5A8F"/>
    <w:rsid w:val="009A78CF"/>
    <w:rsid w:val="009B0218"/>
    <w:rsid w:val="009B0299"/>
    <w:rsid w:val="009B0A69"/>
    <w:rsid w:val="009B0D2D"/>
    <w:rsid w:val="009B3141"/>
    <w:rsid w:val="009B4386"/>
    <w:rsid w:val="009B4663"/>
    <w:rsid w:val="009B605C"/>
    <w:rsid w:val="009B63E5"/>
    <w:rsid w:val="009C10B8"/>
    <w:rsid w:val="009C31CB"/>
    <w:rsid w:val="009C3431"/>
    <w:rsid w:val="009C37B0"/>
    <w:rsid w:val="009C45FB"/>
    <w:rsid w:val="009C493A"/>
    <w:rsid w:val="009C4C35"/>
    <w:rsid w:val="009C4CAC"/>
    <w:rsid w:val="009C58BA"/>
    <w:rsid w:val="009C5989"/>
    <w:rsid w:val="009C7511"/>
    <w:rsid w:val="009C7FF4"/>
    <w:rsid w:val="009D08DA"/>
    <w:rsid w:val="009D0E5D"/>
    <w:rsid w:val="009D3387"/>
    <w:rsid w:val="009D33A3"/>
    <w:rsid w:val="009D36C4"/>
    <w:rsid w:val="009D4800"/>
    <w:rsid w:val="009D5061"/>
    <w:rsid w:val="009D5167"/>
    <w:rsid w:val="009D5280"/>
    <w:rsid w:val="009D6A38"/>
    <w:rsid w:val="009D6AE8"/>
    <w:rsid w:val="009D6C44"/>
    <w:rsid w:val="009D6D6C"/>
    <w:rsid w:val="009D705C"/>
    <w:rsid w:val="009D7184"/>
    <w:rsid w:val="009D74A0"/>
    <w:rsid w:val="009D7787"/>
    <w:rsid w:val="009D788F"/>
    <w:rsid w:val="009E0607"/>
    <w:rsid w:val="009E0BAE"/>
    <w:rsid w:val="009E0EFA"/>
    <w:rsid w:val="009E113C"/>
    <w:rsid w:val="009E11EF"/>
    <w:rsid w:val="009E2C69"/>
    <w:rsid w:val="009E5FB0"/>
    <w:rsid w:val="009E7990"/>
    <w:rsid w:val="009F0857"/>
    <w:rsid w:val="009F1645"/>
    <w:rsid w:val="009F1922"/>
    <w:rsid w:val="009F2532"/>
    <w:rsid w:val="009F2F3F"/>
    <w:rsid w:val="009F54F1"/>
    <w:rsid w:val="009F6D3E"/>
    <w:rsid w:val="00A00529"/>
    <w:rsid w:val="00A00D99"/>
    <w:rsid w:val="00A00E70"/>
    <w:rsid w:val="00A01C11"/>
    <w:rsid w:val="00A02F60"/>
    <w:rsid w:val="00A03014"/>
    <w:rsid w:val="00A05C5C"/>
    <w:rsid w:val="00A05FBF"/>
    <w:rsid w:val="00A06461"/>
    <w:rsid w:val="00A06860"/>
    <w:rsid w:val="00A07ADE"/>
    <w:rsid w:val="00A10520"/>
    <w:rsid w:val="00A1178C"/>
    <w:rsid w:val="00A11CAF"/>
    <w:rsid w:val="00A12B59"/>
    <w:rsid w:val="00A136F5"/>
    <w:rsid w:val="00A139CE"/>
    <w:rsid w:val="00A1499C"/>
    <w:rsid w:val="00A15278"/>
    <w:rsid w:val="00A15AE5"/>
    <w:rsid w:val="00A15E57"/>
    <w:rsid w:val="00A16F01"/>
    <w:rsid w:val="00A17264"/>
    <w:rsid w:val="00A1732D"/>
    <w:rsid w:val="00A17B7A"/>
    <w:rsid w:val="00A17C77"/>
    <w:rsid w:val="00A17EF0"/>
    <w:rsid w:val="00A231E2"/>
    <w:rsid w:val="00A253F0"/>
    <w:rsid w:val="00A2550D"/>
    <w:rsid w:val="00A26063"/>
    <w:rsid w:val="00A26148"/>
    <w:rsid w:val="00A267FB"/>
    <w:rsid w:val="00A26915"/>
    <w:rsid w:val="00A27397"/>
    <w:rsid w:val="00A27AB0"/>
    <w:rsid w:val="00A3163B"/>
    <w:rsid w:val="00A322CE"/>
    <w:rsid w:val="00A32D4D"/>
    <w:rsid w:val="00A35C9B"/>
    <w:rsid w:val="00A37DC0"/>
    <w:rsid w:val="00A40287"/>
    <w:rsid w:val="00A40820"/>
    <w:rsid w:val="00A4169B"/>
    <w:rsid w:val="00A445F2"/>
    <w:rsid w:val="00A45BE8"/>
    <w:rsid w:val="00A45F6D"/>
    <w:rsid w:val="00A46A52"/>
    <w:rsid w:val="00A4759B"/>
    <w:rsid w:val="00A47FF5"/>
    <w:rsid w:val="00A50D55"/>
    <w:rsid w:val="00A51204"/>
    <w:rsid w:val="00A5165B"/>
    <w:rsid w:val="00A5237D"/>
    <w:rsid w:val="00A52989"/>
    <w:rsid w:val="00A52BB0"/>
    <w:rsid w:val="00A52FDA"/>
    <w:rsid w:val="00A572A3"/>
    <w:rsid w:val="00A60051"/>
    <w:rsid w:val="00A6327C"/>
    <w:rsid w:val="00A64912"/>
    <w:rsid w:val="00A64CFE"/>
    <w:rsid w:val="00A66B6F"/>
    <w:rsid w:val="00A70A74"/>
    <w:rsid w:val="00A70EB7"/>
    <w:rsid w:val="00A71336"/>
    <w:rsid w:val="00A71407"/>
    <w:rsid w:val="00A71889"/>
    <w:rsid w:val="00A732E6"/>
    <w:rsid w:val="00A73F3A"/>
    <w:rsid w:val="00A74DC2"/>
    <w:rsid w:val="00A75C5B"/>
    <w:rsid w:val="00A772B7"/>
    <w:rsid w:val="00A803A2"/>
    <w:rsid w:val="00A80B64"/>
    <w:rsid w:val="00A81ACC"/>
    <w:rsid w:val="00A83409"/>
    <w:rsid w:val="00A83E0E"/>
    <w:rsid w:val="00A84BC4"/>
    <w:rsid w:val="00A858D4"/>
    <w:rsid w:val="00A8693A"/>
    <w:rsid w:val="00A86DD9"/>
    <w:rsid w:val="00A87561"/>
    <w:rsid w:val="00A908EA"/>
    <w:rsid w:val="00A90EA8"/>
    <w:rsid w:val="00A91A39"/>
    <w:rsid w:val="00A933B3"/>
    <w:rsid w:val="00A94AEA"/>
    <w:rsid w:val="00A94E62"/>
    <w:rsid w:val="00A95C04"/>
    <w:rsid w:val="00A972F9"/>
    <w:rsid w:val="00AA0343"/>
    <w:rsid w:val="00AA0625"/>
    <w:rsid w:val="00AA131A"/>
    <w:rsid w:val="00AA296E"/>
    <w:rsid w:val="00AA2A5C"/>
    <w:rsid w:val="00AA3286"/>
    <w:rsid w:val="00AA3636"/>
    <w:rsid w:val="00AA48B9"/>
    <w:rsid w:val="00AA5FE3"/>
    <w:rsid w:val="00AA6125"/>
    <w:rsid w:val="00AA6201"/>
    <w:rsid w:val="00AA6A09"/>
    <w:rsid w:val="00AA6C4D"/>
    <w:rsid w:val="00AA7A6B"/>
    <w:rsid w:val="00AA7DD3"/>
    <w:rsid w:val="00AA7F71"/>
    <w:rsid w:val="00AB04DA"/>
    <w:rsid w:val="00AB0F48"/>
    <w:rsid w:val="00AB39A6"/>
    <w:rsid w:val="00AB3D76"/>
    <w:rsid w:val="00AB4A4C"/>
    <w:rsid w:val="00AB553A"/>
    <w:rsid w:val="00AB60E2"/>
    <w:rsid w:val="00AB60FB"/>
    <w:rsid w:val="00AB6B86"/>
    <w:rsid w:val="00AB7128"/>
    <w:rsid w:val="00AB748F"/>
    <w:rsid w:val="00AB7526"/>
    <w:rsid w:val="00AB78E9"/>
    <w:rsid w:val="00AB7C7C"/>
    <w:rsid w:val="00AB7D96"/>
    <w:rsid w:val="00AC05DF"/>
    <w:rsid w:val="00AC06C8"/>
    <w:rsid w:val="00AC0962"/>
    <w:rsid w:val="00AC1356"/>
    <w:rsid w:val="00AC17C9"/>
    <w:rsid w:val="00AC2E36"/>
    <w:rsid w:val="00AC35F1"/>
    <w:rsid w:val="00AC3ADF"/>
    <w:rsid w:val="00AC3E0D"/>
    <w:rsid w:val="00AC4569"/>
    <w:rsid w:val="00AC66F2"/>
    <w:rsid w:val="00AC67E9"/>
    <w:rsid w:val="00AD0797"/>
    <w:rsid w:val="00AD1E8B"/>
    <w:rsid w:val="00AD2986"/>
    <w:rsid w:val="00AD3368"/>
    <w:rsid w:val="00AD3467"/>
    <w:rsid w:val="00AD39F8"/>
    <w:rsid w:val="00AD3EDB"/>
    <w:rsid w:val="00AD4443"/>
    <w:rsid w:val="00AD5641"/>
    <w:rsid w:val="00AD590E"/>
    <w:rsid w:val="00AD6644"/>
    <w:rsid w:val="00AD7252"/>
    <w:rsid w:val="00AD7D33"/>
    <w:rsid w:val="00AE0F9B"/>
    <w:rsid w:val="00AE2601"/>
    <w:rsid w:val="00AE2779"/>
    <w:rsid w:val="00AE2A20"/>
    <w:rsid w:val="00AE3069"/>
    <w:rsid w:val="00AE56CA"/>
    <w:rsid w:val="00AE5706"/>
    <w:rsid w:val="00AE6E2C"/>
    <w:rsid w:val="00AF04A3"/>
    <w:rsid w:val="00AF0EA9"/>
    <w:rsid w:val="00AF1177"/>
    <w:rsid w:val="00AF2225"/>
    <w:rsid w:val="00AF25E7"/>
    <w:rsid w:val="00AF2ACC"/>
    <w:rsid w:val="00AF464D"/>
    <w:rsid w:val="00AF4E80"/>
    <w:rsid w:val="00AF519C"/>
    <w:rsid w:val="00AF55FF"/>
    <w:rsid w:val="00AF5815"/>
    <w:rsid w:val="00B0070F"/>
    <w:rsid w:val="00B01085"/>
    <w:rsid w:val="00B01961"/>
    <w:rsid w:val="00B02782"/>
    <w:rsid w:val="00B032D8"/>
    <w:rsid w:val="00B03633"/>
    <w:rsid w:val="00B04155"/>
    <w:rsid w:val="00B04D04"/>
    <w:rsid w:val="00B04E22"/>
    <w:rsid w:val="00B059D2"/>
    <w:rsid w:val="00B063F3"/>
    <w:rsid w:val="00B068B8"/>
    <w:rsid w:val="00B06D99"/>
    <w:rsid w:val="00B11F4C"/>
    <w:rsid w:val="00B13452"/>
    <w:rsid w:val="00B137F9"/>
    <w:rsid w:val="00B13A0D"/>
    <w:rsid w:val="00B14BDC"/>
    <w:rsid w:val="00B14C4D"/>
    <w:rsid w:val="00B15292"/>
    <w:rsid w:val="00B15BE2"/>
    <w:rsid w:val="00B162C2"/>
    <w:rsid w:val="00B20869"/>
    <w:rsid w:val="00B20D81"/>
    <w:rsid w:val="00B21BC5"/>
    <w:rsid w:val="00B22487"/>
    <w:rsid w:val="00B22FD9"/>
    <w:rsid w:val="00B23C2F"/>
    <w:rsid w:val="00B25223"/>
    <w:rsid w:val="00B261C0"/>
    <w:rsid w:val="00B26961"/>
    <w:rsid w:val="00B26E14"/>
    <w:rsid w:val="00B27E7C"/>
    <w:rsid w:val="00B32794"/>
    <w:rsid w:val="00B32B72"/>
    <w:rsid w:val="00B3335D"/>
    <w:rsid w:val="00B335E2"/>
    <w:rsid w:val="00B33B3C"/>
    <w:rsid w:val="00B4005C"/>
    <w:rsid w:val="00B4044E"/>
    <w:rsid w:val="00B40D74"/>
    <w:rsid w:val="00B41F7B"/>
    <w:rsid w:val="00B4426C"/>
    <w:rsid w:val="00B52351"/>
    <w:rsid w:val="00B5251F"/>
    <w:rsid w:val="00B52663"/>
    <w:rsid w:val="00B5269C"/>
    <w:rsid w:val="00B5370A"/>
    <w:rsid w:val="00B5440E"/>
    <w:rsid w:val="00B54628"/>
    <w:rsid w:val="00B5484F"/>
    <w:rsid w:val="00B550A1"/>
    <w:rsid w:val="00B56291"/>
    <w:rsid w:val="00B56873"/>
    <w:rsid w:val="00B56DCB"/>
    <w:rsid w:val="00B570AC"/>
    <w:rsid w:val="00B57970"/>
    <w:rsid w:val="00B57E53"/>
    <w:rsid w:val="00B603F3"/>
    <w:rsid w:val="00B6042E"/>
    <w:rsid w:val="00B61019"/>
    <w:rsid w:val="00B62B44"/>
    <w:rsid w:val="00B6393F"/>
    <w:rsid w:val="00B6440D"/>
    <w:rsid w:val="00B6475A"/>
    <w:rsid w:val="00B66326"/>
    <w:rsid w:val="00B66AC3"/>
    <w:rsid w:val="00B70DC1"/>
    <w:rsid w:val="00B70EAE"/>
    <w:rsid w:val="00B72EB7"/>
    <w:rsid w:val="00B73CCB"/>
    <w:rsid w:val="00B74828"/>
    <w:rsid w:val="00B75EF7"/>
    <w:rsid w:val="00B765F9"/>
    <w:rsid w:val="00B770D2"/>
    <w:rsid w:val="00B77AD2"/>
    <w:rsid w:val="00B83CB2"/>
    <w:rsid w:val="00B84BAD"/>
    <w:rsid w:val="00B85AD5"/>
    <w:rsid w:val="00B867B7"/>
    <w:rsid w:val="00B875D0"/>
    <w:rsid w:val="00B87858"/>
    <w:rsid w:val="00B87A2F"/>
    <w:rsid w:val="00B900DE"/>
    <w:rsid w:val="00B92B6E"/>
    <w:rsid w:val="00B93678"/>
    <w:rsid w:val="00B93DBA"/>
    <w:rsid w:val="00B94F68"/>
    <w:rsid w:val="00B955E3"/>
    <w:rsid w:val="00B95AFC"/>
    <w:rsid w:val="00B95DB0"/>
    <w:rsid w:val="00B977BD"/>
    <w:rsid w:val="00BA01BF"/>
    <w:rsid w:val="00BA0256"/>
    <w:rsid w:val="00BA0FA7"/>
    <w:rsid w:val="00BA29F3"/>
    <w:rsid w:val="00BA2BF3"/>
    <w:rsid w:val="00BA358D"/>
    <w:rsid w:val="00BA45E8"/>
    <w:rsid w:val="00BA47A3"/>
    <w:rsid w:val="00BA4925"/>
    <w:rsid w:val="00BA4FE5"/>
    <w:rsid w:val="00BA5026"/>
    <w:rsid w:val="00BA5DAD"/>
    <w:rsid w:val="00BA6E5B"/>
    <w:rsid w:val="00BA7708"/>
    <w:rsid w:val="00BB1299"/>
    <w:rsid w:val="00BB203A"/>
    <w:rsid w:val="00BB2B86"/>
    <w:rsid w:val="00BB2C9D"/>
    <w:rsid w:val="00BB5244"/>
    <w:rsid w:val="00BB5849"/>
    <w:rsid w:val="00BB5C07"/>
    <w:rsid w:val="00BB6706"/>
    <w:rsid w:val="00BB6E2A"/>
    <w:rsid w:val="00BB6E79"/>
    <w:rsid w:val="00BC00C8"/>
    <w:rsid w:val="00BC07C0"/>
    <w:rsid w:val="00BC1EDB"/>
    <w:rsid w:val="00BC21FB"/>
    <w:rsid w:val="00BC535F"/>
    <w:rsid w:val="00BC6221"/>
    <w:rsid w:val="00BC6469"/>
    <w:rsid w:val="00BC6BC4"/>
    <w:rsid w:val="00BC7B1E"/>
    <w:rsid w:val="00BC7B21"/>
    <w:rsid w:val="00BD11DE"/>
    <w:rsid w:val="00BD2772"/>
    <w:rsid w:val="00BD3547"/>
    <w:rsid w:val="00BD3AE0"/>
    <w:rsid w:val="00BD5565"/>
    <w:rsid w:val="00BD6D55"/>
    <w:rsid w:val="00BD70E9"/>
    <w:rsid w:val="00BD7D85"/>
    <w:rsid w:val="00BE0F09"/>
    <w:rsid w:val="00BE17AB"/>
    <w:rsid w:val="00BE2716"/>
    <w:rsid w:val="00BE3B31"/>
    <w:rsid w:val="00BE3F05"/>
    <w:rsid w:val="00BE422F"/>
    <w:rsid w:val="00BE429F"/>
    <w:rsid w:val="00BE44C4"/>
    <w:rsid w:val="00BE4C99"/>
    <w:rsid w:val="00BE5551"/>
    <w:rsid w:val="00BE5F0E"/>
    <w:rsid w:val="00BE719A"/>
    <w:rsid w:val="00BE720A"/>
    <w:rsid w:val="00BF1500"/>
    <w:rsid w:val="00BF15F4"/>
    <w:rsid w:val="00BF1AEF"/>
    <w:rsid w:val="00BF2285"/>
    <w:rsid w:val="00BF2B19"/>
    <w:rsid w:val="00BF5B88"/>
    <w:rsid w:val="00BF5EEE"/>
    <w:rsid w:val="00BF6650"/>
    <w:rsid w:val="00C002A0"/>
    <w:rsid w:val="00C01368"/>
    <w:rsid w:val="00C020C8"/>
    <w:rsid w:val="00C02715"/>
    <w:rsid w:val="00C04345"/>
    <w:rsid w:val="00C0459F"/>
    <w:rsid w:val="00C04D65"/>
    <w:rsid w:val="00C04D6E"/>
    <w:rsid w:val="00C05030"/>
    <w:rsid w:val="00C05723"/>
    <w:rsid w:val="00C0584C"/>
    <w:rsid w:val="00C05982"/>
    <w:rsid w:val="00C0603F"/>
    <w:rsid w:val="00C067E5"/>
    <w:rsid w:val="00C07185"/>
    <w:rsid w:val="00C0749D"/>
    <w:rsid w:val="00C0790F"/>
    <w:rsid w:val="00C07A34"/>
    <w:rsid w:val="00C07CFD"/>
    <w:rsid w:val="00C07FEE"/>
    <w:rsid w:val="00C117C2"/>
    <w:rsid w:val="00C11DCD"/>
    <w:rsid w:val="00C12AE5"/>
    <w:rsid w:val="00C14EB4"/>
    <w:rsid w:val="00C154AE"/>
    <w:rsid w:val="00C15854"/>
    <w:rsid w:val="00C159A9"/>
    <w:rsid w:val="00C164CA"/>
    <w:rsid w:val="00C172DF"/>
    <w:rsid w:val="00C20148"/>
    <w:rsid w:val="00C20196"/>
    <w:rsid w:val="00C20B22"/>
    <w:rsid w:val="00C20C6A"/>
    <w:rsid w:val="00C20F2B"/>
    <w:rsid w:val="00C214A1"/>
    <w:rsid w:val="00C21B82"/>
    <w:rsid w:val="00C21F02"/>
    <w:rsid w:val="00C22F4D"/>
    <w:rsid w:val="00C230D9"/>
    <w:rsid w:val="00C246E1"/>
    <w:rsid w:val="00C2512B"/>
    <w:rsid w:val="00C26A42"/>
    <w:rsid w:val="00C3227A"/>
    <w:rsid w:val="00C33289"/>
    <w:rsid w:val="00C333B0"/>
    <w:rsid w:val="00C35D0F"/>
    <w:rsid w:val="00C3606E"/>
    <w:rsid w:val="00C37A06"/>
    <w:rsid w:val="00C4086E"/>
    <w:rsid w:val="00C40ADE"/>
    <w:rsid w:val="00C410E5"/>
    <w:rsid w:val="00C41266"/>
    <w:rsid w:val="00C41603"/>
    <w:rsid w:val="00C41610"/>
    <w:rsid w:val="00C41A49"/>
    <w:rsid w:val="00C42342"/>
    <w:rsid w:val="00C42B5C"/>
    <w:rsid w:val="00C42BF8"/>
    <w:rsid w:val="00C43487"/>
    <w:rsid w:val="00C439EE"/>
    <w:rsid w:val="00C44F15"/>
    <w:rsid w:val="00C452FD"/>
    <w:rsid w:val="00C45949"/>
    <w:rsid w:val="00C45957"/>
    <w:rsid w:val="00C460AE"/>
    <w:rsid w:val="00C46F59"/>
    <w:rsid w:val="00C47F83"/>
    <w:rsid w:val="00C50043"/>
    <w:rsid w:val="00C50A0F"/>
    <w:rsid w:val="00C51206"/>
    <w:rsid w:val="00C51A70"/>
    <w:rsid w:val="00C52206"/>
    <w:rsid w:val="00C54336"/>
    <w:rsid w:val="00C5540A"/>
    <w:rsid w:val="00C55BB2"/>
    <w:rsid w:val="00C5686F"/>
    <w:rsid w:val="00C56C08"/>
    <w:rsid w:val="00C579EB"/>
    <w:rsid w:val="00C60D24"/>
    <w:rsid w:val="00C61259"/>
    <w:rsid w:val="00C61689"/>
    <w:rsid w:val="00C6200C"/>
    <w:rsid w:val="00C6228F"/>
    <w:rsid w:val="00C63C14"/>
    <w:rsid w:val="00C64942"/>
    <w:rsid w:val="00C662A1"/>
    <w:rsid w:val="00C6670B"/>
    <w:rsid w:val="00C6774E"/>
    <w:rsid w:val="00C70306"/>
    <w:rsid w:val="00C7045A"/>
    <w:rsid w:val="00C705F0"/>
    <w:rsid w:val="00C71A14"/>
    <w:rsid w:val="00C73A1C"/>
    <w:rsid w:val="00C73EF6"/>
    <w:rsid w:val="00C74940"/>
    <w:rsid w:val="00C7553A"/>
    <w:rsid w:val="00C7573B"/>
    <w:rsid w:val="00C76425"/>
    <w:rsid w:val="00C76B1A"/>
    <w:rsid w:val="00C76CF3"/>
    <w:rsid w:val="00C806DB"/>
    <w:rsid w:val="00C809E9"/>
    <w:rsid w:val="00C80D7B"/>
    <w:rsid w:val="00C8115E"/>
    <w:rsid w:val="00C81945"/>
    <w:rsid w:val="00C82CD0"/>
    <w:rsid w:val="00C839C0"/>
    <w:rsid w:val="00C84C83"/>
    <w:rsid w:val="00C856B0"/>
    <w:rsid w:val="00C86510"/>
    <w:rsid w:val="00C869DB"/>
    <w:rsid w:val="00C86B5B"/>
    <w:rsid w:val="00C86BFE"/>
    <w:rsid w:val="00C8715A"/>
    <w:rsid w:val="00C9199F"/>
    <w:rsid w:val="00C93108"/>
    <w:rsid w:val="00C93BE9"/>
    <w:rsid w:val="00C9430C"/>
    <w:rsid w:val="00C94B39"/>
    <w:rsid w:val="00C9530B"/>
    <w:rsid w:val="00C97C1F"/>
    <w:rsid w:val="00CA0557"/>
    <w:rsid w:val="00CA06E9"/>
    <w:rsid w:val="00CA08D1"/>
    <w:rsid w:val="00CA0B26"/>
    <w:rsid w:val="00CA0D4E"/>
    <w:rsid w:val="00CA486C"/>
    <w:rsid w:val="00CA4921"/>
    <w:rsid w:val="00CA5483"/>
    <w:rsid w:val="00CA6549"/>
    <w:rsid w:val="00CA6E7D"/>
    <w:rsid w:val="00CA7844"/>
    <w:rsid w:val="00CA7DDF"/>
    <w:rsid w:val="00CA7FB9"/>
    <w:rsid w:val="00CB1A96"/>
    <w:rsid w:val="00CB1B74"/>
    <w:rsid w:val="00CB2D15"/>
    <w:rsid w:val="00CB2F05"/>
    <w:rsid w:val="00CB3AB5"/>
    <w:rsid w:val="00CB58EF"/>
    <w:rsid w:val="00CB645B"/>
    <w:rsid w:val="00CB6F22"/>
    <w:rsid w:val="00CB7810"/>
    <w:rsid w:val="00CC0889"/>
    <w:rsid w:val="00CC08F6"/>
    <w:rsid w:val="00CC11E6"/>
    <w:rsid w:val="00CC1416"/>
    <w:rsid w:val="00CC15F3"/>
    <w:rsid w:val="00CC24B7"/>
    <w:rsid w:val="00CC270C"/>
    <w:rsid w:val="00CC2E35"/>
    <w:rsid w:val="00CC2EF1"/>
    <w:rsid w:val="00CC2FE2"/>
    <w:rsid w:val="00CC3855"/>
    <w:rsid w:val="00CC496F"/>
    <w:rsid w:val="00CC5A38"/>
    <w:rsid w:val="00CC5BD2"/>
    <w:rsid w:val="00CC70ED"/>
    <w:rsid w:val="00CD07A2"/>
    <w:rsid w:val="00CD114C"/>
    <w:rsid w:val="00CD1469"/>
    <w:rsid w:val="00CD1B25"/>
    <w:rsid w:val="00CD1F68"/>
    <w:rsid w:val="00CD2034"/>
    <w:rsid w:val="00CD37AB"/>
    <w:rsid w:val="00CD3BEB"/>
    <w:rsid w:val="00CD49E5"/>
    <w:rsid w:val="00CD6399"/>
    <w:rsid w:val="00CD6AB6"/>
    <w:rsid w:val="00CE10F8"/>
    <w:rsid w:val="00CE17D5"/>
    <w:rsid w:val="00CE2628"/>
    <w:rsid w:val="00CE28F8"/>
    <w:rsid w:val="00CE2A74"/>
    <w:rsid w:val="00CE2F6C"/>
    <w:rsid w:val="00CE3DAE"/>
    <w:rsid w:val="00CE48CB"/>
    <w:rsid w:val="00CE4A84"/>
    <w:rsid w:val="00CE5141"/>
    <w:rsid w:val="00CE5F86"/>
    <w:rsid w:val="00CE70C7"/>
    <w:rsid w:val="00CE7D64"/>
    <w:rsid w:val="00CE7DE3"/>
    <w:rsid w:val="00CF0730"/>
    <w:rsid w:val="00CF0869"/>
    <w:rsid w:val="00CF0BB2"/>
    <w:rsid w:val="00CF2245"/>
    <w:rsid w:val="00CF2F88"/>
    <w:rsid w:val="00CF4A95"/>
    <w:rsid w:val="00CF4CB0"/>
    <w:rsid w:val="00CF4CD7"/>
    <w:rsid w:val="00CF5224"/>
    <w:rsid w:val="00CF54C5"/>
    <w:rsid w:val="00CF5BC9"/>
    <w:rsid w:val="00CF6DF5"/>
    <w:rsid w:val="00CF70FF"/>
    <w:rsid w:val="00CF7204"/>
    <w:rsid w:val="00CF74E1"/>
    <w:rsid w:val="00CF7E5D"/>
    <w:rsid w:val="00D000CD"/>
    <w:rsid w:val="00D005DC"/>
    <w:rsid w:val="00D01051"/>
    <w:rsid w:val="00D01B5A"/>
    <w:rsid w:val="00D01C7E"/>
    <w:rsid w:val="00D01F33"/>
    <w:rsid w:val="00D0306E"/>
    <w:rsid w:val="00D03F7F"/>
    <w:rsid w:val="00D042B5"/>
    <w:rsid w:val="00D053C8"/>
    <w:rsid w:val="00D05535"/>
    <w:rsid w:val="00D11E1B"/>
    <w:rsid w:val="00D12118"/>
    <w:rsid w:val="00D132CA"/>
    <w:rsid w:val="00D13441"/>
    <w:rsid w:val="00D137FB"/>
    <w:rsid w:val="00D138F0"/>
    <w:rsid w:val="00D13A25"/>
    <w:rsid w:val="00D13C45"/>
    <w:rsid w:val="00D1432B"/>
    <w:rsid w:val="00D14650"/>
    <w:rsid w:val="00D14F70"/>
    <w:rsid w:val="00D16351"/>
    <w:rsid w:val="00D163A2"/>
    <w:rsid w:val="00D1678D"/>
    <w:rsid w:val="00D17621"/>
    <w:rsid w:val="00D20665"/>
    <w:rsid w:val="00D20A95"/>
    <w:rsid w:val="00D20F46"/>
    <w:rsid w:val="00D21AFC"/>
    <w:rsid w:val="00D22222"/>
    <w:rsid w:val="00D228F7"/>
    <w:rsid w:val="00D243A3"/>
    <w:rsid w:val="00D245C8"/>
    <w:rsid w:val="00D25CA7"/>
    <w:rsid w:val="00D2645E"/>
    <w:rsid w:val="00D305C1"/>
    <w:rsid w:val="00D30C4F"/>
    <w:rsid w:val="00D3129B"/>
    <w:rsid w:val="00D3200B"/>
    <w:rsid w:val="00D3292E"/>
    <w:rsid w:val="00D329BA"/>
    <w:rsid w:val="00D32CBE"/>
    <w:rsid w:val="00D33440"/>
    <w:rsid w:val="00D33EF9"/>
    <w:rsid w:val="00D355FC"/>
    <w:rsid w:val="00D357C0"/>
    <w:rsid w:val="00D371D4"/>
    <w:rsid w:val="00D37D5A"/>
    <w:rsid w:val="00D410B8"/>
    <w:rsid w:val="00D427CC"/>
    <w:rsid w:val="00D42DB4"/>
    <w:rsid w:val="00D44005"/>
    <w:rsid w:val="00D44717"/>
    <w:rsid w:val="00D44CEB"/>
    <w:rsid w:val="00D458EF"/>
    <w:rsid w:val="00D473F5"/>
    <w:rsid w:val="00D503AE"/>
    <w:rsid w:val="00D503BF"/>
    <w:rsid w:val="00D5077E"/>
    <w:rsid w:val="00D50B55"/>
    <w:rsid w:val="00D51560"/>
    <w:rsid w:val="00D517D6"/>
    <w:rsid w:val="00D51D2D"/>
    <w:rsid w:val="00D52EFE"/>
    <w:rsid w:val="00D52FB3"/>
    <w:rsid w:val="00D53FD8"/>
    <w:rsid w:val="00D54108"/>
    <w:rsid w:val="00D554B2"/>
    <w:rsid w:val="00D56A0D"/>
    <w:rsid w:val="00D56A50"/>
    <w:rsid w:val="00D57647"/>
    <w:rsid w:val="00D5767F"/>
    <w:rsid w:val="00D60C8B"/>
    <w:rsid w:val="00D60DCF"/>
    <w:rsid w:val="00D6170A"/>
    <w:rsid w:val="00D61E50"/>
    <w:rsid w:val="00D62D8D"/>
    <w:rsid w:val="00D62EDB"/>
    <w:rsid w:val="00D6364B"/>
    <w:rsid w:val="00D63EF6"/>
    <w:rsid w:val="00D6485E"/>
    <w:rsid w:val="00D64D02"/>
    <w:rsid w:val="00D6542A"/>
    <w:rsid w:val="00D66518"/>
    <w:rsid w:val="00D66B61"/>
    <w:rsid w:val="00D67D61"/>
    <w:rsid w:val="00D706A4"/>
    <w:rsid w:val="00D70DFB"/>
    <w:rsid w:val="00D7176D"/>
    <w:rsid w:val="00D71EEA"/>
    <w:rsid w:val="00D735CD"/>
    <w:rsid w:val="00D73828"/>
    <w:rsid w:val="00D7392C"/>
    <w:rsid w:val="00D73B7C"/>
    <w:rsid w:val="00D73E6A"/>
    <w:rsid w:val="00D74C5A"/>
    <w:rsid w:val="00D74CD5"/>
    <w:rsid w:val="00D75701"/>
    <w:rsid w:val="00D7621C"/>
    <w:rsid w:val="00D762B4"/>
    <w:rsid w:val="00D766DF"/>
    <w:rsid w:val="00D77157"/>
    <w:rsid w:val="00D8178E"/>
    <w:rsid w:val="00D817C2"/>
    <w:rsid w:val="00D8260F"/>
    <w:rsid w:val="00D8265E"/>
    <w:rsid w:val="00D83481"/>
    <w:rsid w:val="00D836BC"/>
    <w:rsid w:val="00D83AF7"/>
    <w:rsid w:val="00D83B22"/>
    <w:rsid w:val="00D849CA"/>
    <w:rsid w:val="00D8507E"/>
    <w:rsid w:val="00D86663"/>
    <w:rsid w:val="00D8797B"/>
    <w:rsid w:val="00D87DA4"/>
    <w:rsid w:val="00D902C7"/>
    <w:rsid w:val="00D908F9"/>
    <w:rsid w:val="00D90DBC"/>
    <w:rsid w:val="00D919C7"/>
    <w:rsid w:val="00D92060"/>
    <w:rsid w:val="00D92971"/>
    <w:rsid w:val="00D9480A"/>
    <w:rsid w:val="00D951D7"/>
    <w:rsid w:val="00D95848"/>
    <w:rsid w:val="00D95891"/>
    <w:rsid w:val="00D967ED"/>
    <w:rsid w:val="00D9687C"/>
    <w:rsid w:val="00DA031D"/>
    <w:rsid w:val="00DA1CB5"/>
    <w:rsid w:val="00DA1D70"/>
    <w:rsid w:val="00DA517F"/>
    <w:rsid w:val="00DA5A26"/>
    <w:rsid w:val="00DA796A"/>
    <w:rsid w:val="00DA7A0F"/>
    <w:rsid w:val="00DB04BF"/>
    <w:rsid w:val="00DB189B"/>
    <w:rsid w:val="00DB1917"/>
    <w:rsid w:val="00DB2737"/>
    <w:rsid w:val="00DB2DAE"/>
    <w:rsid w:val="00DB3999"/>
    <w:rsid w:val="00DB4086"/>
    <w:rsid w:val="00DB462F"/>
    <w:rsid w:val="00DB4AE1"/>
    <w:rsid w:val="00DB4F0A"/>
    <w:rsid w:val="00DB5184"/>
    <w:rsid w:val="00DB5CB4"/>
    <w:rsid w:val="00DB5D25"/>
    <w:rsid w:val="00DB6C11"/>
    <w:rsid w:val="00DB7B4A"/>
    <w:rsid w:val="00DB7CD3"/>
    <w:rsid w:val="00DC09D2"/>
    <w:rsid w:val="00DC2506"/>
    <w:rsid w:val="00DC4DCE"/>
    <w:rsid w:val="00DC5CAA"/>
    <w:rsid w:val="00DC64A6"/>
    <w:rsid w:val="00DC6A48"/>
    <w:rsid w:val="00DC6F31"/>
    <w:rsid w:val="00DC782B"/>
    <w:rsid w:val="00DC79D3"/>
    <w:rsid w:val="00DD0010"/>
    <w:rsid w:val="00DD0826"/>
    <w:rsid w:val="00DD0A6D"/>
    <w:rsid w:val="00DD0C15"/>
    <w:rsid w:val="00DD1462"/>
    <w:rsid w:val="00DD152F"/>
    <w:rsid w:val="00DD175A"/>
    <w:rsid w:val="00DD2525"/>
    <w:rsid w:val="00DD29C3"/>
    <w:rsid w:val="00DD2A45"/>
    <w:rsid w:val="00DD2B2F"/>
    <w:rsid w:val="00DD2BAC"/>
    <w:rsid w:val="00DD2C4C"/>
    <w:rsid w:val="00DD3146"/>
    <w:rsid w:val="00DD3ACF"/>
    <w:rsid w:val="00DD3DCC"/>
    <w:rsid w:val="00DD407D"/>
    <w:rsid w:val="00DD4367"/>
    <w:rsid w:val="00DD586C"/>
    <w:rsid w:val="00DD5EEF"/>
    <w:rsid w:val="00DD6031"/>
    <w:rsid w:val="00DD7259"/>
    <w:rsid w:val="00DE0E83"/>
    <w:rsid w:val="00DE1284"/>
    <w:rsid w:val="00DE149E"/>
    <w:rsid w:val="00DE1D3C"/>
    <w:rsid w:val="00DE2176"/>
    <w:rsid w:val="00DE278F"/>
    <w:rsid w:val="00DE30AA"/>
    <w:rsid w:val="00DE4792"/>
    <w:rsid w:val="00DE484F"/>
    <w:rsid w:val="00DE4CA5"/>
    <w:rsid w:val="00DE5684"/>
    <w:rsid w:val="00DE684C"/>
    <w:rsid w:val="00DF0472"/>
    <w:rsid w:val="00DF1A4C"/>
    <w:rsid w:val="00DF249C"/>
    <w:rsid w:val="00DF267D"/>
    <w:rsid w:val="00DF28AB"/>
    <w:rsid w:val="00DF49CB"/>
    <w:rsid w:val="00DF554C"/>
    <w:rsid w:val="00DF7932"/>
    <w:rsid w:val="00E0035D"/>
    <w:rsid w:val="00E00898"/>
    <w:rsid w:val="00E00C22"/>
    <w:rsid w:val="00E00D6A"/>
    <w:rsid w:val="00E014B4"/>
    <w:rsid w:val="00E02102"/>
    <w:rsid w:val="00E0382E"/>
    <w:rsid w:val="00E05704"/>
    <w:rsid w:val="00E07E0B"/>
    <w:rsid w:val="00E104D3"/>
    <w:rsid w:val="00E1258C"/>
    <w:rsid w:val="00E12D6B"/>
    <w:rsid w:val="00E12F1A"/>
    <w:rsid w:val="00E12F6F"/>
    <w:rsid w:val="00E133E8"/>
    <w:rsid w:val="00E13D70"/>
    <w:rsid w:val="00E14698"/>
    <w:rsid w:val="00E15561"/>
    <w:rsid w:val="00E1604B"/>
    <w:rsid w:val="00E162A3"/>
    <w:rsid w:val="00E172FD"/>
    <w:rsid w:val="00E201C6"/>
    <w:rsid w:val="00E2026A"/>
    <w:rsid w:val="00E20947"/>
    <w:rsid w:val="00E20E1E"/>
    <w:rsid w:val="00E21CFB"/>
    <w:rsid w:val="00E21E5D"/>
    <w:rsid w:val="00E22935"/>
    <w:rsid w:val="00E22E21"/>
    <w:rsid w:val="00E26552"/>
    <w:rsid w:val="00E31CEF"/>
    <w:rsid w:val="00E32012"/>
    <w:rsid w:val="00E32116"/>
    <w:rsid w:val="00E32818"/>
    <w:rsid w:val="00E330C7"/>
    <w:rsid w:val="00E3332B"/>
    <w:rsid w:val="00E3445F"/>
    <w:rsid w:val="00E37330"/>
    <w:rsid w:val="00E37A3E"/>
    <w:rsid w:val="00E37A93"/>
    <w:rsid w:val="00E411E9"/>
    <w:rsid w:val="00E43A7A"/>
    <w:rsid w:val="00E443E0"/>
    <w:rsid w:val="00E443E3"/>
    <w:rsid w:val="00E44B24"/>
    <w:rsid w:val="00E4525B"/>
    <w:rsid w:val="00E45F65"/>
    <w:rsid w:val="00E476A0"/>
    <w:rsid w:val="00E516DC"/>
    <w:rsid w:val="00E5325D"/>
    <w:rsid w:val="00E54292"/>
    <w:rsid w:val="00E546BA"/>
    <w:rsid w:val="00E54AE8"/>
    <w:rsid w:val="00E55C9F"/>
    <w:rsid w:val="00E55D9D"/>
    <w:rsid w:val="00E56CF9"/>
    <w:rsid w:val="00E600A1"/>
    <w:rsid w:val="00E60191"/>
    <w:rsid w:val="00E60243"/>
    <w:rsid w:val="00E60B3E"/>
    <w:rsid w:val="00E623F5"/>
    <w:rsid w:val="00E63798"/>
    <w:rsid w:val="00E6522E"/>
    <w:rsid w:val="00E654B5"/>
    <w:rsid w:val="00E66792"/>
    <w:rsid w:val="00E67F78"/>
    <w:rsid w:val="00E719BB"/>
    <w:rsid w:val="00E71A23"/>
    <w:rsid w:val="00E72A5E"/>
    <w:rsid w:val="00E72B30"/>
    <w:rsid w:val="00E74DC7"/>
    <w:rsid w:val="00E80348"/>
    <w:rsid w:val="00E80CFF"/>
    <w:rsid w:val="00E81EA3"/>
    <w:rsid w:val="00E82E4F"/>
    <w:rsid w:val="00E8422C"/>
    <w:rsid w:val="00E848D1"/>
    <w:rsid w:val="00E85EBD"/>
    <w:rsid w:val="00E86EB7"/>
    <w:rsid w:val="00E87699"/>
    <w:rsid w:val="00E90208"/>
    <w:rsid w:val="00E91A6F"/>
    <w:rsid w:val="00E91E5C"/>
    <w:rsid w:val="00E92DE5"/>
    <w:rsid w:val="00E92E27"/>
    <w:rsid w:val="00E94FCF"/>
    <w:rsid w:val="00E9586B"/>
    <w:rsid w:val="00E95D59"/>
    <w:rsid w:val="00E96345"/>
    <w:rsid w:val="00E97334"/>
    <w:rsid w:val="00EA05B4"/>
    <w:rsid w:val="00EA0D36"/>
    <w:rsid w:val="00EA18BD"/>
    <w:rsid w:val="00EA1B32"/>
    <w:rsid w:val="00EA271C"/>
    <w:rsid w:val="00EA2A2B"/>
    <w:rsid w:val="00EA3136"/>
    <w:rsid w:val="00EA4887"/>
    <w:rsid w:val="00EA4FA9"/>
    <w:rsid w:val="00EA529D"/>
    <w:rsid w:val="00EA67B1"/>
    <w:rsid w:val="00EA75E5"/>
    <w:rsid w:val="00EB1331"/>
    <w:rsid w:val="00EB18BD"/>
    <w:rsid w:val="00EB225D"/>
    <w:rsid w:val="00EB2BC1"/>
    <w:rsid w:val="00EB4FDC"/>
    <w:rsid w:val="00EB76D0"/>
    <w:rsid w:val="00EB7CD8"/>
    <w:rsid w:val="00EC1951"/>
    <w:rsid w:val="00EC1BD7"/>
    <w:rsid w:val="00EC2505"/>
    <w:rsid w:val="00EC2A41"/>
    <w:rsid w:val="00EC2C94"/>
    <w:rsid w:val="00EC2E33"/>
    <w:rsid w:val="00EC304D"/>
    <w:rsid w:val="00EC34BB"/>
    <w:rsid w:val="00EC4DEB"/>
    <w:rsid w:val="00EC4E4B"/>
    <w:rsid w:val="00EC56BB"/>
    <w:rsid w:val="00EC56CF"/>
    <w:rsid w:val="00EC5912"/>
    <w:rsid w:val="00EC601A"/>
    <w:rsid w:val="00EC68F2"/>
    <w:rsid w:val="00EC699D"/>
    <w:rsid w:val="00EC6D2A"/>
    <w:rsid w:val="00EC76FB"/>
    <w:rsid w:val="00EC77FC"/>
    <w:rsid w:val="00EC7FE6"/>
    <w:rsid w:val="00ED10ED"/>
    <w:rsid w:val="00ED1430"/>
    <w:rsid w:val="00ED2691"/>
    <w:rsid w:val="00ED3280"/>
    <w:rsid w:val="00ED35F3"/>
    <w:rsid w:val="00ED37B4"/>
    <w:rsid w:val="00ED4928"/>
    <w:rsid w:val="00ED6EB8"/>
    <w:rsid w:val="00ED6FEC"/>
    <w:rsid w:val="00EE0801"/>
    <w:rsid w:val="00EE18DB"/>
    <w:rsid w:val="00EE242E"/>
    <w:rsid w:val="00EE2734"/>
    <w:rsid w:val="00EE2B4A"/>
    <w:rsid w:val="00EE3749"/>
    <w:rsid w:val="00EE4BB3"/>
    <w:rsid w:val="00EE6190"/>
    <w:rsid w:val="00EE62B9"/>
    <w:rsid w:val="00EF119B"/>
    <w:rsid w:val="00EF2E3A"/>
    <w:rsid w:val="00EF307F"/>
    <w:rsid w:val="00EF6402"/>
    <w:rsid w:val="00EF6B3C"/>
    <w:rsid w:val="00EF6FD2"/>
    <w:rsid w:val="00EF7174"/>
    <w:rsid w:val="00EF7298"/>
    <w:rsid w:val="00EF774C"/>
    <w:rsid w:val="00F00088"/>
    <w:rsid w:val="00F00440"/>
    <w:rsid w:val="00F008E2"/>
    <w:rsid w:val="00F00C2F"/>
    <w:rsid w:val="00F02269"/>
    <w:rsid w:val="00F025DF"/>
    <w:rsid w:val="00F02A56"/>
    <w:rsid w:val="00F047E2"/>
    <w:rsid w:val="00F04D57"/>
    <w:rsid w:val="00F04D79"/>
    <w:rsid w:val="00F04EE0"/>
    <w:rsid w:val="00F05111"/>
    <w:rsid w:val="00F060F3"/>
    <w:rsid w:val="00F06128"/>
    <w:rsid w:val="00F06538"/>
    <w:rsid w:val="00F066F2"/>
    <w:rsid w:val="00F078DC"/>
    <w:rsid w:val="00F07D85"/>
    <w:rsid w:val="00F111D5"/>
    <w:rsid w:val="00F1141D"/>
    <w:rsid w:val="00F11BA7"/>
    <w:rsid w:val="00F123B6"/>
    <w:rsid w:val="00F126C3"/>
    <w:rsid w:val="00F12B2D"/>
    <w:rsid w:val="00F133C7"/>
    <w:rsid w:val="00F13E86"/>
    <w:rsid w:val="00F13F79"/>
    <w:rsid w:val="00F14907"/>
    <w:rsid w:val="00F14A10"/>
    <w:rsid w:val="00F157E5"/>
    <w:rsid w:val="00F171FD"/>
    <w:rsid w:val="00F17321"/>
    <w:rsid w:val="00F17987"/>
    <w:rsid w:val="00F20750"/>
    <w:rsid w:val="00F21934"/>
    <w:rsid w:val="00F2193B"/>
    <w:rsid w:val="00F22A64"/>
    <w:rsid w:val="00F22B27"/>
    <w:rsid w:val="00F22FD2"/>
    <w:rsid w:val="00F23F89"/>
    <w:rsid w:val="00F241BE"/>
    <w:rsid w:val="00F2603E"/>
    <w:rsid w:val="00F265BD"/>
    <w:rsid w:val="00F27D7E"/>
    <w:rsid w:val="00F30330"/>
    <w:rsid w:val="00F31E06"/>
    <w:rsid w:val="00F32FCB"/>
    <w:rsid w:val="00F335DF"/>
    <w:rsid w:val="00F33D8D"/>
    <w:rsid w:val="00F346BC"/>
    <w:rsid w:val="00F35166"/>
    <w:rsid w:val="00F36150"/>
    <w:rsid w:val="00F3658A"/>
    <w:rsid w:val="00F37009"/>
    <w:rsid w:val="00F40D97"/>
    <w:rsid w:val="00F41DE6"/>
    <w:rsid w:val="00F42B61"/>
    <w:rsid w:val="00F43577"/>
    <w:rsid w:val="00F43D37"/>
    <w:rsid w:val="00F453F1"/>
    <w:rsid w:val="00F4588B"/>
    <w:rsid w:val="00F463FF"/>
    <w:rsid w:val="00F4651F"/>
    <w:rsid w:val="00F46E40"/>
    <w:rsid w:val="00F51B59"/>
    <w:rsid w:val="00F52CE1"/>
    <w:rsid w:val="00F52DA7"/>
    <w:rsid w:val="00F54F4C"/>
    <w:rsid w:val="00F55972"/>
    <w:rsid w:val="00F56AF1"/>
    <w:rsid w:val="00F56ED8"/>
    <w:rsid w:val="00F60160"/>
    <w:rsid w:val="00F602D3"/>
    <w:rsid w:val="00F60C0B"/>
    <w:rsid w:val="00F6111A"/>
    <w:rsid w:val="00F62CD4"/>
    <w:rsid w:val="00F6344C"/>
    <w:rsid w:val="00F63C45"/>
    <w:rsid w:val="00F63D25"/>
    <w:rsid w:val="00F65209"/>
    <w:rsid w:val="00F66DE0"/>
    <w:rsid w:val="00F6709F"/>
    <w:rsid w:val="00F677A9"/>
    <w:rsid w:val="00F67B04"/>
    <w:rsid w:val="00F7076B"/>
    <w:rsid w:val="00F709A7"/>
    <w:rsid w:val="00F719CE"/>
    <w:rsid w:val="00F71FF0"/>
    <w:rsid w:val="00F723BD"/>
    <w:rsid w:val="00F732EA"/>
    <w:rsid w:val="00F735E8"/>
    <w:rsid w:val="00F7367F"/>
    <w:rsid w:val="00F74957"/>
    <w:rsid w:val="00F75B1C"/>
    <w:rsid w:val="00F764C3"/>
    <w:rsid w:val="00F76CC2"/>
    <w:rsid w:val="00F80A7B"/>
    <w:rsid w:val="00F823D9"/>
    <w:rsid w:val="00F842E3"/>
    <w:rsid w:val="00F84CF5"/>
    <w:rsid w:val="00F859A7"/>
    <w:rsid w:val="00F860B3"/>
    <w:rsid w:val="00F8612E"/>
    <w:rsid w:val="00F875EC"/>
    <w:rsid w:val="00F90007"/>
    <w:rsid w:val="00F901B3"/>
    <w:rsid w:val="00F906E6"/>
    <w:rsid w:val="00F908EF"/>
    <w:rsid w:val="00F90D3F"/>
    <w:rsid w:val="00F92104"/>
    <w:rsid w:val="00F928AA"/>
    <w:rsid w:val="00F92F27"/>
    <w:rsid w:val="00F94378"/>
    <w:rsid w:val="00F9520B"/>
    <w:rsid w:val="00F95760"/>
    <w:rsid w:val="00F95AF5"/>
    <w:rsid w:val="00F96724"/>
    <w:rsid w:val="00F9766B"/>
    <w:rsid w:val="00FA015E"/>
    <w:rsid w:val="00FA0AD5"/>
    <w:rsid w:val="00FA2DAE"/>
    <w:rsid w:val="00FA35D9"/>
    <w:rsid w:val="00FA420B"/>
    <w:rsid w:val="00FA47F1"/>
    <w:rsid w:val="00FA5708"/>
    <w:rsid w:val="00FA5C8C"/>
    <w:rsid w:val="00FA605C"/>
    <w:rsid w:val="00FB05CD"/>
    <w:rsid w:val="00FB0FD0"/>
    <w:rsid w:val="00FB1C68"/>
    <w:rsid w:val="00FB1E4D"/>
    <w:rsid w:val="00FB2048"/>
    <w:rsid w:val="00FB2056"/>
    <w:rsid w:val="00FB30DC"/>
    <w:rsid w:val="00FB3131"/>
    <w:rsid w:val="00FB4244"/>
    <w:rsid w:val="00FB44B1"/>
    <w:rsid w:val="00FB481A"/>
    <w:rsid w:val="00FB57BF"/>
    <w:rsid w:val="00FB63E5"/>
    <w:rsid w:val="00FB6D65"/>
    <w:rsid w:val="00FB7B20"/>
    <w:rsid w:val="00FC16FA"/>
    <w:rsid w:val="00FC1B6F"/>
    <w:rsid w:val="00FC28D2"/>
    <w:rsid w:val="00FC49B4"/>
    <w:rsid w:val="00FC5CAE"/>
    <w:rsid w:val="00FC676A"/>
    <w:rsid w:val="00FC6B5B"/>
    <w:rsid w:val="00FC7A8F"/>
    <w:rsid w:val="00FC7CB0"/>
    <w:rsid w:val="00FD00E9"/>
    <w:rsid w:val="00FD03BE"/>
    <w:rsid w:val="00FD0DC0"/>
    <w:rsid w:val="00FD111B"/>
    <w:rsid w:val="00FD1135"/>
    <w:rsid w:val="00FD1140"/>
    <w:rsid w:val="00FD24B2"/>
    <w:rsid w:val="00FD286B"/>
    <w:rsid w:val="00FD4163"/>
    <w:rsid w:val="00FD5192"/>
    <w:rsid w:val="00FD5D25"/>
    <w:rsid w:val="00FD600D"/>
    <w:rsid w:val="00FD6CA0"/>
    <w:rsid w:val="00FE0742"/>
    <w:rsid w:val="00FE0781"/>
    <w:rsid w:val="00FE2C9A"/>
    <w:rsid w:val="00FE32D1"/>
    <w:rsid w:val="00FE3F24"/>
    <w:rsid w:val="00FE412F"/>
    <w:rsid w:val="00FE45C4"/>
    <w:rsid w:val="00FE4843"/>
    <w:rsid w:val="00FE58C3"/>
    <w:rsid w:val="00FE5F52"/>
    <w:rsid w:val="00FE6491"/>
    <w:rsid w:val="00FE679C"/>
    <w:rsid w:val="00FE721D"/>
    <w:rsid w:val="00FE7F64"/>
    <w:rsid w:val="00FF0B35"/>
    <w:rsid w:val="00FF19B1"/>
    <w:rsid w:val="00FF3061"/>
    <w:rsid w:val="00FF39DE"/>
    <w:rsid w:val="00FF4CBA"/>
    <w:rsid w:val="00FF5DC3"/>
    <w:rsid w:val="00FF6A34"/>
    <w:rsid w:val="00FF6E0E"/>
    <w:rsid w:val="00FF7FBF"/>
    <w:rsid w:val="0B0762A3"/>
    <w:rsid w:val="1302CAC9"/>
    <w:rsid w:val="13D83DDA"/>
    <w:rsid w:val="1646BB4B"/>
    <w:rsid w:val="2612F0F3"/>
    <w:rsid w:val="2674CB9A"/>
    <w:rsid w:val="2E6FDE80"/>
    <w:rsid w:val="3758E4FA"/>
    <w:rsid w:val="4D04BD43"/>
    <w:rsid w:val="536B53A7"/>
    <w:rsid w:val="55F8015E"/>
    <w:rsid w:val="5D5F900B"/>
    <w:rsid w:val="613FC81E"/>
    <w:rsid w:val="648C56FA"/>
    <w:rsid w:val="6806EDCC"/>
    <w:rsid w:val="69A5749B"/>
    <w:rsid w:val="6A5C941F"/>
    <w:rsid w:val="6C410448"/>
    <w:rsid w:val="73A762BE"/>
    <w:rsid w:val="7BAF1AA4"/>
    <w:rsid w:val="7CC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C23E"/>
  <w15:docId w15:val="{1380F660-8737-49BF-A742-8E1CB86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A1C"/>
  </w:style>
  <w:style w:type="paragraph" w:customStyle="1" w:styleId="OPCParaBase">
    <w:name w:val="OPCParaBase"/>
    <w:qFormat/>
    <w:rsid w:val="00C73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A1C"/>
  </w:style>
  <w:style w:type="paragraph" w:customStyle="1" w:styleId="Blocks">
    <w:name w:val="Blocks"/>
    <w:aliases w:val="bb"/>
    <w:basedOn w:val="OPCParaBase"/>
    <w:qFormat/>
    <w:rsid w:val="00C73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A1C"/>
    <w:rPr>
      <w:i/>
    </w:rPr>
  </w:style>
  <w:style w:type="paragraph" w:customStyle="1" w:styleId="BoxList">
    <w:name w:val="BoxList"/>
    <w:aliases w:val="bl"/>
    <w:basedOn w:val="BoxText"/>
    <w:qFormat/>
    <w:rsid w:val="00C73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A1C"/>
    <w:pPr>
      <w:ind w:left="1985" w:hanging="851"/>
    </w:pPr>
  </w:style>
  <w:style w:type="character" w:customStyle="1" w:styleId="CharAmPartNo">
    <w:name w:val="CharAmPartNo"/>
    <w:basedOn w:val="OPCCharBase"/>
    <w:qFormat/>
    <w:rsid w:val="00C73A1C"/>
  </w:style>
  <w:style w:type="character" w:customStyle="1" w:styleId="CharAmPartText">
    <w:name w:val="CharAmPartText"/>
    <w:basedOn w:val="OPCCharBase"/>
    <w:qFormat/>
    <w:rsid w:val="00C73A1C"/>
  </w:style>
  <w:style w:type="character" w:customStyle="1" w:styleId="CharAmSchNo">
    <w:name w:val="CharAmSchNo"/>
    <w:basedOn w:val="OPCCharBase"/>
    <w:qFormat/>
    <w:rsid w:val="00C73A1C"/>
  </w:style>
  <w:style w:type="character" w:customStyle="1" w:styleId="CharAmSchText">
    <w:name w:val="CharAmSchText"/>
    <w:basedOn w:val="OPCCharBase"/>
    <w:qFormat/>
    <w:rsid w:val="00C73A1C"/>
  </w:style>
  <w:style w:type="character" w:customStyle="1" w:styleId="CharBoldItalic">
    <w:name w:val="CharBoldItalic"/>
    <w:basedOn w:val="OPCCharBase"/>
    <w:uiPriority w:val="1"/>
    <w:qFormat/>
    <w:rsid w:val="00C73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A1C"/>
  </w:style>
  <w:style w:type="character" w:customStyle="1" w:styleId="CharChapText">
    <w:name w:val="CharChapText"/>
    <w:basedOn w:val="OPCCharBase"/>
    <w:uiPriority w:val="1"/>
    <w:qFormat/>
    <w:rsid w:val="00C73A1C"/>
  </w:style>
  <w:style w:type="character" w:customStyle="1" w:styleId="CharDivNo">
    <w:name w:val="CharDivNo"/>
    <w:basedOn w:val="OPCCharBase"/>
    <w:uiPriority w:val="1"/>
    <w:qFormat/>
    <w:rsid w:val="00C73A1C"/>
  </w:style>
  <w:style w:type="character" w:customStyle="1" w:styleId="CharDivText">
    <w:name w:val="CharDivText"/>
    <w:basedOn w:val="OPCCharBase"/>
    <w:uiPriority w:val="1"/>
    <w:qFormat/>
    <w:rsid w:val="00C73A1C"/>
  </w:style>
  <w:style w:type="character" w:customStyle="1" w:styleId="CharItalic">
    <w:name w:val="CharItalic"/>
    <w:basedOn w:val="OPCCharBase"/>
    <w:uiPriority w:val="1"/>
    <w:qFormat/>
    <w:rsid w:val="00C73A1C"/>
    <w:rPr>
      <w:i/>
    </w:rPr>
  </w:style>
  <w:style w:type="character" w:customStyle="1" w:styleId="CharPartNo">
    <w:name w:val="CharPartNo"/>
    <w:basedOn w:val="OPCCharBase"/>
    <w:uiPriority w:val="1"/>
    <w:qFormat/>
    <w:rsid w:val="00C73A1C"/>
  </w:style>
  <w:style w:type="character" w:customStyle="1" w:styleId="CharPartText">
    <w:name w:val="CharPartText"/>
    <w:basedOn w:val="OPCCharBase"/>
    <w:uiPriority w:val="1"/>
    <w:qFormat/>
    <w:rsid w:val="00C73A1C"/>
  </w:style>
  <w:style w:type="character" w:customStyle="1" w:styleId="CharSectno">
    <w:name w:val="CharSectno"/>
    <w:basedOn w:val="OPCCharBase"/>
    <w:qFormat/>
    <w:rsid w:val="00C73A1C"/>
  </w:style>
  <w:style w:type="character" w:customStyle="1" w:styleId="CharSubdNo">
    <w:name w:val="CharSubdNo"/>
    <w:basedOn w:val="OPCCharBase"/>
    <w:uiPriority w:val="1"/>
    <w:qFormat/>
    <w:rsid w:val="00C73A1C"/>
  </w:style>
  <w:style w:type="character" w:customStyle="1" w:styleId="CharSubdText">
    <w:name w:val="CharSubdText"/>
    <w:basedOn w:val="OPCCharBase"/>
    <w:uiPriority w:val="1"/>
    <w:qFormat/>
    <w:rsid w:val="00C73A1C"/>
  </w:style>
  <w:style w:type="paragraph" w:customStyle="1" w:styleId="CTA--">
    <w:name w:val="CTA --"/>
    <w:basedOn w:val="OPCParaBase"/>
    <w:next w:val="Normal"/>
    <w:rsid w:val="00C73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087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A1C"/>
    <w:rPr>
      <w:sz w:val="16"/>
    </w:rPr>
  </w:style>
  <w:style w:type="table" w:customStyle="1" w:styleId="CFlag">
    <w:name w:val="CFlag"/>
    <w:basedOn w:val="TableNormal"/>
    <w:uiPriority w:val="99"/>
    <w:rsid w:val="00C73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A1C"/>
    <w:pPr>
      <w:spacing w:before="120"/>
    </w:pPr>
  </w:style>
  <w:style w:type="paragraph" w:customStyle="1" w:styleId="CompiledActNo">
    <w:name w:val="CompiledActNo"/>
    <w:basedOn w:val="OPCParaBase"/>
    <w:next w:val="Normal"/>
    <w:rsid w:val="00C73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C73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A1C"/>
  </w:style>
  <w:style w:type="character" w:customStyle="1" w:styleId="CharSubPartNoCASA">
    <w:name w:val="CharSubPartNo(CASA)"/>
    <w:basedOn w:val="OPCCharBase"/>
    <w:uiPriority w:val="1"/>
    <w:rsid w:val="00C73A1C"/>
  </w:style>
  <w:style w:type="paragraph" w:customStyle="1" w:styleId="ENoteTTIndentHeadingSub">
    <w:name w:val="ENoteTTIndentHeadingSub"/>
    <w:aliases w:val="enTTHis"/>
    <w:basedOn w:val="OPCParaBase"/>
    <w:rsid w:val="00C73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A1C"/>
    <w:rPr>
      <w:sz w:val="22"/>
    </w:rPr>
  </w:style>
  <w:style w:type="paragraph" w:customStyle="1" w:styleId="SOTextNote">
    <w:name w:val="SO TextNote"/>
    <w:aliases w:val="sont"/>
    <w:basedOn w:val="SOText"/>
    <w:qFormat/>
    <w:rsid w:val="00C73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A1C"/>
    <w:rPr>
      <w:sz w:val="22"/>
    </w:rPr>
  </w:style>
  <w:style w:type="paragraph" w:customStyle="1" w:styleId="FileName">
    <w:name w:val="FileName"/>
    <w:basedOn w:val="Normal"/>
    <w:rsid w:val="00C73A1C"/>
  </w:style>
  <w:style w:type="paragraph" w:customStyle="1" w:styleId="TableHeading">
    <w:name w:val="TableHeading"/>
    <w:aliases w:val="th"/>
    <w:basedOn w:val="OPCParaBase"/>
    <w:next w:val="Tabletext"/>
    <w:rsid w:val="00C73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A1C"/>
  </w:style>
  <w:style w:type="character" w:customStyle="1" w:styleId="charlegsubtitle1">
    <w:name w:val="charlegsubtitle1"/>
    <w:basedOn w:val="DefaultParagraphFont"/>
    <w:rsid w:val="00C73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A1C"/>
    <w:pPr>
      <w:ind w:left="240" w:hanging="240"/>
    </w:pPr>
  </w:style>
  <w:style w:type="paragraph" w:styleId="Index2">
    <w:name w:val="index 2"/>
    <w:basedOn w:val="Normal"/>
    <w:next w:val="Normal"/>
    <w:autoRedefine/>
    <w:rsid w:val="00C73A1C"/>
    <w:pPr>
      <w:ind w:left="480" w:hanging="240"/>
    </w:pPr>
  </w:style>
  <w:style w:type="paragraph" w:styleId="Index3">
    <w:name w:val="index 3"/>
    <w:basedOn w:val="Normal"/>
    <w:next w:val="Normal"/>
    <w:autoRedefine/>
    <w:rsid w:val="00C73A1C"/>
    <w:pPr>
      <w:ind w:left="720" w:hanging="240"/>
    </w:pPr>
  </w:style>
  <w:style w:type="paragraph" w:styleId="Index4">
    <w:name w:val="index 4"/>
    <w:basedOn w:val="Normal"/>
    <w:next w:val="Normal"/>
    <w:autoRedefine/>
    <w:rsid w:val="00C73A1C"/>
    <w:pPr>
      <w:ind w:left="960" w:hanging="240"/>
    </w:pPr>
  </w:style>
  <w:style w:type="paragraph" w:styleId="Index5">
    <w:name w:val="index 5"/>
    <w:basedOn w:val="Normal"/>
    <w:next w:val="Normal"/>
    <w:autoRedefine/>
    <w:rsid w:val="00C73A1C"/>
    <w:pPr>
      <w:ind w:left="1200" w:hanging="240"/>
    </w:pPr>
  </w:style>
  <w:style w:type="paragraph" w:styleId="Index6">
    <w:name w:val="index 6"/>
    <w:basedOn w:val="Normal"/>
    <w:next w:val="Normal"/>
    <w:autoRedefine/>
    <w:rsid w:val="00C73A1C"/>
    <w:pPr>
      <w:ind w:left="1440" w:hanging="240"/>
    </w:pPr>
  </w:style>
  <w:style w:type="paragraph" w:styleId="Index7">
    <w:name w:val="index 7"/>
    <w:basedOn w:val="Normal"/>
    <w:next w:val="Normal"/>
    <w:autoRedefine/>
    <w:rsid w:val="00C73A1C"/>
    <w:pPr>
      <w:ind w:left="1680" w:hanging="240"/>
    </w:pPr>
  </w:style>
  <w:style w:type="paragraph" w:styleId="Index8">
    <w:name w:val="index 8"/>
    <w:basedOn w:val="Normal"/>
    <w:next w:val="Normal"/>
    <w:autoRedefine/>
    <w:rsid w:val="00C73A1C"/>
    <w:pPr>
      <w:ind w:left="1920" w:hanging="240"/>
    </w:pPr>
  </w:style>
  <w:style w:type="paragraph" w:styleId="Index9">
    <w:name w:val="index 9"/>
    <w:basedOn w:val="Normal"/>
    <w:next w:val="Normal"/>
    <w:autoRedefine/>
    <w:rsid w:val="00C73A1C"/>
    <w:pPr>
      <w:ind w:left="2160" w:hanging="240"/>
    </w:pPr>
  </w:style>
  <w:style w:type="paragraph" w:styleId="NormalIndent">
    <w:name w:val="Normal Indent"/>
    <w:basedOn w:val="Normal"/>
    <w:rsid w:val="00C73A1C"/>
    <w:pPr>
      <w:ind w:left="720"/>
    </w:pPr>
  </w:style>
  <w:style w:type="paragraph" w:styleId="FootnoteText">
    <w:name w:val="footnote text"/>
    <w:basedOn w:val="Normal"/>
    <w:link w:val="FootnoteTextChar"/>
    <w:rsid w:val="00C73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A1C"/>
  </w:style>
  <w:style w:type="paragraph" w:styleId="CommentText">
    <w:name w:val="annotation text"/>
    <w:basedOn w:val="Normal"/>
    <w:link w:val="CommentTextChar"/>
    <w:rsid w:val="00C73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A1C"/>
  </w:style>
  <w:style w:type="paragraph" w:styleId="IndexHeading">
    <w:name w:val="index heading"/>
    <w:basedOn w:val="Normal"/>
    <w:next w:val="Index1"/>
    <w:rsid w:val="00C73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A1C"/>
    <w:pPr>
      <w:ind w:left="480" w:hanging="480"/>
    </w:pPr>
  </w:style>
  <w:style w:type="paragraph" w:styleId="EnvelopeAddress">
    <w:name w:val="envelope address"/>
    <w:basedOn w:val="Normal"/>
    <w:rsid w:val="00C73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A1C"/>
    <w:rPr>
      <w:sz w:val="16"/>
      <w:szCs w:val="16"/>
    </w:rPr>
  </w:style>
  <w:style w:type="character" w:styleId="PageNumber">
    <w:name w:val="page number"/>
    <w:basedOn w:val="DefaultParagraphFont"/>
    <w:rsid w:val="00C73A1C"/>
  </w:style>
  <w:style w:type="character" w:styleId="EndnoteReference">
    <w:name w:val="endnote reference"/>
    <w:basedOn w:val="DefaultParagraphFont"/>
    <w:rsid w:val="00C73A1C"/>
    <w:rPr>
      <w:vertAlign w:val="superscript"/>
    </w:rPr>
  </w:style>
  <w:style w:type="paragraph" w:styleId="EndnoteText">
    <w:name w:val="endnote text"/>
    <w:basedOn w:val="Normal"/>
    <w:link w:val="EndnoteTextChar"/>
    <w:rsid w:val="00C73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A1C"/>
  </w:style>
  <w:style w:type="paragraph" w:styleId="TableofAuthorities">
    <w:name w:val="table of authorities"/>
    <w:basedOn w:val="Normal"/>
    <w:next w:val="Normal"/>
    <w:rsid w:val="00C73A1C"/>
    <w:pPr>
      <w:ind w:left="240" w:hanging="240"/>
    </w:pPr>
  </w:style>
  <w:style w:type="paragraph" w:styleId="MacroText">
    <w:name w:val="macro"/>
    <w:link w:val="MacroTextChar"/>
    <w:rsid w:val="00C73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A1C"/>
    <w:pPr>
      <w:ind w:left="283" w:hanging="283"/>
    </w:pPr>
  </w:style>
  <w:style w:type="paragraph" w:styleId="ListBullet">
    <w:name w:val="List Bullet"/>
    <w:basedOn w:val="Normal"/>
    <w:autoRedefine/>
    <w:rsid w:val="00C73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A1C"/>
    <w:pPr>
      <w:ind w:left="566" w:hanging="283"/>
    </w:pPr>
  </w:style>
  <w:style w:type="paragraph" w:styleId="List3">
    <w:name w:val="List 3"/>
    <w:basedOn w:val="Normal"/>
    <w:rsid w:val="00C73A1C"/>
    <w:pPr>
      <w:ind w:left="849" w:hanging="283"/>
    </w:pPr>
  </w:style>
  <w:style w:type="paragraph" w:styleId="List4">
    <w:name w:val="List 4"/>
    <w:basedOn w:val="Normal"/>
    <w:rsid w:val="00C73A1C"/>
    <w:pPr>
      <w:ind w:left="1132" w:hanging="283"/>
    </w:pPr>
  </w:style>
  <w:style w:type="paragraph" w:styleId="List5">
    <w:name w:val="List 5"/>
    <w:basedOn w:val="Normal"/>
    <w:rsid w:val="00C73A1C"/>
    <w:pPr>
      <w:ind w:left="1415" w:hanging="283"/>
    </w:pPr>
  </w:style>
  <w:style w:type="paragraph" w:styleId="ListBullet2">
    <w:name w:val="List Bullet 2"/>
    <w:basedOn w:val="Normal"/>
    <w:autoRedefine/>
    <w:rsid w:val="00C73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A1C"/>
    <w:pPr>
      <w:ind w:left="4252"/>
    </w:pPr>
  </w:style>
  <w:style w:type="character" w:customStyle="1" w:styleId="ClosingChar">
    <w:name w:val="Closing Char"/>
    <w:basedOn w:val="DefaultParagraphFont"/>
    <w:link w:val="Closing"/>
    <w:rsid w:val="00C73A1C"/>
    <w:rPr>
      <w:sz w:val="22"/>
    </w:rPr>
  </w:style>
  <w:style w:type="paragraph" w:styleId="Signature">
    <w:name w:val="Signature"/>
    <w:basedOn w:val="Normal"/>
    <w:link w:val="SignatureChar"/>
    <w:rsid w:val="00C73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A1C"/>
    <w:rPr>
      <w:sz w:val="22"/>
    </w:rPr>
  </w:style>
  <w:style w:type="paragraph" w:styleId="BodyText">
    <w:name w:val="Body Text"/>
    <w:basedOn w:val="Normal"/>
    <w:link w:val="BodyTextChar"/>
    <w:rsid w:val="00C73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A1C"/>
    <w:rPr>
      <w:sz w:val="22"/>
    </w:rPr>
  </w:style>
  <w:style w:type="paragraph" w:styleId="BodyTextIndent">
    <w:name w:val="Body Text Indent"/>
    <w:basedOn w:val="Normal"/>
    <w:link w:val="BodyTextIndentChar"/>
    <w:rsid w:val="00C73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A1C"/>
    <w:rPr>
      <w:sz w:val="22"/>
    </w:rPr>
  </w:style>
  <w:style w:type="paragraph" w:styleId="ListContinue">
    <w:name w:val="List Continue"/>
    <w:basedOn w:val="Normal"/>
    <w:rsid w:val="00C73A1C"/>
    <w:pPr>
      <w:spacing w:after="120"/>
      <w:ind w:left="283"/>
    </w:pPr>
  </w:style>
  <w:style w:type="paragraph" w:styleId="ListContinue2">
    <w:name w:val="List Continue 2"/>
    <w:basedOn w:val="Normal"/>
    <w:rsid w:val="00C73A1C"/>
    <w:pPr>
      <w:spacing w:after="120"/>
      <w:ind w:left="566"/>
    </w:pPr>
  </w:style>
  <w:style w:type="paragraph" w:styleId="ListContinue3">
    <w:name w:val="List Continue 3"/>
    <w:basedOn w:val="Normal"/>
    <w:rsid w:val="00C73A1C"/>
    <w:pPr>
      <w:spacing w:after="120"/>
      <w:ind w:left="849"/>
    </w:pPr>
  </w:style>
  <w:style w:type="paragraph" w:styleId="ListContinue4">
    <w:name w:val="List Continue 4"/>
    <w:basedOn w:val="Normal"/>
    <w:rsid w:val="00C73A1C"/>
    <w:pPr>
      <w:spacing w:after="120"/>
      <w:ind w:left="1132"/>
    </w:pPr>
  </w:style>
  <w:style w:type="paragraph" w:styleId="ListContinue5">
    <w:name w:val="List Continue 5"/>
    <w:basedOn w:val="Normal"/>
    <w:rsid w:val="00C73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A1C"/>
  </w:style>
  <w:style w:type="character" w:customStyle="1" w:styleId="SalutationChar">
    <w:name w:val="Salutation Char"/>
    <w:basedOn w:val="DefaultParagraphFont"/>
    <w:link w:val="Salutation"/>
    <w:rsid w:val="00C73A1C"/>
    <w:rPr>
      <w:sz w:val="22"/>
    </w:rPr>
  </w:style>
  <w:style w:type="paragraph" w:styleId="Date">
    <w:name w:val="Date"/>
    <w:basedOn w:val="Normal"/>
    <w:next w:val="Normal"/>
    <w:link w:val="DateChar"/>
    <w:rsid w:val="00C73A1C"/>
  </w:style>
  <w:style w:type="character" w:customStyle="1" w:styleId="DateChar">
    <w:name w:val="Date Char"/>
    <w:basedOn w:val="DefaultParagraphFont"/>
    <w:link w:val="Date"/>
    <w:rsid w:val="00C73A1C"/>
    <w:rPr>
      <w:sz w:val="22"/>
    </w:rPr>
  </w:style>
  <w:style w:type="paragraph" w:styleId="BodyTextFirstIndent">
    <w:name w:val="Body Text First Indent"/>
    <w:basedOn w:val="BodyText"/>
    <w:link w:val="BodyTextFirstIndentChar"/>
    <w:rsid w:val="00C73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A1C"/>
    <w:rPr>
      <w:sz w:val="22"/>
    </w:rPr>
  </w:style>
  <w:style w:type="paragraph" w:styleId="BodyText2">
    <w:name w:val="Body Text 2"/>
    <w:basedOn w:val="Normal"/>
    <w:link w:val="BodyText2Char"/>
    <w:rsid w:val="00C73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A1C"/>
    <w:rPr>
      <w:sz w:val="22"/>
    </w:rPr>
  </w:style>
  <w:style w:type="paragraph" w:styleId="BodyText3">
    <w:name w:val="Body Text 3"/>
    <w:basedOn w:val="Normal"/>
    <w:link w:val="BodyText3Char"/>
    <w:rsid w:val="00C73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A1C"/>
    <w:rPr>
      <w:sz w:val="22"/>
    </w:rPr>
  </w:style>
  <w:style w:type="paragraph" w:styleId="BodyTextIndent3">
    <w:name w:val="Body Text Indent 3"/>
    <w:basedOn w:val="Normal"/>
    <w:link w:val="BodyTextIndent3Char"/>
    <w:rsid w:val="00C73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A1C"/>
    <w:rPr>
      <w:sz w:val="16"/>
      <w:szCs w:val="16"/>
    </w:rPr>
  </w:style>
  <w:style w:type="paragraph" w:styleId="BlockText">
    <w:name w:val="Block Text"/>
    <w:basedOn w:val="Normal"/>
    <w:rsid w:val="00C73A1C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C73A1C"/>
    <w:rPr>
      <w:color w:val="0000FF"/>
      <w:u w:val="single"/>
    </w:rPr>
  </w:style>
  <w:style w:type="character" w:styleId="FollowedHyperlink">
    <w:name w:val="FollowedHyperlink"/>
    <w:basedOn w:val="DefaultParagraphFont"/>
    <w:rsid w:val="00C73A1C"/>
    <w:rPr>
      <w:color w:val="800080"/>
      <w:u w:val="single"/>
    </w:rPr>
  </w:style>
  <w:style w:type="character" w:styleId="Strong">
    <w:name w:val="Strong"/>
    <w:basedOn w:val="DefaultParagraphFont"/>
    <w:qFormat/>
    <w:rsid w:val="00C73A1C"/>
    <w:rPr>
      <w:b/>
      <w:bCs/>
    </w:rPr>
  </w:style>
  <w:style w:type="character" w:styleId="Emphasis">
    <w:name w:val="Emphasis"/>
    <w:basedOn w:val="DefaultParagraphFont"/>
    <w:qFormat/>
    <w:rsid w:val="00C73A1C"/>
    <w:rPr>
      <w:i/>
      <w:iCs/>
    </w:rPr>
  </w:style>
  <w:style w:type="paragraph" w:styleId="DocumentMap">
    <w:name w:val="Document Map"/>
    <w:basedOn w:val="Normal"/>
    <w:link w:val="DocumentMapChar"/>
    <w:rsid w:val="00C73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A1C"/>
  </w:style>
  <w:style w:type="character" w:customStyle="1" w:styleId="E-mailSignatureChar">
    <w:name w:val="E-mail Signature Char"/>
    <w:basedOn w:val="DefaultParagraphFont"/>
    <w:link w:val="E-mailSignature"/>
    <w:rsid w:val="00C73A1C"/>
    <w:rPr>
      <w:sz w:val="22"/>
    </w:rPr>
  </w:style>
  <w:style w:type="paragraph" w:styleId="NormalWeb">
    <w:name w:val="Normal (Web)"/>
    <w:basedOn w:val="Normal"/>
    <w:uiPriority w:val="99"/>
    <w:rsid w:val="00C73A1C"/>
  </w:style>
  <w:style w:type="character" w:styleId="HTMLAcronym">
    <w:name w:val="HTML Acronym"/>
    <w:basedOn w:val="DefaultParagraphFont"/>
    <w:rsid w:val="00C73A1C"/>
  </w:style>
  <w:style w:type="paragraph" w:styleId="HTMLAddress">
    <w:name w:val="HTML Address"/>
    <w:basedOn w:val="Normal"/>
    <w:link w:val="HTMLAddressChar"/>
    <w:rsid w:val="00C73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A1C"/>
    <w:rPr>
      <w:i/>
      <w:iCs/>
      <w:sz w:val="22"/>
    </w:rPr>
  </w:style>
  <w:style w:type="character" w:styleId="HTMLCite">
    <w:name w:val="HTML Cite"/>
    <w:basedOn w:val="DefaultParagraphFont"/>
    <w:rsid w:val="00C73A1C"/>
    <w:rPr>
      <w:i/>
      <w:iCs/>
    </w:rPr>
  </w:style>
  <w:style w:type="character" w:styleId="HTMLCode">
    <w:name w:val="HTML Code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A1C"/>
    <w:rPr>
      <w:i/>
      <w:iCs/>
    </w:rPr>
  </w:style>
  <w:style w:type="character" w:styleId="HTMLKeyboard">
    <w:name w:val="HTML Keyboard"/>
    <w:basedOn w:val="DefaultParagraphFont"/>
    <w:rsid w:val="00C73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A1C"/>
    <w:rPr>
      <w:b/>
      <w:bCs/>
    </w:rPr>
  </w:style>
  <w:style w:type="numbering" w:styleId="1ai">
    <w:name w:val="Outline List 1"/>
    <w:basedOn w:val="NoList"/>
    <w:rsid w:val="00C73A1C"/>
    <w:pPr>
      <w:numPr>
        <w:numId w:val="14"/>
      </w:numPr>
    </w:pPr>
  </w:style>
  <w:style w:type="numbering" w:styleId="111111">
    <w:name w:val="Outline List 2"/>
    <w:basedOn w:val="NoList"/>
    <w:rsid w:val="00C73A1C"/>
    <w:pPr>
      <w:numPr>
        <w:numId w:val="15"/>
      </w:numPr>
    </w:pPr>
  </w:style>
  <w:style w:type="numbering" w:styleId="ArticleSection">
    <w:name w:val="Outline List 3"/>
    <w:basedOn w:val="NoList"/>
    <w:rsid w:val="00C73A1C"/>
    <w:pPr>
      <w:numPr>
        <w:numId w:val="17"/>
      </w:numPr>
    </w:pPr>
  </w:style>
  <w:style w:type="table" w:styleId="TableSimple1">
    <w:name w:val="Table Simple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A1C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97617C"/>
    <w:pPr>
      <w:numPr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7617C"/>
    <w:pPr>
      <w:numPr>
        <w:ilvl w:val="1"/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7617C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2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786"/>
    <w:rPr>
      <w:sz w:val="22"/>
    </w:rPr>
  </w:style>
  <w:style w:type="paragraph" w:customStyle="1" w:styleId="ActHead10">
    <w:name w:val="ActHead 10"/>
    <w:aliases w:val="sp"/>
    <w:basedOn w:val="OPCParaBase"/>
    <w:next w:val="ActHead3"/>
    <w:rsid w:val="005B43F1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5B43F1"/>
    <w:pPr>
      <w:numPr>
        <w:numId w:val="23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B43F1"/>
    <w:rPr>
      <w:rFonts w:eastAsia="Times New Roman" w:cs="Times New Roman"/>
      <w:b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43F1"/>
  </w:style>
  <w:style w:type="character" w:styleId="BookTitle">
    <w:name w:val="Book Title"/>
    <w:basedOn w:val="DefaultParagraphFont"/>
    <w:uiPriority w:val="33"/>
    <w:qFormat/>
    <w:rsid w:val="005B43F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B43F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F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B43F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4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B43F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B43F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B43F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43F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3F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B43F1"/>
    <w:rPr>
      <w:color w:val="808080"/>
    </w:rPr>
  </w:style>
  <w:style w:type="table" w:styleId="PlainTable1">
    <w:name w:val="Plain Table 1"/>
    <w:basedOn w:val="TableNormal"/>
    <w:uiPriority w:val="41"/>
    <w:rsid w:val="005B4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B4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43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B4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B4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B4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F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B43F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B43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B43F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B4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3F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font91">
    <w:name w:val="font91"/>
    <w:basedOn w:val="DefaultParagraphFont"/>
    <w:rsid w:val="00D30C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902F3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902F3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tablea0">
    <w:name w:val="tablea"/>
    <w:basedOn w:val="Normal"/>
    <w:rsid w:val="004020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ESA\AppData\Local\Hewlett-Packard\HP%20TRIM\TEMP\HPTRIM.17168\D23-680041%20%20OPC%20Template%20-%20Amendments%20to%20the%20National%20Health%20(Minimum%20Stockholding)%20Determination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3" ma:contentTypeDescription="Create a new document." ma:contentTypeScope="" ma:versionID="a40fde9cc559aa54c5e91d1a9be3bf1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f53ed13e6e409c441bdb53ea6be3d281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F4D0-E5D0-455D-A06F-1E64A943E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EDF45-C120-46AB-B323-B33DB0E9D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6AD13-44D6-4259-94EC-925E39BB4D7A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customXml/itemProps4.xml><?xml version="1.0" encoding="utf-8"?>
<ds:datastoreItem xmlns:ds="http://schemas.openxmlformats.org/officeDocument/2006/customXml" ds:itemID="{01C72755-7FE1-43C0-ACD9-F60B11BC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D23-680041  OPC Template - Amendments to the National Health (Minimum Stockholding) Determination 2023.DOTX</Template>
  <TotalTime>2461</TotalTime>
  <Pages>14</Pages>
  <Words>1488</Words>
  <Characters>8484</Characters>
  <Application>Microsoft Office Word</Application>
  <DocSecurity>0</DocSecurity>
  <PresentationFormat/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Diana</cp:lastModifiedBy>
  <cp:revision>730</cp:revision>
  <dcterms:created xsi:type="dcterms:W3CDTF">2024-03-26T14:44:00Z</dcterms:created>
  <dcterms:modified xsi:type="dcterms:W3CDTF">2025-08-27T02:23:00Z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685361c2,77cd60e6,69405094,220336df,54efa8bf,541a1e8a,7194a5b,23620309,540fd991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7db37ed3,44a10587,11623453,6279c5b2,3037f98a,41d7525f,622e1070,d623da1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2025-08-25T21:33:32Z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714aadbd-60c0-4d32-b6a5-be0e399ad083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