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Ind w:w="-108"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B176AD" w14:paraId="1D2360BD" w14:textId="77777777" w:rsidTr="00C04AA9">
        <w:tc>
          <w:tcPr>
            <w:tcW w:w="4661" w:type="dxa"/>
          </w:tcPr>
          <w:p w14:paraId="44DC1986" w14:textId="6996549F" w:rsidR="00090A6F" w:rsidRPr="00B176AD" w:rsidRDefault="001052DA">
            <w:pPr>
              <w:pStyle w:val="CoverStandard"/>
            </w:pPr>
            <w:r>
              <w:t xml:space="preserve">AASB </w:t>
            </w:r>
            <w:r w:rsidR="00831497" w:rsidRPr="00B176AD">
              <w:t>Standard</w:t>
            </w:r>
          </w:p>
        </w:tc>
        <w:tc>
          <w:tcPr>
            <w:tcW w:w="4661" w:type="dxa"/>
          </w:tcPr>
          <w:p w14:paraId="4ACBFE6C" w14:textId="21143EC8" w:rsidR="00090A6F" w:rsidRPr="00B176AD" w:rsidRDefault="00831497">
            <w:pPr>
              <w:pStyle w:val="CoverNumber"/>
            </w:pPr>
            <w:r w:rsidRPr="00B176AD">
              <w:t>AASB</w:t>
            </w:r>
            <w:r w:rsidR="00090A6F" w:rsidRPr="00B176AD">
              <w:t xml:space="preserve"> </w:t>
            </w:r>
            <w:bookmarkStart w:id="0" w:name="DocNo"/>
            <w:r w:rsidR="00DE6B70" w:rsidRPr="00B176AD">
              <w:t>2025-</w:t>
            </w:r>
            <w:r w:rsidR="004E56F7">
              <w:t>3</w:t>
            </w:r>
            <w:bookmarkEnd w:id="0"/>
          </w:p>
          <w:p w14:paraId="0EEC5FC9" w14:textId="5FB8F5CC" w:rsidR="00090A6F" w:rsidRPr="00B176AD" w:rsidRDefault="00C649FE">
            <w:pPr>
              <w:pStyle w:val="CoverDate"/>
            </w:pPr>
            <w:bookmarkStart w:id="1" w:name="DocDate"/>
            <w:r>
              <w:t>August 2025</w:t>
            </w:r>
            <w:bookmarkEnd w:id="1"/>
          </w:p>
        </w:tc>
      </w:tr>
    </w:tbl>
    <w:p w14:paraId="7142E768" w14:textId="2CBC569A" w:rsidR="00090A6F" w:rsidRPr="00B176AD" w:rsidRDefault="00DE6B70" w:rsidP="00610C23">
      <w:pPr>
        <w:pStyle w:val="CoverTitle"/>
        <w:jc w:val="left"/>
      </w:pPr>
      <w:bookmarkStart w:id="2" w:name="DocTitle"/>
      <w:r w:rsidRPr="00B176AD">
        <w:t>Amendments to Australian Accounting Standards – Contracts Referencing Nature-dependent Electricity: Tier 2 Disclosures</w:t>
      </w:r>
      <w:bookmarkEnd w:id="2"/>
    </w:p>
    <w:p w14:paraId="2EB47C31" w14:textId="7B222EF6" w:rsidR="00C5022C" w:rsidRDefault="002B7803" w:rsidP="00C5022C">
      <w:pPr>
        <w:pStyle w:val="CoverSubtitle"/>
      </w:pPr>
      <w:r w:rsidRPr="00B176AD">
        <w:t>[</w:t>
      </w:r>
      <w:bookmarkStart w:id="3" w:name="AmendingNos"/>
      <w:r w:rsidR="00DE6B70" w:rsidRPr="00B176AD">
        <w:t>AASB 1060</w:t>
      </w:r>
      <w:bookmarkEnd w:id="3"/>
      <w:r w:rsidRPr="00B176AD">
        <w:t>]</w:t>
      </w:r>
    </w:p>
    <w:p w14:paraId="5CE25B1E" w14:textId="77777777" w:rsidR="00FE4D0F" w:rsidRPr="00B176AD" w:rsidRDefault="00FE4D0F" w:rsidP="00C5022C">
      <w:pPr>
        <w:pStyle w:val="CoverSubtitle"/>
      </w:pPr>
    </w:p>
    <w:p w14:paraId="5D0D1D92" w14:textId="72CE869B" w:rsidR="00737714" w:rsidRPr="00B176AD" w:rsidRDefault="00FE4D0F" w:rsidP="00E4285B">
      <w:pPr>
        <w:spacing w:before="6960"/>
      </w:pPr>
      <w:r>
        <w:rPr>
          <w:noProof/>
          <w:lang w:eastAsia="en-AU"/>
        </w:rPr>
        <w:drawing>
          <wp:inline distT="0" distB="0" distL="0" distR="0" wp14:anchorId="780EDA0C" wp14:editId="6CCFF45E">
            <wp:extent cx="1677600" cy="1332000"/>
            <wp:effectExtent l="0" t="0" r="0" b="1905"/>
            <wp:docPr id="2129828317" name="Picture 2129828317"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inline>
        </w:drawing>
      </w:r>
    </w:p>
    <w:p w14:paraId="5B34459A" w14:textId="77777777" w:rsidR="00090A6F" w:rsidRPr="00B176AD" w:rsidRDefault="00090A6F">
      <w:pPr>
        <w:sectPr w:rsidR="00090A6F" w:rsidRPr="00B176AD" w:rsidSect="00927BB6">
          <w:headerReference w:type="first" r:id="rId12"/>
          <w:footerReference w:type="first" r:id="rId13"/>
          <w:pgSz w:w="11907" w:h="16840" w:code="9"/>
          <w:pgMar w:top="1418" w:right="1418" w:bottom="1418" w:left="1418" w:header="709" w:footer="709" w:gutter="0"/>
          <w:paperSrc w:first="15" w:other="15"/>
          <w:cols w:space="720"/>
          <w:docGrid w:linePitch="258"/>
        </w:sectPr>
      </w:pPr>
    </w:p>
    <w:p w14:paraId="7F5EFD6F" w14:textId="29ED3569" w:rsidR="00737714" w:rsidRPr="00B176AD" w:rsidRDefault="00737714" w:rsidP="00F13C5A">
      <w:pPr>
        <w:pStyle w:val="Heading1"/>
      </w:pPr>
      <w:r w:rsidRPr="00B176AD">
        <w:lastRenderedPageBreak/>
        <w:t xml:space="preserve">Obtaining a </w:t>
      </w:r>
      <w:r w:rsidR="00F71179" w:rsidRPr="00B176AD">
        <w:t xml:space="preserve">copy </w:t>
      </w:r>
      <w:r w:rsidRPr="00B176AD">
        <w:t xml:space="preserve">of this </w:t>
      </w:r>
      <w:r w:rsidR="00C5022C" w:rsidRPr="00B176AD">
        <w:t>Accounting Standard</w:t>
      </w:r>
    </w:p>
    <w:p w14:paraId="7A2D7904" w14:textId="16400026" w:rsidR="00737714" w:rsidRPr="00B176AD" w:rsidRDefault="005B4326" w:rsidP="00895809">
      <w:pPr>
        <w:spacing w:after="200"/>
      </w:pPr>
      <w:r w:rsidRPr="00B176AD">
        <w:t xml:space="preserve">This Standard is available on the AASB Digital Standards Portal (standards.aasb.gov.au), which can also be accessed from aasb.gov.au. </w:t>
      </w:r>
    </w:p>
    <w:p w14:paraId="3D888BA9" w14:textId="77777777" w:rsidR="00895809" w:rsidRPr="00B176AD" w:rsidRDefault="00895809" w:rsidP="00895809">
      <w:r w:rsidRPr="00B176AD">
        <w:t>Australian Accounting Standards Board</w:t>
      </w:r>
    </w:p>
    <w:p w14:paraId="3A6299F4" w14:textId="77777777" w:rsidR="00895809" w:rsidRPr="00B176AD" w:rsidRDefault="00895809" w:rsidP="00895809">
      <w:r w:rsidRPr="00B176AD">
        <w:t>PO Box 204</w:t>
      </w:r>
    </w:p>
    <w:p w14:paraId="73B8EB05" w14:textId="77777777" w:rsidR="00895809" w:rsidRPr="00B176AD" w:rsidRDefault="00895809" w:rsidP="00895809">
      <w:r w:rsidRPr="00B176AD">
        <w:t>Collins Street West</w:t>
      </w:r>
    </w:p>
    <w:p w14:paraId="181D26AA" w14:textId="77777777" w:rsidR="00895809" w:rsidRPr="00B176AD" w:rsidRDefault="00895809" w:rsidP="00895809">
      <w:r w:rsidRPr="00B176AD">
        <w:t>Victoria   8007</w:t>
      </w:r>
    </w:p>
    <w:p w14:paraId="31610760" w14:textId="77777777" w:rsidR="00895809" w:rsidRPr="00B176AD" w:rsidRDefault="00895809" w:rsidP="00895809">
      <w:pPr>
        <w:pStyle w:val="CoverContact"/>
        <w:spacing w:after="200"/>
      </w:pPr>
      <w:r w:rsidRPr="00B176AD">
        <w:t>AUSTRALIA</w:t>
      </w:r>
    </w:p>
    <w:p w14:paraId="7264A984" w14:textId="77777777" w:rsidR="00737714" w:rsidRPr="00B176AD" w:rsidRDefault="00BF0190" w:rsidP="00B82F15">
      <w:pPr>
        <w:pStyle w:val="CoverContact"/>
      </w:pPr>
      <w:r w:rsidRPr="00B176AD">
        <w:t>Phone:</w:t>
      </w:r>
      <w:r w:rsidRPr="00B176AD">
        <w:tab/>
        <w:t>(03) 9617 7600</w:t>
      </w:r>
    </w:p>
    <w:p w14:paraId="1AC81D46" w14:textId="77777777" w:rsidR="00E96D45" w:rsidRPr="00B176AD" w:rsidRDefault="00DB00CD" w:rsidP="00DB00CD">
      <w:pPr>
        <w:pStyle w:val="CoverContact"/>
      </w:pPr>
      <w:r w:rsidRPr="00B176AD">
        <w:t>E-mail:</w:t>
      </w:r>
      <w:r w:rsidRPr="00B176AD">
        <w:tab/>
      </w:r>
      <w:r w:rsidR="00BF0190" w:rsidRPr="00B176AD">
        <w:t>standard</w:t>
      </w:r>
      <w:r w:rsidRPr="00B176AD">
        <w:t>@aasb.gov.au</w:t>
      </w:r>
    </w:p>
    <w:p w14:paraId="0A17C4B3" w14:textId="77777777" w:rsidR="00E96D45" w:rsidRPr="00B176AD" w:rsidRDefault="00DB00CD" w:rsidP="00DB00CD">
      <w:pPr>
        <w:pStyle w:val="CoverContact"/>
        <w:spacing w:after="240"/>
      </w:pPr>
      <w:r w:rsidRPr="00B176AD">
        <w:t>Website:</w:t>
      </w:r>
      <w:r w:rsidRPr="00B176AD">
        <w:tab/>
        <w:t>www.aasb.gov.au</w:t>
      </w:r>
    </w:p>
    <w:p w14:paraId="4CE1B854" w14:textId="77777777" w:rsidR="00090A6F" w:rsidRPr="00B176AD" w:rsidRDefault="00090A6F" w:rsidP="00F13C5A">
      <w:pPr>
        <w:pStyle w:val="Heading1"/>
      </w:pPr>
      <w:r w:rsidRPr="00B176AD">
        <w:t xml:space="preserve">Other </w:t>
      </w:r>
      <w:r w:rsidR="005655CE" w:rsidRPr="00B176AD">
        <w:t>enquiries</w:t>
      </w:r>
    </w:p>
    <w:p w14:paraId="0A695C4A" w14:textId="77777777" w:rsidR="00090A6F" w:rsidRPr="00B176AD" w:rsidRDefault="00090A6F" w:rsidP="00B82F15">
      <w:pPr>
        <w:pStyle w:val="CoverContact"/>
      </w:pPr>
      <w:r w:rsidRPr="00B176AD">
        <w:t>Phone:</w:t>
      </w:r>
      <w:r w:rsidRPr="00B176AD">
        <w:tab/>
        <w:t>(03) 9617 7600</w:t>
      </w:r>
    </w:p>
    <w:p w14:paraId="07063A55" w14:textId="77777777" w:rsidR="00090A6F" w:rsidRPr="00B176AD" w:rsidRDefault="00923261">
      <w:pPr>
        <w:pStyle w:val="CoverContact"/>
      </w:pPr>
      <w:r w:rsidRPr="00B176AD">
        <w:t>E-mail:</w:t>
      </w:r>
      <w:r w:rsidRPr="00B176AD">
        <w:tab/>
        <w:t>standard@aasb.gov</w:t>
      </w:r>
      <w:r w:rsidR="00090A6F" w:rsidRPr="00B176AD">
        <w:t>.au</w:t>
      </w:r>
    </w:p>
    <w:p w14:paraId="14F8923E" w14:textId="77777777" w:rsidR="00276BC5" w:rsidRPr="00B176AD" w:rsidRDefault="00276BC5" w:rsidP="001052DA">
      <w:pPr>
        <w:pStyle w:val="NoNumPlain1"/>
        <w:spacing w:before="5880"/>
      </w:pPr>
      <w:bookmarkStart w:id="4" w:name="CopyrightText"/>
      <w:r w:rsidRPr="00B176AD">
        <w:t>COPYRIGHT</w:t>
      </w:r>
    </w:p>
    <w:p w14:paraId="1F0F1351" w14:textId="4F872F6C" w:rsidR="00276BC5" w:rsidRPr="00B176AD" w:rsidRDefault="00276BC5" w:rsidP="00276BC5">
      <w:pPr>
        <w:pStyle w:val="NoNumPlain1"/>
      </w:pPr>
      <w:r w:rsidRPr="00B176AD">
        <w:t>© Com</w:t>
      </w:r>
      <w:bookmarkStart w:id="5" w:name="CopyrightDomestic"/>
      <w:bookmarkEnd w:id="5"/>
      <w:r w:rsidRPr="00B176AD">
        <w:t xml:space="preserve">monwealth of Australia </w:t>
      </w:r>
      <w:bookmarkStart w:id="6" w:name="Year"/>
      <w:r w:rsidR="00DE6B70" w:rsidRPr="00B176AD">
        <w:t>2025</w:t>
      </w:r>
      <w:bookmarkEnd w:id="6"/>
    </w:p>
    <w:p w14:paraId="6ACA8255" w14:textId="77777777" w:rsidR="00204033" w:rsidRPr="00B176AD" w:rsidRDefault="00204033" w:rsidP="00204033">
      <w:pPr>
        <w:pStyle w:val="NoNumPlain1"/>
        <w:spacing w:after="200"/>
      </w:pPr>
      <w:r w:rsidRPr="00B176AD">
        <w:t>This AASB Standard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Managing Director, Australian Accounting Standards Board, PO Box 204, Collins Street West, Victoria 8007.</w:t>
      </w:r>
    </w:p>
    <w:p w14:paraId="75F6F5A8" w14:textId="77777777" w:rsidR="00204033" w:rsidRPr="00B176AD" w:rsidRDefault="00204033" w:rsidP="00204033">
      <w:pPr>
        <w:spacing w:after="200"/>
      </w:pPr>
      <w:r w:rsidRPr="00B176AD">
        <w:t>All existing rights in this material are reserved outside Australia.  Reproduction outside Australia in unaltered form (retaining this notice) is permitted for personal and non-commercial use only.  Further information and requests for authorisation to reproduce IFRS Foundation copyright material for commercial purposes outside Australia should be addressed to the IFRS Foundation at www.ifrs.org.</w:t>
      </w:r>
    </w:p>
    <w:bookmarkEnd w:id="4"/>
    <w:p w14:paraId="55124A5D" w14:textId="154CE51E" w:rsidR="007455F0" w:rsidRPr="00B176AD" w:rsidRDefault="006D4700" w:rsidP="006D4700">
      <w:r w:rsidRPr="00B176AD">
        <w:t xml:space="preserve">ISSN </w:t>
      </w:r>
      <w:bookmarkStart w:id="7" w:name="ISSN"/>
      <w:r w:rsidR="00DE6B70" w:rsidRPr="00B176AD">
        <w:t>1036-4803</w:t>
      </w:r>
      <w:bookmarkEnd w:id="7"/>
    </w:p>
    <w:p w14:paraId="39BBB238" w14:textId="77777777" w:rsidR="00090A6F" w:rsidRPr="00B176AD" w:rsidRDefault="00090A6F">
      <w:pPr>
        <w:sectPr w:rsidR="00090A6F" w:rsidRPr="00B176AD" w:rsidSect="00D74C6A">
          <w:footerReference w:type="default" r:id="rId14"/>
          <w:pgSz w:w="11907" w:h="16840" w:code="9"/>
          <w:pgMar w:top="1418" w:right="1418" w:bottom="1418" w:left="1418" w:header="709" w:footer="709" w:gutter="0"/>
          <w:paperSrc w:first="7" w:other="7"/>
          <w:cols w:space="720"/>
        </w:sectPr>
      </w:pPr>
    </w:p>
    <w:p w14:paraId="70B0DF6A" w14:textId="77777777" w:rsidR="00090A6F" w:rsidRPr="00B176AD" w:rsidRDefault="005655CE">
      <w:pPr>
        <w:pStyle w:val="Heading1"/>
      </w:pPr>
      <w:r w:rsidRPr="00B176AD">
        <w:lastRenderedPageBreak/>
        <w:t>Contents</w:t>
      </w:r>
    </w:p>
    <w:p w14:paraId="4C77D3E0" w14:textId="095D6CCF" w:rsidR="00090A6F" w:rsidRPr="00B176AD" w:rsidRDefault="00896809" w:rsidP="00766E4B">
      <w:pPr>
        <w:pStyle w:val="ContentsCapsPlain"/>
        <w:spacing w:before="400"/>
      </w:pPr>
      <w:r w:rsidRPr="00B176AD">
        <w:t>PREFACE</w:t>
      </w:r>
    </w:p>
    <w:p w14:paraId="2C0827A5" w14:textId="5EBEDEE6" w:rsidR="00090A6F" w:rsidRPr="00B176AD" w:rsidRDefault="00896809" w:rsidP="00037E16">
      <w:pPr>
        <w:pStyle w:val="ContentsCapsBold"/>
        <w:jc w:val="left"/>
      </w:pPr>
      <w:r w:rsidRPr="00B176AD">
        <w:t>ACCOUNTING STANDARD</w:t>
      </w:r>
    </w:p>
    <w:p w14:paraId="4FE5B4AA" w14:textId="76715275" w:rsidR="00090A6F" w:rsidRPr="00B176AD" w:rsidRDefault="00896809" w:rsidP="00037E16">
      <w:pPr>
        <w:pStyle w:val="ContentsCapsBold"/>
        <w:jc w:val="left"/>
        <w:rPr>
          <w:i/>
          <w:iCs/>
        </w:rPr>
      </w:pPr>
      <w:r w:rsidRPr="00B176AD">
        <w:t xml:space="preserve">AASB </w:t>
      </w:r>
      <w:r w:rsidR="009C2479" w:rsidRPr="00B176AD">
        <w:rPr>
          <w:iCs/>
        </w:rPr>
        <w:fldChar w:fldCharType="begin" w:fldLock="1"/>
      </w:r>
      <w:r w:rsidR="009C2479" w:rsidRPr="00B176AD">
        <w:rPr>
          <w:iCs/>
        </w:rPr>
        <w:instrText xml:space="preserve"> REF DocNo \* charformat </w:instrText>
      </w:r>
      <w:r w:rsidR="00037E16" w:rsidRPr="00B176AD">
        <w:rPr>
          <w:iCs/>
        </w:rPr>
        <w:instrText xml:space="preserve"> \* MERGEFORMAT </w:instrText>
      </w:r>
      <w:r w:rsidR="009C2479" w:rsidRPr="00B176AD">
        <w:rPr>
          <w:iCs/>
        </w:rPr>
        <w:fldChar w:fldCharType="separate"/>
      </w:r>
      <w:r w:rsidR="00C649FE" w:rsidRPr="00C649FE">
        <w:rPr>
          <w:iCs/>
        </w:rPr>
        <w:t>2025-3</w:t>
      </w:r>
      <w:r w:rsidR="009C2479" w:rsidRPr="00B176AD">
        <w:rPr>
          <w:iCs/>
        </w:rPr>
        <w:fldChar w:fldCharType="end"/>
      </w:r>
      <w:r w:rsidRPr="00B176AD">
        <w:t xml:space="preserve"> </w:t>
      </w:r>
      <w:r w:rsidR="00CC1DF4" w:rsidRPr="00B176AD">
        <w:rPr>
          <w:i/>
        </w:rPr>
        <w:fldChar w:fldCharType="begin" w:fldLock="1"/>
      </w:r>
      <w:r w:rsidR="00CC1DF4" w:rsidRPr="00B176AD">
        <w:rPr>
          <w:i/>
        </w:rPr>
        <w:instrText xml:space="preserve"> REF DocTitle \* charformat </w:instrText>
      </w:r>
      <w:r w:rsidR="00037E16" w:rsidRPr="00B176AD">
        <w:rPr>
          <w:i/>
        </w:rPr>
        <w:instrText xml:space="preserve"> \* MERGEFORMAT </w:instrText>
      </w:r>
      <w:r w:rsidR="00CC1DF4" w:rsidRPr="00B176AD">
        <w:rPr>
          <w:i/>
        </w:rPr>
        <w:fldChar w:fldCharType="separate"/>
      </w:r>
      <w:r w:rsidR="00BA606B" w:rsidRPr="00C649FE">
        <w:rPr>
          <w:i/>
        </w:rPr>
        <w:t>AMENDMENTS TO AUSTRALIAN ACCOUNTING STANDARDS – CONTRACTS REFERENCING NATURE-DEPENDENT ELECTRICITY: TIER 2 DISCLOSURES</w:t>
      </w:r>
      <w:r w:rsidR="00CC1DF4" w:rsidRPr="00B176AD">
        <w:rPr>
          <w:i/>
        </w:rPr>
        <w:fldChar w:fldCharType="end"/>
      </w:r>
    </w:p>
    <w:p w14:paraId="3A50C1CA" w14:textId="77777777" w:rsidR="002B7803" w:rsidRPr="00B176AD" w:rsidRDefault="002B7803" w:rsidP="002B7803"/>
    <w:p w14:paraId="472728AA" w14:textId="47393546" w:rsidR="00090A6F" w:rsidRPr="00B176AD" w:rsidRDefault="00E46988">
      <w:pPr>
        <w:pStyle w:val="ContentsParaHead"/>
      </w:pPr>
      <w:r w:rsidRPr="00B176AD">
        <w:t>from</w:t>
      </w:r>
      <w:r w:rsidR="001052DA">
        <w:t xml:space="preserve"> paragraph</w:t>
      </w:r>
    </w:p>
    <w:p w14:paraId="196E4CD2" w14:textId="6228BC80" w:rsidR="003F6D3C" w:rsidRPr="00B176AD" w:rsidRDefault="00E64A52" w:rsidP="00E64A52">
      <w:pPr>
        <w:pStyle w:val="ContentsLevel1"/>
        <w:ind w:right="-1"/>
        <w:rPr>
          <w:b/>
          <w:bCs/>
        </w:rPr>
      </w:pPr>
      <w:bookmarkStart w:id="8" w:name="TOCRange"/>
      <w:r w:rsidRPr="00B176AD">
        <w:rPr>
          <w:b/>
          <w:bCs/>
        </w:rPr>
        <w:t>OBJECTIVE</w:t>
      </w:r>
      <w:r w:rsidRPr="00B176AD">
        <w:rPr>
          <w:b/>
          <w:bCs/>
        </w:rPr>
        <w:tab/>
      </w:r>
      <w:r w:rsidR="006325D1" w:rsidRPr="00B176AD">
        <w:rPr>
          <w:b/>
          <w:bCs/>
        </w:rPr>
        <w:t>1</w:t>
      </w:r>
    </w:p>
    <w:p w14:paraId="3785E0B7" w14:textId="23B3BCB4" w:rsidR="003F6D3C" w:rsidRPr="00B176AD" w:rsidRDefault="00E64A52" w:rsidP="003F6D3C">
      <w:pPr>
        <w:pStyle w:val="ContentsLevel1"/>
        <w:ind w:right="-1"/>
        <w:rPr>
          <w:b/>
          <w:bCs/>
        </w:rPr>
      </w:pPr>
      <w:r w:rsidRPr="00B176AD">
        <w:rPr>
          <w:b/>
          <w:bCs/>
        </w:rPr>
        <w:t>APPLICATION</w:t>
      </w:r>
      <w:r w:rsidRPr="00B176AD">
        <w:rPr>
          <w:b/>
          <w:bCs/>
        </w:rPr>
        <w:tab/>
      </w:r>
      <w:r w:rsidR="006325D1" w:rsidRPr="00B176AD">
        <w:rPr>
          <w:b/>
          <w:bCs/>
        </w:rPr>
        <w:t>3</w:t>
      </w:r>
    </w:p>
    <w:p w14:paraId="260AB0D0" w14:textId="308A9C95" w:rsidR="003F6D3C" w:rsidRPr="00B176AD" w:rsidRDefault="00E64A52" w:rsidP="003F6D3C">
      <w:pPr>
        <w:pStyle w:val="ContentsLevel1"/>
        <w:ind w:right="-1"/>
        <w:rPr>
          <w:b/>
          <w:bCs/>
        </w:rPr>
      </w:pPr>
      <w:r w:rsidRPr="00B176AD">
        <w:rPr>
          <w:b/>
          <w:bCs/>
        </w:rPr>
        <w:t>AMENDMENTS TO AASB 1060</w:t>
      </w:r>
      <w:r w:rsidRPr="00B176AD">
        <w:rPr>
          <w:b/>
          <w:bCs/>
        </w:rPr>
        <w:tab/>
        <w:t>5</w:t>
      </w:r>
    </w:p>
    <w:p w14:paraId="032DD75C" w14:textId="5D20AAC1" w:rsidR="003F6D3C" w:rsidRPr="00B176AD" w:rsidRDefault="00E64A52" w:rsidP="003F6D3C">
      <w:pPr>
        <w:pStyle w:val="ContentsLevel1"/>
        <w:ind w:right="-1"/>
        <w:rPr>
          <w:b/>
          <w:bCs/>
        </w:rPr>
      </w:pPr>
      <w:r w:rsidRPr="00B176AD">
        <w:rPr>
          <w:b/>
          <w:bCs/>
        </w:rPr>
        <w:t>COMMENCEMENT OF THE LEGISLATIVE INSTRUMENT</w:t>
      </w:r>
      <w:r w:rsidRPr="00B176AD">
        <w:rPr>
          <w:b/>
          <w:bCs/>
        </w:rPr>
        <w:tab/>
      </w:r>
      <w:r w:rsidR="006325D1" w:rsidRPr="00B176AD">
        <w:rPr>
          <w:b/>
          <w:bCs/>
        </w:rPr>
        <w:t>7</w:t>
      </w:r>
    </w:p>
    <w:p w14:paraId="10AB95F4" w14:textId="77777777" w:rsidR="003F6D3C" w:rsidRPr="00B176AD" w:rsidRDefault="003F6D3C" w:rsidP="003F6D3C">
      <w:pPr>
        <w:pStyle w:val="ContentsLevel1"/>
        <w:ind w:right="-1"/>
        <w:rPr>
          <w:b/>
          <w:bCs/>
        </w:rPr>
      </w:pPr>
    </w:p>
    <w:p w14:paraId="21A46798" w14:textId="36F37E7D" w:rsidR="003F6D3C" w:rsidRDefault="00E64A52" w:rsidP="003F6D3C">
      <w:pPr>
        <w:pStyle w:val="ContentsLevel1"/>
        <w:ind w:right="-1"/>
        <w:rPr>
          <w:b/>
          <w:bCs/>
        </w:rPr>
      </w:pPr>
      <w:r w:rsidRPr="00B176AD">
        <w:rPr>
          <w:b/>
          <w:bCs/>
        </w:rPr>
        <w:t>BASIS FOR CONCLUSIONS</w:t>
      </w:r>
    </w:p>
    <w:p w14:paraId="721EFA0A" w14:textId="77777777" w:rsidR="00BA606B" w:rsidRDefault="00BA606B" w:rsidP="003F6D3C">
      <w:pPr>
        <w:pStyle w:val="ContentsLevel1"/>
        <w:ind w:right="-1"/>
        <w:rPr>
          <w:b/>
          <w:bCs/>
        </w:rPr>
      </w:pPr>
    </w:p>
    <w:p w14:paraId="138EC425" w14:textId="77777777" w:rsidR="00BA606B" w:rsidRPr="00B176AD" w:rsidRDefault="00BA606B" w:rsidP="003F6D3C">
      <w:pPr>
        <w:pStyle w:val="ContentsLevel1"/>
        <w:ind w:right="-1"/>
      </w:pPr>
    </w:p>
    <w:bookmarkEnd w:id="8"/>
    <w:p w14:paraId="3A3BD4ED" w14:textId="799CFEF7" w:rsidR="00090A6F" w:rsidRPr="00B176AD" w:rsidRDefault="00090A6F">
      <w:pPr>
        <w:pStyle w:val="ContentsBox"/>
      </w:pPr>
      <w:r w:rsidRPr="00B176AD">
        <w:t xml:space="preserve">Australian Accounting Standard AASB </w:t>
      </w:r>
      <w:r w:rsidR="00BC0D5D" w:rsidRPr="00B176AD">
        <w:rPr>
          <w:iCs/>
        </w:rPr>
        <w:fldChar w:fldCharType="begin" w:fldLock="1"/>
      </w:r>
      <w:r w:rsidR="00BC0D5D" w:rsidRPr="00B176AD">
        <w:rPr>
          <w:iCs/>
        </w:rPr>
        <w:instrText xml:space="preserve"> REF </w:instrText>
      </w:r>
      <w:r w:rsidR="009C2479" w:rsidRPr="00B176AD">
        <w:rPr>
          <w:iCs/>
        </w:rPr>
        <w:instrText>Doc</w:instrText>
      </w:r>
      <w:r w:rsidR="00BC0D5D" w:rsidRPr="00B176AD">
        <w:rPr>
          <w:iCs/>
        </w:rPr>
        <w:instrText xml:space="preserve">No \* charformat </w:instrText>
      </w:r>
      <w:r w:rsidR="00BC0D5D" w:rsidRPr="00B176AD">
        <w:rPr>
          <w:iCs/>
        </w:rPr>
        <w:fldChar w:fldCharType="separate"/>
      </w:r>
      <w:r w:rsidR="00C649FE" w:rsidRPr="00C649FE">
        <w:rPr>
          <w:iCs/>
        </w:rPr>
        <w:t>2025-3</w:t>
      </w:r>
      <w:r w:rsidR="00BC0D5D" w:rsidRPr="00B176AD">
        <w:rPr>
          <w:iCs/>
        </w:rPr>
        <w:fldChar w:fldCharType="end"/>
      </w:r>
      <w:r w:rsidRPr="00B176AD">
        <w:t xml:space="preserve"> </w:t>
      </w:r>
      <w:r w:rsidR="00CC1DF4" w:rsidRPr="00B176AD">
        <w:rPr>
          <w:i/>
        </w:rPr>
        <w:fldChar w:fldCharType="begin" w:fldLock="1"/>
      </w:r>
      <w:r w:rsidR="00CC1DF4" w:rsidRPr="00B176AD">
        <w:rPr>
          <w:i/>
        </w:rPr>
        <w:instrText xml:space="preserve"> REF DocTitle \* charformat </w:instrText>
      </w:r>
      <w:r w:rsidR="00CC1DF4" w:rsidRPr="00B176AD">
        <w:rPr>
          <w:i/>
        </w:rPr>
        <w:fldChar w:fldCharType="separate"/>
      </w:r>
      <w:r w:rsidR="00C649FE" w:rsidRPr="00C649FE">
        <w:rPr>
          <w:i/>
        </w:rPr>
        <w:t>Amendments to Australian Accounting Standards – Contracts Referencing Nature-dependent Electricity: Tier 2 Disclosures</w:t>
      </w:r>
      <w:r w:rsidR="00CC1DF4" w:rsidRPr="00B176AD">
        <w:rPr>
          <w:i/>
        </w:rPr>
        <w:fldChar w:fldCharType="end"/>
      </w:r>
      <w:r w:rsidRPr="00B176AD">
        <w:rPr>
          <w:i/>
          <w:iCs/>
        </w:rPr>
        <w:t xml:space="preserve"> </w:t>
      </w:r>
      <w:r w:rsidRPr="00B176AD">
        <w:t xml:space="preserve">is set out </w:t>
      </w:r>
      <w:r w:rsidR="00E46988" w:rsidRPr="00B176AD">
        <w:t>i</w:t>
      </w:r>
      <w:r w:rsidRPr="00B176AD">
        <w:t xml:space="preserve">n </w:t>
      </w:r>
      <w:r w:rsidR="00E46988" w:rsidRPr="00B176AD">
        <w:t>paragraphs</w:t>
      </w:r>
      <w:r w:rsidRPr="00B176AD">
        <w:t xml:space="preserve"> </w:t>
      </w:r>
      <w:r w:rsidR="00377515" w:rsidRPr="00B176AD">
        <w:t>1–</w:t>
      </w:r>
      <w:r w:rsidR="006325D1" w:rsidRPr="00B176AD">
        <w:t>7</w:t>
      </w:r>
      <w:r w:rsidRPr="00B176AD">
        <w:t>. All the pa</w:t>
      </w:r>
      <w:r w:rsidR="009C2479" w:rsidRPr="00B176AD">
        <w:t>ragraphs have equal authority.</w:t>
      </w:r>
    </w:p>
    <w:p w14:paraId="24645B32" w14:textId="77777777" w:rsidR="00090A6F" w:rsidRPr="00B176AD" w:rsidRDefault="00090A6F" w:rsidP="001052DA">
      <w:pPr>
        <w:pStyle w:val="ContentsBox"/>
        <w:pBdr>
          <w:top w:val="none" w:sz="0" w:space="0" w:color="auto"/>
          <w:left w:val="none" w:sz="0" w:space="0" w:color="auto"/>
          <w:bottom w:val="none" w:sz="0" w:space="0" w:color="auto"/>
          <w:right w:val="none" w:sz="0" w:space="0" w:color="auto"/>
        </w:pBdr>
        <w:spacing w:after="0"/>
      </w:pPr>
    </w:p>
    <w:p w14:paraId="390B5180" w14:textId="77777777" w:rsidR="00090A6F" w:rsidRPr="00B176AD" w:rsidRDefault="00090A6F">
      <w:pPr>
        <w:sectPr w:rsidR="00090A6F" w:rsidRPr="00B176AD" w:rsidSect="00D74C6A">
          <w:footerReference w:type="default" r:id="rId15"/>
          <w:pgSz w:w="11907" w:h="16840" w:code="9"/>
          <w:pgMar w:top="1418" w:right="1418" w:bottom="1418" w:left="1418" w:header="709" w:footer="709" w:gutter="0"/>
          <w:paperSrc w:first="7" w:other="7"/>
          <w:cols w:space="720"/>
        </w:sectPr>
      </w:pPr>
    </w:p>
    <w:p w14:paraId="02426828" w14:textId="77777777" w:rsidR="00090A6F" w:rsidRPr="00B176AD" w:rsidRDefault="00090A6F">
      <w:pPr>
        <w:pStyle w:val="Heading1"/>
      </w:pPr>
      <w:r w:rsidRPr="00B176AD">
        <w:lastRenderedPageBreak/>
        <w:t>Preface</w:t>
      </w:r>
    </w:p>
    <w:p w14:paraId="48A2730A" w14:textId="6C31536D" w:rsidR="000F64CC" w:rsidRPr="00B176AD" w:rsidRDefault="00CA61C5">
      <w:pPr>
        <w:pStyle w:val="Heading2"/>
      </w:pPr>
      <w:r w:rsidRPr="00B176AD">
        <w:t xml:space="preserve">Standards amended by AASB </w:t>
      </w:r>
      <w:r w:rsidRPr="00B176AD">
        <w:fldChar w:fldCharType="begin" w:fldLock="1"/>
      </w:r>
      <w:r w:rsidRPr="00B176AD">
        <w:instrText xml:space="preserve"> REF DocNo \* charformat</w:instrText>
      </w:r>
      <w:r w:rsidRPr="00B176AD">
        <w:fldChar w:fldCharType="separate"/>
      </w:r>
      <w:r w:rsidR="00C649FE" w:rsidRPr="00B176AD">
        <w:t>2025-</w:t>
      </w:r>
      <w:r w:rsidR="00C649FE">
        <w:t>3</w:t>
      </w:r>
      <w:r w:rsidRPr="00B176AD">
        <w:fldChar w:fldCharType="end"/>
      </w:r>
    </w:p>
    <w:p w14:paraId="3921A03F" w14:textId="53AD98AC" w:rsidR="00E87366" w:rsidRPr="00B176AD" w:rsidRDefault="00E87366" w:rsidP="00E87366">
      <w:pPr>
        <w:pStyle w:val="NoNumPlain1"/>
      </w:pPr>
      <w:bookmarkStart w:id="9" w:name="_Hlk136870998"/>
      <w:r w:rsidRPr="00B176AD">
        <w:t xml:space="preserve">This Standard makes amendments to AASB 1060 </w:t>
      </w:r>
      <w:r w:rsidRPr="00B176AD">
        <w:rPr>
          <w:i/>
          <w:iCs/>
        </w:rPr>
        <w:t>General Purpose Financial Statements – Simplified Disclosures for For-Profit and Not-for-Profit Tier 2 Entities</w:t>
      </w:r>
      <w:r w:rsidRPr="00B176AD">
        <w:t xml:space="preserve"> (March 2020).</w:t>
      </w:r>
    </w:p>
    <w:bookmarkEnd w:id="9"/>
    <w:p w14:paraId="041A40CF" w14:textId="77777777" w:rsidR="00090A6F" w:rsidRPr="00B176AD" w:rsidRDefault="00F22AF2" w:rsidP="00F22AF2">
      <w:pPr>
        <w:pStyle w:val="Heading2"/>
      </w:pPr>
      <w:r w:rsidRPr="00B176AD">
        <w:t>Main features of this Standard</w:t>
      </w:r>
    </w:p>
    <w:p w14:paraId="7E350A5B" w14:textId="77777777" w:rsidR="00F22AF2" w:rsidRPr="00B176AD" w:rsidRDefault="00F22AF2" w:rsidP="00766E4B">
      <w:pPr>
        <w:pStyle w:val="Heading2Indent1"/>
        <w:ind w:left="782"/>
      </w:pPr>
      <w:r w:rsidRPr="00B176AD">
        <w:t>Main requirements</w:t>
      </w:r>
    </w:p>
    <w:p w14:paraId="153FB26C" w14:textId="77777777" w:rsidR="008C397C" w:rsidRPr="00B176AD" w:rsidRDefault="008C397C" w:rsidP="008C397C">
      <w:pPr>
        <w:pStyle w:val="NoNumPlain1"/>
      </w:pPr>
      <w:r w:rsidRPr="00B176AD">
        <w:t xml:space="preserve">AASB 2025-1 </w:t>
      </w:r>
      <w:r w:rsidRPr="00B176AD">
        <w:rPr>
          <w:i/>
          <w:iCs/>
        </w:rPr>
        <w:t xml:space="preserve">Amendments to Australian Accounting Standards – Contracts Referencing Nature-dependent Electricity </w:t>
      </w:r>
      <w:r w:rsidRPr="00B176AD">
        <w:t xml:space="preserve">amended AASB 7 </w:t>
      </w:r>
      <w:r w:rsidRPr="00B176AD">
        <w:rPr>
          <w:i/>
          <w:iCs/>
        </w:rPr>
        <w:t>Financial Instruments: Disclosures</w:t>
      </w:r>
      <w:r w:rsidRPr="00B176AD">
        <w:t xml:space="preserve"> and AASB 9 </w:t>
      </w:r>
      <w:r w:rsidRPr="00B176AD">
        <w:rPr>
          <w:i/>
          <w:iCs/>
        </w:rPr>
        <w:t>Financial Instruments</w:t>
      </w:r>
      <w:r w:rsidRPr="00B176AD">
        <w:t xml:space="preserve"> to allow entities to better reflect nature-dependent electricity contracts in the financial statements. Nature-dependent electricity contracts help entities to secure their electricity supply from sources such as wind and solar power. The amount of electricity generated under these contracts can vary based on uncontrollable factors such as weather conditions.</w:t>
      </w:r>
    </w:p>
    <w:p w14:paraId="47AC89B6" w14:textId="77777777" w:rsidR="008C397C" w:rsidRPr="00B176AD" w:rsidRDefault="008C397C" w:rsidP="008C397C">
      <w:pPr>
        <w:pStyle w:val="NoNumPlain1"/>
      </w:pPr>
      <w:r w:rsidRPr="00B176AD">
        <w:t>AASB 2025-1 amended requirements to:</w:t>
      </w:r>
    </w:p>
    <w:p w14:paraId="412BF8F6" w14:textId="77777777" w:rsidR="008C397C" w:rsidRPr="00B176AD" w:rsidRDefault="008C397C" w:rsidP="008C397C">
      <w:pPr>
        <w:pStyle w:val="NoNumPlain1"/>
        <w:numPr>
          <w:ilvl w:val="0"/>
          <w:numId w:val="18"/>
        </w:numPr>
        <w:ind w:left="782" w:hanging="782"/>
      </w:pPr>
      <w:r w:rsidRPr="00B176AD">
        <w:t>clarify the application of the ‘own-use’ criteria to nature-dependent electricity contracts;</w:t>
      </w:r>
    </w:p>
    <w:p w14:paraId="4EFADA25" w14:textId="77777777" w:rsidR="008C397C" w:rsidRPr="00B176AD" w:rsidRDefault="008C397C" w:rsidP="008C397C">
      <w:pPr>
        <w:pStyle w:val="NoNumPlain1"/>
        <w:numPr>
          <w:ilvl w:val="0"/>
          <w:numId w:val="18"/>
        </w:numPr>
        <w:ind w:left="782" w:hanging="782"/>
      </w:pPr>
      <w:r w:rsidRPr="00B176AD">
        <w:t>permit hedge accounting if these contracts are used as hedging instruments; and</w:t>
      </w:r>
    </w:p>
    <w:p w14:paraId="088FA30C" w14:textId="77777777" w:rsidR="008C397C" w:rsidRPr="00B176AD" w:rsidRDefault="008C397C" w:rsidP="008C397C">
      <w:pPr>
        <w:pStyle w:val="NoNumPlain1"/>
        <w:numPr>
          <w:ilvl w:val="0"/>
          <w:numId w:val="18"/>
        </w:numPr>
        <w:ind w:left="782" w:hanging="782"/>
      </w:pPr>
      <w:r w:rsidRPr="00B176AD">
        <w:t>add new disclosure requirements to enable users of financial statements to better understand the effect of these contracts on an entity’s financial performance and cash flows.</w:t>
      </w:r>
    </w:p>
    <w:p w14:paraId="096EC287" w14:textId="5B520E6F" w:rsidR="008C397C" w:rsidRPr="00B176AD" w:rsidRDefault="008C397C" w:rsidP="00290253">
      <w:pPr>
        <w:pStyle w:val="NoNumPlain1"/>
      </w:pPr>
      <w:r w:rsidRPr="00B176AD">
        <w:t xml:space="preserve">This Standard amends AASB 1060 to require a Tier 2 entity to disclose information about nature-dependent electricity contracts that meet the ‘own-use’ criteria </w:t>
      </w:r>
      <w:r w:rsidRPr="00B176AD">
        <w:rPr>
          <w:rFonts w:cs="Arial"/>
          <w:szCs w:val="22"/>
        </w:rPr>
        <w:t>and are recognised as procurement contracts. Only some of the disclosure requirements added by AASB 2025-1 to AASB 7 for Tier 1 entities are extended to Tier 2 entities.</w:t>
      </w:r>
    </w:p>
    <w:p w14:paraId="1C00240E" w14:textId="77777777" w:rsidR="00F22AF2" w:rsidRPr="00B176AD" w:rsidRDefault="00F22AF2" w:rsidP="00766E4B">
      <w:pPr>
        <w:pStyle w:val="Heading2Indent1"/>
        <w:ind w:left="782"/>
      </w:pPr>
      <w:r w:rsidRPr="00B176AD">
        <w:t>Application date</w:t>
      </w:r>
    </w:p>
    <w:p w14:paraId="4C73EE93" w14:textId="29AC2588" w:rsidR="00F22AF2" w:rsidRPr="00B176AD" w:rsidRDefault="00B16904" w:rsidP="00F22AF2">
      <w:pPr>
        <w:pStyle w:val="NoNumPlain1"/>
      </w:pPr>
      <w:r w:rsidRPr="00B176AD">
        <w:t xml:space="preserve">This Standard applies to annual periods </w:t>
      </w:r>
      <w:bookmarkStart w:id="10" w:name="ApplyText"/>
      <w:r w:rsidRPr="00B176AD">
        <w:t>beginning</w:t>
      </w:r>
      <w:bookmarkEnd w:id="10"/>
      <w:r w:rsidRPr="00B176AD">
        <w:t xml:space="preserve"> on or after</w:t>
      </w:r>
      <w:r w:rsidR="00867FB0" w:rsidRPr="00B176AD">
        <w:t xml:space="preserve"> </w:t>
      </w:r>
      <w:bookmarkStart w:id="11" w:name="ApplyDate"/>
      <w:r w:rsidR="00DE6B70" w:rsidRPr="00B176AD">
        <w:t>1 January 2026</w:t>
      </w:r>
      <w:bookmarkEnd w:id="11"/>
      <w:r w:rsidR="000967EA" w:rsidRPr="00B176AD">
        <w:t xml:space="preserve">, </w:t>
      </w:r>
      <w:r w:rsidR="00D829A4" w:rsidRPr="00B176AD">
        <w:t>with earlier application permitted.</w:t>
      </w:r>
    </w:p>
    <w:p w14:paraId="16944DCE" w14:textId="77777777" w:rsidR="00F22AF2" w:rsidRPr="00B176AD" w:rsidRDefault="00F22AF2"/>
    <w:p w14:paraId="5279877D" w14:textId="77777777" w:rsidR="00090A6F" w:rsidRPr="00B176AD" w:rsidRDefault="00090A6F">
      <w:pPr>
        <w:sectPr w:rsidR="00090A6F" w:rsidRPr="00B176AD" w:rsidSect="00D74C6A">
          <w:footerReference w:type="default" r:id="rId16"/>
          <w:pgSz w:w="11907" w:h="16840" w:code="9"/>
          <w:pgMar w:top="1418" w:right="1418" w:bottom="1418" w:left="1418" w:header="709" w:footer="709" w:gutter="0"/>
          <w:paperSrc w:first="7" w:other="7"/>
          <w:cols w:space="720"/>
        </w:sectPr>
      </w:pPr>
    </w:p>
    <w:p w14:paraId="1B4FB455" w14:textId="4098F874" w:rsidR="001662B8" w:rsidRPr="00B176AD" w:rsidRDefault="00F13C5A" w:rsidP="001662B8">
      <w:pPr>
        <w:pStyle w:val="Heading1"/>
      </w:pPr>
      <w:r w:rsidRPr="00B176AD">
        <w:lastRenderedPageBreak/>
        <w:t xml:space="preserve">Accounting Standard </w:t>
      </w:r>
      <w:r w:rsidR="001662B8" w:rsidRPr="00B176AD">
        <w:t xml:space="preserve">AASB </w:t>
      </w:r>
      <w:r w:rsidR="001662B8" w:rsidRPr="00B176AD">
        <w:rPr>
          <w:iCs/>
        </w:rPr>
        <w:fldChar w:fldCharType="begin" w:fldLock="1"/>
      </w:r>
      <w:r w:rsidR="001662B8" w:rsidRPr="00B176AD">
        <w:rPr>
          <w:iCs/>
        </w:rPr>
        <w:instrText xml:space="preserve"> REF DocNo \* charformat </w:instrText>
      </w:r>
      <w:r w:rsidR="001662B8" w:rsidRPr="00B176AD">
        <w:rPr>
          <w:iCs/>
        </w:rPr>
        <w:fldChar w:fldCharType="separate"/>
      </w:r>
      <w:r w:rsidR="00C649FE" w:rsidRPr="00C649FE">
        <w:rPr>
          <w:iCs/>
        </w:rPr>
        <w:t>2025-3</w:t>
      </w:r>
      <w:r w:rsidR="001662B8" w:rsidRPr="00B176AD">
        <w:rPr>
          <w:iCs/>
        </w:rPr>
        <w:fldChar w:fldCharType="end"/>
      </w:r>
    </w:p>
    <w:p w14:paraId="5BC5E643" w14:textId="67CCA7D7" w:rsidR="001662B8" w:rsidRDefault="001662B8" w:rsidP="00BA606B">
      <w:pPr>
        <w:pStyle w:val="NoNumPlain1"/>
      </w:pPr>
      <w:r w:rsidRPr="00B176AD">
        <w:t>The Australian Accounting Standards Board makes Accounting Standard AASB </w:t>
      </w:r>
      <w:fldSimple w:instr=" REF DocNo  \* charformat " w:fldLock="1">
        <w:r w:rsidR="00C649FE" w:rsidRPr="00B176AD">
          <w:t>2025-</w:t>
        </w:r>
        <w:r w:rsidR="00C649FE">
          <w:t>3</w:t>
        </w:r>
      </w:fldSimple>
      <w:r w:rsidRPr="00B176AD">
        <w:t xml:space="preserve"> </w:t>
      </w:r>
      <w:r w:rsidR="00CC1DF4" w:rsidRPr="00B176AD">
        <w:rPr>
          <w:i/>
        </w:rPr>
        <w:fldChar w:fldCharType="begin" w:fldLock="1"/>
      </w:r>
      <w:r w:rsidR="00CC1DF4" w:rsidRPr="00B176AD">
        <w:rPr>
          <w:i/>
        </w:rPr>
        <w:instrText xml:space="preserve"> REF DocTitle \* charformat </w:instrText>
      </w:r>
      <w:r w:rsidR="00CC1DF4" w:rsidRPr="00B176AD">
        <w:rPr>
          <w:i/>
        </w:rPr>
        <w:fldChar w:fldCharType="separate"/>
      </w:r>
      <w:r w:rsidR="00C649FE" w:rsidRPr="00C649FE">
        <w:rPr>
          <w:i/>
        </w:rPr>
        <w:t>Amendments to Australian Accounting Standards – Contracts Referencing Nature-dependent Electricity: Tier 2 Disclosures</w:t>
      </w:r>
      <w:r w:rsidR="00CC1DF4" w:rsidRPr="00B176AD">
        <w:rPr>
          <w:i/>
        </w:rPr>
        <w:fldChar w:fldCharType="end"/>
      </w:r>
      <w:bookmarkStart w:id="12" w:name="CorpsAct"/>
      <w:r w:rsidR="002B7803" w:rsidRPr="00B176AD">
        <w:rPr>
          <w:i/>
          <w:iCs/>
        </w:rPr>
        <w:t xml:space="preserve"> </w:t>
      </w:r>
      <w:r w:rsidRPr="00B176AD">
        <w:t xml:space="preserve">under section 334 of the </w:t>
      </w:r>
      <w:r w:rsidRPr="00B176AD">
        <w:rPr>
          <w:i/>
          <w:iCs/>
        </w:rPr>
        <w:t>Corporations Act 2001</w:t>
      </w:r>
      <w:bookmarkEnd w:id="12"/>
      <w:r w:rsidRPr="00B176AD">
        <w:t>.</w:t>
      </w:r>
    </w:p>
    <w:p w14:paraId="0E9E53B5" w14:textId="77777777" w:rsidR="009867E5" w:rsidRPr="00CB43B9" w:rsidRDefault="009867E5" w:rsidP="009867E5">
      <w:pPr>
        <w:jc w:val="right"/>
      </w:pPr>
      <w:r w:rsidRPr="00CB43B9">
        <w:t>Keith Kendall</w:t>
      </w:r>
    </w:p>
    <w:p w14:paraId="6AFE0F0F" w14:textId="0A2C23FE" w:rsidR="009867E5" w:rsidRPr="00CB43B9" w:rsidRDefault="009867E5" w:rsidP="009867E5">
      <w:pPr>
        <w:tabs>
          <w:tab w:val="right" w:pos="9071"/>
        </w:tabs>
      </w:pPr>
      <w:r w:rsidRPr="00CB43B9">
        <w:t xml:space="preserve">Dated </w:t>
      </w:r>
      <w:r w:rsidR="00D269B1">
        <w:t>1</w:t>
      </w:r>
      <w:r w:rsidR="0018649D">
        <w:t>9</w:t>
      </w:r>
      <w:r w:rsidR="00D269B1">
        <w:t xml:space="preserve"> August </w:t>
      </w:r>
      <w:r w:rsidR="0018649D">
        <w:t>2025</w:t>
      </w:r>
      <w:r w:rsidRPr="00CB43B9">
        <w:tab/>
        <w:t>Chair – AASB</w:t>
      </w:r>
    </w:p>
    <w:p w14:paraId="41D51E7E" w14:textId="6BD46E57" w:rsidR="00090A6F" w:rsidRPr="00B176AD" w:rsidRDefault="00F13C5A" w:rsidP="00867FB0">
      <w:pPr>
        <w:pStyle w:val="Heading1"/>
        <w:spacing w:after="0"/>
      </w:pPr>
      <w:r w:rsidRPr="00B176AD">
        <w:t xml:space="preserve">Accounting Standard </w:t>
      </w:r>
      <w:r w:rsidR="00090A6F" w:rsidRPr="00B176AD">
        <w:t xml:space="preserve">AASB </w:t>
      </w:r>
      <w:r w:rsidR="00BC0D5D" w:rsidRPr="00B176AD">
        <w:rPr>
          <w:iCs/>
        </w:rPr>
        <w:fldChar w:fldCharType="begin" w:fldLock="1"/>
      </w:r>
      <w:r w:rsidR="00BC0D5D" w:rsidRPr="00B176AD">
        <w:rPr>
          <w:iCs/>
        </w:rPr>
        <w:instrText xml:space="preserve"> REF </w:instrText>
      </w:r>
      <w:r w:rsidR="001662B8" w:rsidRPr="00B176AD">
        <w:rPr>
          <w:iCs/>
        </w:rPr>
        <w:instrText>Doc</w:instrText>
      </w:r>
      <w:r w:rsidR="00BC0D5D" w:rsidRPr="00B176AD">
        <w:rPr>
          <w:iCs/>
        </w:rPr>
        <w:instrText xml:space="preserve">No \* charformat </w:instrText>
      </w:r>
      <w:r w:rsidR="00BC0D5D" w:rsidRPr="00B176AD">
        <w:rPr>
          <w:iCs/>
        </w:rPr>
        <w:fldChar w:fldCharType="separate"/>
      </w:r>
      <w:r w:rsidR="00C649FE" w:rsidRPr="00C649FE">
        <w:rPr>
          <w:iCs/>
        </w:rPr>
        <w:t>2025-3</w:t>
      </w:r>
      <w:r w:rsidR="00BC0D5D" w:rsidRPr="00B176AD">
        <w:rPr>
          <w:iCs/>
        </w:rPr>
        <w:fldChar w:fldCharType="end"/>
      </w:r>
    </w:p>
    <w:p w14:paraId="27FFA356" w14:textId="093455C8" w:rsidR="00090A6F" w:rsidRPr="00B176AD" w:rsidRDefault="00CC1DF4" w:rsidP="003E1900">
      <w:pPr>
        <w:pStyle w:val="Heading1Italic"/>
        <w:spacing w:before="0"/>
      </w:pPr>
      <w:r w:rsidRPr="00B176AD">
        <w:fldChar w:fldCharType="begin" w:fldLock="1"/>
      </w:r>
      <w:r w:rsidRPr="00B176AD">
        <w:instrText xml:space="preserve"> REF DocTitle \* charformat</w:instrText>
      </w:r>
      <w:r w:rsidRPr="00B176AD">
        <w:fldChar w:fldCharType="separate"/>
      </w:r>
      <w:r w:rsidR="00C649FE" w:rsidRPr="00B176AD">
        <w:t>Amendments to Australian Accounting Standards – Contracts Referencing Nature-dependent Electricity: Tier 2 Disclosures</w:t>
      </w:r>
      <w:r w:rsidRPr="00B176AD">
        <w:fldChar w:fldCharType="end"/>
      </w:r>
    </w:p>
    <w:p w14:paraId="1529F2BC" w14:textId="77777777" w:rsidR="00090A6F" w:rsidRPr="00B176AD" w:rsidRDefault="00090A6F" w:rsidP="00FC30DA">
      <w:pPr>
        <w:pStyle w:val="Heading2"/>
      </w:pPr>
      <w:bookmarkStart w:id="13" w:name="TOCStart"/>
      <w:bookmarkEnd w:id="13"/>
      <w:r w:rsidRPr="00B176AD">
        <w:t>Objective</w:t>
      </w:r>
    </w:p>
    <w:p w14:paraId="2C0465A7" w14:textId="38B8E25A" w:rsidR="008A3668" w:rsidRPr="00B176AD" w:rsidRDefault="008A3668" w:rsidP="008A3668">
      <w:pPr>
        <w:pStyle w:val="NumPlain1"/>
        <w:numPr>
          <w:ilvl w:val="0"/>
          <w:numId w:val="14"/>
        </w:numPr>
      </w:pPr>
      <w:r w:rsidRPr="00B176AD">
        <w:t xml:space="preserve">This Standard amends AASB 1060 </w:t>
      </w:r>
      <w:r w:rsidRPr="00B176AD">
        <w:rPr>
          <w:i/>
          <w:iCs/>
        </w:rPr>
        <w:t>General Purpose Financial Statements – Simplified Disclosures for For-Profit and Not-for-Profit Tier 2 Entities</w:t>
      </w:r>
      <w:r w:rsidRPr="00B176AD">
        <w:t xml:space="preserve"> (March 2020) to require a Tier 2 entity to disclose information about nature-dependent electricity contracts that meet the ‘own-use’ criteria </w:t>
      </w:r>
      <w:r w:rsidRPr="00B176AD">
        <w:rPr>
          <w:rFonts w:cs="Arial"/>
          <w:szCs w:val="22"/>
        </w:rPr>
        <w:t xml:space="preserve">and are recognised as procurement contracts. </w:t>
      </w:r>
    </w:p>
    <w:p w14:paraId="3FBC76D5" w14:textId="77777777" w:rsidR="008A3668" w:rsidRPr="00B176AD" w:rsidRDefault="008A3668" w:rsidP="008A3668">
      <w:pPr>
        <w:pStyle w:val="NumPlain1"/>
        <w:numPr>
          <w:ilvl w:val="0"/>
          <w:numId w:val="14"/>
        </w:numPr>
      </w:pPr>
      <w:r w:rsidRPr="00B176AD">
        <w:t xml:space="preserve">This amendment reflects the issuance of AASB 2025-1 </w:t>
      </w:r>
      <w:r w:rsidRPr="00B176AD">
        <w:rPr>
          <w:i/>
          <w:iCs/>
        </w:rPr>
        <w:t>Amendments to Australian Accounting Standards – Contracts Referencing Nature-dependent Electricity</w:t>
      </w:r>
      <w:r w:rsidRPr="00B176AD">
        <w:t xml:space="preserve">, which amended AASB 7 </w:t>
      </w:r>
      <w:r w:rsidRPr="00B176AD">
        <w:rPr>
          <w:i/>
          <w:iCs/>
        </w:rPr>
        <w:t>Financial Instruments: Disclosures</w:t>
      </w:r>
      <w:r w:rsidRPr="00B176AD">
        <w:t xml:space="preserve"> (August 2015) and AASB 9 </w:t>
      </w:r>
      <w:r w:rsidRPr="00B176AD">
        <w:rPr>
          <w:i/>
          <w:iCs/>
        </w:rPr>
        <w:t>Financial Instruments</w:t>
      </w:r>
      <w:r w:rsidRPr="00B176AD">
        <w:t xml:space="preserve"> (December 2014), and extends some of the new disclosure requirements to Tier 2 entities.</w:t>
      </w:r>
    </w:p>
    <w:p w14:paraId="74A0C45C" w14:textId="77777777" w:rsidR="00090A6F" w:rsidRPr="00B176AD" w:rsidRDefault="00090A6F">
      <w:pPr>
        <w:pStyle w:val="Heading2"/>
      </w:pPr>
      <w:r w:rsidRPr="00B176AD">
        <w:t>Application</w:t>
      </w:r>
    </w:p>
    <w:p w14:paraId="495DCB29" w14:textId="77777777" w:rsidR="00DE1925" w:rsidRPr="00B176AD" w:rsidRDefault="00DE1925" w:rsidP="00DE1925">
      <w:pPr>
        <w:pStyle w:val="NumPlain1"/>
        <w:numPr>
          <w:ilvl w:val="0"/>
          <w:numId w:val="14"/>
        </w:numPr>
      </w:pPr>
      <w:r w:rsidRPr="00B176AD">
        <w:t xml:space="preserve">The amendments set out in this Standard apply to entities and financial statements in accordance with the application of AASB 1060 set out in AASB 1057 </w:t>
      </w:r>
      <w:r w:rsidRPr="00B176AD">
        <w:rPr>
          <w:i/>
        </w:rPr>
        <w:t>Application of Australian Accounting Standards</w:t>
      </w:r>
      <w:r w:rsidRPr="00B176AD">
        <w:t>.</w:t>
      </w:r>
    </w:p>
    <w:p w14:paraId="2E47B86A" w14:textId="0DE967BC" w:rsidR="00DE1925" w:rsidRPr="00B176AD" w:rsidRDefault="00DE1925" w:rsidP="00DE1925">
      <w:pPr>
        <w:pStyle w:val="NumPlain1"/>
        <w:numPr>
          <w:ilvl w:val="0"/>
          <w:numId w:val="13"/>
        </w:numPr>
      </w:pPr>
      <w:r w:rsidRPr="00B176AD">
        <w:t>This Standard applies to annual periods beginning on or after 1 January 2026. Earlier application is permitted.</w:t>
      </w:r>
    </w:p>
    <w:p w14:paraId="60D2223F" w14:textId="77777777" w:rsidR="002C3CBA" w:rsidRPr="00B176AD" w:rsidRDefault="002C3CBA" w:rsidP="002C3CBA">
      <w:pPr>
        <w:pStyle w:val="Heading2"/>
      </w:pPr>
      <w:r w:rsidRPr="00B176AD">
        <w:t>Amendments to AASB 1060</w:t>
      </w:r>
    </w:p>
    <w:p w14:paraId="7878B847" w14:textId="77777777" w:rsidR="002C3CBA" w:rsidRPr="00B176AD" w:rsidRDefault="002C3CBA" w:rsidP="002C3CBA">
      <w:pPr>
        <w:pStyle w:val="NumPlain1"/>
        <w:keepNext/>
        <w:numPr>
          <w:ilvl w:val="0"/>
          <w:numId w:val="14"/>
        </w:numPr>
      </w:pPr>
      <w:r w:rsidRPr="00B176AD">
        <w:t>The heading above paragraph 120 is amended and a new sub-heading added, to read as follows:</w:t>
      </w:r>
    </w:p>
    <w:p w14:paraId="4A42837D" w14:textId="77777777" w:rsidR="002C3CBA" w:rsidRPr="00B176AD" w:rsidRDefault="002C3CBA" w:rsidP="002C3CBA">
      <w:pPr>
        <w:pStyle w:val="NumPlain1"/>
        <w:numPr>
          <w:ilvl w:val="0"/>
          <w:numId w:val="0"/>
        </w:numPr>
        <w:spacing w:before="240" w:after="0"/>
        <w:ind w:left="782"/>
        <w:rPr>
          <w:rFonts w:ascii="Arial" w:eastAsiaTheme="majorEastAsia" w:hAnsi="Arial" w:cs="Arial"/>
          <w:b/>
          <w:bCs/>
          <w:sz w:val="26"/>
          <w:szCs w:val="26"/>
        </w:rPr>
      </w:pPr>
      <w:r w:rsidRPr="00B176AD">
        <w:rPr>
          <w:rFonts w:ascii="Arial" w:eastAsiaTheme="majorEastAsia" w:hAnsi="Arial" w:cs="Arial"/>
          <w:b/>
          <w:bCs/>
          <w:sz w:val="26"/>
          <w:szCs w:val="26"/>
        </w:rPr>
        <w:t>Other Financial Instrument Issues</w:t>
      </w:r>
      <w:r w:rsidRPr="00B176AD">
        <w:rPr>
          <w:rFonts w:ascii="Arial" w:eastAsiaTheme="majorEastAsia" w:hAnsi="Arial" w:cs="Arial"/>
          <w:b/>
          <w:bCs/>
          <w:sz w:val="22"/>
          <w:szCs w:val="22"/>
          <w:vertAlign w:val="superscript"/>
        </w:rPr>
        <w:t>11</w:t>
      </w:r>
    </w:p>
    <w:p w14:paraId="74BB2A73" w14:textId="77777777" w:rsidR="002C3CBA" w:rsidRPr="00B176AD" w:rsidRDefault="002C3CBA" w:rsidP="002C3CBA">
      <w:pPr>
        <w:pStyle w:val="NumPlain1"/>
        <w:numPr>
          <w:ilvl w:val="0"/>
          <w:numId w:val="0"/>
        </w:numPr>
        <w:spacing w:before="160" w:after="240"/>
        <w:ind w:left="782"/>
        <w:rPr>
          <w:rFonts w:ascii="Arial" w:hAnsi="Arial" w:cs="Arial"/>
          <w:b/>
          <w:bCs/>
          <w:sz w:val="22"/>
          <w:szCs w:val="22"/>
        </w:rPr>
      </w:pPr>
      <w:r w:rsidRPr="00B176AD">
        <w:rPr>
          <w:rFonts w:ascii="Arial" w:eastAsiaTheme="majorEastAsia" w:hAnsi="Arial" w:cs="Arial"/>
          <w:b/>
          <w:bCs/>
          <w:sz w:val="22"/>
          <w:szCs w:val="22"/>
        </w:rPr>
        <w:t>Hedging disclosures</w:t>
      </w:r>
    </w:p>
    <w:p w14:paraId="4B586806" w14:textId="652A7715" w:rsidR="002C3CBA" w:rsidRPr="00B176AD" w:rsidRDefault="002C3CBA" w:rsidP="002C3CBA">
      <w:pPr>
        <w:pStyle w:val="NumPlain1"/>
        <w:keepNext/>
        <w:numPr>
          <w:ilvl w:val="0"/>
          <w:numId w:val="14"/>
        </w:numPr>
        <w:spacing w:before="240"/>
      </w:pPr>
      <w:r w:rsidRPr="00B176AD">
        <w:t>Paragraphs 122A–122</w:t>
      </w:r>
      <w:r w:rsidR="0082329F">
        <w:t>C</w:t>
      </w:r>
      <w:r w:rsidRPr="00B176AD">
        <w:t xml:space="preserve"> and a related heading are added as follows:</w:t>
      </w:r>
    </w:p>
    <w:p w14:paraId="199B9DE7" w14:textId="77777777" w:rsidR="002C3CBA" w:rsidRPr="00B176AD" w:rsidRDefault="002C3CBA" w:rsidP="002C3CBA">
      <w:pPr>
        <w:pStyle w:val="NumPlain1"/>
        <w:numPr>
          <w:ilvl w:val="0"/>
          <w:numId w:val="0"/>
        </w:numPr>
        <w:spacing w:before="240" w:after="200"/>
        <w:ind w:left="782"/>
        <w:rPr>
          <w:rFonts w:ascii="Arial" w:eastAsiaTheme="majorEastAsia" w:hAnsi="Arial" w:cs="Arial"/>
          <w:b/>
          <w:bCs/>
          <w:sz w:val="22"/>
          <w:szCs w:val="22"/>
        </w:rPr>
      </w:pPr>
      <w:r w:rsidRPr="00B176AD">
        <w:rPr>
          <w:rFonts w:ascii="Arial" w:eastAsiaTheme="majorEastAsia" w:hAnsi="Arial" w:cs="Arial"/>
          <w:b/>
          <w:bCs/>
          <w:sz w:val="22"/>
          <w:szCs w:val="22"/>
        </w:rPr>
        <w:t>Contracts referencing nature-dependent electricity</w:t>
      </w:r>
    </w:p>
    <w:p w14:paraId="020553BB" w14:textId="77777777" w:rsidR="002C3CBA" w:rsidRPr="00B176AD" w:rsidRDefault="002C3CBA" w:rsidP="002C3CBA">
      <w:pPr>
        <w:pStyle w:val="IASBNormalnpara"/>
        <w:spacing w:after="100"/>
        <w:ind w:left="1564"/>
        <w:rPr>
          <w:bCs/>
          <w:lang w:val="en-AU"/>
        </w:rPr>
      </w:pPr>
      <w:r w:rsidRPr="00B176AD">
        <w:rPr>
          <w:bCs/>
          <w:lang w:val="en-AU"/>
        </w:rPr>
        <w:t>122A</w:t>
      </w:r>
      <w:r w:rsidRPr="00B176AD">
        <w:rPr>
          <w:bCs/>
          <w:lang w:val="en-AU"/>
        </w:rPr>
        <w:tab/>
        <w:t>Contracts referencing nature-dependent electricity are contracts that expose an entity to variability in the underlying amount of electricity because the source of electricity generation depends on uncontrollable natural conditions (for example, the weather). Contracts referencing nature-dependent electricity include both contracts to buy or sell nature-dependent electricity and financial instruments that reference such electricity. For contracts to buy nature-dependent electricity that are outside the scope of AASB 9 in accordance with paragraphs B2.7–B2.8 of AASB 9, an entity shall disclose in a single note in its financial statements:</w:t>
      </w:r>
    </w:p>
    <w:p w14:paraId="2169D1E0" w14:textId="77777777" w:rsidR="002C3CBA" w:rsidRPr="00B176AD" w:rsidRDefault="002C3CBA" w:rsidP="002C3CBA">
      <w:pPr>
        <w:pStyle w:val="IASBNormalnparaL1"/>
        <w:keepNext/>
        <w:numPr>
          <w:ilvl w:val="0"/>
          <w:numId w:val="15"/>
        </w:numPr>
        <w:spacing w:after="100"/>
        <w:ind w:left="2347" w:hanging="782"/>
        <w:rPr>
          <w:bCs/>
          <w:lang w:val="en-AU"/>
        </w:rPr>
      </w:pPr>
      <w:r w:rsidRPr="00B176AD">
        <w:rPr>
          <w:lang w:val="en-AU"/>
        </w:rPr>
        <w:t>information</w:t>
      </w:r>
      <w:r w:rsidRPr="00B176AD">
        <w:rPr>
          <w:bCs/>
          <w:lang w:val="en-AU"/>
        </w:rPr>
        <w:t xml:space="preserve"> about contractual features that expose the entity to:</w:t>
      </w:r>
    </w:p>
    <w:p w14:paraId="73A546E8" w14:textId="77777777" w:rsidR="002C3CBA" w:rsidRPr="00B176AD" w:rsidRDefault="002C3CBA" w:rsidP="002C3CBA">
      <w:pPr>
        <w:pStyle w:val="NumPlain3"/>
        <w:numPr>
          <w:ilvl w:val="2"/>
          <w:numId w:val="16"/>
        </w:numPr>
        <w:ind w:left="3129" w:hanging="782"/>
        <w:rPr>
          <w:bCs/>
        </w:rPr>
      </w:pPr>
      <w:r w:rsidRPr="00B176AD">
        <w:rPr>
          <w:bCs/>
        </w:rPr>
        <w:t>variability in the underlying amount of electricity; and</w:t>
      </w:r>
    </w:p>
    <w:p w14:paraId="269E1C88" w14:textId="77777777" w:rsidR="002C3CBA" w:rsidRPr="00B176AD" w:rsidRDefault="002C3CBA" w:rsidP="002C3CBA">
      <w:pPr>
        <w:pStyle w:val="NumPlain3"/>
        <w:numPr>
          <w:ilvl w:val="2"/>
          <w:numId w:val="16"/>
        </w:numPr>
        <w:ind w:left="3129" w:hanging="782"/>
        <w:rPr>
          <w:bCs/>
        </w:rPr>
      </w:pPr>
      <w:r w:rsidRPr="00B176AD">
        <w:rPr>
          <w:bCs/>
        </w:rPr>
        <w:lastRenderedPageBreak/>
        <w:t>the risk that the entity would be required to buy electricity during a delivery interval in which the entity cannot use the electricity (see paragraph B2.7 of AASB 9);</w:t>
      </w:r>
    </w:p>
    <w:p w14:paraId="1AB956C3" w14:textId="77777777" w:rsidR="002C3CBA" w:rsidRPr="00B176AD" w:rsidRDefault="002C3CBA" w:rsidP="002C3CBA">
      <w:pPr>
        <w:pStyle w:val="IASBNormalnparaL1"/>
        <w:numPr>
          <w:ilvl w:val="0"/>
          <w:numId w:val="15"/>
        </w:numPr>
        <w:spacing w:after="100"/>
        <w:ind w:left="2347" w:hanging="782"/>
        <w:rPr>
          <w:bCs/>
          <w:lang w:val="en-AU"/>
        </w:rPr>
      </w:pPr>
      <w:r w:rsidRPr="00B176AD">
        <w:rPr>
          <w:bCs/>
          <w:lang w:val="en-AU"/>
        </w:rPr>
        <w:t xml:space="preserve">qualitative </w:t>
      </w:r>
      <w:r w:rsidRPr="00B176AD">
        <w:rPr>
          <w:lang w:val="en-AU"/>
        </w:rPr>
        <w:t>information</w:t>
      </w:r>
      <w:r w:rsidRPr="00B176AD">
        <w:rPr>
          <w:bCs/>
          <w:lang w:val="en-AU"/>
        </w:rPr>
        <w:t xml:space="preserve"> about how the entity assesses whether a contract might become onerous (see AASB 137 </w:t>
      </w:r>
      <w:r w:rsidRPr="00B176AD">
        <w:rPr>
          <w:bCs/>
          <w:i/>
          <w:iCs/>
          <w:lang w:val="en-AU"/>
        </w:rPr>
        <w:t>Provisions, Contingent Liabilities and Contingent Assets</w:t>
      </w:r>
      <w:r w:rsidRPr="00B176AD">
        <w:rPr>
          <w:bCs/>
          <w:lang w:val="en-AU"/>
        </w:rPr>
        <w:t>), including the assumptions the entity uses in making this assessment; and</w:t>
      </w:r>
    </w:p>
    <w:p w14:paraId="53424A02" w14:textId="77777777" w:rsidR="002C3CBA" w:rsidRPr="00B176AD" w:rsidRDefault="002C3CBA" w:rsidP="002C3CBA">
      <w:pPr>
        <w:pStyle w:val="IASBNormalnparaL1"/>
        <w:numPr>
          <w:ilvl w:val="0"/>
          <w:numId w:val="15"/>
        </w:numPr>
        <w:spacing w:after="100"/>
        <w:ind w:left="2347" w:hanging="782"/>
        <w:rPr>
          <w:lang w:val="en-AU"/>
        </w:rPr>
      </w:pPr>
      <w:r w:rsidRPr="00B176AD">
        <w:rPr>
          <w:bCs/>
          <w:lang w:val="en-AU"/>
        </w:rPr>
        <w:t xml:space="preserve">qualitative information about the effects on the entity’s financial performance for the reporting period. </w:t>
      </w:r>
    </w:p>
    <w:p w14:paraId="6BCD8B38" w14:textId="1B220548" w:rsidR="002C3CBA" w:rsidRPr="00B176AD" w:rsidRDefault="002C3CBA" w:rsidP="00583BE6">
      <w:pPr>
        <w:pStyle w:val="IASBNormalnpara"/>
        <w:spacing w:after="100"/>
        <w:ind w:left="1564"/>
        <w:rPr>
          <w:lang w:val="en-AU"/>
        </w:rPr>
      </w:pPr>
      <w:r w:rsidRPr="00B176AD">
        <w:rPr>
          <w:lang w:val="en-AU"/>
        </w:rPr>
        <w:t>122B</w:t>
      </w:r>
      <w:r w:rsidRPr="00B176AD">
        <w:rPr>
          <w:lang w:val="en-AU"/>
        </w:rPr>
        <w:tab/>
      </w:r>
      <w:r w:rsidR="00E6167B">
        <w:rPr>
          <w:lang w:val="en-AU"/>
        </w:rPr>
        <w:t xml:space="preserve">For </w:t>
      </w:r>
      <w:r w:rsidR="00DB594F">
        <w:rPr>
          <w:lang w:val="en-AU"/>
        </w:rPr>
        <w:t xml:space="preserve">the </w:t>
      </w:r>
      <w:r w:rsidR="00E6167B">
        <w:rPr>
          <w:lang w:val="en-AU"/>
        </w:rPr>
        <w:t xml:space="preserve">disclosures </w:t>
      </w:r>
      <w:r w:rsidR="00DB594F">
        <w:rPr>
          <w:lang w:val="en-AU"/>
        </w:rPr>
        <w:t xml:space="preserve">required by </w:t>
      </w:r>
      <w:r w:rsidRPr="00B176AD">
        <w:rPr>
          <w:lang w:val="en-AU"/>
        </w:rPr>
        <w:t>paragraph 122A, an entity is not required to</w:t>
      </w:r>
      <w:r w:rsidR="00BA5A1C">
        <w:rPr>
          <w:lang w:val="en-AU"/>
        </w:rPr>
        <w:t xml:space="preserve"> provide</w:t>
      </w:r>
      <w:r w:rsidR="002C0A55">
        <w:rPr>
          <w:lang w:val="en-AU"/>
        </w:rPr>
        <w:t xml:space="preserve"> </w:t>
      </w:r>
      <w:r w:rsidRPr="00B176AD">
        <w:rPr>
          <w:lang w:val="en-AU"/>
        </w:rPr>
        <w:t>comparative information for any reporting periods presented before the beginning of the annual reporting period in which the entity first applies those requirements</w:t>
      </w:r>
      <w:r w:rsidR="00DB594F">
        <w:rPr>
          <w:lang w:val="en-AU"/>
        </w:rPr>
        <w:t xml:space="preserve">. </w:t>
      </w:r>
    </w:p>
    <w:p w14:paraId="4762DCF4" w14:textId="433A0FB7" w:rsidR="002C3CBA" w:rsidRPr="00B176AD" w:rsidRDefault="00976460" w:rsidP="00583BE6">
      <w:pPr>
        <w:pStyle w:val="IASBNormalnpara"/>
        <w:spacing w:after="100"/>
        <w:ind w:left="1564"/>
        <w:rPr>
          <w:lang w:val="en-AU"/>
        </w:rPr>
      </w:pPr>
      <w:r>
        <w:rPr>
          <w:bCs/>
          <w:lang w:val="en-AU"/>
        </w:rPr>
        <w:t>122C</w:t>
      </w:r>
      <w:r>
        <w:rPr>
          <w:bCs/>
          <w:lang w:val="en-AU"/>
        </w:rPr>
        <w:tab/>
      </w:r>
      <w:r w:rsidRPr="00976460">
        <w:rPr>
          <w:bCs/>
          <w:lang w:val="en-AU"/>
        </w:rPr>
        <w:t>In the reporting period in which an entity first applies</w:t>
      </w:r>
      <w:r w:rsidR="001030CB">
        <w:rPr>
          <w:bCs/>
          <w:lang w:val="en-AU"/>
        </w:rPr>
        <w:t xml:space="preserve"> AASB 2025-1</w:t>
      </w:r>
      <w:r w:rsidRPr="00976460">
        <w:rPr>
          <w:bCs/>
          <w:lang w:val="en-AU"/>
        </w:rPr>
        <w:t xml:space="preserve"> </w:t>
      </w:r>
      <w:r w:rsidR="001030CB" w:rsidRPr="00A110AE">
        <w:rPr>
          <w:bCs/>
          <w:i/>
          <w:iCs/>
          <w:lang w:val="en-AU"/>
        </w:rPr>
        <w:t xml:space="preserve">Amendments to Australian Accounting Standards </w:t>
      </w:r>
      <w:r w:rsidR="003859D5" w:rsidRPr="00A110AE">
        <w:rPr>
          <w:bCs/>
          <w:i/>
          <w:iCs/>
          <w:lang w:val="en-AU"/>
        </w:rPr>
        <w:t xml:space="preserve">– </w:t>
      </w:r>
      <w:r w:rsidRPr="00A110AE">
        <w:rPr>
          <w:bCs/>
          <w:i/>
          <w:iCs/>
          <w:lang w:val="en-AU"/>
        </w:rPr>
        <w:t>Contracts Referencing Nature-dependent Electricity</w:t>
      </w:r>
      <w:r w:rsidRPr="00976460">
        <w:rPr>
          <w:bCs/>
          <w:lang w:val="en-AU"/>
        </w:rPr>
        <w:t>,</w:t>
      </w:r>
      <w:r w:rsidR="003859D5">
        <w:rPr>
          <w:bCs/>
          <w:lang w:val="en-AU"/>
        </w:rPr>
        <w:t xml:space="preserve"> </w:t>
      </w:r>
      <w:r w:rsidR="008D3D5B" w:rsidRPr="008D3D5B">
        <w:rPr>
          <w:bCs/>
          <w:lang w:val="en-AU"/>
        </w:rPr>
        <w:t xml:space="preserve">the entity </w:t>
      </w:r>
      <w:r w:rsidR="00F06FEB">
        <w:rPr>
          <w:bCs/>
          <w:lang w:val="en-AU"/>
        </w:rPr>
        <w:t xml:space="preserve">is not required to </w:t>
      </w:r>
      <w:r w:rsidR="008D3D5B" w:rsidRPr="008D3D5B">
        <w:rPr>
          <w:bCs/>
          <w:lang w:val="en-AU"/>
        </w:rPr>
        <w:t xml:space="preserve">disclose </w:t>
      </w:r>
      <w:r w:rsidR="002C3CBA" w:rsidRPr="00B176AD">
        <w:rPr>
          <w:bCs/>
          <w:lang w:val="en-AU"/>
        </w:rPr>
        <w:t>the</w:t>
      </w:r>
      <w:r w:rsidR="002C3CBA" w:rsidRPr="00B176AD">
        <w:rPr>
          <w:lang w:val="en-AU"/>
        </w:rPr>
        <w:t xml:space="preserve"> quantitative information that would otherwise be required by paragraph 106(b).</w:t>
      </w:r>
    </w:p>
    <w:p w14:paraId="36C34EFD" w14:textId="77777777" w:rsidR="002C3CBA" w:rsidRPr="00B176AD" w:rsidRDefault="002C3CBA" w:rsidP="002C3CBA">
      <w:pPr>
        <w:pStyle w:val="Heading2"/>
      </w:pPr>
      <w:r w:rsidRPr="00B176AD">
        <w:t>Commencement of the legislative instrument</w:t>
      </w:r>
    </w:p>
    <w:p w14:paraId="6FE4D0F0" w14:textId="4654DDFF" w:rsidR="00FE0938" w:rsidRDefault="002C3CBA" w:rsidP="00FE0938">
      <w:pPr>
        <w:pStyle w:val="NumPlain1"/>
        <w:numPr>
          <w:ilvl w:val="0"/>
          <w:numId w:val="13"/>
        </w:numPr>
      </w:pPr>
      <w:r w:rsidRPr="00B176AD">
        <w:t>For legal purposes, this legislative instrument commences on 31 December 2025.</w:t>
      </w:r>
    </w:p>
    <w:p w14:paraId="508E2B46" w14:textId="77777777" w:rsidR="00FE0938" w:rsidRPr="00B176AD" w:rsidRDefault="00FE0938" w:rsidP="00766E4B">
      <w:pPr>
        <w:pStyle w:val="NumPlain1"/>
        <w:numPr>
          <w:ilvl w:val="0"/>
          <w:numId w:val="0"/>
        </w:numPr>
        <w:spacing w:after="0"/>
      </w:pPr>
    </w:p>
    <w:p w14:paraId="2BB9BD13" w14:textId="77777777" w:rsidR="00E10E49" w:rsidRPr="00B176AD" w:rsidRDefault="00E10E49" w:rsidP="00766E4B">
      <w:pPr>
        <w:pStyle w:val="NoNumPlain1"/>
        <w:spacing w:after="0"/>
        <w:sectPr w:rsidR="00E10E49" w:rsidRPr="00B176AD" w:rsidSect="00D74C6A">
          <w:footerReference w:type="default" r:id="rId17"/>
          <w:headerReference w:type="first" r:id="rId18"/>
          <w:footerReference w:type="first" r:id="rId19"/>
          <w:pgSz w:w="11907" w:h="16840" w:code="9"/>
          <w:pgMar w:top="1418" w:right="1418" w:bottom="1418" w:left="1418" w:header="709" w:footer="709" w:gutter="0"/>
          <w:paperSrc w:first="7" w:other="7"/>
          <w:cols w:space="720"/>
          <w:docGrid w:linePitch="65"/>
        </w:sectPr>
      </w:pPr>
    </w:p>
    <w:p w14:paraId="707E294F" w14:textId="77777777" w:rsidR="00EB7E17" w:rsidRPr="00B176AD" w:rsidRDefault="00EB7E17" w:rsidP="00EB7E17">
      <w:pPr>
        <w:pStyle w:val="AppendixTitle"/>
        <w:spacing w:before="400"/>
      </w:pPr>
      <w:r w:rsidRPr="00B176AD">
        <w:lastRenderedPageBreak/>
        <w:t>Basis for Conclusions</w:t>
      </w:r>
    </w:p>
    <w:p w14:paraId="3303BC0D" w14:textId="3F5BE817" w:rsidR="00EB7E17" w:rsidRPr="00B176AD" w:rsidRDefault="00EB7E17" w:rsidP="00EB7E17">
      <w:pPr>
        <w:pStyle w:val="AppendixNote"/>
      </w:pPr>
      <w:r w:rsidRPr="00B176AD">
        <w:t>This Basis for Conclusions accompanies, but is not part of, AASB 2025-</w:t>
      </w:r>
      <w:r w:rsidR="00017BD9">
        <w:t>3</w:t>
      </w:r>
      <w:r w:rsidRPr="00B176AD">
        <w:t xml:space="preserve"> </w:t>
      </w:r>
      <w:r w:rsidRPr="00B176AD">
        <w:rPr>
          <w:i w:val="0"/>
          <w:iCs w:val="0"/>
        </w:rPr>
        <w:fldChar w:fldCharType="begin" w:fldLock="1"/>
      </w:r>
      <w:r w:rsidRPr="00B176AD">
        <w:rPr>
          <w:i w:val="0"/>
          <w:iCs w:val="0"/>
        </w:rPr>
        <w:instrText xml:space="preserve"> REF DocTitle \* charformat  \* MERGEFORMAT </w:instrText>
      </w:r>
      <w:r w:rsidRPr="00B176AD">
        <w:rPr>
          <w:i w:val="0"/>
          <w:iCs w:val="0"/>
        </w:rPr>
        <w:fldChar w:fldCharType="separate"/>
      </w:r>
      <w:r w:rsidR="00C649FE" w:rsidRPr="00C649FE">
        <w:rPr>
          <w:i w:val="0"/>
          <w:iCs w:val="0"/>
        </w:rPr>
        <w:t>Amendments to Australian Accounting Standards – Contracts Referencing Nature-dependent Electricity: Tier 2 Disclosures</w:t>
      </w:r>
      <w:r w:rsidRPr="00B176AD">
        <w:rPr>
          <w:i w:val="0"/>
          <w:iCs w:val="0"/>
        </w:rPr>
        <w:fldChar w:fldCharType="end"/>
      </w:r>
      <w:r w:rsidRPr="00B176AD">
        <w:t>.</w:t>
      </w:r>
    </w:p>
    <w:p w14:paraId="31521E68" w14:textId="77777777" w:rsidR="00EB7E17" w:rsidRPr="00B176AD" w:rsidRDefault="00EB7E17" w:rsidP="00EB7E17">
      <w:pPr>
        <w:pStyle w:val="Heading2"/>
      </w:pPr>
      <w:r w:rsidRPr="00B176AD">
        <w:t>Introduction</w:t>
      </w:r>
    </w:p>
    <w:p w14:paraId="366553E6" w14:textId="4216E547" w:rsidR="00EB7E17" w:rsidRPr="00B176AD" w:rsidRDefault="00EB7E17" w:rsidP="00EB7E17">
      <w:pPr>
        <w:pStyle w:val="NumBC1"/>
        <w:tabs>
          <w:tab w:val="clear" w:pos="624"/>
        </w:tabs>
        <w:ind w:left="782" w:hanging="782"/>
      </w:pPr>
      <w:r w:rsidRPr="00B176AD">
        <w:t xml:space="preserve">This Basis for Conclusions summarises the Australian Accounting Standards Board’s considerations in reaching the conclusions in </w:t>
      </w:r>
      <w:r w:rsidR="00CB2B2A" w:rsidRPr="00B176AD">
        <w:t>this Standard</w:t>
      </w:r>
      <w:r w:rsidRPr="00B176AD">
        <w:t xml:space="preserve">. It sets out the reasons why the Board developed the </w:t>
      </w:r>
      <w:r w:rsidR="00CB2B2A" w:rsidRPr="00B176AD">
        <w:t>Standard</w:t>
      </w:r>
      <w:r w:rsidRPr="00B176AD">
        <w:t xml:space="preserve">, the approach taken to developing the </w:t>
      </w:r>
      <w:r w:rsidR="00CB2B2A" w:rsidRPr="00B176AD">
        <w:t>Standard</w:t>
      </w:r>
      <w:r w:rsidRPr="00B176AD">
        <w:t xml:space="preserve"> and the bases for the key decisions made. In making decisions, individual Board members gave greater weight to some factors than to others.</w:t>
      </w:r>
    </w:p>
    <w:p w14:paraId="68506968" w14:textId="77777777" w:rsidR="00EB7E17" w:rsidRPr="00B176AD" w:rsidRDefault="00EB7E17" w:rsidP="00EB7E17">
      <w:pPr>
        <w:pStyle w:val="Heading2"/>
      </w:pPr>
      <w:r w:rsidRPr="00B176AD">
        <w:t>Background</w:t>
      </w:r>
    </w:p>
    <w:p w14:paraId="6FE8A63A" w14:textId="77777777" w:rsidR="00EB7E17" w:rsidRPr="00B176AD" w:rsidRDefault="00EB7E17" w:rsidP="00766E4B">
      <w:pPr>
        <w:pStyle w:val="Heading3Indent1"/>
        <w:ind w:left="782"/>
        <w:rPr>
          <w:i/>
          <w:iCs w:val="0"/>
        </w:rPr>
      </w:pPr>
      <w:r w:rsidRPr="00B176AD">
        <w:t>Tier</w:t>
      </w:r>
      <w:r w:rsidRPr="00B176AD">
        <w:rPr>
          <w:i/>
          <w:iCs w:val="0"/>
        </w:rPr>
        <w:t xml:space="preserve"> </w:t>
      </w:r>
      <w:r w:rsidRPr="00B176AD">
        <w:t>1 amendments</w:t>
      </w:r>
    </w:p>
    <w:p w14:paraId="4B3DEB0B" w14:textId="77777777" w:rsidR="00EB7E17" w:rsidRPr="00B176AD" w:rsidRDefault="00EB7E17" w:rsidP="00EB7E17">
      <w:pPr>
        <w:pStyle w:val="NumBC1"/>
        <w:tabs>
          <w:tab w:val="clear" w:pos="624"/>
        </w:tabs>
        <w:ind w:left="782" w:hanging="782"/>
      </w:pPr>
      <w:r w:rsidRPr="00B176AD">
        <w:t xml:space="preserve">In February 2025, the Board issued AASB 2025-1 </w:t>
      </w:r>
      <w:r w:rsidRPr="00B176AD">
        <w:rPr>
          <w:i/>
          <w:iCs/>
        </w:rPr>
        <w:t>Amendments to Australian Accounting Standards – Contracts Referencing Nature-dependent Electricity</w:t>
      </w:r>
      <w:r w:rsidRPr="00B176AD">
        <w:t xml:space="preserve">. Nature-dependent electricity contracts help entities to secure their electricity supply from sources such as wind and solar power. The amount of electricity generated under these contracts can vary based on uncontrollable factors such as weather conditions. AASB 2025-1 amends AASB 7 </w:t>
      </w:r>
      <w:r w:rsidRPr="00B176AD">
        <w:rPr>
          <w:i/>
          <w:iCs/>
        </w:rPr>
        <w:t>Financial Instruments: Disclosures</w:t>
      </w:r>
      <w:r w:rsidRPr="00B176AD">
        <w:t xml:space="preserve"> and AASB 9 </w:t>
      </w:r>
      <w:r w:rsidRPr="00B176AD">
        <w:rPr>
          <w:i/>
          <w:iCs/>
        </w:rPr>
        <w:t>Financial Instruments</w:t>
      </w:r>
      <w:r w:rsidRPr="00B176AD">
        <w:t xml:space="preserve"> to allow entities to better reflect these contracts in the financial statements. The amendments:</w:t>
      </w:r>
    </w:p>
    <w:p w14:paraId="216ED519" w14:textId="77777777" w:rsidR="00EB7E17" w:rsidRPr="00B176AD" w:rsidRDefault="00EB7E17" w:rsidP="00EB7E17">
      <w:pPr>
        <w:pStyle w:val="NumPlainA"/>
        <w:numPr>
          <w:ilvl w:val="0"/>
          <w:numId w:val="20"/>
        </w:numPr>
        <w:ind w:left="1564" w:hanging="782"/>
      </w:pPr>
      <w:r w:rsidRPr="00B176AD">
        <w:t>clarify the application of the ‘own-use’ criteria to nature-dependent electricity contracts;</w:t>
      </w:r>
    </w:p>
    <w:p w14:paraId="33F1DA3A" w14:textId="77777777" w:rsidR="00EB7E17" w:rsidRPr="00B176AD" w:rsidRDefault="00EB7E17" w:rsidP="00EB7E17">
      <w:pPr>
        <w:pStyle w:val="NumPlainA"/>
        <w:numPr>
          <w:ilvl w:val="0"/>
          <w:numId w:val="20"/>
        </w:numPr>
        <w:ind w:left="1564" w:hanging="782"/>
      </w:pPr>
      <w:r w:rsidRPr="00B176AD">
        <w:t>permit hedge accounting if these contracts are used as hedging instruments; and</w:t>
      </w:r>
    </w:p>
    <w:p w14:paraId="604DBB1C" w14:textId="77777777" w:rsidR="00EB7E17" w:rsidRPr="00B176AD" w:rsidRDefault="00EB7E17" w:rsidP="00EB7E17">
      <w:pPr>
        <w:pStyle w:val="NumPlainA"/>
        <w:numPr>
          <w:ilvl w:val="0"/>
          <w:numId w:val="20"/>
        </w:numPr>
        <w:ind w:left="1564" w:hanging="782"/>
      </w:pPr>
      <w:r w:rsidRPr="00B176AD">
        <w:t>add new disclosure requirements to enable users of financial statements to better understand the effect of these contracts on an entity’s financial performance and cash flows.</w:t>
      </w:r>
    </w:p>
    <w:p w14:paraId="21100B6C" w14:textId="77777777" w:rsidR="00EB7E17" w:rsidRPr="00B176AD" w:rsidRDefault="00EB7E17" w:rsidP="00EB7E17">
      <w:pPr>
        <w:pStyle w:val="NumBC1"/>
        <w:tabs>
          <w:tab w:val="clear" w:pos="624"/>
        </w:tabs>
        <w:ind w:left="782" w:hanging="782"/>
      </w:pPr>
      <w:r w:rsidRPr="00B176AD">
        <w:t xml:space="preserve">These amendments arose from the issuance of International Financial Reporting Standard </w:t>
      </w:r>
      <w:r w:rsidRPr="00B176AD">
        <w:rPr>
          <w:i/>
          <w:iCs/>
        </w:rPr>
        <w:t>Contracts Referencing Nature-dependent Electricity</w:t>
      </w:r>
      <w:r w:rsidRPr="00B176AD">
        <w:t xml:space="preserve"> (Amendments to IFRS 9 and IFRS 7) by the International Accounting Standards Board (IASB) in December 2024.</w:t>
      </w:r>
    </w:p>
    <w:p w14:paraId="7F92F770" w14:textId="77777777" w:rsidR="00EB7E17" w:rsidRPr="00B176AD" w:rsidRDefault="00EB7E17" w:rsidP="00EB7E17">
      <w:pPr>
        <w:pStyle w:val="Heading2"/>
      </w:pPr>
      <w:r w:rsidRPr="00B176AD">
        <w:t>Relevance of the amendments to AASB 1060</w:t>
      </w:r>
    </w:p>
    <w:p w14:paraId="442B6F49" w14:textId="77777777" w:rsidR="00EB7E17" w:rsidRPr="00B176AD" w:rsidRDefault="00EB7E17" w:rsidP="00EB7E17">
      <w:pPr>
        <w:pStyle w:val="NumBC1"/>
        <w:tabs>
          <w:tab w:val="clear" w:pos="624"/>
        </w:tabs>
        <w:ind w:left="782" w:hanging="782"/>
      </w:pPr>
      <w:r w:rsidRPr="00B176AD">
        <w:t xml:space="preserve">The </w:t>
      </w:r>
      <w:r w:rsidRPr="00B176AD">
        <w:rPr>
          <w:i/>
          <w:iCs/>
        </w:rPr>
        <w:t>AASB For-Profit Entity Standard-Setting Framework</w:t>
      </w:r>
      <w:r w:rsidRPr="00B176AD">
        <w:t xml:space="preserve"> and the </w:t>
      </w:r>
      <w:r w:rsidRPr="00B176AD">
        <w:rPr>
          <w:i/>
          <w:iCs/>
        </w:rPr>
        <w:t>AASB Not-For-Profit Entity Standard-Setting Framework</w:t>
      </w:r>
      <w:r w:rsidRPr="00B176AD">
        <w:t xml:space="preserve"> outline the approach adopted by the Board for considering whether to add to or amend disclosure requirements in AASB 1060 when the IASB makes amendments to full IFRS Standards. The Board also considers whether to add disclosure requirements to AASB 1060 when additional disclosures are added to other Australian Accounting Standards.</w:t>
      </w:r>
    </w:p>
    <w:p w14:paraId="51591710" w14:textId="77777777" w:rsidR="00EB7E17" w:rsidRPr="00B176AD" w:rsidRDefault="00EB7E17" w:rsidP="00EB7E17">
      <w:pPr>
        <w:pStyle w:val="NumBC1"/>
        <w:tabs>
          <w:tab w:val="clear" w:pos="624"/>
        </w:tabs>
        <w:ind w:left="782" w:hanging="782"/>
      </w:pPr>
      <w:r w:rsidRPr="00B176AD">
        <w:t xml:space="preserve">The standard-setting frameworks first consider whether the amendments introduce a significant recognition and measurement difference between full IFRS Standards and the </w:t>
      </w:r>
      <w:r w:rsidRPr="00B176AD">
        <w:rPr>
          <w:i/>
        </w:rPr>
        <w:t>IFRS for SMEs</w:t>
      </w:r>
      <w:r w:rsidRPr="00B176AD">
        <w:t xml:space="preserve"> Accounting Standard. If they do not, the standard-setting frameworks state that no further action is required unless the disclosure is of particular relevance in the Australian environment or addresses a matter of public policy, or the amendments clarify or reduce existing disclosure requirements in full IFRS Standards.</w:t>
      </w:r>
    </w:p>
    <w:p w14:paraId="61D6AEF5" w14:textId="77777777" w:rsidR="00EB7E17" w:rsidRPr="00B176AD" w:rsidRDefault="00EB7E17" w:rsidP="00EB7E17">
      <w:pPr>
        <w:pStyle w:val="NumBC1"/>
        <w:tabs>
          <w:tab w:val="clear" w:pos="624"/>
        </w:tabs>
        <w:ind w:left="782" w:hanging="782"/>
      </w:pPr>
      <w:r w:rsidRPr="00B176AD">
        <w:t xml:space="preserve">The Board noted that the amendments to AASB 9 both clarify the application of existing recognition and measurement requirements and make narrow-scope changes to how some requirements are applied. However, the Board considered that the amendments did not significantly affect or introduce any new significant recognition and measurement differences between full IFRS Standards and the </w:t>
      </w:r>
      <w:r w:rsidRPr="00B176AD">
        <w:rPr>
          <w:i/>
          <w:iCs/>
        </w:rPr>
        <w:t>IFRS for SMEs</w:t>
      </w:r>
      <w:r w:rsidRPr="00B176AD">
        <w:t xml:space="preserve"> Accounting Standard.</w:t>
      </w:r>
    </w:p>
    <w:p w14:paraId="0402C74C" w14:textId="77777777" w:rsidR="00EB7E17" w:rsidRPr="00B176AD" w:rsidRDefault="00EB7E17" w:rsidP="00EB7E17">
      <w:pPr>
        <w:pStyle w:val="NumBC1"/>
        <w:keepNext/>
        <w:tabs>
          <w:tab w:val="clear" w:pos="624"/>
        </w:tabs>
        <w:ind w:left="782" w:hanging="782"/>
      </w:pPr>
      <w:r w:rsidRPr="00B176AD">
        <w:t>The Board also noted that the disclosure requirements in AASB 7 were amended for several reasons:</w:t>
      </w:r>
    </w:p>
    <w:p w14:paraId="79A45D5D" w14:textId="77777777" w:rsidR="00EB7E17" w:rsidRPr="00B176AD" w:rsidRDefault="00EB7E17" w:rsidP="00EB7E17">
      <w:pPr>
        <w:pStyle w:val="NumBC2"/>
        <w:tabs>
          <w:tab w:val="clear" w:pos="1247"/>
        </w:tabs>
        <w:ind w:left="1564" w:hanging="782"/>
      </w:pPr>
      <w:r w:rsidRPr="00B176AD">
        <w:t>contracts referencing nature-dependent electricity (‘eligible contracts’) that are recognised as procurement contracts – disclosures would be useful to financial statement users as the disclosures would provide information about the entity’s short-term cash flow commitments, liquidity and measurement uncertainties;</w:t>
      </w:r>
    </w:p>
    <w:p w14:paraId="319E9FD0" w14:textId="77777777" w:rsidR="00EB7E17" w:rsidRPr="00B176AD" w:rsidRDefault="00EB7E17" w:rsidP="00EB7E17">
      <w:pPr>
        <w:pStyle w:val="NumBC2"/>
        <w:tabs>
          <w:tab w:val="clear" w:pos="1247"/>
        </w:tabs>
        <w:ind w:left="1564" w:hanging="782"/>
      </w:pPr>
      <w:r w:rsidRPr="00B176AD">
        <w:lastRenderedPageBreak/>
        <w:t>eligible contracts that are designated in a cash flow hedging relationship – to clarify the application of the existing disclosure requirements for all hedge transactions; and</w:t>
      </w:r>
    </w:p>
    <w:p w14:paraId="2D65BF1D" w14:textId="77777777" w:rsidR="00EB7E17" w:rsidRPr="00B176AD" w:rsidRDefault="00EB7E17" w:rsidP="00EB7E17">
      <w:pPr>
        <w:pStyle w:val="NumBC2"/>
        <w:tabs>
          <w:tab w:val="clear" w:pos="1247"/>
        </w:tabs>
        <w:ind w:left="1564" w:hanging="782"/>
      </w:pPr>
      <w:r w:rsidRPr="00B176AD">
        <w:t xml:space="preserve">the requirement to cross-reference between financial statement notes – cross-referencing is useful for entities holding multiple contracts referencing nature-dependent electricity that are recognised in an entity’s financial statements in different ways, in accordance with the Standards. </w:t>
      </w:r>
    </w:p>
    <w:p w14:paraId="33617921" w14:textId="77777777" w:rsidR="00EB7E17" w:rsidRPr="00B176AD" w:rsidRDefault="00EB7E17" w:rsidP="00EB7E17">
      <w:pPr>
        <w:pStyle w:val="NumBC1"/>
        <w:numPr>
          <w:ilvl w:val="0"/>
          <w:numId w:val="0"/>
        </w:numPr>
        <w:ind w:left="782"/>
      </w:pPr>
      <w:r w:rsidRPr="00B176AD">
        <w:t xml:space="preserve">The feedback from Australian users (predominantly representing Tier 1 entities) supported the need for these disclosures. </w:t>
      </w:r>
    </w:p>
    <w:p w14:paraId="3D70A64E" w14:textId="78BD8C47" w:rsidR="00EB7E17" w:rsidRPr="00B176AD" w:rsidRDefault="00EB7E17" w:rsidP="00EB7E17">
      <w:pPr>
        <w:pStyle w:val="NumBC1"/>
        <w:tabs>
          <w:tab w:val="clear" w:pos="624"/>
        </w:tabs>
        <w:ind w:left="782" w:hanging="782"/>
      </w:pPr>
      <w:r w:rsidRPr="00B176AD">
        <w:t xml:space="preserve">Although the Board </w:t>
      </w:r>
      <w:r w:rsidR="007A0100">
        <w:t xml:space="preserve">had </w:t>
      </w:r>
      <w:r w:rsidRPr="00B176AD">
        <w:t>not received any feedback on whether these disclosures are of similar importance to users of Tier 2 financial statements, the Board considered the principles it used when developing AASB</w:t>
      </w:r>
      <w:r w:rsidR="00F91592">
        <w:t> </w:t>
      </w:r>
      <w:r w:rsidRPr="00B176AD">
        <w:t>1060 and subsequently when considering whether to add to or amend the disclosure requirements. When developing and considering amendments to AASB 1060, the Board considers that information about short-term cash flows and obligations, commitments or contingencies, liquidity and solvency, measurement uncertainties, accounting policy choices and disaggregation of amounts presented in the financial statements would be particularly important to the users of Tier 2 financial statements.</w:t>
      </w:r>
    </w:p>
    <w:p w14:paraId="25A8C479" w14:textId="77777777" w:rsidR="00EB7E17" w:rsidRPr="00B176AD" w:rsidRDefault="00EB7E17" w:rsidP="00EB7E17">
      <w:pPr>
        <w:pStyle w:val="NumBC1"/>
        <w:keepNext/>
        <w:tabs>
          <w:tab w:val="clear" w:pos="624"/>
        </w:tabs>
        <w:ind w:left="782" w:hanging="782"/>
      </w:pPr>
      <w:r w:rsidRPr="00B176AD">
        <w:t xml:space="preserve">The Board considered that: </w:t>
      </w:r>
    </w:p>
    <w:p w14:paraId="56860A08" w14:textId="77777777" w:rsidR="00EB7E17" w:rsidRPr="00B176AD" w:rsidRDefault="00EB7E17" w:rsidP="00EB7E17">
      <w:pPr>
        <w:pStyle w:val="NumBC2"/>
        <w:tabs>
          <w:tab w:val="clear" w:pos="1247"/>
        </w:tabs>
        <w:ind w:left="1564" w:hanging="782"/>
      </w:pPr>
      <w:r w:rsidRPr="00B176AD">
        <w:t>the additional qualitative information about eligible contracts that are recognised as procurement contracts would be useful to the users of Tier 2 financial statements because information about cash flows and liquidity are particularly important to them;</w:t>
      </w:r>
    </w:p>
    <w:p w14:paraId="6F3BB7F5" w14:textId="77777777" w:rsidR="00EB7E17" w:rsidRPr="00B176AD" w:rsidRDefault="00EB7E17" w:rsidP="00EB7E17">
      <w:pPr>
        <w:pStyle w:val="NumBC2"/>
        <w:tabs>
          <w:tab w:val="clear" w:pos="1247"/>
        </w:tabs>
        <w:ind w:left="1564" w:hanging="782"/>
      </w:pPr>
      <w:r w:rsidRPr="00B176AD">
        <w:t>the additional quantitative information about eligible contracts that are recognised as procurement contracts would be excessive for Tier 2 entities, as the costs to preparers would likely outweigh the benefits to the users of financial statements of Tier 2 entities;</w:t>
      </w:r>
    </w:p>
    <w:p w14:paraId="610D3726" w14:textId="1ABB756F" w:rsidR="00EB7E17" w:rsidRPr="00B176AD" w:rsidRDefault="00EB7E17" w:rsidP="00EB7E17">
      <w:pPr>
        <w:pStyle w:val="NumBC2"/>
        <w:tabs>
          <w:tab w:val="clear" w:pos="1247"/>
        </w:tabs>
        <w:ind w:left="1564" w:hanging="782"/>
      </w:pPr>
      <w:r w:rsidRPr="00B176AD">
        <w:t xml:space="preserve">when AASB 1060 was developed, there was a significant reduction in disclosure requirements for hedge transactions, with the result that the Board </w:t>
      </w:r>
      <w:r w:rsidR="007A0100">
        <w:t xml:space="preserve">proposed </w:t>
      </w:r>
      <w:r w:rsidRPr="00B176AD">
        <w:t>to leave these requirements unchanged; and</w:t>
      </w:r>
    </w:p>
    <w:p w14:paraId="5309A477" w14:textId="2494DDB2" w:rsidR="00EB7E17" w:rsidRPr="00B176AD" w:rsidRDefault="00EB7E17" w:rsidP="00EB7E17">
      <w:pPr>
        <w:pStyle w:val="NumBC2"/>
        <w:tabs>
          <w:tab w:val="clear" w:pos="1247"/>
        </w:tabs>
        <w:ind w:left="1564" w:hanging="782"/>
      </w:pPr>
      <w:r w:rsidRPr="00B176AD">
        <w:t xml:space="preserve">since AASB 1060 includes general requirements to cross-reference the items in the financial statements to related information in the notes, but does not require cross-referencing between notes, the Board </w:t>
      </w:r>
      <w:r w:rsidR="007A0100">
        <w:t xml:space="preserve">proposed </w:t>
      </w:r>
      <w:r w:rsidRPr="00B176AD">
        <w:t>to retain this approach and not require note cross-referencing in respect of eligible contracts.</w:t>
      </w:r>
    </w:p>
    <w:p w14:paraId="33F74625" w14:textId="7E09BC3E" w:rsidR="00EB7E17" w:rsidRPr="00B176AD" w:rsidRDefault="00EB7E17" w:rsidP="00EB7E17">
      <w:pPr>
        <w:pStyle w:val="NumBC1"/>
        <w:keepNext/>
        <w:tabs>
          <w:tab w:val="clear" w:pos="624"/>
        </w:tabs>
        <w:ind w:left="782" w:hanging="782"/>
      </w:pPr>
      <w:r w:rsidRPr="00B176AD">
        <w:t xml:space="preserve">Therefore, the Board decided to issue Exposure Draft </w:t>
      </w:r>
      <w:r w:rsidR="007A0100">
        <w:t xml:space="preserve">ED 337 </w:t>
      </w:r>
      <w:r w:rsidR="007A0100" w:rsidRPr="00B176AD">
        <w:rPr>
          <w:i/>
          <w:iCs/>
        </w:rPr>
        <w:t>Contracts Referencing Nature-dependent Electricity</w:t>
      </w:r>
      <w:r w:rsidR="007A0100">
        <w:rPr>
          <w:i/>
          <w:iCs/>
        </w:rPr>
        <w:t>: Tier 2 Disclosures</w:t>
      </w:r>
      <w:r w:rsidR="007A0100" w:rsidRPr="00583BE6">
        <w:t xml:space="preserve">, </w:t>
      </w:r>
      <w:r w:rsidRPr="00B176AD">
        <w:t>proposing:</w:t>
      </w:r>
    </w:p>
    <w:p w14:paraId="304AB5E9" w14:textId="43CCEFBD" w:rsidR="00EB7E17" w:rsidRPr="00B176AD" w:rsidRDefault="00EB7E17" w:rsidP="00EB7E17">
      <w:pPr>
        <w:pStyle w:val="NumBC2"/>
        <w:tabs>
          <w:tab w:val="clear" w:pos="1247"/>
        </w:tabs>
        <w:ind w:left="1564" w:hanging="782"/>
      </w:pPr>
      <w:r w:rsidRPr="00B176AD">
        <w:t>amendments to AASB 1060 to require a Tier 2 entity to disclose qualitative information about eligible contracts that are recognised as procurement contracts; but</w:t>
      </w:r>
    </w:p>
    <w:p w14:paraId="3D317586" w14:textId="77777777" w:rsidR="00EB7E17" w:rsidRPr="00B176AD" w:rsidRDefault="00EB7E17" w:rsidP="00EB7E17">
      <w:pPr>
        <w:pStyle w:val="NumBC2"/>
        <w:keepNext/>
        <w:tabs>
          <w:tab w:val="clear" w:pos="1247"/>
        </w:tabs>
        <w:ind w:left="1564" w:hanging="782"/>
      </w:pPr>
      <w:r w:rsidRPr="00B176AD">
        <w:t>no amendments to AASB 1060 for:</w:t>
      </w:r>
    </w:p>
    <w:p w14:paraId="2D767344" w14:textId="77777777" w:rsidR="00EB7E17" w:rsidRPr="00B176AD" w:rsidRDefault="00EB7E17" w:rsidP="00EB7E17">
      <w:pPr>
        <w:pStyle w:val="NumBC3"/>
        <w:tabs>
          <w:tab w:val="clear" w:pos="1871"/>
        </w:tabs>
        <w:ind w:left="2346" w:hanging="782"/>
      </w:pPr>
      <w:r w:rsidRPr="00B176AD">
        <w:t xml:space="preserve">additional quantitative information about eligible contracts that are recognised as procurement contracts; </w:t>
      </w:r>
    </w:p>
    <w:p w14:paraId="3430CC86" w14:textId="77777777" w:rsidR="00EB7E17" w:rsidRPr="00B176AD" w:rsidRDefault="00EB7E17" w:rsidP="00EB7E17">
      <w:pPr>
        <w:pStyle w:val="NumBC3"/>
        <w:tabs>
          <w:tab w:val="clear" w:pos="1871"/>
        </w:tabs>
        <w:ind w:left="2346" w:hanging="782"/>
      </w:pPr>
      <w:r w:rsidRPr="00B176AD">
        <w:t>additional disclosure requirements for eligible contracts that are recognised as a cash flow hedging instrument; and</w:t>
      </w:r>
    </w:p>
    <w:p w14:paraId="4F22FBD5" w14:textId="77777777" w:rsidR="00EB7E17" w:rsidRPr="00B176AD" w:rsidRDefault="00EB7E17" w:rsidP="00EB7E17">
      <w:pPr>
        <w:pStyle w:val="NumBC3"/>
        <w:tabs>
          <w:tab w:val="clear" w:pos="1871"/>
        </w:tabs>
        <w:ind w:left="2346" w:hanging="782"/>
      </w:pPr>
      <w:r w:rsidRPr="00B176AD">
        <w:t>cross-referencing between notes regarding all contracts referencing nature-dependent electricity.</w:t>
      </w:r>
    </w:p>
    <w:p w14:paraId="0C23FB57" w14:textId="2B496856" w:rsidR="00EB7E17" w:rsidRPr="00B176AD" w:rsidRDefault="00EB7E17" w:rsidP="00EB7E17">
      <w:pPr>
        <w:pStyle w:val="NumBC1"/>
        <w:tabs>
          <w:tab w:val="clear" w:pos="624"/>
        </w:tabs>
        <w:ind w:left="782" w:hanging="782"/>
      </w:pPr>
      <w:r w:rsidRPr="00B176AD">
        <w:t xml:space="preserve">The Board also </w:t>
      </w:r>
      <w:r w:rsidR="007A0100">
        <w:t xml:space="preserve">proposed </w:t>
      </w:r>
      <w:r w:rsidRPr="00B176AD">
        <w:t xml:space="preserve">to provide Tier 2 entities with transitional relief equivalent to that available to entities applying the requirements of AASB 2025-1 in Tier 1 general purpose financial statements for the first time. Therefore, the Exposure Draft </w:t>
      </w:r>
      <w:r w:rsidR="007A0100">
        <w:t xml:space="preserve">proposed </w:t>
      </w:r>
      <w:r w:rsidRPr="00B176AD">
        <w:t>to not require:</w:t>
      </w:r>
    </w:p>
    <w:p w14:paraId="5B6DEDBA" w14:textId="77777777" w:rsidR="00EB7E17" w:rsidRPr="00B176AD" w:rsidRDefault="00EB7E17" w:rsidP="00EB7E17">
      <w:pPr>
        <w:pStyle w:val="NumPlain2"/>
        <w:numPr>
          <w:ilvl w:val="1"/>
          <w:numId w:val="21"/>
        </w:numPr>
      </w:pPr>
      <w:r w:rsidRPr="00B176AD">
        <w:t xml:space="preserve">comparative disclosures on initial application of the Tier 2 disclosure requirements; and </w:t>
      </w:r>
    </w:p>
    <w:p w14:paraId="2345F075" w14:textId="77777777" w:rsidR="00EB7E17" w:rsidRPr="00B176AD" w:rsidRDefault="00EB7E17" w:rsidP="00EB7E17">
      <w:pPr>
        <w:pStyle w:val="NumPlain2"/>
        <w:numPr>
          <w:ilvl w:val="1"/>
          <w:numId w:val="13"/>
        </w:numPr>
      </w:pPr>
      <w:r w:rsidRPr="00B176AD">
        <w:t>the quantitative information that would otherwise be required by paragraph 106(b) of AASB 1060.</w:t>
      </w:r>
    </w:p>
    <w:p w14:paraId="15D612F2" w14:textId="0DE4EB37" w:rsidR="00C22591" w:rsidRPr="00B176AD" w:rsidRDefault="00C22591" w:rsidP="00C22591">
      <w:pPr>
        <w:keepNext/>
        <w:pBdr>
          <w:bottom w:val="single" w:sz="4" w:space="1" w:color="auto"/>
        </w:pBdr>
        <w:spacing w:before="400" w:after="200"/>
        <w:jc w:val="left"/>
        <w:outlineLvl w:val="1"/>
        <w:rPr>
          <w:rFonts w:ascii="Arial" w:hAnsi="Arial" w:cs="Arial"/>
          <w:b/>
          <w:iCs/>
          <w:sz w:val="26"/>
          <w:szCs w:val="28"/>
        </w:rPr>
      </w:pPr>
      <w:r w:rsidRPr="00B176AD">
        <w:rPr>
          <w:rFonts w:ascii="Arial" w:hAnsi="Arial" w:cs="Arial"/>
          <w:b/>
          <w:iCs/>
          <w:sz w:val="26"/>
          <w:szCs w:val="28"/>
        </w:rPr>
        <w:t>Finalisation of ED 33</w:t>
      </w:r>
      <w:r w:rsidR="001219B5" w:rsidRPr="00B176AD">
        <w:rPr>
          <w:rFonts w:ascii="Arial" w:hAnsi="Arial" w:cs="Arial"/>
          <w:b/>
          <w:iCs/>
          <w:sz w:val="26"/>
          <w:szCs w:val="28"/>
        </w:rPr>
        <w:t>7</w:t>
      </w:r>
      <w:r w:rsidRPr="00B176AD">
        <w:rPr>
          <w:rFonts w:ascii="Arial" w:hAnsi="Arial" w:cs="Arial"/>
          <w:b/>
          <w:iCs/>
          <w:sz w:val="26"/>
          <w:szCs w:val="28"/>
        </w:rPr>
        <w:t xml:space="preserve"> proposals</w:t>
      </w:r>
    </w:p>
    <w:p w14:paraId="50A18F2D" w14:textId="620FE65A" w:rsidR="00C22591" w:rsidRPr="00B176AD" w:rsidRDefault="00EA3927" w:rsidP="00C22591">
      <w:pPr>
        <w:pStyle w:val="NumBC1"/>
        <w:tabs>
          <w:tab w:val="clear" w:pos="624"/>
          <w:tab w:val="num" w:pos="908"/>
        </w:tabs>
        <w:ind w:left="782" w:hanging="782"/>
      </w:pPr>
      <w:r>
        <w:t xml:space="preserve">ED 337 was issued in March 2025, with comments due to the Board by 20 May 2025. </w:t>
      </w:r>
      <w:r w:rsidRPr="00B176AD">
        <w:t xml:space="preserve">The </w:t>
      </w:r>
      <w:r w:rsidR="00C22591" w:rsidRPr="00B176AD">
        <w:t xml:space="preserve">Board </w:t>
      </w:r>
      <w:r w:rsidR="003C161C" w:rsidRPr="00B176AD">
        <w:t>did not receive any comment letter</w:t>
      </w:r>
      <w:r>
        <w:t>s</w:t>
      </w:r>
      <w:r w:rsidR="003C161C" w:rsidRPr="00B176AD">
        <w:t xml:space="preserve"> on ED 337. The Board </w:t>
      </w:r>
      <w:r w:rsidR="00C22591" w:rsidRPr="00B176AD">
        <w:t>decided to proceed with issuing this Standard, with no changes from the proposals in ED 33</w:t>
      </w:r>
      <w:r w:rsidR="001219B5" w:rsidRPr="00B176AD">
        <w:t>7</w:t>
      </w:r>
      <w:r w:rsidR="00EA245C">
        <w:t>, except for clarifying the trans</w:t>
      </w:r>
      <w:r w:rsidR="003E3728">
        <w:t>itional relief provisions</w:t>
      </w:r>
      <w:r w:rsidR="00C22591" w:rsidRPr="00B176AD">
        <w:t>.</w:t>
      </w:r>
    </w:p>
    <w:p w14:paraId="4D2683F5" w14:textId="2B8DF1B6" w:rsidR="00EB7E17" w:rsidRPr="00B176AD" w:rsidRDefault="00EB7E17" w:rsidP="00EB7E17">
      <w:pPr>
        <w:pStyle w:val="Heading2"/>
      </w:pPr>
      <w:r w:rsidRPr="00B176AD">
        <w:lastRenderedPageBreak/>
        <w:t>Effective date</w:t>
      </w:r>
    </w:p>
    <w:p w14:paraId="59A12478" w14:textId="04320B85" w:rsidR="00EB7E17" w:rsidRPr="00B176AD" w:rsidRDefault="00EB7E17" w:rsidP="00EB7E17">
      <w:pPr>
        <w:pStyle w:val="NumBC1"/>
        <w:tabs>
          <w:tab w:val="clear" w:pos="624"/>
        </w:tabs>
        <w:ind w:left="782" w:hanging="782"/>
      </w:pPr>
      <w:r w:rsidRPr="00B176AD">
        <w:t xml:space="preserve">The Board </w:t>
      </w:r>
      <w:r w:rsidR="00DA21D4">
        <w:t xml:space="preserve">decided </w:t>
      </w:r>
      <w:r w:rsidRPr="00B176AD">
        <w:t>that the amendments should be made effective for annual periods beginning on or after 1 January 2026, with earlier application permitted</w:t>
      </w:r>
      <w:r w:rsidR="00DA21D4">
        <w:t>, as proposed in ED 337</w:t>
      </w:r>
      <w:r w:rsidRPr="00B176AD">
        <w:t xml:space="preserve">. This </w:t>
      </w:r>
      <w:r w:rsidR="00DA21D4">
        <w:t xml:space="preserve">is </w:t>
      </w:r>
      <w:r w:rsidRPr="00B176AD">
        <w:t>the same effective date as for the amendments in AASB 2025-1</w:t>
      </w:r>
      <w:r w:rsidR="00DA21D4">
        <w:t xml:space="preserve"> for Tier 1 general purpose financial statements</w:t>
      </w:r>
      <w:r w:rsidRPr="00B176AD">
        <w:t>.</w:t>
      </w:r>
    </w:p>
    <w:p w14:paraId="56702579" w14:textId="77777777" w:rsidR="00E033B7" w:rsidRPr="00BC0794" w:rsidRDefault="00E033B7" w:rsidP="00BC0794">
      <w:pPr>
        <w:pStyle w:val="NoNumPlain1"/>
      </w:pPr>
    </w:p>
    <w:sectPr w:rsidR="00E033B7" w:rsidRPr="00BC0794" w:rsidSect="00EB7E17">
      <w:footerReference w:type="default" r:id="rId20"/>
      <w:headerReference w:type="first" r:id="rId21"/>
      <w:footerReference w:type="first" r:id="rId22"/>
      <w:footnotePr>
        <w:numRestart w:val="eachSect"/>
      </w:footnotePr>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05AA" w14:textId="77777777" w:rsidR="004E7E27" w:rsidRPr="00B176AD" w:rsidRDefault="004E7E27">
      <w:r w:rsidRPr="00B176AD">
        <w:separator/>
      </w:r>
    </w:p>
  </w:endnote>
  <w:endnote w:type="continuationSeparator" w:id="0">
    <w:p w14:paraId="457D72CF" w14:textId="77777777" w:rsidR="004E7E27" w:rsidRPr="00B176AD" w:rsidRDefault="004E7E27">
      <w:r w:rsidRPr="00B176AD">
        <w:continuationSeparator/>
      </w:r>
    </w:p>
  </w:endnote>
  <w:endnote w:type="continuationNotice" w:id="1">
    <w:p w14:paraId="38E6091D" w14:textId="77777777" w:rsidR="004E7E27" w:rsidRDefault="004E7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EC56" w14:textId="77777777" w:rsidR="00982218" w:rsidRPr="00B176AD" w:rsidRDefault="00982218">
    <w:pPr>
      <w:pStyle w:val="Footer"/>
    </w:pPr>
    <w:r w:rsidRPr="00B176AD">
      <w:rPr>
        <w:noProof/>
        <w:lang w:eastAsia="en-AU"/>
      </w:rPr>
      <w:drawing>
        <wp:anchor distT="0" distB="0" distL="114300" distR="114300" simplePos="0" relativeHeight="251658240" behindDoc="0" locked="1" layoutInCell="1" allowOverlap="1" wp14:anchorId="567F28E5" wp14:editId="6750C1B7">
          <wp:simplePos x="0" y="0"/>
          <wp:positionH relativeFrom="margin">
            <wp:posOffset>0</wp:posOffset>
          </wp:positionH>
          <wp:positionV relativeFrom="margin">
            <wp:posOffset>7559040</wp:posOffset>
          </wp:positionV>
          <wp:extent cx="1677600" cy="1332000"/>
          <wp:effectExtent l="0" t="0" r="0" b="1905"/>
          <wp:wrapNone/>
          <wp:docPr id="447159661" name="Picture 447159661"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265B" w14:textId="5B8C1931" w:rsidR="00A96702" w:rsidRPr="00B176AD" w:rsidRDefault="00A96702">
    <w:pPr>
      <w:pStyle w:val="Footer"/>
      <w:rPr>
        <w:b/>
      </w:rPr>
    </w:pPr>
    <w:r w:rsidRPr="00B176AD">
      <w:rPr>
        <w:b/>
      </w:rPr>
      <w:t xml:space="preserve">AASB </w:t>
    </w:r>
    <w:r w:rsidRPr="00B176AD">
      <w:rPr>
        <w:b/>
      </w:rPr>
      <w:fldChar w:fldCharType="begin" w:fldLock="1"/>
    </w:r>
    <w:r w:rsidRPr="00B176AD">
      <w:rPr>
        <w:b/>
      </w:rPr>
      <w:instrText xml:space="preserve"> REF DocNo  \* charformat </w:instrText>
    </w:r>
    <w:r w:rsidRPr="00B176AD">
      <w:rPr>
        <w:b/>
      </w:rPr>
      <w:fldChar w:fldCharType="separate"/>
    </w:r>
    <w:r w:rsidR="00C649FE" w:rsidRPr="00C649FE">
      <w:rPr>
        <w:b/>
      </w:rPr>
      <w:t>2025-3</w:t>
    </w:r>
    <w:r w:rsidRPr="00B176AD">
      <w:rPr>
        <w:b/>
      </w:rPr>
      <w:fldChar w:fldCharType="end"/>
    </w:r>
    <w:r w:rsidRPr="00B176AD">
      <w:rPr>
        <w:b/>
      </w:rPr>
      <w:tab/>
    </w:r>
    <w:r w:rsidRPr="00B176AD">
      <w:fldChar w:fldCharType="begin"/>
    </w:r>
    <w:r w:rsidRPr="00B176AD">
      <w:instrText>PAGE</w:instrText>
    </w:r>
    <w:r w:rsidRPr="00B176AD">
      <w:fldChar w:fldCharType="separate"/>
    </w:r>
    <w:r w:rsidR="00BF0190" w:rsidRPr="00B176AD">
      <w:t>2</w:t>
    </w:r>
    <w:r w:rsidRPr="00B176AD">
      <w:fldChar w:fldCharType="end"/>
    </w:r>
    <w:r w:rsidRPr="00B176AD">
      <w:tab/>
    </w:r>
    <w:r w:rsidRPr="00B176AD">
      <w:rPr>
        <w:b/>
        <w:bCs/>
      </w:rPr>
      <w:t>COPYRIGHT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6A57" w14:textId="3EFC6DB7" w:rsidR="00A96702" w:rsidRPr="00B176AD" w:rsidRDefault="00A96702">
    <w:pPr>
      <w:pStyle w:val="Footer"/>
      <w:rPr>
        <w:b/>
      </w:rPr>
    </w:pPr>
    <w:r w:rsidRPr="00B176AD">
      <w:rPr>
        <w:b/>
      </w:rPr>
      <w:t xml:space="preserve">AASB </w:t>
    </w:r>
    <w:r w:rsidRPr="00B176AD">
      <w:rPr>
        <w:b/>
      </w:rPr>
      <w:fldChar w:fldCharType="begin" w:fldLock="1"/>
    </w:r>
    <w:r w:rsidRPr="00B176AD">
      <w:rPr>
        <w:b/>
      </w:rPr>
      <w:instrText xml:space="preserve"> REF DocNo  \* charformat </w:instrText>
    </w:r>
    <w:r w:rsidRPr="00B176AD">
      <w:rPr>
        <w:b/>
      </w:rPr>
      <w:fldChar w:fldCharType="separate"/>
    </w:r>
    <w:r w:rsidR="00C649FE" w:rsidRPr="00C649FE">
      <w:rPr>
        <w:b/>
      </w:rPr>
      <w:t>2025-3</w:t>
    </w:r>
    <w:r w:rsidRPr="00B176AD">
      <w:rPr>
        <w:b/>
      </w:rPr>
      <w:fldChar w:fldCharType="end"/>
    </w:r>
    <w:r w:rsidRPr="00B176AD">
      <w:rPr>
        <w:b/>
      </w:rPr>
      <w:tab/>
    </w:r>
    <w:r w:rsidRPr="00B176AD">
      <w:fldChar w:fldCharType="begin"/>
    </w:r>
    <w:r w:rsidRPr="00B176AD">
      <w:instrText>PAGE</w:instrText>
    </w:r>
    <w:r w:rsidRPr="00B176AD">
      <w:fldChar w:fldCharType="separate"/>
    </w:r>
    <w:r w:rsidR="00BF0190" w:rsidRPr="00B176AD">
      <w:t>3</w:t>
    </w:r>
    <w:r w:rsidRPr="00B176AD">
      <w:fldChar w:fldCharType="end"/>
    </w:r>
    <w:r w:rsidRPr="00B176AD">
      <w:tab/>
    </w:r>
    <w:r w:rsidRPr="00B176AD">
      <w:rPr>
        <w:b/>
        <w:bCs/>
      </w:rPr>
      <w:t>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47F24" w14:textId="6982DAA7" w:rsidR="00A96702" w:rsidRPr="00B176AD" w:rsidRDefault="00A96702">
    <w:pPr>
      <w:pStyle w:val="Footer"/>
      <w:rPr>
        <w:b/>
      </w:rPr>
    </w:pPr>
    <w:r w:rsidRPr="00B176AD">
      <w:rPr>
        <w:b/>
      </w:rPr>
      <w:t xml:space="preserve">AASB </w:t>
    </w:r>
    <w:r w:rsidRPr="00B176AD">
      <w:rPr>
        <w:b/>
      </w:rPr>
      <w:fldChar w:fldCharType="begin" w:fldLock="1"/>
    </w:r>
    <w:r w:rsidRPr="00B176AD">
      <w:rPr>
        <w:b/>
      </w:rPr>
      <w:instrText xml:space="preserve"> REF DocNo  \* charformat </w:instrText>
    </w:r>
    <w:r w:rsidRPr="00B176AD">
      <w:rPr>
        <w:b/>
      </w:rPr>
      <w:fldChar w:fldCharType="separate"/>
    </w:r>
    <w:r w:rsidR="00C649FE" w:rsidRPr="00C649FE">
      <w:rPr>
        <w:b/>
      </w:rPr>
      <w:t>2025-3</w:t>
    </w:r>
    <w:r w:rsidRPr="00B176AD">
      <w:rPr>
        <w:b/>
      </w:rPr>
      <w:fldChar w:fldCharType="end"/>
    </w:r>
    <w:r w:rsidRPr="00B176AD">
      <w:rPr>
        <w:b/>
      </w:rPr>
      <w:tab/>
    </w:r>
    <w:r w:rsidRPr="00B176AD">
      <w:fldChar w:fldCharType="begin"/>
    </w:r>
    <w:r w:rsidRPr="00B176AD">
      <w:instrText>PAGE</w:instrText>
    </w:r>
    <w:r w:rsidRPr="00B176AD">
      <w:fldChar w:fldCharType="separate"/>
    </w:r>
    <w:r w:rsidR="00BF0190" w:rsidRPr="00B176AD">
      <w:t>4</w:t>
    </w:r>
    <w:r w:rsidRPr="00B176AD">
      <w:fldChar w:fldCharType="end"/>
    </w:r>
    <w:r w:rsidRPr="00B176AD">
      <w:tab/>
    </w:r>
    <w:r w:rsidRPr="00B176AD">
      <w:rPr>
        <w:b/>
        <w:bCs/>
      </w:rPr>
      <w:t>PREFACE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13D6" w14:textId="3750CA14" w:rsidR="00A96702" w:rsidRPr="00B176AD" w:rsidRDefault="00A96702">
    <w:pPr>
      <w:pStyle w:val="Footer"/>
      <w:rPr>
        <w:b/>
      </w:rPr>
    </w:pPr>
    <w:r w:rsidRPr="00B176AD">
      <w:rPr>
        <w:b/>
      </w:rPr>
      <w:t xml:space="preserve">AASB </w:t>
    </w:r>
    <w:r w:rsidRPr="00B176AD">
      <w:rPr>
        <w:b/>
      </w:rPr>
      <w:fldChar w:fldCharType="begin" w:fldLock="1"/>
    </w:r>
    <w:r w:rsidRPr="00B176AD">
      <w:rPr>
        <w:b/>
      </w:rPr>
      <w:instrText xml:space="preserve"> REF DocNo  \* charformat </w:instrText>
    </w:r>
    <w:r w:rsidRPr="00B176AD">
      <w:rPr>
        <w:b/>
      </w:rPr>
      <w:fldChar w:fldCharType="separate"/>
    </w:r>
    <w:r w:rsidR="00C649FE" w:rsidRPr="00C649FE">
      <w:rPr>
        <w:b/>
      </w:rPr>
      <w:t>2025-3</w:t>
    </w:r>
    <w:r w:rsidRPr="00B176AD">
      <w:rPr>
        <w:b/>
      </w:rPr>
      <w:fldChar w:fldCharType="end"/>
    </w:r>
    <w:r w:rsidRPr="00B176AD">
      <w:rPr>
        <w:b/>
      </w:rPr>
      <w:tab/>
    </w:r>
    <w:r w:rsidRPr="00B176AD">
      <w:fldChar w:fldCharType="begin"/>
    </w:r>
    <w:r w:rsidRPr="00B176AD">
      <w:instrText>PAGE</w:instrText>
    </w:r>
    <w:r w:rsidRPr="00B176AD">
      <w:fldChar w:fldCharType="separate"/>
    </w:r>
    <w:r w:rsidR="00BF0190" w:rsidRPr="00B176AD">
      <w:t>5</w:t>
    </w:r>
    <w:r w:rsidRPr="00B176AD">
      <w:fldChar w:fldCharType="end"/>
    </w:r>
    <w:r w:rsidRPr="00B176AD">
      <w:tab/>
    </w:r>
    <w:r w:rsidRPr="00B176AD">
      <w:rPr>
        <w:b/>
        <w:bCs/>
      </w:rPr>
      <w:t>STANDARD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C4A9" w14:textId="77777777" w:rsidR="00A96702" w:rsidRPr="00B176AD" w:rsidRDefault="00A967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A9B1" w14:textId="4B7AF240" w:rsidR="003C161C" w:rsidRPr="00B176AD" w:rsidRDefault="00766E4B">
    <w:pPr>
      <w:pStyle w:val="Footer"/>
      <w:rPr>
        <w:b/>
      </w:rPr>
    </w:pPr>
    <w:r w:rsidRPr="00B176AD">
      <w:rPr>
        <w:b/>
      </w:rPr>
      <w:t xml:space="preserve">AASB </w:t>
    </w:r>
    <w:r w:rsidRPr="00B176AD">
      <w:rPr>
        <w:b/>
      </w:rPr>
      <w:fldChar w:fldCharType="begin" w:fldLock="1"/>
    </w:r>
    <w:r w:rsidRPr="00B176AD">
      <w:rPr>
        <w:b/>
      </w:rPr>
      <w:instrText xml:space="preserve"> REF DocNo  \* charformat </w:instrText>
    </w:r>
    <w:r w:rsidRPr="00B176AD">
      <w:rPr>
        <w:b/>
      </w:rPr>
      <w:fldChar w:fldCharType="separate"/>
    </w:r>
    <w:r w:rsidR="00C649FE" w:rsidRPr="00C649FE">
      <w:rPr>
        <w:b/>
      </w:rPr>
      <w:t>2025-3</w:t>
    </w:r>
    <w:r w:rsidRPr="00B176AD">
      <w:rPr>
        <w:b/>
      </w:rPr>
      <w:fldChar w:fldCharType="end"/>
    </w:r>
    <w:r w:rsidR="003C161C" w:rsidRPr="00B176AD">
      <w:rPr>
        <w:b/>
      </w:rPr>
      <w:tab/>
    </w:r>
    <w:r w:rsidR="003C161C" w:rsidRPr="00B176AD">
      <w:fldChar w:fldCharType="begin"/>
    </w:r>
    <w:r w:rsidR="003C161C" w:rsidRPr="00B176AD">
      <w:instrText>PAGE</w:instrText>
    </w:r>
    <w:r w:rsidR="003C161C" w:rsidRPr="00B176AD">
      <w:fldChar w:fldCharType="separate"/>
    </w:r>
    <w:r w:rsidR="003C161C" w:rsidRPr="00B176AD">
      <w:t>10</w:t>
    </w:r>
    <w:r w:rsidR="003C161C" w:rsidRPr="00B176AD">
      <w:fldChar w:fldCharType="end"/>
    </w:r>
    <w:r w:rsidR="003C161C" w:rsidRPr="00B176AD">
      <w:tab/>
    </w:r>
    <w:r w:rsidR="003C161C" w:rsidRPr="00B176AD">
      <w:rPr>
        <w:b/>
      </w:rPr>
      <w:t>BASIS FOR CONCLUSIONS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B496" w14:textId="77777777" w:rsidR="003C161C" w:rsidRPr="00B176AD" w:rsidRDefault="003C1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3C3A" w14:textId="77777777" w:rsidR="004E7E27" w:rsidRPr="00B176AD" w:rsidRDefault="004E7E27">
      <w:r w:rsidRPr="00B176AD">
        <w:separator/>
      </w:r>
    </w:p>
  </w:footnote>
  <w:footnote w:type="continuationSeparator" w:id="0">
    <w:p w14:paraId="24CC471B" w14:textId="77777777" w:rsidR="004E7E27" w:rsidRPr="00B176AD" w:rsidRDefault="004E7E27">
      <w:r w:rsidRPr="00B176AD">
        <w:continuationSeparator/>
      </w:r>
    </w:p>
  </w:footnote>
  <w:footnote w:type="continuationNotice" w:id="1">
    <w:p w14:paraId="1CEB0673" w14:textId="77777777" w:rsidR="004E7E27" w:rsidRDefault="004E7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6660" w14:textId="200EE875" w:rsidR="00610C23" w:rsidRPr="00B176AD" w:rsidRDefault="00610C23" w:rsidP="00610C23">
    <w:pPr>
      <w:pStyle w:val="Header"/>
      <w:rPr>
        <w:b/>
        <w:bCs/>
      </w:rPr>
    </w:pPr>
    <w:r w:rsidRPr="00A84293">
      <w:rPr>
        <w:b/>
        <w:bCs/>
        <w:color w:val="ED0000"/>
      </w:rPr>
      <w:t>Ballot Draft</w:t>
    </w:r>
    <w:r w:rsidRPr="00B176AD">
      <w:rPr>
        <w:b/>
        <w:bCs/>
      </w:rPr>
      <w:t xml:space="preserve"> – </w:t>
    </w:r>
    <w:r w:rsidR="000C5348" w:rsidRPr="00B176AD">
      <w:rPr>
        <w:b/>
        <w:bCs/>
      </w:rPr>
      <w:t xml:space="preserve">Contracts Referencing Nature-dependent Electricity: Tier 2 Disclosures </w:t>
    </w:r>
    <w:r w:rsidRPr="00B176AD">
      <w:rPr>
        <w:b/>
        <w:bCs/>
      </w:rPr>
      <w:tab/>
      <w:t>Agenda paper 3.2</w:t>
    </w:r>
  </w:p>
  <w:p w14:paraId="3BC74180" w14:textId="655950F5" w:rsidR="00610C23" w:rsidRPr="00B176AD" w:rsidRDefault="00610C23" w:rsidP="00610C23">
    <w:pPr>
      <w:pStyle w:val="Header"/>
      <w:jc w:val="right"/>
      <w:rPr>
        <w:b/>
        <w:bCs/>
      </w:rPr>
    </w:pPr>
    <w:r w:rsidRPr="00B176AD">
      <w:rPr>
        <w:b/>
        <w:bCs/>
      </w:rPr>
      <w:t>AASB Meeting August 2025 (M214)</w:t>
    </w:r>
  </w:p>
  <w:p w14:paraId="32186B25" w14:textId="77777777" w:rsidR="00982218" w:rsidRPr="00B176AD" w:rsidRDefault="00982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5A22" w14:textId="77777777" w:rsidR="00A96702" w:rsidRPr="00B176AD" w:rsidRDefault="00A96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B52F" w14:textId="77777777" w:rsidR="003C161C" w:rsidRPr="00B176AD" w:rsidRDefault="003C1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1136771A"/>
    <w:multiLevelType w:val="hybridMultilevel"/>
    <w:tmpl w:val="F2180B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01EC8"/>
    <w:multiLevelType w:val="multilevel"/>
    <w:tmpl w:val="FB128956"/>
    <w:styleLink w:val="BCNumbers"/>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4" w:hanging="782"/>
      </w:pPr>
      <w:rPr>
        <w:rFonts w:hint="default"/>
        <w:b w:val="0"/>
        <w:bCs w:val="0"/>
        <w:u w:val="none"/>
      </w:rPr>
    </w:lvl>
    <w:lvl w:ilvl="2">
      <w:start w:val="1"/>
      <w:numFmt w:val="lowerRoman"/>
      <w:lvlText w:val="(%3)"/>
      <w:lvlJc w:val="left"/>
      <w:pPr>
        <w:ind w:left="2346" w:hanging="782"/>
      </w:pPr>
      <w:rPr>
        <w:rFonts w:hint="default"/>
        <w:b w:val="0"/>
        <w:bCs w:val="0"/>
        <w:u w:val="none"/>
      </w:rPr>
    </w:lvl>
    <w:lvl w:ilvl="3">
      <w:start w:val="1"/>
      <w:numFmt w:val="upperLetter"/>
      <w:lvlText w:val="(%4)"/>
      <w:lvlJc w:val="left"/>
      <w:pPr>
        <w:ind w:left="3128" w:hanging="782"/>
      </w:pPr>
      <w:rPr>
        <w:rFonts w:hint="default"/>
        <w:b w:val="0"/>
        <w:bCs w:val="0"/>
        <w:u w:val="none"/>
      </w:rPr>
    </w:lvl>
    <w:lvl w:ilvl="4">
      <w:start w:val="1"/>
      <w:numFmt w:val="upperRoman"/>
      <w:lvlText w:val="%5"/>
      <w:lvlJc w:val="left"/>
      <w:pPr>
        <w:tabs>
          <w:tab w:val="num" w:pos="3752"/>
        </w:tabs>
        <w:ind w:left="3910" w:hanging="782"/>
      </w:pPr>
      <w:rPr>
        <w:rFonts w:hint="default"/>
        <w:b w:val="0"/>
        <w:bCs w:val="0"/>
        <w:u w:val="none"/>
      </w:rPr>
    </w:lvl>
    <w:lvl w:ilvl="5">
      <w:start w:val="1"/>
      <w:numFmt w:val="decimal"/>
      <w:lvlText w:val="%6"/>
      <w:lvlJc w:val="left"/>
      <w:pPr>
        <w:tabs>
          <w:tab w:val="num" w:pos="4534"/>
        </w:tabs>
        <w:ind w:left="4692" w:hanging="782"/>
      </w:pPr>
      <w:rPr>
        <w:rFonts w:hint="default"/>
      </w:rPr>
    </w:lvl>
    <w:lvl w:ilvl="6">
      <w:start w:val="1"/>
      <w:numFmt w:val="lowerLetter"/>
      <w:lvlText w:val="%7)"/>
      <w:lvlJc w:val="left"/>
      <w:pPr>
        <w:tabs>
          <w:tab w:val="num" w:pos="5316"/>
        </w:tabs>
        <w:ind w:left="5474" w:hanging="782"/>
      </w:pPr>
      <w:rPr>
        <w:rFonts w:hint="default"/>
      </w:rPr>
    </w:lvl>
    <w:lvl w:ilvl="7">
      <w:start w:val="1"/>
      <w:numFmt w:val="lowerRoman"/>
      <w:lvlText w:val="%8)"/>
      <w:lvlJc w:val="left"/>
      <w:pPr>
        <w:tabs>
          <w:tab w:val="num" w:pos="6098"/>
        </w:tabs>
        <w:ind w:left="6256" w:hanging="782"/>
      </w:pPr>
      <w:rPr>
        <w:rFonts w:hint="default"/>
      </w:rPr>
    </w:lvl>
    <w:lvl w:ilvl="8">
      <w:start w:val="1"/>
      <w:numFmt w:val="lowerRoman"/>
      <w:lvlText w:val="%9)"/>
      <w:lvlJc w:val="left"/>
      <w:pPr>
        <w:tabs>
          <w:tab w:val="num" w:pos="6880"/>
        </w:tabs>
        <w:ind w:left="7038" w:hanging="782"/>
      </w:pPr>
      <w:rPr>
        <w:rFonts w:hint="default"/>
      </w:rPr>
    </w:lvl>
  </w:abstractNum>
  <w:abstractNum w:abstractNumId="4"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5"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6"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3F6FCA"/>
    <w:multiLevelType w:val="hybridMultilevel"/>
    <w:tmpl w:val="71CE6CF0"/>
    <w:lvl w:ilvl="0" w:tplc="FFFFFFFF">
      <w:start w:val="1"/>
      <w:numFmt w:val="lowerRoman"/>
      <w:lvlText w:val="(%1)"/>
      <w:lvlJc w:val="left"/>
      <w:pPr>
        <w:ind w:left="1502" w:hanging="360"/>
      </w:pPr>
      <w:rPr>
        <w:rFonts w:hint="default"/>
        <w:b w:val="0"/>
        <w:bCs w:val="0"/>
      </w:rPr>
    </w:lvl>
    <w:lvl w:ilvl="1" w:tplc="FFFFFFFF" w:tentative="1">
      <w:start w:val="1"/>
      <w:numFmt w:val="lowerLetter"/>
      <w:lvlText w:val="%2."/>
      <w:lvlJc w:val="left"/>
      <w:pPr>
        <w:ind w:left="2222" w:hanging="360"/>
      </w:pPr>
    </w:lvl>
    <w:lvl w:ilvl="2" w:tplc="9684CD16">
      <w:start w:val="1"/>
      <w:numFmt w:val="lowerRoman"/>
      <w:lvlText w:val="(%3)"/>
      <w:lvlJc w:val="left"/>
      <w:pPr>
        <w:ind w:left="3122" w:hanging="360"/>
      </w:pPr>
      <w:rPr>
        <w:rFonts w:hint="default"/>
        <w:b w:val="0"/>
        <w:bCs w:val="0"/>
      </w:rPr>
    </w:lvl>
    <w:lvl w:ilvl="3" w:tplc="FFFFFFFF" w:tentative="1">
      <w:start w:val="1"/>
      <w:numFmt w:val="decimal"/>
      <w:lvlText w:val="%4."/>
      <w:lvlJc w:val="left"/>
      <w:pPr>
        <w:ind w:left="3662" w:hanging="360"/>
      </w:pPr>
    </w:lvl>
    <w:lvl w:ilvl="4" w:tplc="FFFFFFFF" w:tentative="1">
      <w:start w:val="1"/>
      <w:numFmt w:val="lowerLetter"/>
      <w:lvlText w:val="%5."/>
      <w:lvlJc w:val="left"/>
      <w:pPr>
        <w:ind w:left="4382" w:hanging="360"/>
      </w:pPr>
    </w:lvl>
    <w:lvl w:ilvl="5" w:tplc="FFFFFFFF" w:tentative="1">
      <w:start w:val="1"/>
      <w:numFmt w:val="lowerRoman"/>
      <w:lvlText w:val="%6."/>
      <w:lvlJc w:val="right"/>
      <w:pPr>
        <w:ind w:left="5102" w:hanging="180"/>
      </w:pPr>
    </w:lvl>
    <w:lvl w:ilvl="6" w:tplc="FFFFFFFF" w:tentative="1">
      <w:start w:val="1"/>
      <w:numFmt w:val="decimal"/>
      <w:lvlText w:val="%7."/>
      <w:lvlJc w:val="left"/>
      <w:pPr>
        <w:ind w:left="5822" w:hanging="360"/>
      </w:pPr>
    </w:lvl>
    <w:lvl w:ilvl="7" w:tplc="FFFFFFFF" w:tentative="1">
      <w:start w:val="1"/>
      <w:numFmt w:val="lowerLetter"/>
      <w:lvlText w:val="%8."/>
      <w:lvlJc w:val="left"/>
      <w:pPr>
        <w:ind w:left="6542" w:hanging="360"/>
      </w:pPr>
    </w:lvl>
    <w:lvl w:ilvl="8" w:tplc="FFFFFFFF" w:tentative="1">
      <w:start w:val="1"/>
      <w:numFmt w:val="lowerRoman"/>
      <w:lvlText w:val="%9."/>
      <w:lvlJc w:val="right"/>
      <w:pPr>
        <w:ind w:left="7262" w:hanging="180"/>
      </w:pPr>
    </w:lvl>
  </w:abstractNum>
  <w:abstractNum w:abstractNumId="8"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9" w15:restartNumberingAfterBreak="0">
    <w:nsid w:val="3C1666E8"/>
    <w:multiLevelType w:val="hybridMultilevel"/>
    <w:tmpl w:val="33FEE56C"/>
    <w:lvl w:ilvl="0" w:tplc="A25C1EFE">
      <w:start w:val="1"/>
      <w:numFmt w:val="lowerLetter"/>
      <w:lvlText w:val="(%1)"/>
      <w:lvlJc w:val="left"/>
      <w:pPr>
        <w:ind w:left="2284" w:hanging="360"/>
      </w:pPr>
      <w:rPr>
        <w:rFonts w:hint="default"/>
      </w:rPr>
    </w:lvl>
    <w:lvl w:ilvl="1" w:tplc="0C090019" w:tentative="1">
      <w:start w:val="1"/>
      <w:numFmt w:val="lowerLetter"/>
      <w:lvlText w:val="%2."/>
      <w:lvlJc w:val="left"/>
      <w:pPr>
        <w:ind w:left="3004" w:hanging="360"/>
      </w:pPr>
    </w:lvl>
    <w:lvl w:ilvl="2" w:tplc="0C09001B" w:tentative="1">
      <w:start w:val="1"/>
      <w:numFmt w:val="lowerRoman"/>
      <w:lvlText w:val="%3."/>
      <w:lvlJc w:val="right"/>
      <w:pPr>
        <w:ind w:left="3724" w:hanging="180"/>
      </w:pPr>
    </w:lvl>
    <w:lvl w:ilvl="3" w:tplc="0C09000F" w:tentative="1">
      <w:start w:val="1"/>
      <w:numFmt w:val="decimal"/>
      <w:lvlText w:val="%4."/>
      <w:lvlJc w:val="left"/>
      <w:pPr>
        <w:ind w:left="4444" w:hanging="360"/>
      </w:pPr>
    </w:lvl>
    <w:lvl w:ilvl="4" w:tplc="0C090019" w:tentative="1">
      <w:start w:val="1"/>
      <w:numFmt w:val="lowerLetter"/>
      <w:lvlText w:val="%5."/>
      <w:lvlJc w:val="left"/>
      <w:pPr>
        <w:ind w:left="5164" w:hanging="360"/>
      </w:pPr>
    </w:lvl>
    <w:lvl w:ilvl="5" w:tplc="0C09001B" w:tentative="1">
      <w:start w:val="1"/>
      <w:numFmt w:val="lowerRoman"/>
      <w:lvlText w:val="%6."/>
      <w:lvlJc w:val="right"/>
      <w:pPr>
        <w:ind w:left="5884" w:hanging="180"/>
      </w:pPr>
    </w:lvl>
    <w:lvl w:ilvl="6" w:tplc="0C09000F" w:tentative="1">
      <w:start w:val="1"/>
      <w:numFmt w:val="decimal"/>
      <w:lvlText w:val="%7."/>
      <w:lvlJc w:val="left"/>
      <w:pPr>
        <w:ind w:left="6604" w:hanging="360"/>
      </w:pPr>
    </w:lvl>
    <w:lvl w:ilvl="7" w:tplc="0C090019" w:tentative="1">
      <w:start w:val="1"/>
      <w:numFmt w:val="lowerLetter"/>
      <w:lvlText w:val="%8."/>
      <w:lvlJc w:val="left"/>
      <w:pPr>
        <w:ind w:left="7324" w:hanging="360"/>
      </w:pPr>
    </w:lvl>
    <w:lvl w:ilvl="8" w:tplc="0C09001B" w:tentative="1">
      <w:start w:val="1"/>
      <w:numFmt w:val="lowerRoman"/>
      <w:lvlText w:val="%9."/>
      <w:lvlJc w:val="right"/>
      <w:pPr>
        <w:ind w:left="8044" w:hanging="180"/>
      </w:pPr>
    </w:lvl>
  </w:abstractNum>
  <w:abstractNum w:abstractNumId="10" w15:restartNumberingAfterBreak="0">
    <w:nsid w:val="4AF73073"/>
    <w:multiLevelType w:val="hybridMultilevel"/>
    <w:tmpl w:val="33FEE56C"/>
    <w:lvl w:ilvl="0" w:tplc="FFFFFFFF">
      <w:start w:val="1"/>
      <w:numFmt w:val="lowerLetter"/>
      <w:lvlText w:val="(%1)"/>
      <w:lvlJc w:val="left"/>
      <w:pPr>
        <w:ind w:left="2284" w:hanging="360"/>
      </w:pPr>
      <w:rPr>
        <w:rFonts w:hint="default"/>
      </w:rPr>
    </w:lvl>
    <w:lvl w:ilvl="1" w:tplc="FFFFFFFF" w:tentative="1">
      <w:start w:val="1"/>
      <w:numFmt w:val="lowerLetter"/>
      <w:lvlText w:val="%2."/>
      <w:lvlJc w:val="left"/>
      <w:pPr>
        <w:ind w:left="3004" w:hanging="360"/>
      </w:pPr>
    </w:lvl>
    <w:lvl w:ilvl="2" w:tplc="FFFFFFFF" w:tentative="1">
      <w:start w:val="1"/>
      <w:numFmt w:val="lowerRoman"/>
      <w:lvlText w:val="%3."/>
      <w:lvlJc w:val="right"/>
      <w:pPr>
        <w:ind w:left="3724" w:hanging="180"/>
      </w:pPr>
    </w:lvl>
    <w:lvl w:ilvl="3" w:tplc="FFFFFFFF" w:tentative="1">
      <w:start w:val="1"/>
      <w:numFmt w:val="decimal"/>
      <w:lvlText w:val="%4."/>
      <w:lvlJc w:val="left"/>
      <w:pPr>
        <w:ind w:left="4444" w:hanging="360"/>
      </w:pPr>
    </w:lvl>
    <w:lvl w:ilvl="4" w:tplc="FFFFFFFF" w:tentative="1">
      <w:start w:val="1"/>
      <w:numFmt w:val="lowerLetter"/>
      <w:lvlText w:val="%5."/>
      <w:lvlJc w:val="left"/>
      <w:pPr>
        <w:ind w:left="5164" w:hanging="360"/>
      </w:pPr>
    </w:lvl>
    <w:lvl w:ilvl="5" w:tplc="FFFFFFFF" w:tentative="1">
      <w:start w:val="1"/>
      <w:numFmt w:val="lowerRoman"/>
      <w:lvlText w:val="%6."/>
      <w:lvlJc w:val="right"/>
      <w:pPr>
        <w:ind w:left="5884" w:hanging="180"/>
      </w:pPr>
    </w:lvl>
    <w:lvl w:ilvl="6" w:tplc="FFFFFFFF" w:tentative="1">
      <w:start w:val="1"/>
      <w:numFmt w:val="decimal"/>
      <w:lvlText w:val="%7."/>
      <w:lvlJc w:val="left"/>
      <w:pPr>
        <w:ind w:left="6604" w:hanging="360"/>
      </w:pPr>
    </w:lvl>
    <w:lvl w:ilvl="7" w:tplc="FFFFFFFF" w:tentative="1">
      <w:start w:val="1"/>
      <w:numFmt w:val="lowerLetter"/>
      <w:lvlText w:val="%8."/>
      <w:lvlJc w:val="left"/>
      <w:pPr>
        <w:ind w:left="7324" w:hanging="360"/>
      </w:pPr>
    </w:lvl>
    <w:lvl w:ilvl="8" w:tplc="FFFFFFFF" w:tentative="1">
      <w:start w:val="1"/>
      <w:numFmt w:val="lowerRoman"/>
      <w:lvlText w:val="%9."/>
      <w:lvlJc w:val="right"/>
      <w:pPr>
        <w:ind w:left="8044" w:hanging="180"/>
      </w:pPr>
    </w:lvl>
  </w:abstractNum>
  <w:abstractNum w:abstractNumId="11" w15:restartNumberingAfterBreak="0">
    <w:nsid w:val="4C2278F7"/>
    <w:multiLevelType w:val="multilevel"/>
    <w:tmpl w:val="D8EA2116"/>
    <w:styleLink w:val="NumPlainParas"/>
    <w:lvl w:ilvl="0">
      <w:start w:val="1"/>
      <w:numFmt w:val="decimal"/>
      <w:lvlText w:val="%1"/>
      <w:lvlJc w:val="left"/>
      <w:pPr>
        <w:ind w:left="782" w:hanging="782"/>
      </w:pPr>
      <w:rPr>
        <w:rFonts w:hint="default"/>
      </w:rPr>
    </w:lvl>
    <w:lvl w:ilvl="1">
      <w:start w:val="1"/>
      <w:numFmt w:val="lowerLetter"/>
      <w:lvlText w:val="(%2)"/>
      <w:lvlJc w:val="left"/>
      <w:pPr>
        <w:ind w:left="1564" w:hanging="782"/>
      </w:pPr>
      <w:rPr>
        <w:rFonts w:hint="default"/>
      </w:rPr>
    </w:lvl>
    <w:lvl w:ilvl="2">
      <w:start w:val="1"/>
      <w:numFmt w:val="lowerRoman"/>
      <w:lvlText w:val="(%3)"/>
      <w:lvlJc w:val="left"/>
      <w:pPr>
        <w:ind w:left="2346" w:hanging="782"/>
      </w:pPr>
      <w:rPr>
        <w:rFonts w:hint="default"/>
      </w:rPr>
    </w:lvl>
    <w:lvl w:ilvl="3">
      <w:start w:val="1"/>
      <w:numFmt w:val="upperLetter"/>
      <w:lvlText w:val="(%4)"/>
      <w:lvlJc w:val="left"/>
      <w:pPr>
        <w:ind w:left="3128" w:hanging="782"/>
      </w:pPr>
      <w:rPr>
        <w:rFonts w:hint="default"/>
      </w:rPr>
    </w:lvl>
    <w:lvl w:ilvl="4">
      <w:start w:val="1"/>
      <w:numFmt w:val="lowerLetter"/>
      <w:lvlText w:val="(%5)"/>
      <w:lvlJc w:val="left"/>
      <w:pPr>
        <w:tabs>
          <w:tab w:val="num" w:pos="2651"/>
        </w:tabs>
        <w:ind w:left="3910" w:hanging="782"/>
      </w:pPr>
      <w:rPr>
        <w:rFonts w:hint="default"/>
      </w:rPr>
    </w:lvl>
    <w:lvl w:ilvl="5">
      <w:start w:val="1"/>
      <w:numFmt w:val="lowerRoman"/>
      <w:lvlText w:val="(%6)"/>
      <w:lvlJc w:val="left"/>
      <w:pPr>
        <w:tabs>
          <w:tab w:val="num" w:pos="3011"/>
        </w:tabs>
        <w:ind w:left="4692" w:hanging="782"/>
      </w:pPr>
      <w:rPr>
        <w:rFonts w:hint="default"/>
      </w:rPr>
    </w:lvl>
    <w:lvl w:ilvl="6">
      <w:start w:val="1"/>
      <w:numFmt w:val="decimal"/>
      <w:lvlText w:val="%7."/>
      <w:lvlJc w:val="left"/>
      <w:pPr>
        <w:tabs>
          <w:tab w:val="num" w:pos="3371"/>
        </w:tabs>
        <w:ind w:left="5474" w:hanging="782"/>
      </w:pPr>
      <w:rPr>
        <w:rFonts w:hint="default"/>
      </w:rPr>
    </w:lvl>
    <w:lvl w:ilvl="7">
      <w:start w:val="1"/>
      <w:numFmt w:val="lowerLetter"/>
      <w:lvlText w:val="%8."/>
      <w:lvlJc w:val="left"/>
      <w:pPr>
        <w:tabs>
          <w:tab w:val="num" w:pos="3731"/>
        </w:tabs>
        <w:ind w:left="6256" w:hanging="782"/>
      </w:pPr>
      <w:rPr>
        <w:rFonts w:hint="default"/>
      </w:rPr>
    </w:lvl>
    <w:lvl w:ilvl="8">
      <w:start w:val="1"/>
      <w:numFmt w:val="lowerRoman"/>
      <w:lvlText w:val="%9."/>
      <w:lvlJc w:val="left"/>
      <w:pPr>
        <w:tabs>
          <w:tab w:val="num" w:pos="4091"/>
        </w:tabs>
        <w:ind w:left="7038" w:hanging="782"/>
      </w:pPr>
      <w:rPr>
        <w:rFonts w:hint="default"/>
      </w:rPr>
    </w:lvl>
  </w:abstractNum>
  <w:abstractNum w:abstractNumId="12" w15:restartNumberingAfterBreak="0">
    <w:nsid w:val="55A555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4"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5"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A956C7"/>
    <w:multiLevelType w:val="singleLevel"/>
    <w:tmpl w:val="5532B6A0"/>
    <w:lvl w:ilvl="0">
      <w:start w:val="1"/>
      <w:numFmt w:val="lowerLetter"/>
      <w:lvlText w:val="(%1)"/>
      <w:lvlJc w:val="left"/>
      <w:pPr>
        <w:ind w:left="1142" w:hanging="360"/>
      </w:pPr>
      <w:rPr>
        <w:rFonts w:hint="default"/>
      </w:rPr>
    </w:lvl>
  </w:abstractNum>
  <w:num w:numId="1" w16cid:durableId="1603804708">
    <w:abstractNumId w:val="13"/>
  </w:num>
  <w:num w:numId="2" w16cid:durableId="4764115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01281">
    <w:abstractNumId w:val="15"/>
  </w:num>
  <w:num w:numId="4" w16cid:durableId="1882940918">
    <w:abstractNumId w:val="4"/>
  </w:num>
  <w:num w:numId="5" w16cid:durableId="1634209733">
    <w:abstractNumId w:val="5"/>
  </w:num>
  <w:num w:numId="6" w16cid:durableId="1093665287">
    <w:abstractNumId w:val="14"/>
  </w:num>
  <w:num w:numId="7" w16cid:durableId="2133551616">
    <w:abstractNumId w:val="6"/>
  </w:num>
  <w:num w:numId="8" w16cid:durableId="17581500">
    <w:abstractNumId w:val="8"/>
  </w:num>
  <w:num w:numId="9" w16cid:durableId="683828697">
    <w:abstractNumId w:val="1"/>
  </w:num>
  <w:num w:numId="10" w16cid:durableId="151289080">
    <w:abstractNumId w:val="0"/>
  </w:num>
  <w:num w:numId="11" w16cid:durableId="2123105568">
    <w:abstractNumId w:val="12"/>
  </w:num>
  <w:num w:numId="12" w16cid:durableId="2128965142">
    <w:abstractNumId w:val="11"/>
  </w:num>
  <w:num w:numId="13" w16cid:durableId="1320158283">
    <w:abstractNumId w:val="11"/>
    <w:lvlOverride w:ilvl="0">
      <w:lvl w:ilvl="0">
        <w:start w:val="1"/>
        <w:numFmt w:val="decimal"/>
        <w:lvlText w:val="%1"/>
        <w:lvlJc w:val="left"/>
        <w:pPr>
          <w:ind w:left="782" w:hanging="782"/>
        </w:pPr>
        <w:rPr>
          <w:rFonts w:hint="default"/>
        </w:rPr>
      </w:lvl>
    </w:lvlOverride>
    <w:lvlOverride w:ilvl="1">
      <w:lvl w:ilvl="1">
        <w:start w:val="1"/>
        <w:numFmt w:val="lowerLetter"/>
        <w:lvlText w:val="(%2)"/>
        <w:lvlJc w:val="left"/>
        <w:pPr>
          <w:ind w:left="1564" w:hanging="782"/>
        </w:pPr>
        <w:rPr>
          <w:rFonts w:hint="default"/>
        </w:rPr>
      </w:lvl>
    </w:lvlOverride>
    <w:lvlOverride w:ilvl="2">
      <w:lvl w:ilvl="2">
        <w:start w:val="1"/>
        <w:numFmt w:val="lowerRoman"/>
        <w:lvlText w:val="(%3)"/>
        <w:lvlJc w:val="left"/>
        <w:pPr>
          <w:ind w:left="2346" w:hanging="782"/>
        </w:pPr>
        <w:rPr>
          <w:rFonts w:hint="default"/>
        </w:rPr>
      </w:lvl>
    </w:lvlOverride>
    <w:lvlOverride w:ilvl="3">
      <w:lvl w:ilvl="3">
        <w:start w:val="1"/>
        <w:numFmt w:val="upperLetter"/>
        <w:lvlText w:val="(%4)"/>
        <w:lvlJc w:val="left"/>
        <w:pPr>
          <w:ind w:left="3128" w:hanging="782"/>
        </w:pPr>
        <w:rPr>
          <w:rFonts w:hint="default"/>
        </w:rPr>
      </w:lvl>
    </w:lvlOverride>
    <w:lvlOverride w:ilvl="4">
      <w:lvl w:ilvl="4">
        <w:start w:val="1"/>
        <w:numFmt w:val="lowerLetter"/>
        <w:lvlText w:val="(%5)"/>
        <w:lvlJc w:val="left"/>
        <w:pPr>
          <w:tabs>
            <w:tab w:val="num" w:pos="2651"/>
          </w:tabs>
          <w:ind w:left="3910" w:hanging="782"/>
        </w:pPr>
        <w:rPr>
          <w:rFonts w:hint="default"/>
        </w:rPr>
      </w:lvl>
    </w:lvlOverride>
    <w:lvlOverride w:ilvl="5">
      <w:lvl w:ilvl="5">
        <w:start w:val="1"/>
        <w:numFmt w:val="lowerRoman"/>
        <w:lvlText w:val="(%6)"/>
        <w:lvlJc w:val="left"/>
        <w:pPr>
          <w:tabs>
            <w:tab w:val="num" w:pos="3011"/>
          </w:tabs>
          <w:ind w:left="4692" w:hanging="782"/>
        </w:pPr>
        <w:rPr>
          <w:rFonts w:hint="default"/>
        </w:rPr>
      </w:lvl>
    </w:lvlOverride>
    <w:lvlOverride w:ilvl="6">
      <w:lvl w:ilvl="6">
        <w:start w:val="1"/>
        <w:numFmt w:val="decimal"/>
        <w:lvlText w:val="%7."/>
        <w:lvlJc w:val="left"/>
        <w:pPr>
          <w:tabs>
            <w:tab w:val="num" w:pos="3371"/>
          </w:tabs>
          <w:ind w:left="5474" w:hanging="782"/>
        </w:pPr>
        <w:rPr>
          <w:rFonts w:hint="default"/>
        </w:rPr>
      </w:lvl>
    </w:lvlOverride>
    <w:lvlOverride w:ilvl="7">
      <w:lvl w:ilvl="7">
        <w:start w:val="1"/>
        <w:numFmt w:val="lowerLetter"/>
        <w:lvlText w:val="%8."/>
        <w:lvlJc w:val="left"/>
        <w:pPr>
          <w:tabs>
            <w:tab w:val="num" w:pos="3731"/>
          </w:tabs>
          <w:ind w:left="6256" w:hanging="782"/>
        </w:pPr>
        <w:rPr>
          <w:rFonts w:hint="default"/>
        </w:rPr>
      </w:lvl>
    </w:lvlOverride>
    <w:lvlOverride w:ilvl="8">
      <w:lvl w:ilvl="8">
        <w:start w:val="1"/>
        <w:numFmt w:val="lowerRoman"/>
        <w:lvlText w:val="%9."/>
        <w:lvlJc w:val="left"/>
        <w:pPr>
          <w:tabs>
            <w:tab w:val="num" w:pos="4091"/>
          </w:tabs>
          <w:ind w:left="7038" w:hanging="782"/>
        </w:pPr>
        <w:rPr>
          <w:rFonts w:hint="default"/>
        </w:rPr>
      </w:lvl>
    </w:lvlOverride>
  </w:num>
  <w:num w:numId="14" w16cid:durableId="242184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710343">
    <w:abstractNumId w:val="9"/>
  </w:num>
  <w:num w:numId="16" w16cid:durableId="1629240735">
    <w:abstractNumId w:val="7"/>
  </w:num>
  <w:num w:numId="17" w16cid:durableId="1807355552">
    <w:abstractNumId w:val="10"/>
  </w:num>
  <w:num w:numId="18" w16cid:durableId="1954553728">
    <w:abstractNumId w:val="2"/>
  </w:num>
  <w:num w:numId="19" w16cid:durableId="776752156">
    <w:abstractNumId w:val="3"/>
  </w:num>
  <w:num w:numId="20" w16cid:durableId="1764567588">
    <w:abstractNumId w:val="16"/>
  </w:num>
  <w:num w:numId="21" w16cid:durableId="343365845">
    <w:abstractNumId w:val="11"/>
    <w:lvlOverride w:ilvl="0">
      <w:startOverride w:val="1"/>
      <w:lvl w:ilvl="0">
        <w:start w:val="1"/>
        <w:numFmt w:val="decimal"/>
        <w:lvlText w:val="%1"/>
        <w:lvlJc w:val="left"/>
        <w:pPr>
          <w:ind w:left="782" w:hanging="782"/>
        </w:pPr>
        <w:rPr>
          <w:rFonts w:hint="default"/>
        </w:rPr>
      </w:lvl>
    </w:lvlOverride>
    <w:lvlOverride w:ilvl="1">
      <w:startOverride w:val="1"/>
      <w:lvl w:ilvl="1">
        <w:start w:val="1"/>
        <w:numFmt w:val="lowerLetter"/>
        <w:lvlText w:val="(%2)"/>
        <w:lvlJc w:val="left"/>
        <w:pPr>
          <w:ind w:left="1564" w:hanging="782"/>
        </w:pPr>
        <w:rPr>
          <w:rFonts w:hint="default"/>
        </w:rPr>
      </w:lvl>
    </w:lvlOverride>
    <w:lvlOverride w:ilvl="2">
      <w:startOverride w:val="1"/>
      <w:lvl w:ilvl="2">
        <w:start w:val="1"/>
        <w:numFmt w:val="lowerRoman"/>
        <w:lvlText w:val="(%3)"/>
        <w:lvlJc w:val="left"/>
        <w:pPr>
          <w:ind w:left="2346" w:hanging="782"/>
        </w:pPr>
        <w:rPr>
          <w:rFonts w:hint="default"/>
        </w:rPr>
      </w:lvl>
    </w:lvlOverride>
    <w:lvlOverride w:ilvl="3">
      <w:startOverride w:val="1"/>
      <w:lvl w:ilvl="3">
        <w:start w:val="1"/>
        <w:numFmt w:val="upperLetter"/>
        <w:lvlText w:val="(%4)"/>
        <w:lvlJc w:val="left"/>
        <w:pPr>
          <w:ind w:left="3128" w:hanging="782"/>
        </w:pPr>
        <w:rPr>
          <w:rFonts w:hint="default"/>
        </w:rPr>
      </w:lvl>
    </w:lvlOverride>
    <w:lvlOverride w:ilvl="4">
      <w:startOverride w:val="1"/>
      <w:lvl w:ilvl="4">
        <w:start w:val="1"/>
        <w:numFmt w:val="lowerLetter"/>
        <w:lvlText w:val="(%5)"/>
        <w:lvlJc w:val="left"/>
        <w:pPr>
          <w:tabs>
            <w:tab w:val="num" w:pos="2651"/>
          </w:tabs>
          <w:ind w:left="3910" w:hanging="782"/>
        </w:pPr>
        <w:rPr>
          <w:rFonts w:hint="default"/>
        </w:rPr>
      </w:lvl>
    </w:lvlOverride>
    <w:lvlOverride w:ilvl="5">
      <w:startOverride w:val="1"/>
      <w:lvl w:ilvl="5">
        <w:start w:val="1"/>
        <w:numFmt w:val="lowerRoman"/>
        <w:lvlText w:val="(%6)"/>
        <w:lvlJc w:val="left"/>
        <w:pPr>
          <w:tabs>
            <w:tab w:val="num" w:pos="3011"/>
          </w:tabs>
          <w:ind w:left="4692" w:hanging="782"/>
        </w:pPr>
        <w:rPr>
          <w:rFonts w:hint="default"/>
        </w:rPr>
      </w:lvl>
    </w:lvlOverride>
    <w:lvlOverride w:ilvl="6">
      <w:startOverride w:val="1"/>
      <w:lvl w:ilvl="6">
        <w:start w:val="1"/>
        <w:numFmt w:val="decimal"/>
        <w:lvlText w:val="%7."/>
        <w:lvlJc w:val="left"/>
        <w:pPr>
          <w:tabs>
            <w:tab w:val="num" w:pos="3371"/>
          </w:tabs>
          <w:ind w:left="5474" w:hanging="782"/>
        </w:pPr>
        <w:rPr>
          <w:rFonts w:hint="default"/>
        </w:rPr>
      </w:lvl>
    </w:lvlOverride>
    <w:lvlOverride w:ilvl="7">
      <w:startOverride w:val="1"/>
      <w:lvl w:ilvl="7">
        <w:start w:val="1"/>
        <w:numFmt w:val="lowerLetter"/>
        <w:lvlText w:val="%8."/>
        <w:lvlJc w:val="left"/>
        <w:pPr>
          <w:tabs>
            <w:tab w:val="num" w:pos="3731"/>
          </w:tabs>
          <w:ind w:left="6256" w:hanging="782"/>
        </w:pPr>
        <w:rPr>
          <w:rFonts w:hint="default"/>
        </w:rPr>
      </w:lvl>
    </w:lvlOverride>
    <w:lvlOverride w:ilvl="8">
      <w:startOverride w:val="1"/>
      <w:lvl w:ilvl="8">
        <w:start w:val="1"/>
        <w:numFmt w:val="lowerRoman"/>
        <w:lvlText w:val="%9."/>
        <w:lvlJc w:val="left"/>
        <w:pPr>
          <w:tabs>
            <w:tab w:val="num" w:pos="4091"/>
          </w:tabs>
          <w:ind w:left="7038" w:hanging="782"/>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70"/>
    <w:rsid w:val="0000292B"/>
    <w:rsid w:val="000170D0"/>
    <w:rsid w:val="00017BD9"/>
    <w:rsid w:val="00027E8B"/>
    <w:rsid w:val="00035076"/>
    <w:rsid w:val="0003692E"/>
    <w:rsid w:val="00037E16"/>
    <w:rsid w:val="000407C3"/>
    <w:rsid w:val="0004455B"/>
    <w:rsid w:val="00056A83"/>
    <w:rsid w:val="000625F2"/>
    <w:rsid w:val="00074133"/>
    <w:rsid w:val="000812F8"/>
    <w:rsid w:val="00086FB2"/>
    <w:rsid w:val="00090A6F"/>
    <w:rsid w:val="00096027"/>
    <w:rsid w:val="000967EA"/>
    <w:rsid w:val="000B733C"/>
    <w:rsid w:val="000C3EB0"/>
    <w:rsid w:val="000C5348"/>
    <w:rsid w:val="000D78DE"/>
    <w:rsid w:val="000D7B40"/>
    <w:rsid w:val="000F64CC"/>
    <w:rsid w:val="001030CB"/>
    <w:rsid w:val="001052DA"/>
    <w:rsid w:val="00110B96"/>
    <w:rsid w:val="001162C5"/>
    <w:rsid w:val="001206CF"/>
    <w:rsid w:val="001219B5"/>
    <w:rsid w:val="001662B8"/>
    <w:rsid w:val="00167183"/>
    <w:rsid w:val="00171F51"/>
    <w:rsid w:val="001738EC"/>
    <w:rsid w:val="001761C6"/>
    <w:rsid w:val="0018649D"/>
    <w:rsid w:val="001864D4"/>
    <w:rsid w:val="0019286F"/>
    <w:rsid w:val="001A261F"/>
    <w:rsid w:val="001A6144"/>
    <w:rsid w:val="001B33A5"/>
    <w:rsid w:val="001C225F"/>
    <w:rsid w:val="001F78DF"/>
    <w:rsid w:val="00201A99"/>
    <w:rsid w:val="00204033"/>
    <w:rsid w:val="0022022E"/>
    <w:rsid w:val="00222F71"/>
    <w:rsid w:val="00227D2E"/>
    <w:rsid w:val="00243ECD"/>
    <w:rsid w:val="00254B16"/>
    <w:rsid w:val="002605AB"/>
    <w:rsid w:val="00276BC5"/>
    <w:rsid w:val="0028086D"/>
    <w:rsid w:val="00283482"/>
    <w:rsid w:val="00290253"/>
    <w:rsid w:val="0029647E"/>
    <w:rsid w:val="002A201D"/>
    <w:rsid w:val="002B7803"/>
    <w:rsid w:val="002C0A55"/>
    <w:rsid w:val="002C3CBA"/>
    <w:rsid w:val="002D0513"/>
    <w:rsid w:val="002F1CD0"/>
    <w:rsid w:val="00305378"/>
    <w:rsid w:val="00307F26"/>
    <w:rsid w:val="00315DBE"/>
    <w:rsid w:val="003251D8"/>
    <w:rsid w:val="0033431A"/>
    <w:rsid w:val="0033581C"/>
    <w:rsid w:val="00364B30"/>
    <w:rsid w:val="00367DC9"/>
    <w:rsid w:val="00367E12"/>
    <w:rsid w:val="00377515"/>
    <w:rsid w:val="00377B8D"/>
    <w:rsid w:val="00382796"/>
    <w:rsid w:val="003859D5"/>
    <w:rsid w:val="0039009E"/>
    <w:rsid w:val="003A488F"/>
    <w:rsid w:val="003B0CAA"/>
    <w:rsid w:val="003B0E71"/>
    <w:rsid w:val="003B2D6D"/>
    <w:rsid w:val="003B6633"/>
    <w:rsid w:val="003B77DE"/>
    <w:rsid w:val="003C161C"/>
    <w:rsid w:val="003D150A"/>
    <w:rsid w:val="003D1DD4"/>
    <w:rsid w:val="003E0A68"/>
    <w:rsid w:val="003E1900"/>
    <w:rsid w:val="003E3728"/>
    <w:rsid w:val="003F6D3C"/>
    <w:rsid w:val="00401ECA"/>
    <w:rsid w:val="004150BD"/>
    <w:rsid w:val="00422E4D"/>
    <w:rsid w:val="00426876"/>
    <w:rsid w:val="00434D86"/>
    <w:rsid w:val="00436A2D"/>
    <w:rsid w:val="0044702C"/>
    <w:rsid w:val="00447C3A"/>
    <w:rsid w:val="00460FBB"/>
    <w:rsid w:val="00470CE9"/>
    <w:rsid w:val="0047683E"/>
    <w:rsid w:val="0048155F"/>
    <w:rsid w:val="00487CF6"/>
    <w:rsid w:val="004902F3"/>
    <w:rsid w:val="00494230"/>
    <w:rsid w:val="004953D6"/>
    <w:rsid w:val="004961F8"/>
    <w:rsid w:val="004A417F"/>
    <w:rsid w:val="004B038C"/>
    <w:rsid w:val="004B736C"/>
    <w:rsid w:val="004C29BF"/>
    <w:rsid w:val="004C5BDE"/>
    <w:rsid w:val="004D3809"/>
    <w:rsid w:val="004D4D1C"/>
    <w:rsid w:val="004E56F7"/>
    <w:rsid w:val="004E7C79"/>
    <w:rsid w:val="004E7E27"/>
    <w:rsid w:val="004F55FE"/>
    <w:rsid w:val="00500E80"/>
    <w:rsid w:val="00511C34"/>
    <w:rsid w:val="005166B2"/>
    <w:rsid w:val="0053452C"/>
    <w:rsid w:val="00535EC5"/>
    <w:rsid w:val="00544AF9"/>
    <w:rsid w:val="00546393"/>
    <w:rsid w:val="0056274D"/>
    <w:rsid w:val="005655CE"/>
    <w:rsid w:val="00573040"/>
    <w:rsid w:val="00577065"/>
    <w:rsid w:val="0058004D"/>
    <w:rsid w:val="00580BC4"/>
    <w:rsid w:val="00583BE6"/>
    <w:rsid w:val="00590051"/>
    <w:rsid w:val="005A2514"/>
    <w:rsid w:val="005A6AC7"/>
    <w:rsid w:val="005B146F"/>
    <w:rsid w:val="005B4326"/>
    <w:rsid w:val="005D688D"/>
    <w:rsid w:val="005E6BE4"/>
    <w:rsid w:val="005F2406"/>
    <w:rsid w:val="00602261"/>
    <w:rsid w:val="00610C23"/>
    <w:rsid w:val="006325D1"/>
    <w:rsid w:val="00641282"/>
    <w:rsid w:val="00646C98"/>
    <w:rsid w:val="00652DF8"/>
    <w:rsid w:val="00653E8D"/>
    <w:rsid w:val="00661CFD"/>
    <w:rsid w:val="006A3AE9"/>
    <w:rsid w:val="006A40E5"/>
    <w:rsid w:val="006B0CD6"/>
    <w:rsid w:val="006B1DF9"/>
    <w:rsid w:val="006C2E37"/>
    <w:rsid w:val="006D055E"/>
    <w:rsid w:val="006D134A"/>
    <w:rsid w:val="006D4700"/>
    <w:rsid w:val="006D7679"/>
    <w:rsid w:val="006E2C39"/>
    <w:rsid w:val="00714340"/>
    <w:rsid w:val="007219F7"/>
    <w:rsid w:val="007251E9"/>
    <w:rsid w:val="007333C2"/>
    <w:rsid w:val="00737714"/>
    <w:rsid w:val="00742E4B"/>
    <w:rsid w:val="007455F0"/>
    <w:rsid w:val="00751F6A"/>
    <w:rsid w:val="007530C3"/>
    <w:rsid w:val="007554ED"/>
    <w:rsid w:val="00755E40"/>
    <w:rsid w:val="00756FF6"/>
    <w:rsid w:val="0076127E"/>
    <w:rsid w:val="00766E4B"/>
    <w:rsid w:val="0078116B"/>
    <w:rsid w:val="00787DA0"/>
    <w:rsid w:val="007A0100"/>
    <w:rsid w:val="007A6BC3"/>
    <w:rsid w:val="007F1D3D"/>
    <w:rsid w:val="00812637"/>
    <w:rsid w:val="00813227"/>
    <w:rsid w:val="00820794"/>
    <w:rsid w:val="0082329F"/>
    <w:rsid w:val="00831497"/>
    <w:rsid w:val="008459E8"/>
    <w:rsid w:val="00864ADE"/>
    <w:rsid w:val="0086584A"/>
    <w:rsid w:val="00867FB0"/>
    <w:rsid w:val="00871A12"/>
    <w:rsid w:val="00874CE9"/>
    <w:rsid w:val="00881BBE"/>
    <w:rsid w:val="00895809"/>
    <w:rsid w:val="00895AC5"/>
    <w:rsid w:val="00896809"/>
    <w:rsid w:val="008A16EB"/>
    <w:rsid w:val="008A3668"/>
    <w:rsid w:val="008A6182"/>
    <w:rsid w:val="008B1D94"/>
    <w:rsid w:val="008B4C8D"/>
    <w:rsid w:val="008B643A"/>
    <w:rsid w:val="008C1C4A"/>
    <w:rsid w:val="008C397C"/>
    <w:rsid w:val="008C51C4"/>
    <w:rsid w:val="008C60B1"/>
    <w:rsid w:val="008C6BD0"/>
    <w:rsid w:val="008D2EBD"/>
    <w:rsid w:val="008D3D5B"/>
    <w:rsid w:val="008E72C4"/>
    <w:rsid w:val="008F0A81"/>
    <w:rsid w:val="008F3EBA"/>
    <w:rsid w:val="008F4AC5"/>
    <w:rsid w:val="008F5963"/>
    <w:rsid w:val="00923261"/>
    <w:rsid w:val="009256B7"/>
    <w:rsid w:val="00927BB6"/>
    <w:rsid w:val="00970C7A"/>
    <w:rsid w:val="009721DB"/>
    <w:rsid w:val="00972BFA"/>
    <w:rsid w:val="00976460"/>
    <w:rsid w:val="00982218"/>
    <w:rsid w:val="009867E5"/>
    <w:rsid w:val="009965BA"/>
    <w:rsid w:val="009B6535"/>
    <w:rsid w:val="009C2479"/>
    <w:rsid w:val="009D06F8"/>
    <w:rsid w:val="009D73F1"/>
    <w:rsid w:val="009E464F"/>
    <w:rsid w:val="00A05041"/>
    <w:rsid w:val="00A110AE"/>
    <w:rsid w:val="00A13F82"/>
    <w:rsid w:val="00A16664"/>
    <w:rsid w:val="00A22E0D"/>
    <w:rsid w:val="00A41ED3"/>
    <w:rsid w:val="00A47FA2"/>
    <w:rsid w:val="00A50900"/>
    <w:rsid w:val="00A51A7E"/>
    <w:rsid w:val="00A55F4F"/>
    <w:rsid w:val="00A6283D"/>
    <w:rsid w:val="00A748BA"/>
    <w:rsid w:val="00A83862"/>
    <w:rsid w:val="00A84293"/>
    <w:rsid w:val="00A8486C"/>
    <w:rsid w:val="00A86D24"/>
    <w:rsid w:val="00A96702"/>
    <w:rsid w:val="00A97EB2"/>
    <w:rsid w:val="00AA14A9"/>
    <w:rsid w:val="00AB1126"/>
    <w:rsid w:val="00AB780A"/>
    <w:rsid w:val="00AC4315"/>
    <w:rsid w:val="00AD42DA"/>
    <w:rsid w:val="00AF61B8"/>
    <w:rsid w:val="00B110AD"/>
    <w:rsid w:val="00B16904"/>
    <w:rsid w:val="00B176AD"/>
    <w:rsid w:val="00B22833"/>
    <w:rsid w:val="00B271BA"/>
    <w:rsid w:val="00B31DD6"/>
    <w:rsid w:val="00B3429E"/>
    <w:rsid w:val="00B56C00"/>
    <w:rsid w:val="00B74237"/>
    <w:rsid w:val="00B82F15"/>
    <w:rsid w:val="00B842EA"/>
    <w:rsid w:val="00B913C8"/>
    <w:rsid w:val="00BA3AB4"/>
    <w:rsid w:val="00BA4622"/>
    <w:rsid w:val="00BA5A1C"/>
    <w:rsid w:val="00BA606B"/>
    <w:rsid w:val="00BB4C9F"/>
    <w:rsid w:val="00BC0794"/>
    <w:rsid w:val="00BC0D5D"/>
    <w:rsid w:val="00BE2F68"/>
    <w:rsid w:val="00BE38FC"/>
    <w:rsid w:val="00BF0190"/>
    <w:rsid w:val="00C00174"/>
    <w:rsid w:val="00C03C7B"/>
    <w:rsid w:val="00C04AA9"/>
    <w:rsid w:val="00C22591"/>
    <w:rsid w:val="00C3493B"/>
    <w:rsid w:val="00C37458"/>
    <w:rsid w:val="00C41950"/>
    <w:rsid w:val="00C438DD"/>
    <w:rsid w:val="00C43CD1"/>
    <w:rsid w:val="00C45020"/>
    <w:rsid w:val="00C5022C"/>
    <w:rsid w:val="00C552FD"/>
    <w:rsid w:val="00C63573"/>
    <w:rsid w:val="00C649FE"/>
    <w:rsid w:val="00C95D8A"/>
    <w:rsid w:val="00CA61C5"/>
    <w:rsid w:val="00CB2B2A"/>
    <w:rsid w:val="00CB719A"/>
    <w:rsid w:val="00CC1DF4"/>
    <w:rsid w:val="00CC2A73"/>
    <w:rsid w:val="00CC6FCD"/>
    <w:rsid w:val="00CD52A1"/>
    <w:rsid w:val="00CD5D1C"/>
    <w:rsid w:val="00CE2F8C"/>
    <w:rsid w:val="00CF370A"/>
    <w:rsid w:val="00CF75CA"/>
    <w:rsid w:val="00CF7B67"/>
    <w:rsid w:val="00D00FD5"/>
    <w:rsid w:val="00D267F3"/>
    <w:rsid w:val="00D269B1"/>
    <w:rsid w:val="00D469C4"/>
    <w:rsid w:val="00D52086"/>
    <w:rsid w:val="00D54820"/>
    <w:rsid w:val="00D54F5C"/>
    <w:rsid w:val="00D67336"/>
    <w:rsid w:val="00D74038"/>
    <w:rsid w:val="00D74C6A"/>
    <w:rsid w:val="00D823E9"/>
    <w:rsid w:val="00D829A4"/>
    <w:rsid w:val="00D942EB"/>
    <w:rsid w:val="00D96A64"/>
    <w:rsid w:val="00DA21D4"/>
    <w:rsid w:val="00DA2A7B"/>
    <w:rsid w:val="00DB00CD"/>
    <w:rsid w:val="00DB594F"/>
    <w:rsid w:val="00DB787C"/>
    <w:rsid w:val="00DC7E1B"/>
    <w:rsid w:val="00DD1DDC"/>
    <w:rsid w:val="00DD7E7A"/>
    <w:rsid w:val="00DE1925"/>
    <w:rsid w:val="00DE6B70"/>
    <w:rsid w:val="00DF39E3"/>
    <w:rsid w:val="00E033B7"/>
    <w:rsid w:val="00E04D81"/>
    <w:rsid w:val="00E06C2F"/>
    <w:rsid w:val="00E10E49"/>
    <w:rsid w:val="00E24399"/>
    <w:rsid w:val="00E24C45"/>
    <w:rsid w:val="00E274C6"/>
    <w:rsid w:val="00E35485"/>
    <w:rsid w:val="00E403DE"/>
    <w:rsid w:val="00E41399"/>
    <w:rsid w:val="00E42683"/>
    <w:rsid w:val="00E4285B"/>
    <w:rsid w:val="00E46988"/>
    <w:rsid w:val="00E6167B"/>
    <w:rsid w:val="00E63279"/>
    <w:rsid w:val="00E64A52"/>
    <w:rsid w:val="00E74BD5"/>
    <w:rsid w:val="00E7592A"/>
    <w:rsid w:val="00E839DA"/>
    <w:rsid w:val="00E87366"/>
    <w:rsid w:val="00E90B4F"/>
    <w:rsid w:val="00E915E3"/>
    <w:rsid w:val="00E94DA2"/>
    <w:rsid w:val="00E96D45"/>
    <w:rsid w:val="00E97B4B"/>
    <w:rsid w:val="00EA245C"/>
    <w:rsid w:val="00EA3927"/>
    <w:rsid w:val="00EA626B"/>
    <w:rsid w:val="00EB4197"/>
    <w:rsid w:val="00EB4756"/>
    <w:rsid w:val="00EB7E17"/>
    <w:rsid w:val="00EC4AFD"/>
    <w:rsid w:val="00ED0067"/>
    <w:rsid w:val="00ED06E4"/>
    <w:rsid w:val="00EE2509"/>
    <w:rsid w:val="00EE3D03"/>
    <w:rsid w:val="00EE740D"/>
    <w:rsid w:val="00EF0622"/>
    <w:rsid w:val="00EF0C79"/>
    <w:rsid w:val="00EF1236"/>
    <w:rsid w:val="00EF4859"/>
    <w:rsid w:val="00EF4CEC"/>
    <w:rsid w:val="00F06FEB"/>
    <w:rsid w:val="00F10D88"/>
    <w:rsid w:val="00F13C5A"/>
    <w:rsid w:val="00F14BDB"/>
    <w:rsid w:val="00F22AF2"/>
    <w:rsid w:val="00F2677A"/>
    <w:rsid w:val="00F27D29"/>
    <w:rsid w:val="00F424C9"/>
    <w:rsid w:val="00F66B41"/>
    <w:rsid w:val="00F71179"/>
    <w:rsid w:val="00F82A0E"/>
    <w:rsid w:val="00F91592"/>
    <w:rsid w:val="00F970FB"/>
    <w:rsid w:val="00FB39CB"/>
    <w:rsid w:val="00FB7816"/>
    <w:rsid w:val="00FC2254"/>
    <w:rsid w:val="00FC30DA"/>
    <w:rsid w:val="00FC64EE"/>
    <w:rsid w:val="00FD62DB"/>
    <w:rsid w:val="00FE019D"/>
    <w:rsid w:val="00FE0938"/>
    <w:rsid w:val="00FE4D0F"/>
    <w:rsid w:val="00FF15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313F18BA"/>
  <w15:docId w15:val="{E38BF437-DEA2-40EC-9CF9-5C08F110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5F2"/>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rsid w:val="00D74C6A"/>
    <w:pPr>
      <w:tabs>
        <w:tab w:val="center" w:pos="4536"/>
        <w:tab w:val="right" w:pos="9072"/>
      </w:tabs>
    </w:pPr>
  </w:style>
  <w:style w:type="paragraph" w:styleId="Footer">
    <w:name w:val="footer"/>
    <w:basedOn w:val="Normal"/>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7"/>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6"/>
      </w:numPr>
      <w:spacing w:before="100" w:after="100"/>
      <w:ind w:left="505" w:hanging="505"/>
    </w:pPr>
  </w:style>
  <w:style w:type="paragraph" w:customStyle="1" w:styleId="Bullet2">
    <w:name w:val="Bullet2"/>
    <w:basedOn w:val="Normal"/>
    <w:rsid w:val="00972BFA"/>
    <w:pPr>
      <w:numPr>
        <w:ilvl w:val="1"/>
        <w:numId w:val="6"/>
      </w:numPr>
      <w:spacing w:after="200"/>
      <w:ind w:left="1010" w:hanging="505"/>
    </w:pPr>
  </w:style>
  <w:style w:type="paragraph" w:customStyle="1" w:styleId="Bullet3">
    <w:name w:val="Bullet3"/>
    <w:basedOn w:val="Normal"/>
    <w:rsid w:val="00972BFA"/>
    <w:pPr>
      <w:numPr>
        <w:ilvl w:val="2"/>
        <w:numId w:val="6"/>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6"/>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3"/>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4"/>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0812F8"/>
    <w:rPr>
      <w:sz w:val="19"/>
      <w:lang w:eastAsia="en-US"/>
    </w:rPr>
  </w:style>
  <w:style w:type="numbering" w:customStyle="1" w:styleId="NumPlainParas">
    <w:name w:val="NumPlainParas"/>
    <w:uiPriority w:val="99"/>
    <w:rsid w:val="008A3668"/>
    <w:pPr>
      <w:numPr>
        <w:numId w:val="12"/>
      </w:numPr>
    </w:pPr>
  </w:style>
  <w:style w:type="paragraph" w:customStyle="1" w:styleId="IASBNormalnpara">
    <w:name w:val="IASB Normal npara"/>
    <w:basedOn w:val="Normal"/>
    <w:rsid w:val="002C3CBA"/>
    <w:pPr>
      <w:spacing w:before="100"/>
      <w:ind w:left="782" w:hanging="782"/>
    </w:pPr>
    <w:rPr>
      <w:lang w:val="en-US"/>
    </w:rPr>
  </w:style>
  <w:style w:type="paragraph" w:customStyle="1" w:styleId="IASBNormalnparaL1">
    <w:name w:val="IASB Normal nparaL1"/>
    <w:basedOn w:val="IASBNormalnpara"/>
    <w:rsid w:val="002C3CBA"/>
    <w:pPr>
      <w:ind w:left="1564"/>
    </w:pPr>
  </w:style>
  <w:style w:type="numbering" w:customStyle="1" w:styleId="BCNumbers">
    <w:name w:val="BC Numbers"/>
    <w:uiPriority w:val="99"/>
    <w:rsid w:val="00EB7E17"/>
    <w:pPr>
      <w:numPr>
        <w:numId w:val="19"/>
      </w:numPr>
    </w:pPr>
  </w:style>
  <w:style w:type="character" w:styleId="CommentReference">
    <w:name w:val="annotation reference"/>
    <w:basedOn w:val="DefaultParagraphFont"/>
    <w:semiHidden/>
    <w:unhideWhenUsed/>
    <w:rsid w:val="0033431A"/>
    <w:rPr>
      <w:sz w:val="16"/>
      <w:szCs w:val="16"/>
    </w:rPr>
  </w:style>
  <w:style w:type="paragraph" w:styleId="CommentText">
    <w:name w:val="annotation text"/>
    <w:basedOn w:val="Normal"/>
    <w:link w:val="CommentTextChar"/>
    <w:unhideWhenUsed/>
    <w:rsid w:val="0033431A"/>
    <w:rPr>
      <w:sz w:val="20"/>
    </w:rPr>
  </w:style>
  <w:style w:type="character" w:customStyle="1" w:styleId="CommentTextChar">
    <w:name w:val="Comment Text Char"/>
    <w:basedOn w:val="DefaultParagraphFont"/>
    <w:link w:val="CommentText"/>
    <w:rsid w:val="0033431A"/>
    <w:rPr>
      <w:lang w:eastAsia="en-US"/>
    </w:rPr>
  </w:style>
  <w:style w:type="paragraph" w:styleId="CommentSubject">
    <w:name w:val="annotation subject"/>
    <w:basedOn w:val="CommentText"/>
    <w:next w:val="CommentText"/>
    <w:link w:val="CommentSubjectChar"/>
    <w:semiHidden/>
    <w:unhideWhenUsed/>
    <w:rsid w:val="0033431A"/>
    <w:rPr>
      <w:b/>
      <w:bCs/>
    </w:rPr>
  </w:style>
  <w:style w:type="character" w:customStyle="1" w:styleId="CommentSubjectChar">
    <w:name w:val="Comment Subject Char"/>
    <w:basedOn w:val="CommentTextChar"/>
    <w:link w:val="CommentSubject"/>
    <w:semiHidden/>
    <w:rsid w:val="0033431A"/>
    <w:rPr>
      <w:b/>
      <w:bCs/>
      <w:lang w:eastAsia="en-US"/>
    </w:rPr>
  </w:style>
  <w:style w:type="paragraph" w:styleId="Revision">
    <w:name w:val="Revision"/>
    <w:hidden/>
    <w:uiPriority w:val="99"/>
    <w:semiHidden/>
    <w:rsid w:val="001052DA"/>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stis\AUSTRALIAN%20ACCOUNTING%20STANDARDS%20-%20AUDITING%20AND%20ASSURANCE%20STANDARDS%20BOARD\OfficeTemplates%20-%20Documents\Templates\AmendingDomest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2" ma:contentTypeDescription="Create a new document." ma:contentTypeScope="" ma:versionID="1af8892b87a24bd1894bfe8ab8be90cd">
  <xsd:schema xmlns:xsd="http://www.w3.org/2001/XMLSchema" xmlns:xs="http://www.w3.org/2001/XMLSchema" xmlns:p="http://schemas.microsoft.com/office/2006/metadata/properties" xmlns:ns2="4e2d1ddd-4ff2-4144-ad72-d941cc701c35" targetNamespace="http://schemas.microsoft.com/office/2006/metadata/properties" ma:root="true" ma:fieldsID="2885e049d223e860e3d7cee3cf39b381" ns2:_="">
    <xsd:import namespace="4e2d1ddd-4ff2-4144-ad72-d941cc701c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B5A17-2880-49D8-A1CD-06B8FFFE824B}">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e2d1ddd-4ff2-4144-ad72-d941cc701c35"/>
    <ds:schemaRef ds:uri="http://www.w3.org/XML/1998/namespace"/>
    <ds:schemaRef ds:uri="http://purl.org/dc/terms/"/>
  </ds:schemaRefs>
</ds:datastoreItem>
</file>

<file path=customXml/itemProps2.xml><?xml version="1.0" encoding="utf-8"?>
<ds:datastoreItem xmlns:ds="http://schemas.openxmlformats.org/officeDocument/2006/customXml" ds:itemID="{DFE5DE5F-2AF7-4B94-A618-015D4B2757F9}">
  <ds:schemaRefs>
    <ds:schemaRef ds:uri="http://schemas.openxmlformats.org/officeDocument/2006/bibliography"/>
  </ds:schemaRefs>
</ds:datastoreItem>
</file>

<file path=customXml/itemProps3.xml><?xml version="1.0" encoding="utf-8"?>
<ds:datastoreItem xmlns:ds="http://schemas.openxmlformats.org/officeDocument/2006/customXml" ds:itemID="{09BE3FA8-855B-40E6-A5E4-9AC2D2A3EE0F}">
  <ds:schemaRefs>
    <ds:schemaRef ds:uri="http://schemas.microsoft.com/sharepoint/v3/contenttype/forms"/>
  </ds:schemaRefs>
</ds:datastoreItem>
</file>

<file path=customXml/itemProps4.xml><?xml version="1.0" encoding="utf-8"?>
<ds:datastoreItem xmlns:ds="http://schemas.openxmlformats.org/officeDocument/2006/customXml" ds:itemID="{30BE3A0C-49D7-440B-84EE-CE778CE76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AmendingDomestic.dotx</Template>
  <TotalTime>37</TotalTime>
  <Pages>9</Pages>
  <Words>2155</Words>
  <Characters>13476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AASB 2025-3 (8/25)</vt:lpstr>
    </vt:vector>
  </TitlesOfParts>
  <Company>Australian Accounting Standards Board</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2025-3 (8/25)</dc:title>
  <dc:subject/>
  <dc:creator>.</dc:creator>
  <cp:keywords/>
  <dc:description/>
  <cp:lastModifiedBy>Clark Anstis</cp:lastModifiedBy>
  <cp:revision>11</cp:revision>
  <cp:lastPrinted>2009-11-13T19:56:00Z</cp:lastPrinted>
  <dcterms:created xsi:type="dcterms:W3CDTF">2025-08-25T05:48:00Z</dcterms:created>
  <dcterms:modified xsi:type="dcterms:W3CDTF">2025-08-26T01:40:00Z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GrammarlyDocumentId">
    <vt:lpwstr>b2e09701-68f7-4891-a368-8c60e58a8481</vt:lpwstr>
  </property>
  <property fmtid="{D5CDD505-2E9C-101B-9397-08002B2CF9AE}" pid="4" name="SecurityClassification">
    <vt:lpwstr>Official</vt:lpwstr>
  </property>
</Properties>
</file>