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77753E10" w:rsidR="009A6866" w:rsidRPr="009A6866" w:rsidRDefault="009A6866" w:rsidP="00682847">
      <w:pPr>
        <w:pStyle w:val="Heading6"/>
        <w:jc w:val="center"/>
      </w:pPr>
      <w:r w:rsidRPr="009A6866">
        <w:t>Defence Determination (</w:t>
      </w:r>
      <w:r w:rsidR="00886919">
        <w:t>Individual benefits</w:t>
      </w:r>
      <w:r w:rsidR="0008037A">
        <w:t xml:space="preserve">) Determination </w:t>
      </w:r>
      <w:r w:rsidR="00F774DD" w:rsidRPr="009A6866">
        <w:t>(No. </w:t>
      </w:r>
      <w:r w:rsidR="00146780">
        <w:t>13</w:t>
      </w:r>
      <w:bookmarkStart w:id="0" w:name="_GoBack"/>
      <w:bookmarkEnd w:id="0"/>
      <w:r w:rsidR="00F774DD" w:rsidRPr="009A6866">
        <w:t>)</w:t>
      </w:r>
      <w:r w:rsidR="00F774DD">
        <w:t xml:space="preserve"> </w:t>
      </w:r>
      <w:r w:rsidR="0008037A">
        <w:t>202</w:t>
      </w:r>
      <w:r w:rsidR="00F774DD">
        <w:t>5</w:t>
      </w:r>
      <w:r w:rsidRPr="009A6866">
        <w:t xml:space="preserve"> </w:t>
      </w:r>
    </w:p>
    <w:p w14:paraId="383649D3" w14:textId="6AF2EE98" w:rsidR="001E51FE" w:rsidRDefault="001E51FE" w:rsidP="00EC45EE">
      <w:pPr>
        <w:pStyle w:val="Sectiontext"/>
        <w:tabs>
          <w:tab w:val="left" w:pos="7380"/>
        </w:tabs>
      </w:pPr>
      <w:r w:rsidRPr="000D4FC9">
        <w:t xml:space="preserve">This Determination </w:t>
      </w:r>
      <w:proofErr w:type="gramStart"/>
      <w:r w:rsidR="00CB39F5">
        <w:t xml:space="preserve">is </w:t>
      </w:r>
      <w:r w:rsidRPr="000D4FC9">
        <w:t>made</w:t>
      </w:r>
      <w:proofErr w:type="gramEnd"/>
      <w:r w:rsidRPr="000D4FC9">
        <w:t xml:space="preserve"> under section 58B of the </w:t>
      </w:r>
      <w:r w:rsidR="00255473">
        <w:rPr>
          <w:i/>
        </w:rPr>
        <w:t>Defence Act 1903</w:t>
      </w:r>
      <w:r w:rsidR="00D516AD">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41EF0E3E" w14:textId="28AD15E4" w:rsidR="00682847" w:rsidRDefault="00682847" w:rsidP="00682847">
      <w:pPr>
        <w:pStyle w:val="Sectiontext"/>
        <w:tabs>
          <w:tab w:val="left" w:pos="7380"/>
        </w:tabs>
        <w:jc w:val="center"/>
        <w:rPr>
          <w:b/>
        </w:rPr>
      </w:pPr>
      <w:r>
        <w:rPr>
          <w:b/>
        </w:rPr>
        <w:t>Purpose</w:t>
      </w:r>
    </w:p>
    <w:p w14:paraId="132D9111" w14:textId="49E8FE2F" w:rsidR="00682847" w:rsidRDefault="00682847" w:rsidP="00682847">
      <w:pPr>
        <w:pStyle w:val="Sectiontext"/>
        <w:tabs>
          <w:tab w:val="left" w:pos="7380"/>
        </w:tabs>
      </w:pPr>
      <w:r>
        <w:t xml:space="preserve">The purpose of this Determination is to </w:t>
      </w:r>
      <w:r w:rsidR="00CB39F5">
        <w:t>provide overseas conditions of service benefits to a member who is on a long-term posting overseas whose dependants live at another overseas location.</w:t>
      </w:r>
      <w:r w:rsidR="00886919">
        <w:t xml:space="preserve"> The location where the dependants will live ensure</w:t>
      </w:r>
      <w:r w:rsidR="00D81EC5">
        <w:t>s</w:t>
      </w:r>
      <w:r w:rsidR="00886919">
        <w:t xml:space="preserve"> that the dependants have access to </w:t>
      </w:r>
      <w:r w:rsidR="00D81EC5">
        <w:t>appropriate</w:t>
      </w:r>
      <w:r w:rsidR="00886919">
        <w:t xml:space="preserve"> education standards </w:t>
      </w:r>
      <w:r w:rsidR="00D81EC5">
        <w:t>compared to the standard of education that is</w:t>
      </w:r>
      <w:r w:rsidR="00886919">
        <w:t xml:space="preserve"> available at the member’s posting location. The member will commence a long-term posting at the location where the dependant’s will live at the end of their current long-term posting.</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 xml:space="preserve">Details of the operation of the Determination </w:t>
      </w:r>
      <w:proofErr w:type="gramStart"/>
      <w:r>
        <w:t>are provided</w:t>
      </w:r>
      <w:proofErr w:type="gramEnd"/>
      <w:r>
        <w:t xml:space="preserve"> at annex A.</w:t>
      </w:r>
    </w:p>
    <w:p w14:paraId="52EE3159" w14:textId="60568D2C" w:rsidR="00682847" w:rsidRPr="00CB39F5" w:rsidRDefault="00682847" w:rsidP="00682847">
      <w:pPr>
        <w:pStyle w:val="Sectiontext"/>
        <w:tabs>
          <w:tab w:val="left" w:pos="7380"/>
        </w:tabs>
        <w:jc w:val="center"/>
        <w:rPr>
          <w:b/>
        </w:rPr>
      </w:pPr>
      <w:r w:rsidRPr="00CB39F5">
        <w:rPr>
          <w:b/>
        </w:rPr>
        <w:t>Incorporation by reference</w:t>
      </w:r>
    </w:p>
    <w:p w14:paraId="7372C8A4" w14:textId="77220254" w:rsidR="00AB2B71" w:rsidRPr="00CB39F5" w:rsidRDefault="00AB2B71" w:rsidP="00AB2B71">
      <w:pPr>
        <w:pStyle w:val="Sectiontext"/>
        <w:tabs>
          <w:tab w:val="left" w:pos="7380"/>
        </w:tabs>
        <w:rPr>
          <w:b/>
        </w:rPr>
      </w:pPr>
      <w:r w:rsidRPr="00CB39F5">
        <w:t xml:space="preserve">The Determination </w:t>
      </w:r>
      <w:proofErr w:type="gramStart"/>
      <w:r w:rsidRPr="00CB39F5">
        <w:t>makes references</w:t>
      </w:r>
      <w:proofErr w:type="gramEnd"/>
      <w:r w:rsidRPr="00CB39F5">
        <w:t xml:space="preserve"> to sections of the </w:t>
      </w:r>
      <w:r w:rsidRPr="00CB39F5">
        <w:rPr>
          <w:i/>
        </w:rPr>
        <w:t>Defence Determination 2016/19, Conditions of service</w:t>
      </w:r>
      <w:r w:rsidRPr="00CB39F5">
        <w:t xml:space="preserve">. This Instrument </w:t>
      </w:r>
      <w:proofErr w:type="gramStart"/>
      <w:r w:rsidRPr="00CB39F5">
        <w:t>is incorporated</w:t>
      </w:r>
      <w:proofErr w:type="gramEnd"/>
      <w:r w:rsidRPr="00CB39F5">
        <w:t xml:space="preserve"> into this Determination as in force from time to time. </w:t>
      </w:r>
    </w:p>
    <w:p w14:paraId="5CD30C56" w14:textId="0D0D896F" w:rsidR="00682847" w:rsidRPr="00CB39F5" w:rsidRDefault="00682847" w:rsidP="00EC45EE">
      <w:pPr>
        <w:pStyle w:val="Sectiontext"/>
        <w:tabs>
          <w:tab w:val="left" w:pos="7380"/>
        </w:tabs>
        <w:jc w:val="center"/>
        <w:rPr>
          <w:b/>
        </w:rPr>
      </w:pPr>
      <w:r w:rsidRPr="00CB39F5">
        <w:rPr>
          <w:b/>
        </w:rPr>
        <w:t>R</w:t>
      </w:r>
      <w:r w:rsidR="00AA0D47" w:rsidRPr="00CB39F5">
        <w:rPr>
          <w:b/>
        </w:rPr>
        <w:t>etrospective application</w:t>
      </w:r>
    </w:p>
    <w:p w14:paraId="5B5E109C" w14:textId="70B846A9" w:rsidR="00AA0D47" w:rsidRPr="00CB39F5" w:rsidRDefault="00AA0D47" w:rsidP="00AA0D47">
      <w:pPr>
        <w:pStyle w:val="Sectiontext"/>
        <w:tabs>
          <w:tab w:val="left" w:pos="7380"/>
        </w:tabs>
        <w:rPr>
          <w:b/>
        </w:rPr>
      </w:pPr>
      <w:r w:rsidRPr="00CB39F5">
        <w:t>The retrospective application of this Determination does not affect the rights of a person (other than the Commonwealth) in a manner prejudicial to that person, nor does it impose any liability on such person</w:t>
      </w:r>
      <w:r w:rsidR="00E81ECD" w:rsidRPr="00CB39F5">
        <w:t>.</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36FECB1B" w:rsidR="00AA0D47" w:rsidRDefault="00AA0D47" w:rsidP="00AA0D47">
      <w:pPr>
        <w:pStyle w:val="Sectiontext"/>
        <w:rPr>
          <w:snapToGrid w:val="0"/>
        </w:rPr>
      </w:pPr>
      <w:r w:rsidRPr="00F46ABF">
        <w:rPr>
          <w:snapToGrid w:val="0"/>
        </w:rPr>
        <w:t xml:space="preserve">Decisions that </w:t>
      </w:r>
      <w:proofErr w:type="gramStart"/>
      <w:r w:rsidRPr="00F46ABF">
        <w:rPr>
          <w:snapToGrid w:val="0"/>
        </w:rPr>
        <w:t>are made</w:t>
      </w:r>
      <w:proofErr w:type="gramEnd"/>
      <w:r w:rsidRPr="00F46ABF">
        <w:rPr>
          <w:snapToGrid w:val="0"/>
        </w:rPr>
        <w:t xml:space="preserve"> under the Principal Determination, as amended by this Determination, may be subject to inquiry under the ADF redress of grievance system provided under Part 7 of </w:t>
      </w:r>
      <w:r w:rsidRPr="00255473">
        <w:rPr>
          <w:snapToGrid w:val="0"/>
        </w:rPr>
        <w:t xml:space="preserve">the Defence Regulation. </w:t>
      </w:r>
      <w:proofErr w:type="gramStart"/>
      <w:r w:rsidRPr="00255473">
        <w:rPr>
          <w:snapToGrid w:val="0"/>
        </w:rPr>
        <w:t>Also</w:t>
      </w:r>
      <w:proofErr w:type="gramEnd"/>
      <w:r w:rsidRPr="00255473">
        <w:rPr>
          <w:snapToGrid w:val="0"/>
        </w:rPr>
        <w:t xml:space="preserve">,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3E30BDC2" w14:textId="61828BEC" w:rsidR="00AA0D47" w:rsidRDefault="00AA0D47" w:rsidP="00AA0D47">
      <w:pPr>
        <w:pStyle w:val="Sectiontext"/>
        <w:rPr>
          <w:snapToGrid w:val="0"/>
        </w:rPr>
      </w:pPr>
      <w:r>
        <w:rPr>
          <w:snapToGrid w:val="0"/>
        </w:rPr>
        <w:t>Bef</w:t>
      </w:r>
      <w:r w:rsidR="00C40348">
        <w:rPr>
          <w:snapToGrid w:val="0"/>
        </w:rPr>
        <w:t xml:space="preserve">ore this Determination was </w:t>
      </w:r>
      <w:proofErr w:type="gramStart"/>
      <w:r w:rsidR="00C40348">
        <w:rPr>
          <w:snapToGrid w:val="0"/>
        </w:rPr>
        <w:t>made</w:t>
      </w:r>
      <w:proofErr w:type="gramEnd"/>
      <w:r w:rsidR="005918D2">
        <w:rPr>
          <w:snapToGrid w:val="0"/>
        </w:rPr>
        <w:t xml:space="preserve"> consultation was undertaken with Military Personnel Branch.</w:t>
      </w:r>
    </w:p>
    <w:p w14:paraId="064A18AC" w14:textId="68FDDE12" w:rsidR="00C72AFD" w:rsidRPr="00A575F1" w:rsidRDefault="00C72AFD" w:rsidP="00C72AFD">
      <w:pPr>
        <w:pStyle w:val="Sectiontext"/>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6F8E64FB" w:rsidR="00AA0D47" w:rsidRPr="00CB39F5" w:rsidRDefault="00CB39F5" w:rsidP="00E817E9">
            <w:pPr>
              <w:keepNext/>
              <w:jc w:val="right"/>
              <w:rPr>
                <w:rFonts w:ascii="Arial" w:hAnsi="Arial" w:cs="Arial"/>
                <w:sz w:val="20"/>
              </w:rPr>
            </w:pPr>
            <w:r>
              <w:rPr>
                <w:rFonts w:ascii="Arial" w:hAnsi="Arial" w:cs="Arial"/>
                <w:sz w:val="20"/>
              </w:rPr>
              <w:t>BRIG Kirk Lloyd</w:t>
            </w:r>
          </w:p>
          <w:p w14:paraId="738562E6" w14:textId="1C1D5253" w:rsidR="00AA0D47" w:rsidRDefault="00255473" w:rsidP="00E817E9">
            <w:pPr>
              <w:keepNext/>
              <w:jc w:val="right"/>
              <w:rPr>
                <w:rFonts w:ascii="Arial" w:hAnsi="Arial" w:cs="Arial"/>
                <w:sz w:val="20"/>
              </w:rPr>
            </w:pPr>
            <w:r>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5BB8E4CC" w:rsidR="00417CDA" w:rsidRDefault="00417CDA" w:rsidP="00AA0D47">
      <w:pPr>
        <w:pStyle w:val="Sectiontext"/>
        <w:jc w:val="center"/>
        <w:rPr>
          <w:b/>
          <w:bCs/>
          <w:i/>
          <w:noProof/>
          <w:snapToGrid w:val="0"/>
          <w:lang w:val="en-US"/>
        </w:rPr>
      </w:pPr>
      <w:r w:rsidRPr="00417CDA">
        <w:rPr>
          <w:b/>
          <w:bCs/>
          <w:i/>
          <w:noProof/>
          <w:snapToGrid w:val="0"/>
          <w:lang w:val="en-US"/>
        </w:rPr>
        <w:t>Defence Determination (</w:t>
      </w:r>
      <w:r w:rsidR="00886919">
        <w:rPr>
          <w:b/>
          <w:bCs/>
          <w:i/>
          <w:noProof/>
          <w:snapToGrid w:val="0"/>
          <w:lang w:val="en-US"/>
        </w:rPr>
        <w:t>Individual benefits</w:t>
      </w:r>
      <w:r w:rsidRPr="00417CDA">
        <w:rPr>
          <w:b/>
          <w:bCs/>
          <w:i/>
          <w:noProof/>
          <w:snapToGrid w:val="0"/>
          <w:lang w:val="en-US"/>
        </w:rPr>
        <w:t xml:space="preserve">) Determination </w:t>
      </w:r>
      <w:r w:rsidR="00F774DD">
        <w:rPr>
          <w:b/>
          <w:bCs/>
          <w:i/>
          <w:noProof/>
          <w:snapToGrid w:val="0"/>
          <w:lang w:val="en-US"/>
        </w:rPr>
        <w:t>(No. </w:t>
      </w:r>
      <w:r w:rsidR="00146780">
        <w:rPr>
          <w:b/>
          <w:bCs/>
          <w:i/>
          <w:noProof/>
          <w:snapToGrid w:val="0"/>
          <w:lang w:val="en-US"/>
        </w:rPr>
        <w:t>13</w:t>
      </w:r>
      <w:r w:rsidR="00F774DD" w:rsidRPr="00417CDA">
        <w:rPr>
          <w:b/>
          <w:bCs/>
          <w:i/>
          <w:noProof/>
          <w:snapToGrid w:val="0"/>
          <w:lang w:val="en-US"/>
        </w:rPr>
        <w:t>)</w:t>
      </w:r>
      <w:r w:rsidR="00F774DD">
        <w:rPr>
          <w:b/>
          <w:bCs/>
          <w:i/>
          <w:noProof/>
          <w:snapToGrid w:val="0"/>
          <w:lang w:val="en-US"/>
        </w:rPr>
        <w:t xml:space="preserve"> </w:t>
      </w:r>
      <w:r w:rsidRPr="00417CDA">
        <w:rPr>
          <w:b/>
          <w:bCs/>
          <w:i/>
          <w:noProof/>
          <w:snapToGrid w:val="0"/>
          <w:lang w:val="en-US"/>
        </w:rPr>
        <w:t>202</w:t>
      </w:r>
      <w:r w:rsidR="00F774DD">
        <w:rPr>
          <w:b/>
          <w:bCs/>
          <w:i/>
          <w:noProof/>
          <w:snapToGrid w:val="0"/>
          <w:lang w:val="en-US"/>
        </w:rPr>
        <w:t xml:space="preserve">5 </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 xml:space="preserve">Section 1 of this Determination sets out the manner in which this Determination </w:t>
      </w:r>
      <w:proofErr w:type="gramStart"/>
      <w:r>
        <w:rPr>
          <w:snapToGrid w:val="0"/>
        </w:rPr>
        <w:t>may be cited</w:t>
      </w:r>
      <w:proofErr w:type="gramEnd"/>
      <w:r>
        <w:rPr>
          <w:snapToGrid w:val="0"/>
        </w:rPr>
        <w:t>.</w:t>
      </w:r>
    </w:p>
    <w:p w14:paraId="4EE8C121" w14:textId="435B9DD6" w:rsidR="00AA0D47" w:rsidRDefault="00AA0D47" w:rsidP="00AA0D47">
      <w:pPr>
        <w:pStyle w:val="Sectiontext"/>
        <w:rPr>
          <w:snapToGrid w:val="0"/>
        </w:rPr>
      </w:pPr>
      <w:r w:rsidRPr="00263C24">
        <w:rPr>
          <w:snapToGrid w:val="0"/>
        </w:rPr>
        <w:t xml:space="preserve">Section 2 provides </w:t>
      </w:r>
      <w:r w:rsidR="00CB39F5">
        <w:rPr>
          <w:snapToGrid w:val="0"/>
        </w:rPr>
        <w:t xml:space="preserve">the Determination </w:t>
      </w:r>
      <w:proofErr w:type="gramStart"/>
      <w:r w:rsidR="00CB39F5">
        <w:rPr>
          <w:snapToGrid w:val="0"/>
        </w:rPr>
        <w:t>commences</w:t>
      </w:r>
      <w:proofErr w:type="gramEnd"/>
      <w:r w:rsidR="00CB39F5">
        <w:rPr>
          <w:snapToGrid w:val="0"/>
        </w:rPr>
        <w:t xml:space="preserve"> on the day after the instrument is registered.</w:t>
      </w:r>
    </w:p>
    <w:p w14:paraId="66C3A9CC" w14:textId="365D1949" w:rsidR="001E51FE" w:rsidRPr="00A575F1" w:rsidRDefault="001E51FE" w:rsidP="001E51FE">
      <w:pPr>
        <w:pStyle w:val="Sectiontext"/>
        <w:rPr>
          <w:snapToGrid w:val="0"/>
        </w:rPr>
      </w:pPr>
      <w:r>
        <w:rPr>
          <w:snapToGrid w:val="0"/>
        </w:rPr>
        <w:t xml:space="preserve">Section 3 provides that this instrument </w:t>
      </w:r>
      <w:proofErr w:type="gramStart"/>
      <w:r>
        <w:rPr>
          <w:snapToGrid w:val="0"/>
        </w:rPr>
        <w:t>has</w:t>
      </w:r>
      <w:proofErr w:type="gramEnd"/>
      <w:r>
        <w:rPr>
          <w:snapToGrid w:val="0"/>
        </w:rPr>
        <w:t xml:space="preserve"> authority under section 58B of the </w:t>
      </w:r>
      <w:r w:rsidRPr="00FA083A">
        <w:rPr>
          <w:snapToGrid w:val="0"/>
        </w:rPr>
        <w:t>Defence Act</w:t>
      </w:r>
      <w:r>
        <w:rPr>
          <w:snapToGrid w:val="0"/>
        </w:rPr>
        <w:t>.</w:t>
      </w:r>
    </w:p>
    <w:p w14:paraId="7B55DD4F" w14:textId="0EF6C7FD" w:rsidR="001E51FE" w:rsidRDefault="001E51FE" w:rsidP="001E51FE">
      <w:pPr>
        <w:pStyle w:val="Sectiontext"/>
        <w:rPr>
          <w:snapToGrid w:val="0"/>
        </w:rPr>
      </w:pPr>
      <w:r w:rsidRPr="00194BD6">
        <w:rPr>
          <w:snapToGrid w:val="0"/>
        </w:rPr>
        <w:t xml:space="preserve">Section 4 provides </w:t>
      </w:r>
      <w:r w:rsidR="00CB39F5">
        <w:rPr>
          <w:snapToGrid w:val="0"/>
        </w:rPr>
        <w:t>the purpose of the Determination.</w:t>
      </w:r>
    </w:p>
    <w:p w14:paraId="2C62EA7D" w14:textId="355E64DA" w:rsidR="00CB39F5" w:rsidRDefault="00CB39F5" w:rsidP="001E51FE">
      <w:pPr>
        <w:pStyle w:val="Sectiontext"/>
      </w:pPr>
      <w:r>
        <w:rPr>
          <w:snapToGrid w:val="0"/>
        </w:rPr>
        <w:t xml:space="preserve">Section 5 provides that the Determination </w:t>
      </w:r>
      <w:proofErr w:type="gramStart"/>
      <w:r>
        <w:rPr>
          <w:snapToGrid w:val="0"/>
        </w:rPr>
        <w:t>applies</w:t>
      </w:r>
      <w:proofErr w:type="gramEnd"/>
      <w:r>
        <w:rPr>
          <w:snapToGrid w:val="0"/>
        </w:rPr>
        <w:t xml:space="preserve"> to the member who holds the employee identification number </w:t>
      </w:r>
      <w:r>
        <w:t>8093897.</w:t>
      </w:r>
    </w:p>
    <w:p w14:paraId="014FBFF0" w14:textId="10660C06" w:rsidR="00CB39F5" w:rsidRDefault="00CB39F5" w:rsidP="001E51FE">
      <w:pPr>
        <w:pStyle w:val="Sectiontext"/>
      </w:pPr>
      <w:r>
        <w:t xml:space="preserve">Section 6 provides definitions of terms used within the Determination, including the following. </w:t>
      </w:r>
    </w:p>
    <w:p w14:paraId="35E800E5" w14:textId="4363F4A8" w:rsidR="00CB39F5" w:rsidRDefault="00CB39F5" w:rsidP="00CB39F5">
      <w:pPr>
        <w:pStyle w:val="Sectiontext"/>
        <w:numPr>
          <w:ilvl w:val="0"/>
          <w:numId w:val="22"/>
        </w:numPr>
      </w:pPr>
      <w:r>
        <w:t xml:space="preserve">‘Defence </w:t>
      </w:r>
      <w:proofErr w:type="gramStart"/>
      <w:r>
        <w:t>Determination’ which</w:t>
      </w:r>
      <w:proofErr w:type="gramEnd"/>
      <w:r>
        <w:t xml:space="preserve"> means </w:t>
      </w:r>
      <w:r w:rsidRPr="00720732">
        <w:t>Defence Determination 2016/19, Conditions of service,</w:t>
      </w:r>
      <w:r>
        <w:t xml:space="preserve"> as in force from time to time.</w:t>
      </w:r>
    </w:p>
    <w:p w14:paraId="31E73FFC" w14:textId="3C96B73B" w:rsidR="00CB39F5" w:rsidRDefault="00CB39F5" w:rsidP="00CB39F5">
      <w:pPr>
        <w:pStyle w:val="Sectiontext"/>
        <w:numPr>
          <w:ilvl w:val="0"/>
          <w:numId w:val="22"/>
        </w:numPr>
      </w:pPr>
      <w:proofErr w:type="gramStart"/>
      <w:r>
        <w:t xml:space="preserve">‘Dependant’ which means a person who would have been recognised under section 12.3.5 of the Defence Determination had </w:t>
      </w:r>
      <w:r w:rsidR="00886919">
        <w:t>the person</w:t>
      </w:r>
      <w:proofErr w:type="gramEnd"/>
      <w:r w:rsidR="00886919">
        <w:t xml:space="preserve"> lived with</w:t>
      </w:r>
      <w:r>
        <w:t xml:space="preserve"> the member.</w:t>
      </w:r>
    </w:p>
    <w:p w14:paraId="3974098C" w14:textId="336CCE3E" w:rsidR="00A83CBD" w:rsidRDefault="00A83CBD" w:rsidP="00CB39F5">
      <w:pPr>
        <w:pStyle w:val="Sectiontext"/>
        <w:numPr>
          <w:ilvl w:val="0"/>
          <w:numId w:val="22"/>
        </w:numPr>
      </w:pPr>
      <w:r>
        <w:t xml:space="preserve">‘Dependant’s </w:t>
      </w:r>
      <w:proofErr w:type="gramStart"/>
      <w:r>
        <w:t>location’ which</w:t>
      </w:r>
      <w:proofErr w:type="gramEnd"/>
      <w:r>
        <w:t xml:space="preserve"> is New Delhi, India. This is the location where the member’s dependants will reside during the member’s posting.</w:t>
      </w:r>
    </w:p>
    <w:p w14:paraId="3A9E276A" w14:textId="2D48E6A6" w:rsidR="00A83CBD" w:rsidRDefault="00A83CBD" w:rsidP="00CB39F5">
      <w:pPr>
        <w:pStyle w:val="Sectiontext"/>
        <w:numPr>
          <w:ilvl w:val="0"/>
          <w:numId w:val="22"/>
        </w:numPr>
      </w:pPr>
      <w:r>
        <w:t xml:space="preserve">‘Member’s posting </w:t>
      </w:r>
      <w:proofErr w:type="gramStart"/>
      <w:r>
        <w:t>location’ which</w:t>
      </w:r>
      <w:proofErr w:type="gramEnd"/>
      <w:r>
        <w:t xml:space="preserve"> is </w:t>
      </w:r>
      <w:r>
        <w:rPr>
          <w:snapToGrid w:val="0"/>
        </w:rPr>
        <w:t>Wellington, Tamil Nadu, India.</w:t>
      </w:r>
    </w:p>
    <w:p w14:paraId="2BADE176" w14:textId="703BE881" w:rsidR="00CB39F5" w:rsidRDefault="00CB39F5" w:rsidP="001E51FE">
      <w:pPr>
        <w:pStyle w:val="Sectiontext"/>
      </w:pPr>
      <w:r>
        <w:t>Section 7 provides that the member is eligible for benefits provided under chapters 12 and 14 to 16 of Defence Determination 2016/19, Conditions of service (the Defence Determination) that they would be eligible for had their dependants lived at the member’s posting location.</w:t>
      </w:r>
      <w:r w:rsidR="00A83CBD">
        <w:t xml:space="preserve"> It also provides that Division 3 of Part 3 of Chapter 15 of the Defence Determination does not apply to the member, </w:t>
      </w:r>
      <w:r w:rsidR="00366A89">
        <w:t xml:space="preserve">however, </w:t>
      </w:r>
      <w:r w:rsidR="00A83CBD">
        <w:t xml:space="preserve">a similar limited application of the benefit provided under the Division </w:t>
      </w:r>
      <w:proofErr w:type="gramStart"/>
      <w:r w:rsidR="00A83CBD">
        <w:t>is provided</w:t>
      </w:r>
      <w:proofErr w:type="gramEnd"/>
      <w:r w:rsidR="00A83CBD">
        <w:t xml:space="preserve"> by section 10 of this Determination.</w:t>
      </w:r>
    </w:p>
    <w:p w14:paraId="29664A18" w14:textId="6605DA97" w:rsidR="00CB39F5" w:rsidRDefault="00A83CBD" w:rsidP="001E51FE">
      <w:pPr>
        <w:pStyle w:val="Sectiontext"/>
        <w:rPr>
          <w:snapToGrid w:val="0"/>
        </w:rPr>
      </w:pPr>
      <w:r>
        <w:rPr>
          <w:snapToGrid w:val="0"/>
        </w:rPr>
        <w:t xml:space="preserve">Section 8 provides that the member is eligible for a business class flight for each of their dependants for them to travel from the members posting location the dependant’s location. </w:t>
      </w:r>
      <w:proofErr w:type="gramStart"/>
      <w:r>
        <w:rPr>
          <w:snapToGrid w:val="0"/>
        </w:rPr>
        <w:t>This is to relocate the dependants to the location where they will reside during the member’s posting.</w:t>
      </w:r>
      <w:proofErr w:type="gramEnd"/>
    </w:p>
    <w:p w14:paraId="4AD44655" w14:textId="1861FD0F" w:rsidR="00A83CBD" w:rsidRDefault="00A83CBD" w:rsidP="001E51FE">
      <w:pPr>
        <w:pStyle w:val="Sectiontext"/>
        <w:rPr>
          <w:snapToGrid w:val="0"/>
        </w:rPr>
      </w:pPr>
      <w:r>
        <w:rPr>
          <w:snapToGrid w:val="0"/>
        </w:rPr>
        <w:t xml:space="preserve">Section 9 provides that the member is eligible for a removal of items from the </w:t>
      </w:r>
      <w:proofErr w:type="gramStart"/>
      <w:r>
        <w:rPr>
          <w:snapToGrid w:val="0"/>
        </w:rPr>
        <w:t>member’s</w:t>
      </w:r>
      <w:proofErr w:type="gramEnd"/>
      <w:r>
        <w:rPr>
          <w:snapToGrid w:val="0"/>
        </w:rPr>
        <w:t xml:space="preserve"> posting location to the dependant’s location.</w:t>
      </w:r>
      <w:r w:rsidR="00B24525">
        <w:rPr>
          <w:snapToGrid w:val="0"/>
        </w:rPr>
        <w:t xml:space="preserve"> Items that </w:t>
      </w:r>
      <w:proofErr w:type="gramStart"/>
      <w:r w:rsidR="00B24525">
        <w:rPr>
          <w:snapToGrid w:val="0"/>
        </w:rPr>
        <w:t>are required</w:t>
      </w:r>
      <w:proofErr w:type="gramEnd"/>
      <w:r w:rsidR="00B24525">
        <w:rPr>
          <w:snapToGrid w:val="0"/>
        </w:rPr>
        <w:t xml:space="preserve"> by the member will not be relocated under this section.</w:t>
      </w:r>
    </w:p>
    <w:p w14:paraId="6FE21DA2" w14:textId="755A7ACC" w:rsidR="00A83CBD" w:rsidRDefault="00A83CBD" w:rsidP="001E51FE">
      <w:pPr>
        <w:pStyle w:val="Sectiontext"/>
        <w:rPr>
          <w:snapToGrid w:val="0"/>
        </w:rPr>
      </w:pPr>
      <w:r>
        <w:rPr>
          <w:snapToGrid w:val="0"/>
        </w:rPr>
        <w:t xml:space="preserve">Section 10 provides one </w:t>
      </w:r>
      <w:r w:rsidR="00B24525">
        <w:rPr>
          <w:snapToGrid w:val="0"/>
        </w:rPr>
        <w:t xml:space="preserve">return economy class </w:t>
      </w:r>
      <w:r>
        <w:rPr>
          <w:snapToGrid w:val="0"/>
        </w:rPr>
        <w:t xml:space="preserve">travel benefit for the member to travel to the dependant’s location </w:t>
      </w:r>
      <w:proofErr w:type="gramStart"/>
      <w:r>
        <w:rPr>
          <w:snapToGrid w:val="0"/>
        </w:rPr>
        <w:t>for the purpose of</w:t>
      </w:r>
      <w:proofErr w:type="gramEnd"/>
      <w:r>
        <w:rPr>
          <w:snapToGrid w:val="0"/>
        </w:rPr>
        <w:t xml:space="preserve"> reuniting with their dependants.</w:t>
      </w:r>
    </w:p>
    <w:p w14:paraId="54D83A2A" w14:textId="7A1F2BB4" w:rsidR="00A83CBD" w:rsidRDefault="00A83CBD" w:rsidP="001E51FE">
      <w:pPr>
        <w:pStyle w:val="Sectiontext"/>
        <w:rPr>
          <w:snapToGrid w:val="0"/>
        </w:rPr>
      </w:pPr>
      <w:r>
        <w:rPr>
          <w:snapToGrid w:val="0"/>
        </w:rPr>
        <w:t>Section 11 provides that the benefits provided to the member under this Determination do not limit the benefits</w:t>
      </w:r>
      <w:r w:rsidR="00B24525">
        <w:rPr>
          <w:snapToGrid w:val="0"/>
        </w:rPr>
        <w:t xml:space="preserve"> provided to the member at their posting location </w:t>
      </w:r>
      <w:r>
        <w:rPr>
          <w:snapToGrid w:val="0"/>
        </w:rPr>
        <w:t>under the Defence Determination</w:t>
      </w:r>
      <w:r w:rsidR="007E0120">
        <w:rPr>
          <w:snapToGrid w:val="0"/>
        </w:rPr>
        <w:t>. The section also provides that the member is eligible for a business class flight and excess baggage costs to enable them to travel to the dependant’s location on the completion of their posting.</w:t>
      </w:r>
      <w:r>
        <w:rPr>
          <w:snapToGrid w:val="0"/>
        </w:rPr>
        <w:t xml:space="preserve"> </w:t>
      </w:r>
    </w:p>
    <w:p w14:paraId="199F4775" w14:textId="3004CD75" w:rsidR="007E0120" w:rsidRDefault="007E0120" w:rsidP="001E51FE">
      <w:pPr>
        <w:pStyle w:val="Sectiontext"/>
        <w:rPr>
          <w:snapToGrid w:val="0"/>
        </w:rPr>
      </w:pPr>
      <w:r>
        <w:rPr>
          <w:snapToGrid w:val="0"/>
        </w:rPr>
        <w:t xml:space="preserve">Section 12 provides that benefits provided under this Determination cease to apply on </w:t>
      </w:r>
      <w:r w:rsidR="00D81EC5">
        <w:rPr>
          <w:snapToGrid w:val="0"/>
        </w:rPr>
        <w:t>the day the member commences their long-term posting in the dependant’s location</w:t>
      </w:r>
      <w:r>
        <w:rPr>
          <w:snapToGrid w:val="0"/>
        </w:rPr>
        <w:t>.</w:t>
      </w:r>
    </w:p>
    <w:p w14:paraId="522AD3C0" w14:textId="63ABFCA6" w:rsidR="009A6866" w:rsidRDefault="009A6866" w:rsidP="00FA083A">
      <w:pPr>
        <w:pStyle w:val="Sectiontext"/>
        <w:rPr>
          <w:i/>
          <w:snapToGrid w:val="0"/>
          <w:u w:val="single"/>
        </w:rPr>
      </w:pPr>
      <w:r>
        <w:rPr>
          <w:i/>
          <w:snapToGrid w:val="0"/>
          <w:u w:val="single"/>
        </w:rPr>
        <w:t>Schedule 1</w:t>
      </w:r>
      <w:r>
        <w:rPr>
          <w:rFonts w:cs="Arial"/>
          <w:i/>
          <w:snapToGrid w:val="0"/>
          <w:u w:val="single"/>
        </w:rPr>
        <w:t>—</w:t>
      </w:r>
      <w:r w:rsidR="007E0120">
        <w:rPr>
          <w:i/>
          <w:snapToGrid w:val="0"/>
          <w:u w:val="single"/>
        </w:rPr>
        <w:t>Transitional provision</w:t>
      </w:r>
    </w:p>
    <w:p w14:paraId="3F2842B4" w14:textId="75B53F7F" w:rsidR="001E51FE" w:rsidRPr="00FA083A" w:rsidRDefault="007E0120" w:rsidP="00FA083A">
      <w:pPr>
        <w:pStyle w:val="Sectiontext"/>
        <w:rPr>
          <w:snapToGrid w:val="0"/>
        </w:rPr>
      </w:pPr>
      <w:r>
        <w:rPr>
          <w:snapToGrid w:val="0"/>
        </w:rPr>
        <w:t>Clause</w:t>
      </w:r>
      <w:r w:rsidR="001E51FE">
        <w:rPr>
          <w:snapToGrid w:val="0"/>
        </w:rPr>
        <w:t xml:space="preserve"> 1</w:t>
      </w:r>
      <w:r>
        <w:rPr>
          <w:snapToGrid w:val="0"/>
        </w:rPr>
        <w:t xml:space="preserve"> provides that the member is eligible </w:t>
      </w:r>
      <w:r w:rsidR="00366A89">
        <w:rPr>
          <w:snapToGrid w:val="0"/>
        </w:rPr>
        <w:t>the</w:t>
      </w:r>
      <w:r>
        <w:rPr>
          <w:snapToGrid w:val="0"/>
        </w:rPr>
        <w:t xml:space="preserve"> benefit</w:t>
      </w:r>
      <w:r w:rsidR="00366A89">
        <w:rPr>
          <w:snapToGrid w:val="0"/>
        </w:rPr>
        <w:t>s</w:t>
      </w:r>
      <w:r>
        <w:rPr>
          <w:snapToGrid w:val="0"/>
        </w:rPr>
        <w:t xml:space="preserve"> provided unde</w:t>
      </w:r>
      <w:r w:rsidR="00146780">
        <w:rPr>
          <w:snapToGrid w:val="0"/>
        </w:rPr>
        <w:t>r this Determination between 29 </w:t>
      </w:r>
      <w:r>
        <w:rPr>
          <w:snapToGrid w:val="0"/>
        </w:rPr>
        <w:t>July 2025 and the commencement of this Determination. This will ensure that the member’s dependants will not be disadvantaged if they travel to the dependant’s location before the commencement of this Determination.</w:t>
      </w: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12E2468D" w14:textId="02ADCE6C" w:rsidR="00417CDA" w:rsidRDefault="00417CDA" w:rsidP="00486185">
      <w:pPr>
        <w:pStyle w:val="BlockText-Plain"/>
        <w:jc w:val="center"/>
        <w:rPr>
          <w:b/>
          <w:i/>
          <w:snapToGrid w:val="0"/>
        </w:rPr>
      </w:pPr>
      <w:r w:rsidRPr="00417CDA">
        <w:rPr>
          <w:b/>
          <w:bCs/>
          <w:i/>
          <w:noProof/>
          <w:snapToGrid w:val="0"/>
          <w:lang w:val="en-US"/>
        </w:rPr>
        <w:t>Defence Determination (</w:t>
      </w:r>
      <w:r w:rsidR="00886919">
        <w:rPr>
          <w:b/>
          <w:bCs/>
          <w:i/>
          <w:noProof/>
          <w:snapToGrid w:val="0"/>
          <w:lang w:val="en-US"/>
        </w:rPr>
        <w:t>Individual benefits</w:t>
      </w:r>
      <w:r w:rsidR="0008037A">
        <w:rPr>
          <w:b/>
          <w:bCs/>
          <w:i/>
          <w:noProof/>
          <w:snapToGrid w:val="0"/>
          <w:lang w:val="en-US"/>
        </w:rPr>
        <w:t xml:space="preserve">) Determination </w:t>
      </w:r>
      <w:r w:rsidR="00F774DD">
        <w:rPr>
          <w:b/>
          <w:bCs/>
          <w:i/>
          <w:noProof/>
          <w:snapToGrid w:val="0"/>
          <w:lang w:val="en-US"/>
        </w:rPr>
        <w:t>(No. </w:t>
      </w:r>
      <w:r w:rsidR="00146780">
        <w:rPr>
          <w:b/>
          <w:bCs/>
          <w:i/>
          <w:noProof/>
          <w:snapToGrid w:val="0"/>
          <w:lang w:val="en-US"/>
        </w:rPr>
        <w:t>13</w:t>
      </w:r>
      <w:r w:rsidR="00F774DD">
        <w:rPr>
          <w:b/>
          <w:i/>
          <w:snapToGrid w:val="0"/>
        </w:rPr>
        <w:t xml:space="preserve">) </w:t>
      </w:r>
      <w:r w:rsidR="0008037A">
        <w:rPr>
          <w:b/>
          <w:bCs/>
          <w:i/>
          <w:noProof/>
          <w:snapToGrid w:val="0"/>
          <w:lang w:val="en-US"/>
        </w:rPr>
        <w:t>202</w:t>
      </w:r>
      <w:r w:rsidR="00F774DD">
        <w:rPr>
          <w:b/>
          <w:bCs/>
          <w:i/>
          <w:noProof/>
          <w:snapToGrid w:val="0"/>
          <w:lang w:val="en-US"/>
        </w:rPr>
        <w:t>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2B4D32A6" w14:textId="177EE753" w:rsidR="00886919" w:rsidRPr="00D65E50" w:rsidRDefault="00886919" w:rsidP="007753AD">
      <w:pPr>
        <w:spacing w:after="200" w:line="240" w:lineRule="auto"/>
        <w:rPr>
          <w:rFonts w:ascii="Arial" w:hAnsi="Arial" w:cs="Arial"/>
          <w:sz w:val="20"/>
        </w:rPr>
      </w:pPr>
      <w:r w:rsidRPr="00886919">
        <w:rPr>
          <w:rFonts w:ascii="Arial" w:hAnsi="Arial" w:cs="Arial"/>
          <w:sz w:val="20"/>
        </w:rPr>
        <w:t xml:space="preserve">The purpose of this Determination is to provide overseas conditions of service benefits to a member who is on a long-term posting overseas whose dependants live at another overseas location. </w:t>
      </w:r>
      <w:r w:rsidR="00B24525" w:rsidRPr="00B24525">
        <w:rPr>
          <w:rFonts w:ascii="Arial" w:hAnsi="Arial" w:cs="Arial"/>
          <w:sz w:val="20"/>
        </w:rPr>
        <w:t>The location where the dependants will live ensures that the dependants have access to appropriate education standards compared to the standard of education that is available at the member’s posting location.</w:t>
      </w:r>
      <w:r w:rsidR="00B24525">
        <w:t xml:space="preserve"> </w:t>
      </w:r>
      <w:r w:rsidR="00D65E50" w:rsidRPr="00D65E50">
        <w:rPr>
          <w:rFonts w:ascii="Arial" w:hAnsi="Arial" w:cs="Arial"/>
          <w:sz w:val="20"/>
        </w:rPr>
        <w:t>The member will commence a long-term posting at the location where the dependant’s will live at the end of their current long-term posting.</w:t>
      </w:r>
    </w:p>
    <w:p w14:paraId="38FFFAF4" w14:textId="27FCE0EA" w:rsidR="001E51FE" w:rsidRDefault="001E51FE" w:rsidP="007753AD">
      <w:pPr>
        <w:spacing w:after="200" w:line="240" w:lineRule="auto"/>
        <w:rPr>
          <w:rFonts w:ascii="Arial" w:hAnsi="Arial" w:cs="Arial"/>
          <w:b/>
          <w:sz w:val="20"/>
        </w:rPr>
      </w:pPr>
      <w:r w:rsidRPr="0021243D">
        <w:rPr>
          <w:rFonts w:ascii="Arial" w:hAnsi="Arial" w:cs="Arial"/>
          <w:b/>
          <w:sz w:val="20"/>
        </w:rPr>
        <w:t>Human rights implications</w:t>
      </w:r>
    </w:p>
    <w:p w14:paraId="4F4B2D7E" w14:textId="77777777" w:rsidR="001E51FE" w:rsidRPr="0021243D" w:rsidRDefault="001E51FE" w:rsidP="007753AD">
      <w:pPr>
        <w:spacing w:after="200" w:line="240" w:lineRule="auto"/>
        <w:rPr>
          <w:rFonts w:ascii="Arial" w:hAnsi="Arial" w:cs="Arial"/>
          <w:sz w:val="24"/>
          <w:szCs w:val="24"/>
        </w:rPr>
      </w:pPr>
      <w:r w:rsidRPr="0021243D">
        <w:rPr>
          <w:rFonts w:ascii="Arial" w:hAnsi="Arial" w:cs="Arial"/>
          <w:i/>
          <w:sz w:val="20"/>
        </w:rPr>
        <w:t>Right to the enjoyment of just and favourable conditions of work</w:t>
      </w:r>
    </w:p>
    <w:p w14:paraId="121D2639" w14:textId="1BF1CD1F" w:rsidR="001E51FE" w:rsidRPr="00A575F1" w:rsidRDefault="001E51FE" w:rsidP="007753AD">
      <w:pPr>
        <w:pStyle w:val="Sectiontext"/>
        <w:rPr>
          <w:snapToGrid w:val="0"/>
        </w:rPr>
      </w:pPr>
      <w:r w:rsidRPr="00A575F1">
        <w:rPr>
          <w:snapToGrid w:val="0"/>
        </w:rPr>
        <w:t xml:space="preserve">The protection of a person's right to remuneration engages Article 7 of the International Covenant on Economic, Social and Cultural Rights. Article 7 </w:t>
      </w:r>
      <w:r w:rsidR="006B7FE3">
        <w:rPr>
          <w:snapToGrid w:val="0"/>
        </w:rPr>
        <w:t>ensures</w:t>
      </w:r>
      <w:r w:rsidRPr="00A575F1">
        <w:rPr>
          <w:snapToGrid w:val="0"/>
        </w:rPr>
        <w:t xml:space="preserve"> just and favourable conditions of work, including remuneration, safe and healthy conditions, equal opportunity and reasonable limitations.</w:t>
      </w:r>
    </w:p>
    <w:p w14:paraId="6FE8C13D" w14:textId="77777777" w:rsidR="002A3EC7" w:rsidRPr="0021243D" w:rsidRDefault="002A3EC7" w:rsidP="007753AD">
      <w:pPr>
        <w:spacing w:after="200" w:line="240" w:lineRule="auto"/>
        <w:rPr>
          <w:rFonts w:ascii="Arial" w:hAnsi="Arial" w:cs="Arial"/>
          <w:sz w:val="24"/>
          <w:szCs w:val="24"/>
        </w:rPr>
      </w:pPr>
      <w:r w:rsidRPr="0021243D">
        <w:rPr>
          <w:rFonts w:ascii="Arial" w:hAnsi="Arial" w:cs="Arial"/>
          <w:i/>
          <w:sz w:val="20"/>
        </w:rPr>
        <w:t xml:space="preserve">Right to </w:t>
      </w:r>
      <w:r>
        <w:rPr>
          <w:rFonts w:ascii="Arial" w:hAnsi="Arial" w:cs="Arial"/>
          <w:i/>
          <w:sz w:val="20"/>
        </w:rPr>
        <w:t>an adequate standard of living</w:t>
      </w:r>
    </w:p>
    <w:p w14:paraId="4F4A3E37" w14:textId="62690EF3" w:rsidR="002A3EC7" w:rsidRDefault="002A3EC7" w:rsidP="007753AD">
      <w:pPr>
        <w:pStyle w:val="Sectiontext"/>
        <w:rPr>
          <w:snapToGrid w:val="0"/>
        </w:rPr>
      </w:pPr>
      <w:r w:rsidRPr="00A575F1">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7A591DC0" w14:textId="3317FAFB" w:rsidR="00B908E1" w:rsidRPr="00344713" w:rsidRDefault="00B908E1" w:rsidP="00B908E1">
      <w:pPr>
        <w:spacing w:after="200"/>
        <w:rPr>
          <w:rFonts w:ascii="Arial" w:hAnsi="Arial" w:cs="Arial"/>
          <w:i/>
          <w:sz w:val="20"/>
        </w:rPr>
      </w:pPr>
      <w:r w:rsidRPr="00344713">
        <w:rPr>
          <w:rFonts w:ascii="Arial" w:hAnsi="Arial" w:cs="Arial"/>
          <w:i/>
          <w:sz w:val="20"/>
        </w:rPr>
        <w:t>Right of the child to education</w:t>
      </w:r>
    </w:p>
    <w:p w14:paraId="6B9A85F6" w14:textId="3B8AA59B" w:rsidR="006B7FE3" w:rsidRPr="00A575F1" w:rsidRDefault="00B908E1" w:rsidP="007753AD">
      <w:pPr>
        <w:pStyle w:val="Sectiontext"/>
        <w:rPr>
          <w:snapToGrid w:val="0"/>
        </w:rPr>
      </w:pPr>
      <w:r w:rsidRPr="00E97E5A">
        <w:rPr>
          <w:snapToGrid w:val="0"/>
        </w:rPr>
        <w:t xml:space="preserve">The protection of a child’s right to education </w:t>
      </w:r>
      <w:r>
        <w:rPr>
          <w:snapToGrid w:val="0"/>
        </w:rPr>
        <w:t>engages</w:t>
      </w:r>
      <w:r w:rsidRPr="00E97E5A">
        <w:rPr>
          <w:snapToGrid w:val="0"/>
        </w:rPr>
        <w:t xml:space="preserve"> Article 28 of the </w:t>
      </w:r>
      <w:r w:rsidR="006B7FE3">
        <w:rPr>
          <w:snapToGrid w:val="0"/>
        </w:rPr>
        <w:t>Convention on the Rights of a</w:t>
      </w:r>
      <w:r w:rsidRPr="00E97E5A">
        <w:rPr>
          <w:snapToGrid w:val="0"/>
        </w:rPr>
        <w:t xml:space="preserve"> Child. Article 28 requires States to provide access to different types of education</w:t>
      </w:r>
      <w:r>
        <w:rPr>
          <w:snapToGrid w:val="0"/>
        </w:rPr>
        <w:t xml:space="preserve">. </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42942164" w14:textId="03EBCE3A" w:rsidR="00050390" w:rsidRPr="00050390" w:rsidRDefault="00D65E50" w:rsidP="00050390">
      <w:pPr>
        <w:shd w:val="clear" w:color="auto" w:fill="FFFFFF"/>
        <w:spacing w:before="100" w:beforeAutospacing="1" w:after="200" w:line="240" w:lineRule="auto"/>
        <w:rPr>
          <w:rFonts w:ascii="Arial" w:hAnsi="Arial" w:cs="Arial"/>
          <w:iCs/>
          <w:sz w:val="20"/>
        </w:rPr>
      </w:pPr>
      <w:r>
        <w:rPr>
          <w:rFonts w:ascii="Arial" w:hAnsi="Arial" w:cs="Arial"/>
          <w:iCs/>
          <w:sz w:val="20"/>
        </w:rPr>
        <w:t xml:space="preserve">This Determination is compatible with human rights as it promotes the member’s rights to housing, education, travel and other conditions of service benefits for a member and their dependants while they live in different overseas locations.  </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00723" w14:textId="77777777" w:rsidR="005401B7" w:rsidRDefault="005401B7" w:rsidP="0048364F">
      <w:pPr>
        <w:spacing w:line="240" w:lineRule="auto"/>
      </w:pPr>
      <w:r>
        <w:separator/>
      </w:r>
    </w:p>
  </w:endnote>
  <w:endnote w:type="continuationSeparator" w:id="0">
    <w:p w14:paraId="498DDF77" w14:textId="77777777" w:rsidR="005401B7" w:rsidRDefault="005401B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642A83A4" w:rsidR="00FA083A" w:rsidRDefault="00FA083A">
        <w:pPr>
          <w:pStyle w:val="Footer"/>
          <w:jc w:val="right"/>
        </w:pPr>
        <w:r>
          <w:fldChar w:fldCharType="begin"/>
        </w:r>
        <w:r>
          <w:instrText xml:space="preserve"> PAGE   \* MERGEFORMAT </w:instrText>
        </w:r>
        <w:r>
          <w:fldChar w:fldCharType="separate"/>
        </w:r>
        <w:r w:rsidR="00146780">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4C70FF4B"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146780">
          <w:rPr>
            <w:noProof/>
            <w:sz w:val="18"/>
            <w:szCs w:val="18"/>
          </w:rPr>
          <w:t>1</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48F54" w14:textId="77777777" w:rsidR="005401B7" w:rsidRDefault="005401B7" w:rsidP="0048364F">
      <w:pPr>
        <w:spacing w:line="240" w:lineRule="auto"/>
      </w:pPr>
      <w:r>
        <w:separator/>
      </w:r>
    </w:p>
  </w:footnote>
  <w:footnote w:type="continuationSeparator" w:id="0">
    <w:p w14:paraId="76BEA6D3" w14:textId="77777777" w:rsidR="005401B7" w:rsidRDefault="005401B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79C"/>
    <w:multiLevelType w:val="hybridMultilevel"/>
    <w:tmpl w:val="A0B82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4"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8"/>
  </w:num>
  <w:num w:numId="15">
    <w:abstractNumId w:val="21"/>
  </w:num>
  <w:num w:numId="16">
    <w:abstractNumId w:val="19"/>
  </w:num>
  <w:num w:numId="17">
    <w:abstractNumId w:val="12"/>
  </w:num>
  <w:num w:numId="18">
    <w:abstractNumId w:val="17"/>
  </w:num>
  <w:num w:numId="19">
    <w:abstractNumId w:val="15"/>
  </w:num>
  <w:num w:numId="20">
    <w:abstractNumId w:val="14"/>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0390"/>
    <w:rsid w:val="0005120E"/>
    <w:rsid w:val="00054577"/>
    <w:rsid w:val="000614BF"/>
    <w:rsid w:val="0007169C"/>
    <w:rsid w:val="00077593"/>
    <w:rsid w:val="0008037A"/>
    <w:rsid w:val="00083F48"/>
    <w:rsid w:val="000A479A"/>
    <w:rsid w:val="000A7DF9"/>
    <w:rsid w:val="000C3AA3"/>
    <w:rsid w:val="000C696D"/>
    <w:rsid w:val="000D05EF"/>
    <w:rsid w:val="000D3FB9"/>
    <w:rsid w:val="000D5485"/>
    <w:rsid w:val="000E598E"/>
    <w:rsid w:val="000E5A3D"/>
    <w:rsid w:val="000F0ADA"/>
    <w:rsid w:val="000F21C1"/>
    <w:rsid w:val="0010745C"/>
    <w:rsid w:val="001122FF"/>
    <w:rsid w:val="00116410"/>
    <w:rsid w:val="0014678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5473"/>
    <w:rsid w:val="00256C81"/>
    <w:rsid w:val="00285CDD"/>
    <w:rsid w:val="00290F1C"/>
    <w:rsid w:val="00291167"/>
    <w:rsid w:val="0029489E"/>
    <w:rsid w:val="00297ECB"/>
    <w:rsid w:val="002A3EC7"/>
    <w:rsid w:val="002B1B7A"/>
    <w:rsid w:val="002C152A"/>
    <w:rsid w:val="002C71AE"/>
    <w:rsid w:val="002D043A"/>
    <w:rsid w:val="0031713F"/>
    <w:rsid w:val="003222D1"/>
    <w:rsid w:val="0032750F"/>
    <w:rsid w:val="003415D3"/>
    <w:rsid w:val="003442F6"/>
    <w:rsid w:val="00346335"/>
    <w:rsid w:val="00352B0F"/>
    <w:rsid w:val="003561B0"/>
    <w:rsid w:val="00366A89"/>
    <w:rsid w:val="00372E78"/>
    <w:rsid w:val="00397893"/>
    <w:rsid w:val="003A15AC"/>
    <w:rsid w:val="003B0627"/>
    <w:rsid w:val="003C5F2B"/>
    <w:rsid w:val="003C7D35"/>
    <w:rsid w:val="003D0BFE"/>
    <w:rsid w:val="003D5700"/>
    <w:rsid w:val="003F506B"/>
    <w:rsid w:val="003F6F52"/>
    <w:rsid w:val="004022CA"/>
    <w:rsid w:val="004116CD"/>
    <w:rsid w:val="00414ADE"/>
    <w:rsid w:val="00417CDA"/>
    <w:rsid w:val="00424CA9"/>
    <w:rsid w:val="004257BB"/>
    <w:rsid w:val="0044291A"/>
    <w:rsid w:val="004600B0"/>
    <w:rsid w:val="00460499"/>
    <w:rsid w:val="00460FBA"/>
    <w:rsid w:val="00470B1E"/>
    <w:rsid w:val="00474835"/>
    <w:rsid w:val="004819C7"/>
    <w:rsid w:val="0048364F"/>
    <w:rsid w:val="004840EA"/>
    <w:rsid w:val="00486185"/>
    <w:rsid w:val="004877FC"/>
    <w:rsid w:val="00490F2E"/>
    <w:rsid w:val="00496F97"/>
    <w:rsid w:val="004A53EA"/>
    <w:rsid w:val="004B35E7"/>
    <w:rsid w:val="004C5A5D"/>
    <w:rsid w:val="004F1FAC"/>
    <w:rsid w:val="004F676E"/>
    <w:rsid w:val="004F71C0"/>
    <w:rsid w:val="00506A01"/>
    <w:rsid w:val="00516B8D"/>
    <w:rsid w:val="00516D3D"/>
    <w:rsid w:val="0052756C"/>
    <w:rsid w:val="00530230"/>
    <w:rsid w:val="00530CC9"/>
    <w:rsid w:val="00531B46"/>
    <w:rsid w:val="005320C4"/>
    <w:rsid w:val="00537FBC"/>
    <w:rsid w:val="005401B7"/>
    <w:rsid w:val="00541D73"/>
    <w:rsid w:val="00543469"/>
    <w:rsid w:val="00546FA3"/>
    <w:rsid w:val="00557413"/>
    <w:rsid w:val="00557C7A"/>
    <w:rsid w:val="00562A58"/>
    <w:rsid w:val="0056541A"/>
    <w:rsid w:val="005803CD"/>
    <w:rsid w:val="00581211"/>
    <w:rsid w:val="00584811"/>
    <w:rsid w:val="005918D2"/>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252AD"/>
    <w:rsid w:val="00640402"/>
    <w:rsid w:val="00640F78"/>
    <w:rsid w:val="006422B7"/>
    <w:rsid w:val="00655D6A"/>
    <w:rsid w:val="00656DE9"/>
    <w:rsid w:val="00672876"/>
    <w:rsid w:val="00677CC2"/>
    <w:rsid w:val="00682847"/>
    <w:rsid w:val="00685F42"/>
    <w:rsid w:val="0069207B"/>
    <w:rsid w:val="00697CB2"/>
    <w:rsid w:val="006A297B"/>
    <w:rsid w:val="006A304E"/>
    <w:rsid w:val="006B7006"/>
    <w:rsid w:val="006B7FE3"/>
    <w:rsid w:val="006C7F8C"/>
    <w:rsid w:val="006D7AB9"/>
    <w:rsid w:val="00700B2C"/>
    <w:rsid w:val="00713084"/>
    <w:rsid w:val="00717463"/>
    <w:rsid w:val="00720FC2"/>
    <w:rsid w:val="00722E89"/>
    <w:rsid w:val="00724541"/>
    <w:rsid w:val="00731E00"/>
    <w:rsid w:val="007339C7"/>
    <w:rsid w:val="00737505"/>
    <w:rsid w:val="007440B7"/>
    <w:rsid w:val="00747993"/>
    <w:rsid w:val="007551C1"/>
    <w:rsid w:val="007634AD"/>
    <w:rsid w:val="007715C9"/>
    <w:rsid w:val="00774EDD"/>
    <w:rsid w:val="007753AD"/>
    <w:rsid w:val="007757EC"/>
    <w:rsid w:val="007952E9"/>
    <w:rsid w:val="007A6863"/>
    <w:rsid w:val="007B51E4"/>
    <w:rsid w:val="007B7E65"/>
    <w:rsid w:val="007C0E83"/>
    <w:rsid w:val="007C78B4"/>
    <w:rsid w:val="007E0120"/>
    <w:rsid w:val="007E0853"/>
    <w:rsid w:val="007E32B6"/>
    <w:rsid w:val="007E3976"/>
    <w:rsid w:val="007E486B"/>
    <w:rsid w:val="007E7D4A"/>
    <w:rsid w:val="007F48ED"/>
    <w:rsid w:val="007F5E3F"/>
    <w:rsid w:val="00812F45"/>
    <w:rsid w:val="008278DA"/>
    <w:rsid w:val="00836FE9"/>
    <w:rsid w:val="0084172C"/>
    <w:rsid w:val="008417DF"/>
    <w:rsid w:val="0085175E"/>
    <w:rsid w:val="00856A31"/>
    <w:rsid w:val="00864A66"/>
    <w:rsid w:val="008754D0"/>
    <w:rsid w:val="00877C69"/>
    <w:rsid w:val="00877D48"/>
    <w:rsid w:val="0088345B"/>
    <w:rsid w:val="00886919"/>
    <w:rsid w:val="008A16A5"/>
    <w:rsid w:val="008A5C57"/>
    <w:rsid w:val="008C0629"/>
    <w:rsid w:val="008C6FF0"/>
    <w:rsid w:val="008D0EE0"/>
    <w:rsid w:val="008D7A27"/>
    <w:rsid w:val="008E4702"/>
    <w:rsid w:val="008E69AA"/>
    <w:rsid w:val="008F4F1C"/>
    <w:rsid w:val="009069AD"/>
    <w:rsid w:val="00910E64"/>
    <w:rsid w:val="00922764"/>
    <w:rsid w:val="009278C1"/>
    <w:rsid w:val="00932377"/>
    <w:rsid w:val="009346E3"/>
    <w:rsid w:val="0094523D"/>
    <w:rsid w:val="00976A63"/>
    <w:rsid w:val="00991733"/>
    <w:rsid w:val="009A6866"/>
    <w:rsid w:val="009B2490"/>
    <w:rsid w:val="009B50E5"/>
    <w:rsid w:val="009C3431"/>
    <w:rsid w:val="009C5989"/>
    <w:rsid w:val="009C6A32"/>
    <w:rsid w:val="009D08DA"/>
    <w:rsid w:val="009F1229"/>
    <w:rsid w:val="00A003BB"/>
    <w:rsid w:val="00A06860"/>
    <w:rsid w:val="00A07DDE"/>
    <w:rsid w:val="00A136F5"/>
    <w:rsid w:val="00A2047D"/>
    <w:rsid w:val="00A231E2"/>
    <w:rsid w:val="00A2550D"/>
    <w:rsid w:val="00A36CD7"/>
    <w:rsid w:val="00A379BB"/>
    <w:rsid w:val="00A4169B"/>
    <w:rsid w:val="00A44F44"/>
    <w:rsid w:val="00A50D55"/>
    <w:rsid w:val="00A52FDA"/>
    <w:rsid w:val="00A575F1"/>
    <w:rsid w:val="00A6282F"/>
    <w:rsid w:val="00A6327D"/>
    <w:rsid w:val="00A64912"/>
    <w:rsid w:val="00A70A74"/>
    <w:rsid w:val="00A83CBD"/>
    <w:rsid w:val="00A905DB"/>
    <w:rsid w:val="00A9231A"/>
    <w:rsid w:val="00A93CFA"/>
    <w:rsid w:val="00A95BC7"/>
    <w:rsid w:val="00AA0343"/>
    <w:rsid w:val="00AA0D47"/>
    <w:rsid w:val="00AA78CE"/>
    <w:rsid w:val="00AA7B26"/>
    <w:rsid w:val="00AB2B71"/>
    <w:rsid w:val="00AC767C"/>
    <w:rsid w:val="00AD3467"/>
    <w:rsid w:val="00AD5641"/>
    <w:rsid w:val="00AF33DB"/>
    <w:rsid w:val="00AF6E41"/>
    <w:rsid w:val="00B032D8"/>
    <w:rsid w:val="00B039C8"/>
    <w:rsid w:val="00B05D72"/>
    <w:rsid w:val="00B20990"/>
    <w:rsid w:val="00B23770"/>
    <w:rsid w:val="00B23FAF"/>
    <w:rsid w:val="00B24525"/>
    <w:rsid w:val="00B26ED7"/>
    <w:rsid w:val="00B33B3C"/>
    <w:rsid w:val="00B40D74"/>
    <w:rsid w:val="00B42649"/>
    <w:rsid w:val="00B46467"/>
    <w:rsid w:val="00B516C8"/>
    <w:rsid w:val="00B52663"/>
    <w:rsid w:val="00B56DCB"/>
    <w:rsid w:val="00B61728"/>
    <w:rsid w:val="00B770D2"/>
    <w:rsid w:val="00B908E1"/>
    <w:rsid w:val="00B93516"/>
    <w:rsid w:val="00B96776"/>
    <w:rsid w:val="00B973E5"/>
    <w:rsid w:val="00BA0F45"/>
    <w:rsid w:val="00BA47A3"/>
    <w:rsid w:val="00BA5026"/>
    <w:rsid w:val="00BA7B5B"/>
    <w:rsid w:val="00BB6E79"/>
    <w:rsid w:val="00BC00AA"/>
    <w:rsid w:val="00BE42C5"/>
    <w:rsid w:val="00BE719A"/>
    <w:rsid w:val="00BE720A"/>
    <w:rsid w:val="00BF0723"/>
    <w:rsid w:val="00BF6650"/>
    <w:rsid w:val="00C067E5"/>
    <w:rsid w:val="00C164CA"/>
    <w:rsid w:val="00C26051"/>
    <w:rsid w:val="00C40348"/>
    <w:rsid w:val="00C42BF8"/>
    <w:rsid w:val="00C460AE"/>
    <w:rsid w:val="00C50043"/>
    <w:rsid w:val="00C5015F"/>
    <w:rsid w:val="00C50A0F"/>
    <w:rsid w:val="00C50F4A"/>
    <w:rsid w:val="00C72AFD"/>
    <w:rsid w:val="00C72D10"/>
    <w:rsid w:val="00C7573B"/>
    <w:rsid w:val="00C76CF3"/>
    <w:rsid w:val="00C93205"/>
    <w:rsid w:val="00C945DC"/>
    <w:rsid w:val="00CA7844"/>
    <w:rsid w:val="00CB39F5"/>
    <w:rsid w:val="00CB5822"/>
    <w:rsid w:val="00CB58EF"/>
    <w:rsid w:val="00CC3872"/>
    <w:rsid w:val="00CE0A93"/>
    <w:rsid w:val="00CF0BB2"/>
    <w:rsid w:val="00CF7C4E"/>
    <w:rsid w:val="00D12B0D"/>
    <w:rsid w:val="00D13441"/>
    <w:rsid w:val="00D15A4D"/>
    <w:rsid w:val="00D211E0"/>
    <w:rsid w:val="00D243A3"/>
    <w:rsid w:val="00D33440"/>
    <w:rsid w:val="00D516AD"/>
    <w:rsid w:val="00D52EFE"/>
    <w:rsid w:val="00D55AEE"/>
    <w:rsid w:val="00D567A2"/>
    <w:rsid w:val="00D56A0D"/>
    <w:rsid w:val="00D63EF6"/>
    <w:rsid w:val="00D65E50"/>
    <w:rsid w:val="00D66518"/>
    <w:rsid w:val="00D70DFB"/>
    <w:rsid w:val="00D71EEA"/>
    <w:rsid w:val="00D735CD"/>
    <w:rsid w:val="00D766DF"/>
    <w:rsid w:val="00D81EC5"/>
    <w:rsid w:val="00D84477"/>
    <w:rsid w:val="00D90841"/>
    <w:rsid w:val="00D94896"/>
    <w:rsid w:val="00D954D8"/>
    <w:rsid w:val="00DA2439"/>
    <w:rsid w:val="00DA6F05"/>
    <w:rsid w:val="00DB64FC"/>
    <w:rsid w:val="00DE149E"/>
    <w:rsid w:val="00E034DB"/>
    <w:rsid w:val="00E05704"/>
    <w:rsid w:val="00E12F1A"/>
    <w:rsid w:val="00E14113"/>
    <w:rsid w:val="00E22935"/>
    <w:rsid w:val="00E232C6"/>
    <w:rsid w:val="00E26604"/>
    <w:rsid w:val="00E54292"/>
    <w:rsid w:val="00E54D2B"/>
    <w:rsid w:val="00E60191"/>
    <w:rsid w:val="00E74DC7"/>
    <w:rsid w:val="00E81ECD"/>
    <w:rsid w:val="00E86DED"/>
    <w:rsid w:val="00E87699"/>
    <w:rsid w:val="00E92E27"/>
    <w:rsid w:val="00E9586B"/>
    <w:rsid w:val="00E97334"/>
    <w:rsid w:val="00EB3A99"/>
    <w:rsid w:val="00EB65F8"/>
    <w:rsid w:val="00EC45EE"/>
    <w:rsid w:val="00EC7475"/>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774DD"/>
    <w:rsid w:val="00F8121C"/>
    <w:rsid w:val="00F84735"/>
    <w:rsid w:val="00F84CF5"/>
    <w:rsid w:val="00F8612E"/>
    <w:rsid w:val="00F94583"/>
    <w:rsid w:val="00FA083A"/>
    <w:rsid w:val="00FA420B"/>
    <w:rsid w:val="00FB6AEE"/>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2.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4.xml><?xml version="1.0" encoding="utf-8"?>
<ds:datastoreItem xmlns:ds="http://schemas.openxmlformats.org/officeDocument/2006/customXml" ds:itemID="{A50139BE-75B3-4E34-9A3F-AC32969B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183</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Urbani, Karen MS</cp:lastModifiedBy>
  <cp:revision>43</cp:revision>
  <cp:lastPrinted>2019-05-12T23:26:00Z</cp:lastPrinted>
  <dcterms:created xsi:type="dcterms:W3CDTF">2020-02-12T02:58:00Z</dcterms:created>
  <dcterms:modified xsi:type="dcterms:W3CDTF">2025-08-20T04:35:00Z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BN106894898</vt:lpwstr>
  </property>
  <property fmtid="{D5CDD505-2E9C-101B-9397-08002B2CF9AE}" pid="4" name="Objective-Title">
    <vt:lpwstr>Individual det ES</vt:lpwstr>
  </property>
  <property fmtid="{D5CDD505-2E9C-101B-9397-08002B2CF9AE}" pid="5" name="Objective-Comment">
    <vt:lpwstr/>
  </property>
  <property fmtid="{D5CDD505-2E9C-101B-9397-08002B2CF9AE}" pid="6" name="Objective-CreationStamp">
    <vt:filetime>2025-08-12T04:30:24Z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2025-08-20T04:16:36Z</vt:filetime>
  </property>
  <property fmtid="{D5CDD505-2E9C-101B-9397-08002B2CF9AE}" pid="11" name="Objective-Owner">
    <vt:lpwstr>Urbani, Karen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02. Determination</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i4>5</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