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3BD1" w14:textId="77777777" w:rsidR="00155B13" w:rsidRPr="00DA6A7F" w:rsidRDefault="00155B13" w:rsidP="009A23F8">
      <w:pPr>
        <w:spacing w:after="0" w:line="240" w:lineRule="auto"/>
        <w:jc w:val="center"/>
        <w:rPr>
          <w:rFonts w:eastAsia="Times New Roman"/>
          <w:b/>
          <w:bCs/>
          <w:kern w:val="0"/>
          <w:sz w:val="22"/>
          <w:szCs w:val="22"/>
          <w:u w:val="single"/>
          <w:lang w:eastAsia="en-AU"/>
          <w14:ligatures w14:val="none"/>
        </w:rPr>
      </w:pPr>
      <w:r w:rsidRPr="00DA6A7F">
        <w:rPr>
          <w:rFonts w:eastAsia="Times New Roman"/>
          <w:b/>
          <w:bCs/>
          <w:kern w:val="0"/>
          <w:sz w:val="22"/>
          <w:szCs w:val="22"/>
          <w:u w:val="single"/>
          <w:lang w:eastAsia="en-AU"/>
          <w14:ligatures w14:val="none"/>
        </w:rPr>
        <w:t>EXPLANATORY STATEMENT</w:t>
      </w:r>
    </w:p>
    <w:p w14:paraId="24C493CC" w14:textId="77777777" w:rsidR="00155B13" w:rsidRPr="00DA6A7F" w:rsidRDefault="00155B13" w:rsidP="009A23F8">
      <w:pPr>
        <w:spacing w:after="0" w:line="240" w:lineRule="auto"/>
        <w:jc w:val="center"/>
        <w:rPr>
          <w:rFonts w:eastAsia="Times New Roman"/>
          <w:kern w:val="0"/>
          <w:sz w:val="22"/>
          <w:szCs w:val="22"/>
          <w:lang w:eastAsia="en-AU"/>
          <w14:ligatures w14:val="none"/>
        </w:rPr>
      </w:pPr>
    </w:p>
    <w:p w14:paraId="2466CEE7" w14:textId="77777777" w:rsidR="00155B13" w:rsidRPr="00DA6A7F" w:rsidRDefault="00155B13" w:rsidP="009A23F8">
      <w:pPr>
        <w:spacing w:after="0" w:line="240" w:lineRule="auto"/>
        <w:jc w:val="center"/>
        <w:rPr>
          <w:rFonts w:eastAsia="Times New Roman"/>
          <w:bCs/>
          <w:i/>
          <w:iCs/>
          <w:kern w:val="0"/>
          <w:sz w:val="22"/>
          <w:szCs w:val="22"/>
          <w:lang w:eastAsia="en-AU"/>
          <w14:ligatures w14:val="none"/>
        </w:rPr>
      </w:pPr>
      <w:r w:rsidRPr="00DA6A7F">
        <w:rPr>
          <w:rFonts w:eastAsia="Times New Roman"/>
          <w:bCs/>
          <w:i/>
          <w:iCs/>
          <w:kern w:val="0"/>
          <w:sz w:val="22"/>
          <w:szCs w:val="22"/>
          <w:lang w:eastAsia="en-AU"/>
          <w14:ligatures w14:val="none"/>
        </w:rPr>
        <w:t>Therapeutic Goods Act 1989</w:t>
      </w:r>
    </w:p>
    <w:p w14:paraId="171C4CF0" w14:textId="77777777" w:rsidR="00155B13" w:rsidRPr="00DA6A7F" w:rsidRDefault="00155B13" w:rsidP="009A23F8">
      <w:pPr>
        <w:spacing w:after="0" w:line="240" w:lineRule="auto"/>
        <w:jc w:val="center"/>
        <w:rPr>
          <w:rFonts w:eastAsia="Times New Roman"/>
          <w:bCs/>
          <w:iCs/>
          <w:kern w:val="0"/>
          <w:sz w:val="22"/>
          <w:szCs w:val="22"/>
          <w:lang w:eastAsia="en-AU"/>
          <w14:ligatures w14:val="none"/>
        </w:rPr>
      </w:pPr>
    </w:p>
    <w:p w14:paraId="33C03E92" w14:textId="01779F6C" w:rsidR="00155B13" w:rsidRPr="00DA6A7F" w:rsidRDefault="00155B13" w:rsidP="009A23F8">
      <w:pPr>
        <w:spacing w:after="0" w:line="240" w:lineRule="auto"/>
        <w:jc w:val="center"/>
        <w:rPr>
          <w:rFonts w:eastAsia="Times New Roman"/>
          <w:i/>
          <w:kern w:val="0"/>
          <w:sz w:val="22"/>
          <w:szCs w:val="22"/>
          <w:lang w:eastAsia="en-AU"/>
          <w14:ligatures w14:val="none"/>
        </w:rPr>
      </w:pPr>
      <w:r w:rsidRPr="00DA6A7F">
        <w:rPr>
          <w:rFonts w:eastAsia="Times New Roman"/>
          <w:i/>
          <w:kern w:val="0"/>
          <w:sz w:val="22"/>
          <w:szCs w:val="22"/>
          <w:lang w:eastAsia="en-AU"/>
          <w14:ligatures w14:val="none"/>
        </w:rPr>
        <w:t>Therapeutic Goods (</w:t>
      </w:r>
      <w:r w:rsidR="00C1291E" w:rsidRPr="00DA6A7F">
        <w:rPr>
          <w:rFonts w:eastAsia="Times New Roman"/>
          <w:i/>
          <w:kern w:val="0"/>
          <w:sz w:val="22"/>
          <w:szCs w:val="22"/>
          <w:lang w:eastAsia="en-AU"/>
          <w14:ligatures w14:val="none"/>
        </w:rPr>
        <w:t>Manufacturing Principles</w:t>
      </w:r>
      <w:r w:rsidRPr="00DA6A7F">
        <w:rPr>
          <w:rFonts w:eastAsia="Times New Roman"/>
          <w:i/>
          <w:kern w:val="0"/>
          <w:sz w:val="22"/>
          <w:szCs w:val="22"/>
          <w:lang w:eastAsia="en-AU"/>
          <w14:ligatures w14:val="none"/>
        </w:rPr>
        <w:t>)</w:t>
      </w:r>
      <w:r w:rsidR="00C1291E" w:rsidRPr="00DA6A7F">
        <w:rPr>
          <w:rFonts w:eastAsia="Times New Roman"/>
          <w:i/>
          <w:kern w:val="0"/>
          <w:sz w:val="22"/>
          <w:szCs w:val="22"/>
          <w:lang w:eastAsia="en-AU"/>
          <w14:ligatures w14:val="none"/>
        </w:rPr>
        <w:t xml:space="preserve"> </w:t>
      </w:r>
      <w:r w:rsidRPr="00DA6A7F">
        <w:rPr>
          <w:rFonts w:eastAsia="Times New Roman"/>
          <w:i/>
          <w:kern w:val="0"/>
          <w:sz w:val="22"/>
          <w:szCs w:val="22"/>
          <w:lang w:eastAsia="en-AU"/>
          <w14:ligatures w14:val="none"/>
        </w:rPr>
        <w:t xml:space="preserve">Amendment </w:t>
      </w:r>
      <w:r w:rsidR="00F37340" w:rsidRPr="00DA6A7F">
        <w:rPr>
          <w:rFonts w:eastAsia="Times New Roman"/>
          <w:i/>
          <w:kern w:val="0"/>
          <w:sz w:val="22"/>
          <w:szCs w:val="22"/>
          <w:lang w:eastAsia="en-AU"/>
          <w14:ligatures w14:val="none"/>
        </w:rPr>
        <w:t xml:space="preserve">(PIC/S Guide) </w:t>
      </w:r>
      <w:r w:rsidRPr="00DA6A7F">
        <w:rPr>
          <w:rFonts w:eastAsia="Times New Roman"/>
          <w:i/>
          <w:kern w:val="0"/>
          <w:sz w:val="22"/>
          <w:szCs w:val="22"/>
          <w:lang w:eastAsia="en-AU"/>
          <w14:ligatures w14:val="none"/>
        </w:rPr>
        <w:t>Determination 2025</w:t>
      </w:r>
    </w:p>
    <w:p w14:paraId="6CA2554D" w14:textId="77777777" w:rsidR="00424CD1" w:rsidRPr="00DA6A7F" w:rsidRDefault="00424CD1" w:rsidP="009A23F8">
      <w:pPr>
        <w:spacing w:after="0" w:line="240" w:lineRule="auto"/>
        <w:jc w:val="center"/>
        <w:rPr>
          <w:rFonts w:eastAsia="Times New Roman"/>
          <w:iCs/>
          <w:kern w:val="0"/>
          <w:sz w:val="22"/>
          <w:szCs w:val="22"/>
          <w:lang w:eastAsia="en-AU"/>
          <w14:ligatures w14:val="none"/>
        </w:rPr>
      </w:pPr>
    </w:p>
    <w:p w14:paraId="63E5495B" w14:textId="1B3DA256" w:rsidR="00C4182D" w:rsidRPr="00DA6A7F" w:rsidRDefault="00C4182D"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w:t>
      </w:r>
      <w:r w:rsidRPr="00DA6A7F">
        <w:rPr>
          <w:rFonts w:eastAsia="Times New Roman"/>
          <w:i/>
          <w:kern w:val="0"/>
          <w:sz w:val="22"/>
          <w:szCs w:val="22"/>
          <w:lang w:eastAsia="en-AU"/>
          <w14:ligatures w14:val="none"/>
        </w:rPr>
        <w:t>Therapeutic Goods Act 1989</w:t>
      </w:r>
      <w:r w:rsidRPr="00DA6A7F">
        <w:rPr>
          <w:rFonts w:eastAsia="Times New Roman"/>
          <w:kern w:val="0"/>
          <w:sz w:val="22"/>
          <w:szCs w:val="22"/>
          <w:lang w:eastAsia="en-AU"/>
          <w14:ligatures w14:val="none"/>
        </w:rPr>
        <w:t xml:space="preserve"> (the Act) provides for the establishment and maintenance of a national system of controls for the quality, safety, efficacy</w:t>
      </w:r>
      <w:r w:rsidR="007B46E4" w:rsidRPr="00DA6A7F">
        <w:rPr>
          <w:rFonts w:eastAsia="Times New Roman"/>
          <w:kern w:val="0"/>
          <w:sz w:val="22"/>
          <w:szCs w:val="22"/>
          <w:lang w:eastAsia="en-AU"/>
          <w14:ligatures w14:val="none"/>
        </w:rPr>
        <w:t xml:space="preserve"> or performance,</w:t>
      </w:r>
      <w:r w:rsidRPr="00DA6A7F">
        <w:rPr>
          <w:rFonts w:eastAsia="Times New Roman"/>
          <w:kern w:val="0"/>
          <w:sz w:val="22"/>
          <w:szCs w:val="22"/>
          <w:lang w:eastAsia="en-AU"/>
          <w14:ligatures w14:val="none"/>
        </w:rPr>
        <w:t xml:space="preserve"> and timely availability of therapeutic goods that are used in, or exported from, Australia. The Act is administered by the Therapeutic Goods Administration (the TGA) within the Australian Government Department of Health</w:t>
      </w:r>
      <w:r w:rsidR="008B13BA" w:rsidRPr="00DA6A7F">
        <w:rPr>
          <w:rFonts w:eastAsia="Times New Roman"/>
          <w:kern w:val="0"/>
          <w:sz w:val="22"/>
          <w:szCs w:val="22"/>
          <w:lang w:eastAsia="en-AU"/>
          <w14:ligatures w14:val="none"/>
        </w:rPr>
        <w:t>, Disability and Ageing</w:t>
      </w:r>
      <w:r w:rsidRPr="00DA6A7F">
        <w:rPr>
          <w:rFonts w:eastAsia="Times New Roman"/>
          <w:kern w:val="0"/>
          <w:sz w:val="22"/>
          <w:szCs w:val="22"/>
          <w:lang w:eastAsia="en-AU"/>
          <w14:ligatures w14:val="none"/>
        </w:rPr>
        <w:t>.</w:t>
      </w:r>
    </w:p>
    <w:p w14:paraId="6E3C135A" w14:textId="77777777" w:rsidR="00C4182D" w:rsidRPr="00DA6A7F" w:rsidRDefault="00C4182D" w:rsidP="009A23F8">
      <w:pPr>
        <w:shd w:val="clear" w:color="auto" w:fill="FFFFFF"/>
        <w:spacing w:after="0" w:line="240" w:lineRule="auto"/>
        <w:rPr>
          <w:rFonts w:eastAsia="Times New Roman"/>
          <w:kern w:val="0"/>
          <w:sz w:val="22"/>
          <w:szCs w:val="22"/>
          <w:lang w:eastAsia="en-AU"/>
          <w14:ligatures w14:val="none"/>
        </w:rPr>
      </w:pPr>
    </w:p>
    <w:p w14:paraId="11BF6819" w14:textId="77777777" w:rsidR="00C4182D" w:rsidRPr="00DA6A7F" w:rsidRDefault="00C4182D"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Subsection 36(1) of the Act provides that the Minister may, from time to time, determine written principles to be observed in the manufacture of therapeutic goods for use in humans. Subsection 36(4) of the Act provides that such manufacturing principles are legislative instruments.</w:t>
      </w:r>
    </w:p>
    <w:p w14:paraId="7709390E" w14:textId="77777777" w:rsidR="00C4182D" w:rsidRPr="00DA6A7F" w:rsidRDefault="00C4182D" w:rsidP="009A23F8">
      <w:pPr>
        <w:autoSpaceDE w:val="0"/>
        <w:autoSpaceDN w:val="0"/>
        <w:adjustRightInd w:val="0"/>
        <w:spacing w:after="0" w:line="240" w:lineRule="auto"/>
        <w:rPr>
          <w:rFonts w:eastAsia="Times New Roman"/>
          <w:kern w:val="0"/>
          <w:sz w:val="22"/>
          <w:szCs w:val="22"/>
          <w14:ligatures w14:val="none"/>
        </w:rPr>
      </w:pPr>
    </w:p>
    <w:p w14:paraId="37DED435" w14:textId="77777777" w:rsidR="00C4182D" w:rsidRPr="00DA6A7F" w:rsidRDefault="00C4182D" w:rsidP="009A23F8">
      <w:pPr>
        <w:autoSpaceDE w:val="0"/>
        <w:autoSpaceDN w:val="0"/>
        <w:adjustRightInd w:val="0"/>
        <w:spacing w:after="0" w:line="240" w:lineRule="auto"/>
        <w:rPr>
          <w:rFonts w:eastAsia="Times New Roman"/>
          <w:kern w:val="0"/>
          <w:sz w:val="22"/>
          <w:szCs w:val="22"/>
          <w:shd w:val="clear" w:color="auto" w:fill="FFFFFF"/>
          <w14:ligatures w14:val="none"/>
        </w:rPr>
      </w:pPr>
      <w:r w:rsidRPr="00DA6A7F">
        <w:rPr>
          <w:rFonts w:eastAsia="Times New Roman"/>
          <w:kern w:val="0"/>
          <w:sz w:val="22"/>
          <w:szCs w:val="22"/>
          <w:shd w:val="clear" w:color="auto" w:fill="FFFFFF"/>
          <w14:ligatures w14:val="none"/>
        </w:rPr>
        <w:t>Under subsection 36(2) of the Act, manufacturing principles may relate to any of the matters specified in paragraphs 36(2)(a) to (e), including the standards to be maintained and the equipment to be used at manufacturing premises, procedures for quality assurance and quality control and the manufacturing practices to be employed in the manufacturing of therapeutic goods.</w:t>
      </w:r>
    </w:p>
    <w:p w14:paraId="580B776A" w14:textId="77777777" w:rsidR="00C53F3E" w:rsidRPr="00DA6A7F" w:rsidRDefault="00C53F3E" w:rsidP="009A23F8">
      <w:pPr>
        <w:autoSpaceDE w:val="0"/>
        <w:autoSpaceDN w:val="0"/>
        <w:adjustRightInd w:val="0"/>
        <w:spacing w:after="0" w:line="240" w:lineRule="auto"/>
        <w:rPr>
          <w:rFonts w:eastAsia="Times New Roman"/>
          <w:kern w:val="0"/>
          <w:sz w:val="22"/>
          <w:szCs w:val="22"/>
          <w14:ligatures w14:val="none"/>
        </w:rPr>
      </w:pPr>
    </w:p>
    <w:p w14:paraId="7C3CCA76" w14:textId="3C3CF0BC" w:rsidR="00C53F3E" w:rsidRPr="00DA6A7F" w:rsidRDefault="00C53F3E" w:rsidP="009A23F8">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The </w:t>
      </w:r>
      <w:r w:rsidRPr="00DA6A7F">
        <w:rPr>
          <w:rFonts w:eastAsia="Times New Roman"/>
          <w:i/>
          <w:kern w:val="0"/>
          <w:sz w:val="22"/>
          <w:szCs w:val="22"/>
          <w14:ligatures w14:val="none"/>
        </w:rPr>
        <w:t>Therapeutic Goods (Manufacturing Principles)</w:t>
      </w:r>
      <w:r w:rsidRPr="00DA6A7F">
        <w:rPr>
          <w:rFonts w:eastAsia="Times New Roman"/>
          <w:kern w:val="0"/>
          <w:sz w:val="22"/>
          <w:szCs w:val="22"/>
          <w14:ligatures w14:val="none"/>
        </w:rPr>
        <w:t xml:space="preserve"> </w:t>
      </w:r>
      <w:r w:rsidRPr="00DA6A7F">
        <w:rPr>
          <w:rFonts w:eastAsia="Times New Roman"/>
          <w:i/>
          <w:kern w:val="0"/>
          <w:sz w:val="22"/>
          <w:szCs w:val="22"/>
          <w14:ligatures w14:val="none"/>
        </w:rPr>
        <w:t xml:space="preserve">Determination 2020 </w:t>
      </w:r>
      <w:r w:rsidRPr="00DA6A7F">
        <w:rPr>
          <w:rFonts w:eastAsia="Times New Roman"/>
          <w:kern w:val="0"/>
          <w:sz w:val="22"/>
          <w:szCs w:val="22"/>
          <w14:ligatures w14:val="none"/>
        </w:rPr>
        <w:t>(the Principal Determination) is made under subsection 36(1) of the Act for the purpose of determining written principles to be observed in the manufacture of therapeutic goods.</w:t>
      </w:r>
    </w:p>
    <w:p w14:paraId="433015B7" w14:textId="77777777" w:rsidR="00C53F3E" w:rsidRPr="00DA6A7F" w:rsidRDefault="00C53F3E" w:rsidP="009A23F8">
      <w:pPr>
        <w:autoSpaceDE w:val="0"/>
        <w:autoSpaceDN w:val="0"/>
        <w:adjustRightInd w:val="0"/>
        <w:spacing w:after="0" w:line="240" w:lineRule="auto"/>
        <w:rPr>
          <w:rFonts w:eastAsia="Times New Roman"/>
          <w:kern w:val="0"/>
          <w:sz w:val="22"/>
          <w:szCs w:val="22"/>
          <w14:ligatures w14:val="none"/>
        </w:rPr>
      </w:pPr>
    </w:p>
    <w:p w14:paraId="08D17524" w14:textId="592B9E5D" w:rsidR="00EC0C34" w:rsidRPr="00DA6A7F" w:rsidRDefault="00C53F3E" w:rsidP="009A23F8">
      <w:pPr>
        <w:autoSpaceDE w:val="0"/>
        <w:autoSpaceDN w:val="0"/>
        <w:adjustRightInd w:val="0"/>
        <w:spacing w:after="0" w:line="240" w:lineRule="auto"/>
        <w:rPr>
          <w:rFonts w:eastAsia="Times New Roman"/>
          <w:kern w:val="0"/>
          <w:sz w:val="22"/>
          <w:szCs w:val="22"/>
          <w:lang w:eastAsia="en-AU"/>
          <w14:ligatures w14:val="none"/>
        </w:rPr>
      </w:pPr>
      <w:bookmarkStart w:id="0" w:name="_Hlk98941233"/>
      <w:r w:rsidRPr="00DA6A7F">
        <w:rPr>
          <w:rFonts w:eastAsia="Times New Roman"/>
          <w:kern w:val="0"/>
          <w:sz w:val="22"/>
          <w:szCs w:val="22"/>
          <w:lang w:eastAsia="en-AU"/>
          <w14:ligatures w14:val="none"/>
        </w:rPr>
        <w:t xml:space="preserve">The </w:t>
      </w:r>
      <w:r w:rsidRPr="00DA6A7F">
        <w:rPr>
          <w:rFonts w:eastAsia="Times New Roman"/>
          <w:i/>
          <w:kern w:val="0"/>
          <w:sz w:val="22"/>
          <w:szCs w:val="22"/>
          <w:lang w:eastAsia="en-AU"/>
          <w14:ligatures w14:val="none"/>
        </w:rPr>
        <w:t xml:space="preserve">Therapeutic Goods (Manufacturing Principles) Amendment </w:t>
      </w:r>
      <w:r w:rsidR="008E053A" w:rsidRPr="00DA6A7F">
        <w:rPr>
          <w:rFonts w:eastAsia="Times New Roman"/>
          <w:i/>
          <w:kern w:val="0"/>
          <w:sz w:val="22"/>
          <w:szCs w:val="22"/>
          <w:lang w:eastAsia="en-AU"/>
          <w14:ligatures w14:val="none"/>
        </w:rPr>
        <w:t xml:space="preserve">(PIC/S Guide) </w:t>
      </w:r>
      <w:r w:rsidRPr="00DA6A7F">
        <w:rPr>
          <w:rFonts w:eastAsia="Times New Roman"/>
          <w:i/>
          <w:kern w:val="0"/>
          <w:sz w:val="22"/>
          <w:szCs w:val="22"/>
          <w:lang w:eastAsia="en-AU"/>
          <w14:ligatures w14:val="none"/>
        </w:rPr>
        <w:t xml:space="preserve">Determination 2025 </w:t>
      </w:r>
      <w:r w:rsidRPr="00DA6A7F">
        <w:rPr>
          <w:rFonts w:eastAsia="Times New Roman"/>
          <w:iCs/>
          <w:kern w:val="0"/>
          <w:sz w:val="22"/>
          <w:szCs w:val="22"/>
          <w:lang w:eastAsia="en-AU"/>
          <w14:ligatures w14:val="none"/>
        </w:rPr>
        <w:t>(the Amendment</w:t>
      </w:r>
      <w:r w:rsidRPr="00DA6A7F">
        <w:rPr>
          <w:rFonts w:eastAsia="Times New Roman"/>
          <w:i/>
          <w:kern w:val="0"/>
          <w:sz w:val="22"/>
          <w:szCs w:val="22"/>
          <w:lang w:eastAsia="en-AU"/>
          <w14:ligatures w14:val="none"/>
        </w:rPr>
        <w:t xml:space="preserve"> </w:t>
      </w:r>
      <w:r w:rsidRPr="00DA6A7F">
        <w:rPr>
          <w:rFonts w:eastAsia="Times New Roman"/>
          <w:kern w:val="0"/>
          <w:sz w:val="22"/>
          <w:szCs w:val="22"/>
          <w:lang w:eastAsia="en-AU"/>
          <w14:ligatures w14:val="none"/>
        </w:rPr>
        <w:t xml:space="preserve">Determination) amends the Principal Determination to incorporate an updated version of the </w:t>
      </w:r>
      <w:r w:rsidRPr="00DA6A7F">
        <w:rPr>
          <w:rFonts w:eastAsia="Times New Roman"/>
          <w:i/>
          <w:kern w:val="0"/>
          <w:sz w:val="22"/>
          <w:szCs w:val="22"/>
          <w:lang w:eastAsia="en-AU"/>
          <w14:ligatures w14:val="none"/>
        </w:rPr>
        <w:t>Guide to Good Manufacturing Practice for Medicinal Products</w:t>
      </w:r>
      <w:r w:rsidRPr="00DA6A7F">
        <w:rPr>
          <w:rFonts w:eastAsia="Times New Roman"/>
          <w:kern w:val="0"/>
          <w:sz w:val="22"/>
          <w:szCs w:val="22"/>
          <w:lang w:eastAsia="en-AU"/>
          <w14:ligatures w14:val="none"/>
        </w:rPr>
        <w:t xml:space="preserve"> (the PIC/S Guide to GMP), published by the Pharmaceutical Inspection Co-operation Scheme (PIC/S)</w:t>
      </w:r>
      <w:r w:rsidR="00F37340" w:rsidRPr="00DA6A7F">
        <w:rPr>
          <w:rFonts w:eastAsia="Times New Roman"/>
          <w:kern w:val="0"/>
          <w:sz w:val="22"/>
          <w:szCs w:val="22"/>
          <w:lang w:eastAsia="en-AU"/>
          <w14:ligatures w14:val="none"/>
        </w:rPr>
        <w:t>,</w:t>
      </w:r>
      <w:r w:rsidRPr="00DA6A7F">
        <w:rPr>
          <w:rFonts w:eastAsia="Times New Roman"/>
          <w:kern w:val="0"/>
          <w:sz w:val="22"/>
          <w:szCs w:val="22"/>
          <w:lang w:eastAsia="en-AU"/>
          <w14:ligatures w14:val="none"/>
        </w:rPr>
        <w:t xml:space="preserve"> </w:t>
      </w:r>
      <w:r w:rsidR="00F37340" w:rsidRPr="00DA6A7F">
        <w:rPr>
          <w:rFonts w:eastAsia="Times New Roman"/>
          <w:kern w:val="0"/>
          <w:sz w:val="22"/>
          <w:szCs w:val="22"/>
          <w:lang w:eastAsia="en-AU"/>
          <w14:ligatures w14:val="none"/>
        </w:rPr>
        <w:t xml:space="preserve">effective </w:t>
      </w:r>
      <w:r w:rsidR="00915A8F" w:rsidRPr="00DA6A7F">
        <w:rPr>
          <w:rFonts w:eastAsia="Times New Roman"/>
          <w:kern w:val="0"/>
          <w:sz w:val="22"/>
          <w:szCs w:val="22"/>
          <w:lang w:eastAsia="en-AU"/>
          <w14:ligatures w14:val="none"/>
        </w:rPr>
        <w:t>25</w:t>
      </w:r>
      <w:r w:rsidR="004A2AE4" w:rsidRPr="00DA6A7F">
        <w:rPr>
          <w:rFonts w:eastAsia="Times New Roman"/>
          <w:kern w:val="0"/>
          <w:sz w:val="22"/>
          <w:szCs w:val="22"/>
          <w:lang w:eastAsia="en-AU"/>
          <w14:ligatures w14:val="none"/>
        </w:rPr>
        <w:t> </w:t>
      </w:r>
      <w:r w:rsidR="00915A8F" w:rsidRPr="00DA6A7F">
        <w:rPr>
          <w:rFonts w:eastAsia="Times New Roman"/>
          <w:kern w:val="0"/>
          <w:sz w:val="22"/>
          <w:szCs w:val="22"/>
          <w:lang w:eastAsia="en-AU"/>
          <w14:ligatures w14:val="none"/>
        </w:rPr>
        <w:t>August</w:t>
      </w:r>
      <w:r w:rsidR="004A2AE4" w:rsidRPr="00DA6A7F">
        <w:rPr>
          <w:rFonts w:eastAsia="Times New Roman"/>
          <w:kern w:val="0"/>
          <w:sz w:val="22"/>
          <w:szCs w:val="22"/>
          <w:lang w:eastAsia="en-AU"/>
          <w14:ligatures w14:val="none"/>
        </w:rPr>
        <w:t> </w:t>
      </w:r>
      <w:r w:rsidR="000B364C" w:rsidRPr="00DA6A7F">
        <w:rPr>
          <w:rFonts w:eastAsia="Times New Roman"/>
          <w:kern w:val="0"/>
          <w:sz w:val="22"/>
          <w:szCs w:val="22"/>
          <w:lang w:eastAsia="en-AU"/>
          <w14:ligatures w14:val="none"/>
        </w:rPr>
        <w:t>202</w:t>
      </w:r>
      <w:r w:rsidR="00915A8F" w:rsidRPr="00DA6A7F">
        <w:rPr>
          <w:rFonts w:eastAsia="Times New Roman"/>
          <w:kern w:val="0"/>
          <w:sz w:val="22"/>
          <w:szCs w:val="22"/>
          <w:lang w:eastAsia="en-AU"/>
          <w14:ligatures w14:val="none"/>
        </w:rPr>
        <w:t>3</w:t>
      </w:r>
      <w:r w:rsidRPr="00DA6A7F">
        <w:rPr>
          <w:rFonts w:eastAsia="Times New Roman"/>
          <w:kern w:val="0"/>
          <w:sz w:val="22"/>
          <w:szCs w:val="22"/>
          <w:lang w:eastAsia="en-AU"/>
          <w14:ligatures w14:val="none"/>
        </w:rPr>
        <w:t>.</w:t>
      </w:r>
      <w:bookmarkEnd w:id="0"/>
    </w:p>
    <w:p w14:paraId="7979388B" w14:textId="77777777" w:rsidR="004E4E6B" w:rsidRPr="00DA6A7F" w:rsidRDefault="004E4E6B" w:rsidP="009A23F8">
      <w:pPr>
        <w:autoSpaceDE w:val="0"/>
        <w:autoSpaceDN w:val="0"/>
        <w:adjustRightInd w:val="0"/>
        <w:spacing w:after="0" w:line="240" w:lineRule="auto"/>
        <w:rPr>
          <w:rFonts w:eastAsia="Times New Roman"/>
          <w:kern w:val="0"/>
          <w:sz w:val="22"/>
          <w:szCs w:val="22"/>
          <w:lang w:eastAsia="en-AU"/>
          <w14:ligatures w14:val="none"/>
        </w:rPr>
      </w:pPr>
    </w:p>
    <w:p w14:paraId="18F89FA4" w14:textId="2F055210" w:rsidR="004E4E6B" w:rsidRPr="00DA6A7F" w:rsidRDefault="004E4E6B" w:rsidP="009A23F8">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also replaces Part 3 of the Principal Determination, which contains application provisions that are no longer required, to introduce application provisions which provide that version </w:t>
      </w:r>
      <w:r w:rsidRPr="00DA6A7F">
        <w:rPr>
          <w:rFonts w:eastAsia="Times New Roman"/>
          <w:iCs/>
          <w:kern w:val="0"/>
          <w:sz w:val="22"/>
          <w:szCs w:val="22"/>
          <w:lang w:eastAsia="en-AU"/>
          <w14:ligatures w14:val="none"/>
        </w:rPr>
        <w:t>PE 009-17 of the PIC/S Guide to GMP</w:t>
      </w:r>
      <w:r w:rsidRPr="00DA6A7F">
        <w:rPr>
          <w:rFonts w:eastAsia="Times New Roman"/>
          <w:kern w:val="0"/>
          <w:sz w:val="22"/>
          <w:szCs w:val="22"/>
          <w:lang w:eastAsia="en-AU"/>
          <w14:ligatures w14:val="none"/>
        </w:rPr>
        <w:t xml:space="preserve"> applies to the manufacture of therapeutic goods that occurs on or after 1 September 2025, with the exception of clauses 2.1, 2.3, 7.14 and 9.31 of Annex 1 which applies to the manufacture of therapeutic goods that are sterile medicines or sterile active pharmaceutical ingredients that occurs on or after 1 March 2026.</w:t>
      </w:r>
    </w:p>
    <w:p w14:paraId="115A05F5" w14:textId="4C306AAE" w:rsidR="00401557" w:rsidRPr="00DA6A7F" w:rsidRDefault="00401557" w:rsidP="009A23F8">
      <w:pPr>
        <w:autoSpaceDE w:val="0"/>
        <w:autoSpaceDN w:val="0"/>
        <w:adjustRightInd w:val="0"/>
        <w:spacing w:after="0" w:line="240" w:lineRule="auto"/>
        <w:rPr>
          <w:rFonts w:eastAsia="Times New Roman"/>
          <w:kern w:val="0"/>
          <w:sz w:val="22"/>
          <w:szCs w:val="22"/>
          <w:lang w:eastAsia="en-AU"/>
          <w14:ligatures w14:val="none"/>
        </w:rPr>
      </w:pPr>
    </w:p>
    <w:p w14:paraId="6AD0A162" w14:textId="77777777" w:rsidR="001B63FF" w:rsidRPr="00DA6A7F" w:rsidRDefault="001B63FF" w:rsidP="009A23F8">
      <w:pPr>
        <w:autoSpaceDE w:val="0"/>
        <w:autoSpaceDN w:val="0"/>
        <w:adjustRightInd w:val="0"/>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Background</w:t>
      </w:r>
    </w:p>
    <w:p w14:paraId="60CC22E9" w14:textId="77777777" w:rsidR="001B63FF" w:rsidRPr="00DA6A7F" w:rsidRDefault="001B63FF" w:rsidP="009A23F8">
      <w:pPr>
        <w:spacing w:after="0" w:line="240" w:lineRule="auto"/>
        <w:rPr>
          <w:rFonts w:eastAsia="Times New Roman"/>
          <w:kern w:val="0"/>
          <w:sz w:val="22"/>
          <w:szCs w:val="22"/>
          <w:lang w:eastAsia="en-AU"/>
          <w14:ligatures w14:val="none"/>
        </w:rPr>
      </w:pPr>
    </w:p>
    <w:p w14:paraId="26476F2F" w14:textId="77777777" w:rsidR="00093102" w:rsidRPr="00DA6A7F" w:rsidRDefault="00093102" w:rsidP="009A23F8">
      <w:pPr>
        <w:spacing w:after="0" w:line="240" w:lineRule="auto"/>
        <w:rPr>
          <w:rFonts w:eastAsia="Times New Roman"/>
          <w:i/>
          <w:iCs/>
          <w:kern w:val="0"/>
          <w:sz w:val="22"/>
          <w:szCs w:val="22"/>
          <w:lang w:eastAsia="en-AU"/>
          <w14:ligatures w14:val="none"/>
        </w:rPr>
      </w:pPr>
      <w:r w:rsidRPr="00DA6A7F">
        <w:rPr>
          <w:rFonts w:eastAsia="Times New Roman"/>
          <w:i/>
          <w:iCs/>
          <w:kern w:val="0"/>
          <w:sz w:val="22"/>
          <w:szCs w:val="22"/>
          <w:lang w:eastAsia="en-AU"/>
          <w14:ligatures w14:val="none"/>
        </w:rPr>
        <w:t>Manufacturing Principles</w:t>
      </w:r>
    </w:p>
    <w:p w14:paraId="451A8AB1" w14:textId="77777777" w:rsidR="00093102" w:rsidRPr="00DA6A7F" w:rsidRDefault="00093102" w:rsidP="009A23F8">
      <w:pPr>
        <w:spacing w:after="0" w:line="240" w:lineRule="auto"/>
        <w:rPr>
          <w:rFonts w:eastAsia="Times New Roman"/>
          <w:kern w:val="0"/>
          <w:sz w:val="22"/>
          <w:szCs w:val="22"/>
          <w:lang w:eastAsia="en-AU"/>
          <w14:ligatures w14:val="none"/>
        </w:rPr>
      </w:pPr>
    </w:p>
    <w:p w14:paraId="12643DA8" w14:textId="77777777" w:rsidR="001B63FF" w:rsidRPr="00DA6A7F" w:rsidRDefault="001B63FF"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Part 3-3 of the Act sets out requirements relating to the manufacture of therapeutic goods other than medical devices, Class 1 biologicals, or goods or persons exempt from the operation of that Part by regulations made for the purposes of section 34 of the Act.</w:t>
      </w:r>
    </w:p>
    <w:p w14:paraId="2A9E16EC" w14:textId="77777777" w:rsidR="001B63FF" w:rsidRPr="00DA6A7F" w:rsidRDefault="001B63FF" w:rsidP="009A23F8">
      <w:pPr>
        <w:autoSpaceDE w:val="0"/>
        <w:autoSpaceDN w:val="0"/>
        <w:adjustRightInd w:val="0"/>
        <w:spacing w:after="0" w:line="240" w:lineRule="auto"/>
        <w:rPr>
          <w:rFonts w:eastAsia="Times New Roman"/>
          <w:kern w:val="0"/>
          <w:sz w:val="22"/>
          <w:szCs w:val="22"/>
          <w14:ligatures w14:val="none"/>
        </w:rPr>
      </w:pPr>
    </w:p>
    <w:p w14:paraId="0DE21AC1" w14:textId="77777777" w:rsidR="001B63FF" w:rsidRPr="00DA6A7F" w:rsidRDefault="001B63FF"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Part 3-3 contains criminal offences and civil penalty provisions that may apply where a person carries out, at premises in Australia, a step in the manufacture of therapeutic goods and the person does not have a licence issued under Part 3-3 (or the person, or the goods involved, are not exempt from the operation of that Part under section 34 of the Act).</w:t>
      </w:r>
    </w:p>
    <w:p w14:paraId="36290860" w14:textId="77777777" w:rsidR="001B63FF" w:rsidRPr="00DA6A7F" w:rsidRDefault="001B63FF" w:rsidP="009A23F8">
      <w:pPr>
        <w:autoSpaceDE w:val="0"/>
        <w:autoSpaceDN w:val="0"/>
        <w:adjustRightInd w:val="0"/>
        <w:spacing w:after="0" w:line="240" w:lineRule="auto"/>
        <w:rPr>
          <w:rFonts w:eastAsia="Times New Roman"/>
          <w:kern w:val="0"/>
          <w:sz w:val="22"/>
          <w:szCs w:val="22"/>
          <w14:ligatures w14:val="none"/>
        </w:rPr>
      </w:pPr>
    </w:p>
    <w:p w14:paraId="5F330F6F" w14:textId="77777777" w:rsidR="001B63FF" w:rsidRPr="00DA6A7F" w:rsidRDefault="001B63FF" w:rsidP="009A23F8">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It is a condition of each manufacturing licence that a manufacturer of therapeutic goods complies with the manufacturing principles (subparagraph 40(4)(a)(ii) of the Act refers). If the holder of a manufacturing licence breaches this or any other condition of the licence, the Secretary may suspend or revoke the licence (subparagraph 41(1)(a)(viii) of the Act refers). The Secretary can also refuse to </w:t>
      </w:r>
      <w:r w:rsidRPr="00DA6A7F">
        <w:rPr>
          <w:rFonts w:eastAsia="Times New Roman"/>
          <w:kern w:val="0"/>
          <w:sz w:val="22"/>
          <w:szCs w:val="22"/>
          <w14:ligatures w14:val="none"/>
        </w:rPr>
        <w:lastRenderedPageBreak/>
        <w:t>grant a manufacturing licence if satisfied that the applicant for the licence will be unable to comply with the manufacturing principles (paragraph 38(1)(e) of the Act refers).</w:t>
      </w:r>
    </w:p>
    <w:p w14:paraId="44E3F6E2" w14:textId="77777777" w:rsidR="001B63FF" w:rsidRPr="00DA6A7F" w:rsidRDefault="001B63FF" w:rsidP="009A23F8">
      <w:pPr>
        <w:autoSpaceDE w:val="0"/>
        <w:autoSpaceDN w:val="0"/>
        <w:adjustRightInd w:val="0"/>
        <w:spacing w:after="0" w:line="240" w:lineRule="auto"/>
        <w:rPr>
          <w:rFonts w:eastAsia="Times New Roman"/>
          <w:kern w:val="0"/>
          <w:sz w:val="22"/>
          <w:szCs w:val="22"/>
          <w14:ligatures w14:val="none"/>
        </w:rPr>
      </w:pPr>
    </w:p>
    <w:p w14:paraId="7883029B" w14:textId="77777777" w:rsidR="001B63FF" w:rsidRPr="00DA6A7F" w:rsidRDefault="001B63FF" w:rsidP="009A23F8">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The manufacturing principles set out the minimum requirements that are to be observed in the manufacture of therapeutic goods (other than medical devices), to ensure that therapeutic goods are produced to a high quality, and consistent with their specifications. The Principal Determination separately specifies the principles to be observed in relation to the manufacture of the following therapeutic goods:</w:t>
      </w:r>
    </w:p>
    <w:p w14:paraId="550BCF2D" w14:textId="77777777" w:rsidR="0001256F" w:rsidRPr="00DA6A7F" w:rsidRDefault="0001256F" w:rsidP="009A23F8">
      <w:pPr>
        <w:autoSpaceDE w:val="0"/>
        <w:autoSpaceDN w:val="0"/>
        <w:adjustRightInd w:val="0"/>
        <w:spacing w:after="0" w:line="240" w:lineRule="auto"/>
        <w:rPr>
          <w:rFonts w:eastAsia="Times New Roman"/>
          <w:kern w:val="0"/>
          <w:sz w:val="22"/>
          <w:szCs w:val="22"/>
          <w14:ligatures w14:val="none"/>
        </w:rPr>
      </w:pPr>
    </w:p>
    <w:p w14:paraId="4117E496" w14:textId="2BDD57AF" w:rsidR="0001256F" w:rsidRPr="00DA6A7F" w:rsidRDefault="0001256F" w:rsidP="009A23F8">
      <w:pPr>
        <w:numPr>
          <w:ilvl w:val="0"/>
          <w:numId w:val="1"/>
        </w:num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registered and listed therapeutic goods (principally, these are medicines and sunscreens), </w:t>
      </w:r>
      <w:r w:rsidR="00951CB9" w:rsidRPr="00DA6A7F">
        <w:rPr>
          <w:rFonts w:eastAsia="Times New Roman"/>
          <w:kern w:val="0"/>
          <w:sz w:val="22"/>
          <w:szCs w:val="22"/>
          <w:lang w:eastAsia="en-AU"/>
          <w14:ligatures w14:val="none"/>
        </w:rPr>
        <w:t xml:space="preserve">active pharmaceutical ingredients, </w:t>
      </w:r>
      <w:r w:rsidRPr="00DA6A7F">
        <w:rPr>
          <w:rFonts w:eastAsia="Times New Roman"/>
          <w:kern w:val="0"/>
          <w:sz w:val="22"/>
          <w:szCs w:val="22"/>
          <w:lang w:eastAsia="en-AU"/>
          <w14:ligatures w14:val="none"/>
        </w:rPr>
        <w:t>and biologicals that comprise or contain live animal cells, tissues or organs; and</w:t>
      </w:r>
    </w:p>
    <w:p w14:paraId="4CA93644" w14:textId="77777777" w:rsidR="0001256F" w:rsidRPr="00DA6A7F" w:rsidRDefault="0001256F" w:rsidP="009A23F8">
      <w:pPr>
        <w:numPr>
          <w:ilvl w:val="0"/>
          <w:numId w:val="1"/>
        </w:num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blood, blood components, haematopoietic progenitor cells and biologicals (other than biologicals that comprise or contain live animal cells, tissues or organs).</w:t>
      </w:r>
    </w:p>
    <w:p w14:paraId="1293BE80" w14:textId="77777777" w:rsidR="0001256F" w:rsidRPr="00DA6A7F" w:rsidRDefault="0001256F" w:rsidP="009A23F8">
      <w:pPr>
        <w:autoSpaceDE w:val="0"/>
        <w:autoSpaceDN w:val="0"/>
        <w:adjustRightInd w:val="0"/>
        <w:spacing w:after="0" w:line="240" w:lineRule="auto"/>
        <w:rPr>
          <w:rFonts w:eastAsia="Times New Roman"/>
          <w:kern w:val="0"/>
          <w:sz w:val="22"/>
          <w:szCs w:val="22"/>
          <w14:ligatures w14:val="none"/>
        </w:rPr>
      </w:pPr>
    </w:p>
    <w:p w14:paraId="3AEF95C2" w14:textId="77777777" w:rsidR="002D170E" w:rsidRPr="00DA6A7F" w:rsidRDefault="002D170E" w:rsidP="009A23F8">
      <w:pPr>
        <w:shd w:val="clear" w:color="auto" w:fill="FFFFFF"/>
        <w:spacing w:after="0" w:line="240" w:lineRule="auto"/>
        <w:rPr>
          <w:rFonts w:eastAsia="Times New Roman"/>
          <w:i/>
          <w:iCs/>
          <w:kern w:val="0"/>
          <w:sz w:val="22"/>
          <w:szCs w:val="22"/>
          <w:lang w:eastAsia="en-AU"/>
          <w14:ligatures w14:val="none"/>
        </w:rPr>
      </w:pPr>
      <w:r w:rsidRPr="00DA6A7F">
        <w:rPr>
          <w:rFonts w:eastAsia="Times New Roman"/>
          <w:i/>
          <w:iCs/>
          <w:kern w:val="0"/>
          <w:sz w:val="22"/>
          <w:szCs w:val="22"/>
          <w:lang w:eastAsia="en-AU"/>
          <w14:ligatures w14:val="none"/>
        </w:rPr>
        <w:t>PIC/S Guide to GMP</w:t>
      </w:r>
    </w:p>
    <w:p w14:paraId="379A00DC" w14:textId="77777777" w:rsidR="002D170E" w:rsidRPr="00DA6A7F" w:rsidRDefault="002D170E" w:rsidP="009A23F8">
      <w:pPr>
        <w:autoSpaceDE w:val="0"/>
        <w:autoSpaceDN w:val="0"/>
        <w:adjustRightInd w:val="0"/>
        <w:spacing w:after="0" w:line="240" w:lineRule="auto"/>
        <w:rPr>
          <w:rFonts w:eastAsia="Times New Roman"/>
          <w:kern w:val="0"/>
          <w:sz w:val="22"/>
          <w:szCs w:val="22"/>
          <w14:ligatures w14:val="none"/>
        </w:rPr>
      </w:pPr>
    </w:p>
    <w:p w14:paraId="48FFE846" w14:textId="642208DA" w:rsidR="0001256F" w:rsidRPr="00DA6A7F" w:rsidRDefault="0001256F" w:rsidP="009A23F8">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The TGA uses internationally harmonised manufacturing standards to allow manufacturers to operate in an international environment. The TGA maintains Good Manufacturing Practice (GMP) requirements in line with updates issued through PIC/S. Updates are necessary </w:t>
      </w:r>
      <w:proofErr w:type="gramStart"/>
      <w:r w:rsidRPr="00DA6A7F">
        <w:rPr>
          <w:rFonts w:eastAsia="Times New Roman"/>
          <w:kern w:val="0"/>
          <w:sz w:val="22"/>
          <w:szCs w:val="22"/>
          <w14:ligatures w14:val="none"/>
        </w:rPr>
        <w:t>in order to</w:t>
      </w:r>
      <w:proofErr w:type="gramEnd"/>
      <w:r w:rsidRPr="00DA6A7F">
        <w:rPr>
          <w:rFonts w:eastAsia="Times New Roman"/>
          <w:kern w:val="0"/>
          <w:sz w:val="22"/>
          <w:szCs w:val="22"/>
          <w14:ligatures w14:val="none"/>
        </w:rPr>
        <w:t xml:space="preserve"> maintain mutual confidence with regulators overseas, and to promote quality assurance of inspections and the harmonisation of technical standards and procedures with international inspection standards for the production and testing of medicinal products.</w:t>
      </w:r>
    </w:p>
    <w:p w14:paraId="3F99FC46" w14:textId="77777777" w:rsidR="004C14D4" w:rsidRPr="00DA6A7F" w:rsidRDefault="004C14D4" w:rsidP="009A23F8">
      <w:pPr>
        <w:shd w:val="clear" w:color="auto" w:fill="FFFFFF"/>
        <w:spacing w:after="0" w:line="240" w:lineRule="auto"/>
        <w:rPr>
          <w:rFonts w:eastAsia="Times New Roman"/>
          <w:kern w:val="0"/>
          <w:sz w:val="22"/>
          <w:szCs w:val="22"/>
          <w:lang w:eastAsia="en-AU"/>
          <w14:ligatures w14:val="none"/>
        </w:rPr>
      </w:pPr>
    </w:p>
    <w:p w14:paraId="5170ED30" w14:textId="75CA2359" w:rsidR="00AE731B" w:rsidRPr="00DA6A7F" w:rsidRDefault="004C14D4"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PIC/S is </w:t>
      </w:r>
      <w:r w:rsidRPr="00DA6A7F">
        <w:rPr>
          <w:rFonts w:eastAsia="Times New Roman"/>
          <w:kern w:val="0"/>
          <w:sz w:val="22"/>
          <w:szCs w:val="22"/>
          <w:lang w:val="en" w:eastAsia="en-AU"/>
          <w14:ligatures w14:val="none"/>
        </w:rPr>
        <w:t>a non-binding, informal co-operative arrangement between regulatory authorities in the field of GMP of medicinal products for human or veterinary use.</w:t>
      </w:r>
      <w:r w:rsidRPr="00DA6A7F">
        <w:rPr>
          <w:rFonts w:eastAsia="Times New Roman"/>
          <w:kern w:val="0"/>
          <w:sz w:val="22"/>
          <w:szCs w:val="22"/>
          <w:lang w:eastAsia="en-AU"/>
          <w14:ligatures w14:val="none"/>
        </w:rPr>
        <w:t xml:space="preserve"> PIC/S leads the international development, implementation and maintenance of harmonised GMP standards and quality systems of inspectorates.</w:t>
      </w:r>
    </w:p>
    <w:p w14:paraId="02780999" w14:textId="77777777" w:rsidR="00AE731B" w:rsidRPr="00DA6A7F" w:rsidRDefault="00AE731B" w:rsidP="009A23F8">
      <w:pPr>
        <w:shd w:val="clear" w:color="auto" w:fill="FFFFFF"/>
        <w:spacing w:after="0" w:line="240" w:lineRule="auto"/>
        <w:rPr>
          <w:rFonts w:eastAsia="Times New Roman"/>
          <w:kern w:val="0"/>
          <w:sz w:val="22"/>
          <w:szCs w:val="22"/>
          <w:lang w:eastAsia="en-AU"/>
          <w14:ligatures w14:val="none"/>
        </w:rPr>
      </w:pPr>
    </w:p>
    <w:p w14:paraId="62D0911E" w14:textId="20F31824" w:rsidR="00EA2A7E" w:rsidRPr="00DA6A7F" w:rsidRDefault="004C14D4" w:rsidP="00D3096D">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PIC/S Guide to GMP </w:t>
      </w:r>
      <w:r w:rsidR="00D32903" w:rsidRPr="00DA6A7F">
        <w:rPr>
          <w:rFonts w:eastAsia="Times New Roman"/>
          <w:kern w:val="0"/>
          <w:sz w:val="22"/>
          <w:szCs w:val="22"/>
          <w:lang w:eastAsia="en-AU"/>
          <w14:ligatures w14:val="none"/>
        </w:rPr>
        <w:t xml:space="preserve">version </w:t>
      </w:r>
      <w:r w:rsidRPr="00DA6A7F">
        <w:rPr>
          <w:rFonts w:eastAsia="Times New Roman"/>
          <w:kern w:val="0"/>
          <w:sz w:val="22"/>
          <w:szCs w:val="22"/>
          <w:lang w:eastAsia="en-AU"/>
          <w14:ligatures w14:val="none"/>
        </w:rPr>
        <w:t>PE</w:t>
      </w:r>
      <w:r w:rsidR="00DA0F30" w:rsidRPr="00DA6A7F">
        <w:rPr>
          <w:rFonts w:eastAsia="Times New Roman"/>
          <w:kern w:val="0"/>
          <w:sz w:val="22"/>
          <w:szCs w:val="22"/>
          <w:lang w:eastAsia="en-AU"/>
          <w14:ligatures w14:val="none"/>
        </w:rPr>
        <w:t> </w:t>
      </w:r>
      <w:r w:rsidRPr="00DA6A7F">
        <w:rPr>
          <w:rFonts w:eastAsia="Times New Roman"/>
          <w:kern w:val="0"/>
          <w:sz w:val="22"/>
          <w:szCs w:val="22"/>
          <w:lang w:eastAsia="en-AU"/>
          <w14:ligatures w14:val="none"/>
        </w:rPr>
        <w:t>009-17</w:t>
      </w:r>
      <w:r w:rsidR="004E4E6B" w:rsidRPr="00DA6A7F">
        <w:rPr>
          <w:rFonts w:eastAsia="Times New Roman"/>
          <w:kern w:val="0"/>
          <w:sz w:val="22"/>
          <w:szCs w:val="22"/>
          <w:lang w:eastAsia="en-AU"/>
          <w14:ligatures w14:val="none"/>
        </w:rPr>
        <w:t>,</w:t>
      </w:r>
      <w:r w:rsidR="00D32903" w:rsidRPr="00DA6A7F">
        <w:rPr>
          <w:rFonts w:eastAsia="Times New Roman"/>
          <w:kern w:val="0"/>
          <w:sz w:val="22"/>
          <w:szCs w:val="22"/>
          <w:lang w:eastAsia="en-AU"/>
          <w14:ligatures w14:val="none"/>
        </w:rPr>
        <w:t xml:space="preserve"> </w:t>
      </w:r>
      <w:r w:rsidR="008E053A" w:rsidRPr="00DA6A7F">
        <w:rPr>
          <w:rFonts w:eastAsia="Times New Roman"/>
          <w:kern w:val="0"/>
          <w:sz w:val="22"/>
          <w:szCs w:val="22"/>
          <w:lang w:eastAsia="en-AU"/>
          <w14:ligatures w14:val="none"/>
        </w:rPr>
        <w:t xml:space="preserve">which came into effect </w:t>
      </w:r>
      <w:r w:rsidR="00C67535" w:rsidRPr="00DA6A7F">
        <w:rPr>
          <w:rFonts w:eastAsia="Times New Roman"/>
          <w:kern w:val="0"/>
          <w:sz w:val="22"/>
          <w:szCs w:val="22"/>
          <w:lang w:eastAsia="en-AU"/>
          <w14:ligatures w14:val="none"/>
        </w:rPr>
        <w:t>o</w:t>
      </w:r>
      <w:r w:rsidR="008E053A" w:rsidRPr="00DA6A7F">
        <w:rPr>
          <w:rFonts w:eastAsia="Times New Roman"/>
          <w:kern w:val="0"/>
          <w:sz w:val="22"/>
          <w:szCs w:val="22"/>
          <w:lang w:eastAsia="en-AU"/>
          <w14:ligatures w14:val="none"/>
        </w:rPr>
        <w:t xml:space="preserve">n </w:t>
      </w:r>
      <w:r w:rsidRPr="00DA6A7F">
        <w:rPr>
          <w:rFonts w:eastAsia="Times New Roman"/>
          <w:kern w:val="0"/>
          <w:sz w:val="22"/>
          <w:szCs w:val="22"/>
          <w:lang w:eastAsia="en-AU"/>
          <w14:ligatures w14:val="none"/>
        </w:rPr>
        <w:t>25</w:t>
      </w:r>
      <w:r w:rsidR="00D94227" w:rsidRPr="00DA6A7F">
        <w:rPr>
          <w:rFonts w:eastAsia="Times New Roman"/>
          <w:kern w:val="0"/>
          <w:sz w:val="22"/>
          <w:szCs w:val="22"/>
          <w:lang w:eastAsia="en-AU"/>
          <w14:ligatures w14:val="none"/>
        </w:rPr>
        <w:t> </w:t>
      </w:r>
      <w:r w:rsidRPr="00DA6A7F">
        <w:rPr>
          <w:rFonts w:eastAsia="Times New Roman"/>
          <w:kern w:val="0"/>
          <w:sz w:val="22"/>
          <w:szCs w:val="22"/>
          <w:lang w:eastAsia="en-AU"/>
          <w14:ligatures w14:val="none"/>
        </w:rPr>
        <w:t>August 2023</w:t>
      </w:r>
      <w:r w:rsidR="004E4E6B" w:rsidRPr="00DA6A7F">
        <w:rPr>
          <w:rFonts w:eastAsia="Times New Roman"/>
          <w:kern w:val="0"/>
          <w:sz w:val="22"/>
          <w:szCs w:val="22"/>
          <w:lang w:eastAsia="en-AU"/>
          <w14:ligatures w14:val="none"/>
        </w:rPr>
        <w:t>,</w:t>
      </w:r>
      <w:r w:rsidRPr="00DA6A7F">
        <w:rPr>
          <w:rFonts w:eastAsia="Times New Roman"/>
          <w:kern w:val="0"/>
          <w:sz w:val="22"/>
          <w:szCs w:val="22"/>
          <w:lang w:eastAsia="en-AU"/>
          <w14:ligatures w14:val="none"/>
        </w:rPr>
        <w:t xml:space="preserve"> </w:t>
      </w:r>
      <w:r w:rsidR="001B46D3" w:rsidRPr="00DA6A7F">
        <w:rPr>
          <w:rFonts w:eastAsia="Times New Roman"/>
          <w:kern w:val="0"/>
          <w:sz w:val="22"/>
          <w:szCs w:val="22"/>
          <w:lang w:eastAsia="en-AU"/>
          <w14:ligatures w14:val="none"/>
        </w:rPr>
        <w:t xml:space="preserve">includes </w:t>
      </w:r>
      <w:r w:rsidR="004A51AD" w:rsidRPr="00DA6A7F">
        <w:rPr>
          <w:rFonts w:eastAsia="Times New Roman"/>
          <w:kern w:val="0"/>
          <w:sz w:val="22"/>
          <w:szCs w:val="22"/>
          <w:lang w:eastAsia="en-AU"/>
          <w14:ligatures w14:val="none"/>
        </w:rPr>
        <w:t>revisions limited to Annex</w:t>
      </w:r>
      <w:r w:rsidR="00D94227" w:rsidRPr="00DA6A7F">
        <w:rPr>
          <w:rFonts w:eastAsia="Times New Roman"/>
          <w:kern w:val="0"/>
          <w:sz w:val="22"/>
          <w:szCs w:val="22"/>
          <w:lang w:eastAsia="en-AU"/>
          <w14:ligatures w14:val="none"/>
        </w:rPr>
        <w:t> </w:t>
      </w:r>
      <w:r w:rsidR="004A51AD" w:rsidRPr="00DA6A7F">
        <w:rPr>
          <w:rFonts w:eastAsia="Times New Roman"/>
          <w:kern w:val="0"/>
          <w:sz w:val="22"/>
          <w:szCs w:val="22"/>
          <w:lang w:eastAsia="en-AU"/>
          <w14:ligatures w14:val="none"/>
        </w:rPr>
        <w:t xml:space="preserve">1 (Manufacture of sterile medicinal products) </w:t>
      </w:r>
      <w:r w:rsidR="004E4E6B" w:rsidRPr="00DA6A7F">
        <w:rPr>
          <w:rFonts w:eastAsia="Times New Roman"/>
          <w:kern w:val="0"/>
          <w:sz w:val="22"/>
          <w:szCs w:val="22"/>
          <w:lang w:eastAsia="en-AU"/>
          <w14:ligatures w14:val="none"/>
        </w:rPr>
        <w:t xml:space="preserve">to </w:t>
      </w:r>
      <w:r w:rsidR="004A51AD" w:rsidRPr="00DA6A7F">
        <w:rPr>
          <w:rFonts w:eastAsia="Times New Roman"/>
          <w:kern w:val="0"/>
          <w:sz w:val="22"/>
          <w:szCs w:val="22"/>
          <w:lang w:eastAsia="en-AU"/>
          <w14:ligatures w14:val="none"/>
        </w:rPr>
        <w:t xml:space="preserve">the </w:t>
      </w:r>
      <w:r w:rsidR="004E4E6B" w:rsidRPr="00DA6A7F">
        <w:rPr>
          <w:rFonts w:eastAsia="Times New Roman"/>
          <w:kern w:val="0"/>
          <w:sz w:val="22"/>
          <w:szCs w:val="22"/>
          <w:lang w:eastAsia="en-AU"/>
          <w14:ligatures w14:val="none"/>
        </w:rPr>
        <w:t>g</w:t>
      </w:r>
      <w:r w:rsidR="004A51AD" w:rsidRPr="00DA6A7F">
        <w:rPr>
          <w:rFonts w:eastAsia="Times New Roman"/>
          <w:kern w:val="0"/>
          <w:sz w:val="22"/>
          <w:szCs w:val="22"/>
          <w:lang w:eastAsia="en-AU"/>
          <w14:ligatures w14:val="none"/>
        </w:rPr>
        <w:t>uide</w:t>
      </w:r>
      <w:r w:rsidRPr="00DA6A7F">
        <w:rPr>
          <w:rFonts w:eastAsia="Times New Roman"/>
          <w:kern w:val="0"/>
          <w:sz w:val="22"/>
          <w:szCs w:val="22"/>
          <w:lang w:eastAsia="en-AU"/>
          <w14:ligatures w14:val="none"/>
        </w:rPr>
        <w:t xml:space="preserve">. </w:t>
      </w:r>
      <w:r w:rsidR="004A51AD" w:rsidRPr="00DA6A7F">
        <w:rPr>
          <w:rFonts w:eastAsia="Times New Roman"/>
          <w:kern w:val="0"/>
          <w:sz w:val="22"/>
          <w:szCs w:val="22"/>
          <w:lang w:eastAsia="en-AU"/>
          <w14:ligatures w14:val="none"/>
        </w:rPr>
        <w:t>The revised Annex</w:t>
      </w:r>
      <w:r w:rsidR="00D94227" w:rsidRPr="00DA6A7F">
        <w:rPr>
          <w:rFonts w:eastAsia="Times New Roman"/>
          <w:kern w:val="0"/>
          <w:sz w:val="22"/>
          <w:szCs w:val="22"/>
          <w:lang w:eastAsia="en-AU"/>
          <w14:ligatures w14:val="none"/>
        </w:rPr>
        <w:t> </w:t>
      </w:r>
      <w:r w:rsidR="004A51AD" w:rsidRPr="00DA6A7F">
        <w:rPr>
          <w:rFonts w:eastAsia="Times New Roman"/>
          <w:kern w:val="0"/>
          <w:sz w:val="22"/>
          <w:szCs w:val="22"/>
          <w:lang w:eastAsia="en-AU"/>
          <w14:ligatures w14:val="none"/>
        </w:rPr>
        <w:t xml:space="preserve">1 introduces </w:t>
      </w:r>
      <w:proofErr w:type="gramStart"/>
      <w:r w:rsidR="004A51AD" w:rsidRPr="00DA6A7F">
        <w:rPr>
          <w:rFonts w:eastAsia="Times New Roman"/>
          <w:kern w:val="0"/>
          <w:sz w:val="22"/>
          <w:szCs w:val="22"/>
          <w:lang w:eastAsia="en-AU"/>
          <w14:ligatures w14:val="none"/>
        </w:rPr>
        <w:t>a number of</w:t>
      </w:r>
      <w:proofErr w:type="gramEnd"/>
      <w:r w:rsidR="004A51AD" w:rsidRPr="00DA6A7F">
        <w:rPr>
          <w:rFonts w:eastAsia="Times New Roman"/>
          <w:kern w:val="0"/>
          <w:sz w:val="22"/>
          <w:szCs w:val="22"/>
          <w:lang w:eastAsia="en-AU"/>
          <w14:ligatures w14:val="none"/>
        </w:rPr>
        <w:t xml:space="preserve"> changes that largely clarify existing GMP requirements, provide guidance for the adoption of new manufacturing technologies, support the application of Quality Risk Management to manufacturing operations and contamination control, and offer additional direction on environmental classification, qualification, and monitoring expectations.</w:t>
      </w:r>
    </w:p>
    <w:p w14:paraId="2E5F97F8" w14:textId="77777777" w:rsidR="00D3096D" w:rsidRPr="00DA6A7F" w:rsidRDefault="00D3096D" w:rsidP="009A23F8">
      <w:pPr>
        <w:autoSpaceDE w:val="0"/>
        <w:autoSpaceDN w:val="0"/>
        <w:spacing w:after="0" w:line="240" w:lineRule="auto"/>
        <w:rPr>
          <w:rFonts w:eastAsia="Times New Roman"/>
          <w:kern w:val="0"/>
          <w:sz w:val="22"/>
          <w:szCs w:val="22"/>
          <w:lang w:eastAsia="en-AU"/>
          <w14:ligatures w14:val="none"/>
        </w:rPr>
      </w:pPr>
    </w:p>
    <w:p w14:paraId="765C1120" w14:textId="2EEF5368" w:rsidR="00EA2A7E" w:rsidRPr="00DA6A7F" w:rsidRDefault="00EA2A7E" w:rsidP="009A23F8">
      <w:pPr>
        <w:autoSpaceDE w:val="0"/>
        <w:autoSpaceDN w:val="0"/>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Purpose</w:t>
      </w:r>
    </w:p>
    <w:p w14:paraId="4509E1AD" w14:textId="77777777" w:rsidR="00EA2A7E" w:rsidRPr="00DA6A7F" w:rsidRDefault="00EA2A7E" w:rsidP="009A23F8">
      <w:pPr>
        <w:autoSpaceDE w:val="0"/>
        <w:autoSpaceDN w:val="0"/>
        <w:spacing w:after="0" w:line="240" w:lineRule="auto"/>
        <w:rPr>
          <w:rFonts w:eastAsia="Times New Roman"/>
          <w:kern w:val="0"/>
          <w:sz w:val="22"/>
          <w:szCs w:val="22"/>
          <w:lang w:eastAsia="en-AU"/>
          <w14:ligatures w14:val="none"/>
        </w:rPr>
      </w:pPr>
    </w:p>
    <w:p w14:paraId="497F3764" w14:textId="181BBD49" w:rsidR="00DA60E1" w:rsidRPr="00DA6A7F" w:rsidRDefault="00DA60E1" w:rsidP="009A23F8">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amends the Principal Determination to replace the definition of ‘PIC/S Guide to GMP’ with a reference to the updated version of the </w:t>
      </w:r>
      <w:r w:rsidRPr="00DA6A7F">
        <w:rPr>
          <w:rFonts w:eastAsia="Times New Roman"/>
          <w:i/>
          <w:kern w:val="0"/>
          <w:sz w:val="22"/>
          <w:szCs w:val="22"/>
          <w:lang w:eastAsia="en-AU"/>
          <w14:ligatures w14:val="none"/>
        </w:rPr>
        <w:t>Guide to Good Manufacturing Practice for Medicinal Products</w:t>
      </w:r>
      <w:r w:rsidRPr="00DA6A7F">
        <w:rPr>
          <w:rFonts w:eastAsia="Times New Roman"/>
          <w:kern w:val="0"/>
          <w:sz w:val="22"/>
          <w:szCs w:val="22"/>
          <w:lang w:eastAsia="en-AU"/>
          <w14:ligatures w14:val="none"/>
        </w:rPr>
        <w:t xml:space="preserve"> </w:t>
      </w:r>
      <w:r w:rsidR="00765AA2" w:rsidRPr="00DA6A7F">
        <w:rPr>
          <w:rFonts w:eastAsia="Times New Roman"/>
          <w:kern w:val="0"/>
          <w:sz w:val="22"/>
          <w:szCs w:val="22"/>
          <w:lang w:eastAsia="en-AU"/>
          <w14:ligatures w14:val="none"/>
        </w:rPr>
        <w:t>(PE</w:t>
      </w:r>
      <w:r w:rsidR="00DA0F30" w:rsidRPr="00DA6A7F">
        <w:rPr>
          <w:rFonts w:eastAsia="Times New Roman"/>
          <w:kern w:val="0"/>
          <w:sz w:val="22"/>
          <w:szCs w:val="22"/>
          <w:lang w:eastAsia="en-AU"/>
          <w14:ligatures w14:val="none"/>
        </w:rPr>
        <w:t> </w:t>
      </w:r>
      <w:r w:rsidR="00765AA2" w:rsidRPr="00DA6A7F">
        <w:rPr>
          <w:rFonts w:eastAsia="Times New Roman"/>
          <w:kern w:val="0"/>
          <w:sz w:val="22"/>
          <w:szCs w:val="22"/>
          <w:lang w:eastAsia="en-AU"/>
          <w14:ligatures w14:val="none"/>
        </w:rPr>
        <w:t xml:space="preserve">009-17, 25 August 2023) </w:t>
      </w:r>
      <w:r w:rsidRPr="00DA6A7F">
        <w:rPr>
          <w:rFonts w:eastAsia="Times New Roman"/>
          <w:kern w:val="0"/>
          <w:sz w:val="22"/>
          <w:szCs w:val="22"/>
          <w:lang w:eastAsia="en-AU"/>
          <w14:ligatures w14:val="none"/>
        </w:rPr>
        <w:t>published by PIC/S.</w:t>
      </w:r>
    </w:p>
    <w:p w14:paraId="307CDCB5" w14:textId="77777777" w:rsidR="00DA60E1" w:rsidRPr="00DA6A7F" w:rsidRDefault="00DA60E1" w:rsidP="009A23F8">
      <w:pPr>
        <w:autoSpaceDE w:val="0"/>
        <w:autoSpaceDN w:val="0"/>
        <w:spacing w:after="0" w:line="240" w:lineRule="auto"/>
        <w:rPr>
          <w:rFonts w:eastAsia="Times New Roman"/>
          <w:kern w:val="0"/>
          <w:sz w:val="22"/>
          <w:szCs w:val="22"/>
          <w:lang w:eastAsia="en-AU"/>
          <w14:ligatures w14:val="none"/>
        </w:rPr>
      </w:pPr>
    </w:p>
    <w:p w14:paraId="412BDC61" w14:textId="768C8AAF" w:rsidR="00DA60E1" w:rsidRPr="00DA6A7F" w:rsidRDefault="00DA60E1"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The amendment of the Principal Determination to incorporate the updated version of the PIC/S Guide to GMP ensures consistency with best international practice, and that an appropriate level of GMP will be required to be applied to the manufacture of therapeutic goods for use by patients in Australia. The amendments also reduce the risk and burden for sponsors and manufacturers of therapeutic goods associated with having to comply with requirements in Australia that are inconsistent with those in place in major international markets such as Europe and the United</w:t>
      </w:r>
      <w:r w:rsidR="00FC1C04" w:rsidRPr="00DA6A7F">
        <w:rPr>
          <w:rFonts w:eastAsia="Times New Roman"/>
          <w:kern w:val="0"/>
          <w:sz w:val="22"/>
          <w:szCs w:val="22"/>
          <w:lang w:eastAsia="en-AU"/>
          <w14:ligatures w14:val="none"/>
        </w:rPr>
        <w:t xml:space="preserve"> </w:t>
      </w:r>
      <w:r w:rsidRPr="00DA6A7F">
        <w:rPr>
          <w:rFonts w:eastAsia="Times New Roman"/>
          <w:kern w:val="0"/>
          <w:sz w:val="22"/>
          <w:szCs w:val="22"/>
          <w:lang w:eastAsia="en-AU"/>
          <w14:ligatures w14:val="none"/>
        </w:rPr>
        <w:t>States. This provides confidence for sponsors and manufacturers to bring their products to market in Australia and reduces delays for Australian patients in accessing new therapeutic goods.</w:t>
      </w:r>
    </w:p>
    <w:p w14:paraId="4AB239CC" w14:textId="77777777" w:rsidR="00DA60E1" w:rsidRPr="00DA6A7F" w:rsidRDefault="00DA60E1" w:rsidP="009A23F8">
      <w:pPr>
        <w:autoSpaceDE w:val="0"/>
        <w:autoSpaceDN w:val="0"/>
        <w:adjustRightInd w:val="0"/>
        <w:spacing w:after="0" w:line="240" w:lineRule="auto"/>
        <w:rPr>
          <w:rFonts w:eastAsia="Times New Roman"/>
          <w:kern w:val="0"/>
          <w:sz w:val="22"/>
          <w:szCs w:val="22"/>
          <w:lang w:eastAsia="en-AU"/>
          <w14:ligatures w14:val="none"/>
        </w:rPr>
      </w:pPr>
    </w:p>
    <w:p w14:paraId="326028AB" w14:textId="77777777" w:rsidR="00DA60E1" w:rsidRPr="00DA6A7F" w:rsidRDefault="00DA60E1" w:rsidP="004D6496">
      <w:pPr>
        <w:autoSpaceDE w:val="0"/>
        <w:autoSpaceDN w:val="0"/>
        <w:adjustRightInd w:val="0"/>
        <w:spacing w:after="0" w:line="240" w:lineRule="auto"/>
        <w:contextualSpacing/>
        <w:rPr>
          <w:rFonts w:eastAsia="Times New Roman"/>
          <w:kern w:val="0"/>
          <w:sz w:val="22"/>
          <w:szCs w:val="22"/>
          <w:lang w:eastAsia="en-AU"/>
          <w14:ligatures w14:val="none"/>
        </w:rPr>
      </w:pPr>
      <w:r w:rsidRPr="00DA6A7F">
        <w:rPr>
          <w:rFonts w:eastAsia="Times New Roman"/>
          <w:kern w:val="0"/>
          <w:sz w:val="22"/>
          <w:szCs w:val="22"/>
          <w:lang w:eastAsia="en-AU"/>
          <w14:ligatures w14:val="none"/>
        </w:rPr>
        <w:t>Australian manufacturers will also benefit from reduced regulatory burden where the TGA is able to adopt harmonised international standards and establish mutual recognition agreements and cooperation arrangements with comparable overseas regulatory authorities.</w:t>
      </w:r>
    </w:p>
    <w:p w14:paraId="3F5A2DCE" w14:textId="77777777" w:rsidR="009376EF" w:rsidRPr="00DA6A7F" w:rsidRDefault="009376EF" w:rsidP="004D6496">
      <w:pPr>
        <w:autoSpaceDE w:val="0"/>
        <w:autoSpaceDN w:val="0"/>
        <w:adjustRightInd w:val="0"/>
        <w:spacing w:after="0" w:line="240" w:lineRule="auto"/>
        <w:contextualSpacing/>
        <w:rPr>
          <w:rFonts w:eastAsia="Times New Roman"/>
          <w:kern w:val="0"/>
          <w:sz w:val="22"/>
          <w:szCs w:val="22"/>
          <w:lang w:eastAsia="en-AU"/>
          <w14:ligatures w14:val="none"/>
        </w:rPr>
      </w:pPr>
    </w:p>
    <w:p w14:paraId="4D0E0CAA" w14:textId="3E2EA15C" w:rsidR="008E1BAF" w:rsidRPr="00DA6A7F" w:rsidRDefault="008E1BAF" w:rsidP="008E1BAF">
      <w:pPr>
        <w:autoSpaceDE w:val="0"/>
        <w:autoSpaceDN w:val="0"/>
        <w:adjustRightInd w:val="0"/>
        <w:spacing w:after="0" w:line="240" w:lineRule="auto"/>
        <w:contextualSpacing/>
        <w:rPr>
          <w:rFonts w:eastAsia="Times New Roman"/>
          <w:kern w:val="0"/>
          <w:sz w:val="22"/>
          <w:szCs w:val="22"/>
          <w:lang w:eastAsia="en-AU"/>
          <w14:ligatures w14:val="none"/>
        </w:rPr>
      </w:pPr>
      <w:r w:rsidRPr="00DA6A7F">
        <w:rPr>
          <w:rFonts w:eastAsia="Times New Roman"/>
          <w:kern w:val="0"/>
          <w:sz w:val="22"/>
          <w:szCs w:val="22"/>
          <w:lang w:eastAsia="en-AU"/>
          <w14:ligatures w14:val="none"/>
        </w:rPr>
        <w:lastRenderedPageBreak/>
        <w:t xml:space="preserve">In addition to updating the reference to the PIC/S Guide to GMP, the Amendment Determination also </w:t>
      </w:r>
      <w:r w:rsidR="00951CB9" w:rsidRPr="00DA6A7F">
        <w:rPr>
          <w:rFonts w:eastAsia="Times New Roman"/>
          <w:kern w:val="0"/>
          <w:sz w:val="22"/>
          <w:szCs w:val="22"/>
          <w:lang w:eastAsia="en-AU"/>
          <w14:ligatures w14:val="none"/>
        </w:rPr>
        <w:t xml:space="preserve">replaces </w:t>
      </w:r>
      <w:r w:rsidRPr="00DA6A7F">
        <w:rPr>
          <w:rFonts w:eastAsia="Times New Roman"/>
          <w:kern w:val="0"/>
          <w:sz w:val="22"/>
          <w:szCs w:val="22"/>
          <w:lang w:eastAsia="en-AU"/>
          <w14:ligatures w14:val="none"/>
        </w:rPr>
        <w:t>Part 3 of the Principal Determination, as the application provisions provided by that Part are no longer required.</w:t>
      </w:r>
      <w:r w:rsidR="009F715B" w:rsidRPr="00DA6A7F">
        <w:rPr>
          <w:rFonts w:eastAsia="Times New Roman"/>
          <w:kern w:val="0"/>
          <w:sz w:val="22"/>
          <w:szCs w:val="22"/>
          <w:lang w:eastAsia="en-AU"/>
          <w14:ligatures w14:val="none"/>
        </w:rPr>
        <w:t xml:space="preserve"> The Amendment Determination replaces Part 3 with new application provisions which provide</w:t>
      </w:r>
      <w:r w:rsidR="0075105D" w:rsidRPr="00DA6A7F">
        <w:rPr>
          <w:rFonts w:eastAsia="Times New Roman"/>
          <w:kern w:val="0"/>
          <w:sz w:val="22"/>
          <w:szCs w:val="22"/>
          <w:lang w:eastAsia="en-AU"/>
          <w14:ligatures w14:val="none"/>
        </w:rPr>
        <w:t xml:space="preserve"> that version </w:t>
      </w:r>
      <w:r w:rsidR="0075105D" w:rsidRPr="00DA6A7F">
        <w:rPr>
          <w:rFonts w:eastAsia="Times New Roman"/>
          <w:iCs/>
          <w:kern w:val="0"/>
          <w:sz w:val="22"/>
          <w:szCs w:val="22"/>
          <w:lang w:eastAsia="en-AU"/>
          <w14:ligatures w14:val="none"/>
        </w:rPr>
        <w:t>PE 009-17 of the PIC/S Guide to GMP</w:t>
      </w:r>
      <w:r w:rsidR="0075105D" w:rsidRPr="00DA6A7F">
        <w:rPr>
          <w:rFonts w:eastAsia="Times New Roman"/>
          <w:kern w:val="0"/>
          <w:sz w:val="22"/>
          <w:szCs w:val="22"/>
          <w:lang w:eastAsia="en-AU"/>
          <w14:ligatures w14:val="none"/>
        </w:rPr>
        <w:t xml:space="preserve"> applies </w:t>
      </w:r>
      <w:r w:rsidR="00372BCF" w:rsidRPr="00DA6A7F">
        <w:rPr>
          <w:rFonts w:eastAsia="Times New Roman"/>
          <w:kern w:val="0"/>
          <w:sz w:val="22"/>
          <w:szCs w:val="22"/>
          <w:lang w:eastAsia="en-AU"/>
          <w14:ligatures w14:val="none"/>
        </w:rPr>
        <w:t xml:space="preserve">to </w:t>
      </w:r>
      <w:r w:rsidR="001D4F6D" w:rsidRPr="00DA6A7F">
        <w:rPr>
          <w:rFonts w:eastAsia="Times New Roman"/>
          <w:kern w:val="0"/>
          <w:sz w:val="22"/>
          <w:szCs w:val="22"/>
          <w:lang w:eastAsia="en-AU"/>
          <w14:ligatures w14:val="none"/>
        </w:rPr>
        <w:t xml:space="preserve">the manufacture of </w:t>
      </w:r>
      <w:r w:rsidR="00372BCF" w:rsidRPr="00DA6A7F">
        <w:rPr>
          <w:rFonts w:eastAsia="Times New Roman"/>
          <w:kern w:val="0"/>
          <w:sz w:val="22"/>
          <w:szCs w:val="22"/>
          <w:lang w:eastAsia="en-AU"/>
          <w14:ligatures w14:val="none"/>
        </w:rPr>
        <w:t xml:space="preserve">therapeutic goods </w:t>
      </w:r>
      <w:r w:rsidR="001D4F6D" w:rsidRPr="00DA6A7F">
        <w:rPr>
          <w:rFonts w:eastAsia="Times New Roman"/>
          <w:kern w:val="0"/>
          <w:sz w:val="22"/>
          <w:szCs w:val="22"/>
          <w:lang w:eastAsia="en-AU"/>
          <w14:ligatures w14:val="none"/>
        </w:rPr>
        <w:t>that occurs</w:t>
      </w:r>
      <w:r w:rsidR="00372BCF" w:rsidRPr="00DA6A7F">
        <w:rPr>
          <w:rFonts w:eastAsia="Times New Roman"/>
          <w:kern w:val="0"/>
          <w:sz w:val="22"/>
          <w:szCs w:val="22"/>
          <w:lang w:eastAsia="en-AU"/>
          <w14:ligatures w14:val="none"/>
        </w:rPr>
        <w:t xml:space="preserve"> on or after 1 September 2025, with the exception of </w:t>
      </w:r>
      <w:r w:rsidR="009F715B" w:rsidRPr="00DA6A7F">
        <w:rPr>
          <w:rFonts w:eastAsia="Times New Roman"/>
          <w:kern w:val="0"/>
          <w:sz w:val="22"/>
          <w:szCs w:val="22"/>
          <w:lang w:eastAsia="en-AU"/>
          <w14:ligatures w14:val="none"/>
        </w:rPr>
        <w:t>clauses 2.1, 2.3, 7.14 and 9.31 of Annex 1</w:t>
      </w:r>
      <w:r w:rsidR="00372BCF" w:rsidRPr="00DA6A7F">
        <w:rPr>
          <w:rFonts w:eastAsia="Times New Roman"/>
          <w:kern w:val="0"/>
          <w:sz w:val="22"/>
          <w:szCs w:val="22"/>
          <w:lang w:eastAsia="en-AU"/>
          <w14:ligatures w14:val="none"/>
        </w:rPr>
        <w:t xml:space="preserve"> which appl</w:t>
      </w:r>
      <w:r w:rsidR="00951CB9" w:rsidRPr="00DA6A7F">
        <w:rPr>
          <w:rFonts w:eastAsia="Times New Roman"/>
          <w:kern w:val="0"/>
          <w:sz w:val="22"/>
          <w:szCs w:val="22"/>
          <w:lang w:eastAsia="en-AU"/>
          <w14:ligatures w14:val="none"/>
        </w:rPr>
        <w:t>ies</w:t>
      </w:r>
      <w:r w:rsidR="00372BCF" w:rsidRPr="00DA6A7F">
        <w:rPr>
          <w:rFonts w:eastAsia="Times New Roman"/>
          <w:kern w:val="0"/>
          <w:sz w:val="22"/>
          <w:szCs w:val="22"/>
          <w:lang w:eastAsia="en-AU"/>
          <w14:ligatures w14:val="none"/>
        </w:rPr>
        <w:t xml:space="preserve"> to</w:t>
      </w:r>
      <w:r w:rsidR="001D4F6D" w:rsidRPr="00DA6A7F">
        <w:rPr>
          <w:rFonts w:eastAsia="Times New Roman"/>
          <w:kern w:val="0"/>
          <w:sz w:val="22"/>
          <w:szCs w:val="22"/>
          <w:lang w:eastAsia="en-AU"/>
          <w14:ligatures w14:val="none"/>
        </w:rPr>
        <w:t xml:space="preserve"> the manufacture of</w:t>
      </w:r>
      <w:r w:rsidR="00372BCF" w:rsidRPr="00DA6A7F">
        <w:rPr>
          <w:rFonts w:eastAsia="Times New Roman"/>
          <w:kern w:val="0"/>
          <w:sz w:val="22"/>
          <w:szCs w:val="22"/>
          <w:lang w:eastAsia="en-AU"/>
          <w14:ligatures w14:val="none"/>
        </w:rPr>
        <w:t xml:space="preserve"> therapeutic goods</w:t>
      </w:r>
      <w:r w:rsidR="00951CB9" w:rsidRPr="00DA6A7F">
        <w:rPr>
          <w:rFonts w:eastAsia="Times New Roman"/>
          <w:kern w:val="0"/>
          <w:sz w:val="22"/>
          <w:szCs w:val="22"/>
          <w:lang w:eastAsia="en-AU"/>
          <w14:ligatures w14:val="none"/>
        </w:rPr>
        <w:t xml:space="preserve"> that are</w:t>
      </w:r>
      <w:r w:rsidR="00372BCF" w:rsidRPr="00DA6A7F">
        <w:rPr>
          <w:rFonts w:eastAsia="Times New Roman"/>
          <w:kern w:val="0"/>
          <w:sz w:val="22"/>
          <w:szCs w:val="22"/>
          <w:lang w:eastAsia="en-AU"/>
          <w14:ligatures w14:val="none"/>
        </w:rPr>
        <w:t xml:space="preserve"> sterile medicines </w:t>
      </w:r>
      <w:r w:rsidR="00951CB9" w:rsidRPr="00DA6A7F">
        <w:rPr>
          <w:rFonts w:eastAsia="Times New Roman"/>
          <w:kern w:val="0"/>
          <w:sz w:val="22"/>
          <w:szCs w:val="22"/>
          <w:lang w:eastAsia="en-AU"/>
          <w14:ligatures w14:val="none"/>
        </w:rPr>
        <w:t xml:space="preserve">or </w:t>
      </w:r>
      <w:r w:rsidR="00372BCF" w:rsidRPr="00DA6A7F">
        <w:rPr>
          <w:rFonts w:eastAsia="Times New Roman"/>
          <w:kern w:val="0"/>
          <w:sz w:val="22"/>
          <w:szCs w:val="22"/>
          <w:lang w:eastAsia="en-AU"/>
          <w14:ligatures w14:val="none"/>
        </w:rPr>
        <w:t>sterile active pharmaceutical ingredients</w:t>
      </w:r>
      <w:r w:rsidR="00951CB9" w:rsidRPr="00DA6A7F">
        <w:rPr>
          <w:rFonts w:eastAsia="Times New Roman"/>
          <w:kern w:val="0"/>
          <w:sz w:val="22"/>
          <w:szCs w:val="22"/>
          <w:lang w:eastAsia="en-AU"/>
          <w14:ligatures w14:val="none"/>
        </w:rPr>
        <w:t xml:space="preserve"> that </w:t>
      </w:r>
      <w:r w:rsidR="001D4F6D" w:rsidRPr="00DA6A7F">
        <w:rPr>
          <w:rFonts w:eastAsia="Times New Roman"/>
          <w:kern w:val="0"/>
          <w:sz w:val="22"/>
          <w:szCs w:val="22"/>
          <w:lang w:eastAsia="en-AU"/>
          <w14:ligatures w14:val="none"/>
        </w:rPr>
        <w:t>occurs</w:t>
      </w:r>
      <w:r w:rsidR="00372BCF" w:rsidRPr="00DA6A7F">
        <w:rPr>
          <w:rFonts w:eastAsia="Times New Roman"/>
          <w:kern w:val="0"/>
          <w:sz w:val="22"/>
          <w:szCs w:val="22"/>
          <w:lang w:eastAsia="en-AU"/>
          <w14:ligatures w14:val="none"/>
        </w:rPr>
        <w:t xml:space="preserve"> on or after 1 March 2026</w:t>
      </w:r>
      <w:r w:rsidR="009F715B" w:rsidRPr="00DA6A7F">
        <w:rPr>
          <w:rFonts w:eastAsia="Times New Roman"/>
          <w:kern w:val="0"/>
          <w:sz w:val="22"/>
          <w:szCs w:val="22"/>
          <w:lang w:eastAsia="en-AU"/>
          <w14:ligatures w14:val="none"/>
        </w:rPr>
        <w:t>.</w:t>
      </w:r>
    </w:p>
    <w:p w14:paraId="2E04EEA1" w14:textId="77777777" w:rsidR="00DA60E1" w:rsidRPr="00DA6A7F" w:rsidRDefault="00DA60E1" w:rsidP="004D6496">
      <w:pPr>
        <w:autoSpaceDE w:val="0"/>
        <w:autoSpaceDN w:val="0"/>
        <w:adjustRightInd w:val="0"/>
        <w:spacing w:after="0" w:line="240" w:lineRule="auto"/>
        <w:contextualSpacing/>
        <w:rPr>
          <w:rFonts w:eastAsia="Times New Roman"/>
          <w:kern w:val="0"/>
          <w:sz w:val="22"/>
          <w:szCs w:val="22"/>
          <w:lang w:eastAsia="en-AU"/>
          <w14:ligatures w14:val="none"/>
        </w:rPr>
      </w:pPr>
    </w:p>
    <w:p w14:paraId="78A7A117" w14:textId="77777777" w:rsidR="00DA60E1" w:rsidRPr="00DA6A7F" w:rsidRDefault="00DA60E1" w:rsidP="00DA6A7F">
      <w:pPr>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Incorporation by reference</w:t>
      </w:r>
    </w:p>
    <w:p w14:paraId="51DBD555" w14:textId="77777777" w:rsidR="00DA60E1" w:rsidRPr="00DA6A7F" w:rsidRDefault="00DA60E1" w:rsidP="00DA6A7F">
      <w:pPr>
        <w:spacing w:after="0" w:line="240" w:lineRule="auto"/>
        <w:rPr>
          <w:rFonts w:eastAsia="Times New Roman"/>
          <w:bCs/>
          <w:kern w:val="0"/>
          <w:sz w:val="22"/>
          <w:szCs w:val="22"/>
          <w:lang w:eastAsia="en-AU"/>
          <w14:ligatures w14:val="none"/>
        </w:rPr>
      </w:pPr>
    </w:p>
    <w:p w14:paraId="4BDFDCA2" w14:textId="071F61B5" w:rsidR="009A23F8" w:rsidRPr="00DA6A7F" w:rsidRDefault="00DA60E1" w:rsidP="00DA6A7F">
      <w:pPr>
        <w:spacing w:after="0" w:line="240" w:lineRule="auto"/>
        <w:rPr>
          <w:rFonts w:eastAsia="Times New Roman"/>
          <w:iCs/>
          <w:kern w:val="0"/>
          <w:sz w:val="22"/>
          <w:szCs w:val="22"/>
          <w:lang w:eastAsia="en-AU"/>
          <w14:ligatures w14:val="none"/>
        </w:rPr>
      </w:pPr>
      <w:r w:rsidRPr="00DA6A7F">
        <w:rPr>
          <w:rFonts w:eastAsia="Times New Roman"/>
          <w:bCs/>
          <w:iCs/>
          <w:kern w:val="0"/>
          <w:sz w:val="22"/>
          <w:szCs w:val="22"/>
          <w14:ligatures w14:val="none"/>
        </w:rPr>
        <w:t xml:space="preserve">The Amendment Determination incorporates by reference the </w:t>
      </w:r>
      <w:r w:rsidRPr="00DA6A7F">
        <w:rPr>
          <w:rFonts w:eastAsia="Times New Roman"/>
          <w:i/>
          <w:kern w:val="0"/>
          <w:sz w:val="22"/>
          <w:szCs w:val="22"/>
          <w:lang w:eastAsia="en-AU"/>
          <w14:ligatures w14:val="none"/>
        </w:rPr>
        <w:t>Guide to Good Manufacturing Practice for Medicinal Products</w:t>
      </w:r>
      <w:r w:rsidRPr="00DA6A7F">
        <w:rPr>
          <w:rFonts w:eastAsia="Times New Roman"/>
          <w:iCs/>
          <w:kern w:val="0"/>
          <w:sz w:val="22"/>
          <w:szCs w:val="22"/>
          <w:lang w:eastAsia="en-AU"/>
          <w14:ligatures w14:val="none"/>
        </w:rPr>
        <w:t xml:space="preserve"> </w:t>
      </w:r>
      <w:r w:rsidR="009A23F8" w:rsidRPr="00DA6A7F">
        <w:rPr>
          <w:rFonts w:eastAsia="Times New Roman"/>
          <w:iCs/>
          <w:kern w:val="0"/>
          <w:sz w:val="22"/>
          <w:szCs w:val="22"/>
          <w:lang w:eastAsia="en-AU"/>
          <w14:ligatures w14:val="none"/>
        </w:rPr>
        <w:t>(</w:t>
      </w:r>
      <w:r w:rsidRPr="00DA6A7F">
        <w:rPr>
          <w:rFonts w:eastAsia="Times New Roman"/>
          <w:iCs/>
          <w:kern w:val="0"/>
          <w:sz w:val="22"/>
          <w:szCs w:val="22"/>
          <w:lang w:eastAsia="en-AU"/>
          <w14:ligatures w14:val="none"/>
        </w:rPr>
        <w:t>PE</w:t>
      </w:r>
      <w:r w:rsidR="00DA0F30" w:rsidRPr="00DA6A7F">
        <w:rPr>
          <w:rFonts w:eastAsia="Times New Roman"/>
          <w:iCs/>
          <w:kern w:val="0"/>
          <w:sz w:val="22"/>
          <w:szCs w:val="22"/>
          <w:lang w:eastAsia="en-AU"/>
          <w14:ligatures w14:val="none"/>
        </w:rPr>
        <w:t> </w:t>
      </w:r>
      <w:r w:rsidRPr="00DA6A7F">
        <w:rPr>
          <w:rFonts w:eastAsia="Times New Roman"/>
          <w:iCs/>
          <w:kern w:val="0"/>
          <w:sz w:val="22"/>
          <w:szCs w:val="22"/>
          <w:lang w:eastAsia="en-AU"/>
          <w14:ligatures w14:val="none"/>
        </w:rPr>
        <w:t>009-1</w:t>
      </w:r>
      <w:r w:rsidR="006215F3" w:rsidRPr="00DA6A7F">
        <w:rPr>
          <w:rFonts w:eastAsia="Times New Roman"/>
          <w:iCs/>
          <w:kern w:val="0"/>
          <w:sz w:val="22"/>
          <w:szCs w:val="22"/>
          <w:lang w:eastAsia="en-AU"/>
          <w14:ligatures w14:val="none"/>
        </w:rPr>
        <w:t>7</w:t>
      </w:r>
      <w:r w:rsidR="009A23F8" w:rsidRPr="00DA6A7F">
        <w:rPr>
          <w:rFonts w:eastAsia="Times New Roman"/>
          <w:iCs/>
          <w:kern w:val="0"/>
          <w:sz w:val="22"/>
          <w:szCs w:val="22"/>
          <w:lang w:eastAsia="en-AU"/>
          <w14:ligatures w14:val="none"/>
        </w:rPr>
        <w:t>,</w:t>
      </w:r>
      <w:r w:rsidR="00A14F99" w:rsidRPr="00DA6A7F">
        <w:rPr>
          <w:rFonts w:eastAsia="Times New Roman"/>
          <w:iCs/>
          <w:kern w:val="0"/>
          <w:sz w:val="22"/>
          <w:szCs w:val="22"/>
          <w:lang w:eastAsia="en-AU"/>
          <w14:ligatures w14:val="none"/>
        </w:rPr>
        <w:t xml:space="preserve"> </w:t>
      </w:r>
      <w:r w:rsidR="006215F3" w:rsidRPr="00DA6A7F">
        <w:rPr>
          <w:rFonts w:eastAsia="Times New Roman"/>
          <w:iCs/>
          <w:kern w:val="0"/>
          <w:sz w:val="22"/>
          <w:szCs w:val="22"/>
          <w:lang w:eastAsia="en-AU"/>
          <w14:ligatures w14:val="none"/>
        </w:rPr>
        <w:t>25 August</w:t>
      </w:r>
      <w:r w:rsidRPr="00DA6A7F">
        <w:rPr>
          <w:rFonts w:eastAsia="Times New Roman"/>
          <w:iCs/>
          <w:kern w:val="0"/>
          <w:sz w:val="22"/>
          <w:szCs w:val="22"/>
          <w:lang w:eastAsia="en-AU"/>
          <w14:ligatures w14:val="none"/>
        </w:rPr>
        <w:t xml:space="preserve"> 202</w:t>
      </w:r>
      <w:r w:rsidR="00B442AE" w:rsidRPr="00DA6A7F">
        <w:rPr>
          <w:rFonts w:eastAsia="Times New Roman"/>
          <w:iCs/>
          <w:kern w:val="0"/>
          <w:sz w:val="22"/>
          <w:szCs w:val="22"/>
          <w:lang w:eastAsia="en-AU"/>
          <w14:ligatures w14:val="none"/>
        </w:rPr>
        <w:t>3</w:t>
      </w:r>
      <w:r w:rsidR="009A23F8" w:rsidRPr="00DA6A7F">
        <w:rPr>
          <w:rFonts w:eastAsia="Times New Roman"/>
          <w:iCs/>
          <w:kern w:val="0"/>
          <w:sz w:val="22"/>
          <w:szCs w:val="22"/>
          <w:lang w:eastAsia="en-AU"/>
          <w14:ligatures w14:val="none"/>
        </w:rPr>
        <w:t>)</w:t>
      </w:r>
      <w:r w:rsidRPr="00DA6A7F">
        <w:rPr>
          <w:rFonts w:eastAsia="Times New Roman"/>
          <w:iCs/>
          <w:kern w:val="0"/>
          <w:sz w:val="22"/>
          <w:szCs w:val="22"/>
          <w:lang w:eastAsia="en-AU"/>
          <w14:ligatures w14:val="none"/>
        </w:rPr>
        <w:t xml:space="preserve">, which was published by </w:t>
      </w:r>
      <w:r w:rsidRPr="00DA6A7F">
        <w:rPr>
          <w:rFonts w:eastAsia="Times New Roman"/>
          <w:kern w:val="0"/>
          <w:sz w:val="22"/>
          <w:szCs w:val="22"/>
          <w:lang w:eastAsia="en-AU"/>
          <w14:ligatures w14:val="none"/>
        </w:rPr>
        <w:t xml:space="preserve">PIC/S. This document </w:t>
      </w:r>
      <w:r w:rsidRPr="00DA6A7F">
        <w:rPr>
          <w:rFonts w:eastAsia="Times New Roman"/>
          <w:iCs/>
          <w:kern w:val="0"/>
          <w:sz w:val="22"/>
          <w:szCs w:val="22"/>
          <w:lang w:eastAsia="en-AU"/>
          <w14:ligatures w14:val="none"/>
        </w:rPr>
        <w:t xml:space="preserve">sets out standards that apply to the manufacture of medicines and similar products intended for human </w:t>
      </w:r>
      <w:proofErr w:type="gramStart"/>
      <w:r w:rsidRPr="00DA6A7F">
        <w:rPr>
          <w:rFonts w:eastAsia="Times New Roman"/>
          <w:iCs/>
          <w:kern w:val="0"/>
          <w:sz w:val="22"/>
          <w:szCs w:val="22"/>
          <w:lang w:eastAsia="en-AU"/>
          <w14:ligatures w14:val="none"/>
        </w:rPr>
        <w:t>use</w:t>
      </w:r>
      <w:r w:rsidRPr="00DA6A7F">
        <w:rPr>
          <w:rFonts w:eastAsia="Times New Roman"/>
          <w:kern w:val="0"/>
          <w:sz w:val="22"/>
          <w:szCs w:val="22"/>
          <w:lang w:eastAsia="en-AU"/>
          <w14:ligatures w14:val="none"/>
        </w:rPr>
        <w:t>, and</w:t>
      </w:r>
      <w:proofErr w:type="gramEnd"/>
      <w:r w:rsidRPr="00DA6A7F">
        <w:rPr>
          <w:rFonts w:eastAsia="Times New Roman"/>
          <w:kern w:val="0"/>
          <w:sz w:val="22"/>
          <w:szCs w:val="22"/>
          <w:lang w:eastAsia="en-AU"/>
          <w14:ligatures w14:val="none"/>
        </w:rPr>
        <w:t xml:space="preserve"> is </w:t>
      </w:r>
      <w:r w:rsidRPr="00DA6A7F">
        <w:rPr>
          <w:rFonts w:eastAsia="Times New Roman"/>
          <w:iCs/>
          <w:kern w:val="0"/>
          <w:sz w:val="22"/>
          <w:szCs w:val="22"/>
          <w:lang w:eastAsia="en-AU"/>
          <w14:ligatures w14:val="none"/>
        </w:rPr>
        <w:t xml:space="preserve">available for free on the </w:t>
      </w:r>
      <w:r w:rsidR="00784584" w:rsidRPr="00DA6A7F">
        <w:rPr>
          <w:rFonts w:eastAsia="Times New Roman"/>
          <w:iCs/>
          <w:kern w:val="0"/>
          <w:sz w:val="22"/>
          <w:szCs w:val="22"/>
          <w:lang w:eastAsia="en-AU"/>
          <w14:ligatures w14:val="none"/>
        </w:rPr>
        <w:t>PIC/S’s website (</w:t>
      </w:r>
      <w:r w:rsidR="009A23F8" w:rsidRPr="00DA6A7F">
        <w:rPr>
          <w:rFonts w:eastAsia="Times New Roman"/>
          <w:iCs/>
          <w:kern w:val="0"/>
          <w:sz w:val="22"/>
          <w:szCs w:val="22"/>
          <w:lang w:eastAsia="en-AU"/>
          <w14:ligatures w14:val="none"/>
        </w:rPr>
        <w:t>https://picscheme.org</w:t>
      </w:r>
      <w:r w:rsidR="00784584" w:rsidRPr="00DA6A7F">
        <w:rPr>
          <w:rFonts w:eastAsia="Times New Roman"/>
          <w:iCs/>
          <w:kern w:val="0"/>
          <w:sz w:val="22"/>
          <w:szCs w:val="22"/>
          <w:lang w:eastAsia="en-AU"/>
          <w14:ligatures w14:val="none"/>
        </w:rPr>
        <w:t>)</w:t>
      </w:r>
      <w:r w:rsidRPr="00DA6A7F">
        <w:rPr>
          <w:rFonts w:eastAsia="Times New Roman"/>
          <w:iCs/>
          <w:kern w:val="0"/>
          <w:sz w:val="22"/>
          <w:szCs w:val="22"/>
          <w:lang w:eastAsia="en-AU"/>
          <w14:ligatures w14:val="none"/>
        </w:rPr>
        <w:t>.</w:t>
      </w:r>
    </w:p>
    <w:p w14:paraId="413D5016" w14:textId="77777777" w:rsidR="009A23F8" w:rsidRPr="00DA6A7F" w:rsidRDefault="009A23F8" w:rsidP="009A23F8">
      <w:pPr>
        <w:spacing w:after="0" w:line="240" w:lineRule="auto"/>
        <w:rPr>
          <w:rFonts w:eastAsia="Times New Roman"/>
          <w:iCs/>
          <w:kern w:val="0"/>
          <w:sz w:val="22"/>
          <w:szCs w:val="22"/>
          <w:lang w:eastAsia="en-AU"/>
          <w14:ligatures w14:val="none"/>
        </w:rPr>
      </w:pPr>
    </w:p>
    <w:p w14:paraId="7993FFF5" w14:textId="4828B41D" w:rsidR="00DA60E1" w:rsidRPr="00DA6A7F" w:rsidRDefault="00DA60E1" w:rsidP="009A23F8">
      <w:pPr>
        <w:spacing w:after="0" w:line="240" w:lineRule="auto"/>
        <w:rPr>
          <w:rFonts w:eastAsia="Times New Roman"/>
          <w:bCs/>
          <w:kern w:val="0"/>
          <w:sz w:val="22"/>
          <w:szCs w:val="22"/>
          <w:lang w:eastAsia="en-AU"/>
          <w14:ligatures w14:val="none"/>
        </w:rPr>
      </w:pPr>
      <w:r w:rsidRPr="00DA6A7F">
        <w:rPr>
          <w:rFonts w:eastAsia="Times New Roman"/>
          <w:iCs/>
          <w:kern w:val="0"/>
          <w:sz w:val="22"/>
          <w:szCs w:val="22"/>
          <w:lang w:eastAsia="en-AU"/>
          <w14:ligatures w14:val="none"/>
        </w:rPr>
        <w:t>T</w:t>
      </w:r>
      <w:r w:rsidRPr="00DA6A7F">
        <w:rPr>
          <w:rFonts w:eastAsia="Times New Roman"/>
          <w:bCs/>
          <w:kern w:val="0"/>
          <w:sz w:val="22"/>
          <w:szCs w:val="22"/>
          <w:lang w:eastAsia="en-AU"/>
          <w14:ligatures w14:val="none"/>
        </w:rPr>
        <w:t xml:space="preserve">his document is incorporated as in force or existing </w:t>
      </w:r>
      <w:proofErr w:type="gramStart"/>
      <w:r w:rsidRPr="00DA6A7F">
        <w:rPr>
          <w:rFonts w:eastAsia="Times New Roman"/>
          <w:bCs/>
          <w:kern w:val="0"/>
          <w:sz w:val="22"/>
          <w:szCs w:val="22"/>
          <w:lang w:eastAsia="en-AU"/>
          <w14:ligatures w14:val="none"/>
        </w:rPr>
        <w:t>at</w:t>
      </w:r>
      <w:proofErr w:type="gramEnd"/>
      <w:r w:rsidRPr="00DA6A7F">
        <w:rPr>
          <w:rFonts w:eastAsia="Times New Roman"/>
          <w:bCs/>
          <w:kern w:val="0"/>
          <w:sz w:val="22"/>
          <w:szCs w:val="22"/>
          <w:lang w:eastAsia="en-AU"/>
          <w14:ligatures w14:val="none"/>
        </w:rPr>
        <w:t xml:space="preserve"> </w:t>
      </w:r>
      <w:r w:rsidR="008E1BAF" w:rsidRPr="00DA6A7F">
        <w:rPr>
          <w:rFonts w:eastAsia="Times New Roman"/>
          <w:bCs/>
          <w:kern w:val="0"/>
          <w:sz w:val="22"/>
          <w:szCs w:val="22"/>
          <w:lang w:eastAsia="en-AU"/>
          <w14:ligatures w14:val="none"/>
        </w:rPr>
        <w:t>1 September 2025</w:t>
      </w:r>
      <w:r w:rsidRPr="00DA6A7F">
        <w:rPr>
          <w:rFonts w:eastAsia="Times New Roman"/>
          <w:bCs/>
          <w:kern w:val="0"/>
          <w:sz w:val="22"/>
          <w:szCs w:val="22"/>
          <w:lang w:eastAsia="en-AU"/>
          <w14:ligatures w14:val="none"/>
        </w:rPr>
        <w:t xml:space="preserve">, being the time that the Amendment Determination commences, in accordance with paragraph 14(1)(b) of the </w:t>
      </w:r>
      <w:r w:rsidRPr="00DA6A7F">
        <w:rPr>
          <w:rFonts w:eastAsia="Times New Roman"/>
          <w:bCs/>
          <w:i/>
          <w:kern w:val="0"/>
          <w:sz w:val="22"/>
          <w:szCs w:val="22"/>
          <w:lang w:eastAsia="en-AU"/>
          <w14:ligatures w14:val="none"/>
        </w:rPr>
        <w:t>Legislation Act 2003</w:t>
      </w:r>
      <w:r w:rsidRPr="00DA6A7F">
        <w:rPr>
          <w:rFonts w:eastAsia="Times New Roman"/>
          <w:bCs/>
          <w:iCs/>
          <w:kern w:val="0"/>
          <w:sz w:val="22"/>
          <w:szCs w:val="22"/>
          <w:lang w:eastAsia="en-AU"/>
          <w14:ligatures w14:val="none"/>
        </w:rPr>
        <w:t xml:space="preserve"> (the Legislation Act)</w:t>
      </w:r>
      <w:r w:rsidRPr="00DA6A7F">
        <w:rPr>
          <w:rFonts w:eastAsia="Times New Roman"/>
          <w:bCs/>
          <w:kern w:val="0"/>
          <w:sz w:val="22"/>
          <w:szCs w:val="22"/>
          <w:lang w:eastAsia="en-AU"/>
          <w14:ligatures w14:val="none"/>
        </w:rPr>
        <w:t>.</w:t>
      </w:r>
    </w:p>
    <w:p w14:paraId="3DCF514A" w14:textId="77777777" w:rsidR="00DA60E1" w:rsidRPr="00DA6A7F" w:rsidRDefault="00DA60E1" w:rsidP="009A23F8">
      <w:pPr>
        <w:spacing w:after="0" w:line="240" w:lineRule="auto"/>
        <w:rPr>
          <w:rFonts w:eastAsia="Times New Roman"/>
          <w:bCs/>
          <w:kern w:val="0"/>
          <w:sz w:val="22"/>
          <w:szCs w:val="22"/>
          <w:lang w:eastAsia="en-AU"/>
          <w14:ligatures w14:val="none"/>
        </w:rPr>
      </w:pPr>
    </w:p>
    <w:p w14:paraId="7B740614" w14:textId="77777777" w:rsidR="008E1BAF" w:rsidRPr="00DA6A7F" w:rsidRDefault="008E1BAF" w:rsidP="008E1BAF">
      <w:pPr>
        <w:spacing w:after="0" w:line="240" w:lineRule="auto"/>
        <w:ind w:right="-96"/>
        <w:rPr>
          <w:rFonts w:eastAsia="Times New Roman"/>
          <w:b/>
          <w:kern w:val="0"/>
          <w:sz w:val="22"/>
          <w:szCs w:val="22"/>
          <w:lang w:eastAsia="en-AU"/>
          <w14:ligatures w14:val="none"/>
        </w:rPr>
      </w:pPr>
      <w:bookmarkStart w:id="1" w:name="_Hlk98947730"/>
      <w:r w:rsidRPr="00DA6A7F">
        <w:rPr>
          <w:rFonts w:eastAsia="Times New Roman"/>
          <w:b/>
          <w:kern w:val="0"/>
          <w:sz w:val="22"/>
          <w:szCs w:val="22"/>
          <w:lang w:eastAsia="en-AU"/>
          <w14:ligatures w14:val="none"/>
        </w:rPr>
        <w:t>Consultation</w:t>
      </w:r>
    </w:p>
    <w:p w14:paraId="23951EEA" w14:textId="77777777" w:rsidR="00EA3AFC" w:rsidRPr="00DA6A7F" w:rsidRDefault="00EA3AFC" w:rsidP="009A23F8">
      <w:pPr>
        <w:spacing w:after="0" w:line="240" w:lineRule="auto"/>
        <w:rPr>
          <w:rFonts w:eastAsia="Times New Roman"/>
          <w:kern w:val="0"/>
          <w:sz w:val="22"/>
          <w:szCs w:val="22"/>
          <w:shd w:val="clear" w:color="auto" w:fill="FFFFFF"/>
          <w:lang w:eastAsia="en-AU"/>
          <w14:ligatures w14:val="none"/>
        </w:rPr>
      </w:pPr>
    </w:p>
    <w:p w14:paraId="03CAAE42" w14:textId="28F1D3B4" w:rsidR="00FE44FF" w:rsidRPr="00DA6A7F" w:rsidRDefault="00B112C2" w:rsidP="009A23F8">
      <w:pPr>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Between March and </w:t>
      </w:r>
      <w:r w:rsidR="008D1D5C" w:rsidRPr="00DA6A7F">
        <w:rPr>
          <w:rFonts w:eastAsia="Times New Roman"/>
          <w:kern w:val="0"/>
          <w:sz w:val="22"/>
          <w:szCs w:val="22"/>
          <w14:ligatures w14:val="none"/>
        </w:rPr>
        <w:t xml:space="preserve">July </w:t>
      </w:r>
      <w:r w:rsidRPr="00DA6A7F">
        <w:rPr>
          <w:rFonts w:eastAsia="Times New Roman"/>
          <w:kern w:val="0"/>
          <w:sz w:val="22"/>
          <w:szCs w:val="22"/>
          <w14:ligatures w14:val="none"/>
        </w:rPr>
        <w:t>2025, t</w:t>
      </w:r>
      <w:r w:rsidR="00043145" w:rsidRPr="00DA6A7F">
        <w:rPr>
          <w:rFonts w:eastAsia="Times New Roman"/>
          <w:kern w:val="0"/>
          <w:sz w:val="22"/>
          <w:szCs w:val="22"/>
          <w14:ligatures w14:val="none"/>
        </w:rPr>
        <w:t>he TGA undertook t</w:t>
      </w:r>
      <w:r w:rsidR="00FE44FF" w:rsidRPr="00DA6A7F">
        <w:rPr>
          <w:rFonts w:eastAsia="Times New Roman"/>
          <w:kern w:val="0"/>
          <w:sz w:val="22"/>
          <w:szCs w:val="22"/>
          <w14:ligatures w14:val="none"/>
        </w:rPr>
        <w:t xml:space="preserve">argeted consultation </w:t>
      </w:r>
      <w:r w:rsidR="00043145" w:rsidRPr="00DA6A7F">
        <w:rPr>
          <w:rFonts w:eastAsia="Times New Roman"/>
          <w:kern w:val="0"/>
          <w:sz w:val="22"/>
          <w:szCs w:val="22"/>
          <w14:ligatures w14:val="none"/>
        </w:rPr>
        <w:t xml:space="preserve">in relation to </w:t>
      </w:r>
      <w:r w:rsidR="00E97620" w:rsidRPr="00DA6A7F">
        <w:rPr>
          <w:rFonts w:eastAsia="Times New Roman"/>
          <w:kern w:val="0"/>
          <w:sz w:val="22"/>
          <w:szCs w:val="22"/>
          <w14:ligatures w14:val="none"/>
        </w:rPr>
        <w:t xml:space="preserve">the incorporation of </w:t>
      </w:r>
      <w:r w:rsidR="00043145" w:rsidRPr="00DA6A7F">
        <w:rPr>
          <w:rFonts w:eastAsia="Times New Roman"/>
          <w:kern w:val="0"/>
          <w:sz w:val="22"/>
          <w:szCs w:val="22"/>
          <w14:ligatures w14:val="none"/>
        </w:rPr>
        <w:t>version</w:t>
      </w:r>
      <w:r w:rsidR="00C24C41" w:rsidRPr="00DA6A7F">
        <w:rPr>
          <w:rFonts w:eastAsia="Times New Roman"/>
          <w:kern w:val="0"/>
          <w:sz w:val="22"/>
          <w:szCs w:val="22"/>
          <w14:ligatures w14:val="none"/>
        </w:rPr>
        <w:t xml:space="preserve"> </w:t>
      </w:r>
      <w:r w:rsidR="00C24C41" w:rsidRPr="00DA6A7F">
        <w:rPr>
          <w:rFonts w:eastAsia="Times New Roman"/>
          <w:iCs/>
          <w:kern w:val="0"/>
          <w:sz w:val="22"/>
          <w:szCs w:val="22"/>
          <w:lang w:eastAsia="en-AU"/>
          <w14:ligatures w14:val="none"/>
        </w:rPr>
        <w:t>PE</w:t>
      </w:r>
      <w:r w:rsidR="00DA0F30" w:rsidRPr="00DA6A7F">
        <w:rPr>
          <w:rFonts w:eastAsia="Times New Roman"/>
          <w:iCs/>
          <w:kern w:val="0"/>
          <w:sz w:val="22"/>
          <w:szCs w:val="22"/>
          <w:lang w:eastAsia="en-AU"/>
          <w14:ligatures w14:val="none"/>
        </w:rPr>
        <w:t> </w:t>
      </w:r>
      <w:r w:rsidR="00C24C41" w:rsidRPr="00DA6A7F">
        <w:rPr>
          <w:rFonts w:eastAsia="Times New Roman"/>
          <w:iCs/>
          <w:kern w:val="0"/>
          <w:sz w:val="22"/>
          <w:szCs w:val="22"/>
          <w:lang w:eastAsia="en-AU"/>
          <w14:ligatures w14:val="none"/>
        </w:rPr>
        <w:t>009-17</w:t>
      </w:r>
      <w:r w:rsidR="00043145" w:rsidRPr="00DA6A7F">
        <w:rPr>
          <w:rFonts w:eastAsia="Times New Roman"/>
          <w:kern w:val="0"/>
          <w:sz w:val="22"/>
          <w:szCs w:val="22"/>
          <w14:ligatures w14:val="none"/>
        </w:rPr>
        <w:t xml:space="preserve"> of the PIC/S Guide to GMP. </w:t>
      </w:r>
      <w:r w:rsidR="00FE44FF" w:rsidRPr="00DA6A7F">
        <w:rPr>
          <w:rFonts w:eastAsia="Times New Roman"/>
          <w:kern w:val="0"/>
          <w:sz w:val="22"/>
          <w:szCs w:val="22"/>
          <w14:ligatures w14:val="none"/>
        </w:rPr>
        <w:t>Stakeholders</w:t>
      </w:r>
      <w:r w:rsidRPr="00DA6A7F">
        <w:rPr>
          <w:rFonts w:eastAsia="Times New Roman"/>
          <w:kern w:val="0"/>
          <w:sz w:val="22"/>
          <w:szCs w:val="22"/>
          <w14:ligatures w14:val="none"/>
        </w:rPr>
        <w:t xml:space="preserve"> consulted</w:t>
      </w:r>
      <w:r w:rsidR="00FE44FF" w:rsidRPr="00DA6A7F">
        <w:rPr>
          <w:rFonts w:eastAsia="Times New Roman"/>
          <w:kern w:val="0"/>
          <w:sz w:val="22"/>
          <w:szCs w:val="22"/>
          <w14:ligatures w14:val="none"/>
        </w:rPr>
        <w:t xml:space="preserve"> included members of the TGA Industry Working Group on GMP and industry associations</w:t>
      </w:r>
      <w:r w:rsidRPr="00DA6A7F">
        <w:rPr>
          <w:rFonts w:eastAsia="Times New Roman"/>
          <w:kern w:val="0"/>
          <w:sz w:val="22"/>
          <w:szCs w:val="22"/>
          <w14:ligatures w14:val="none"/>
        </w:rPr>
        <w:t xml:space="preserve">, including the </w:t>
      </w:r>
      <w:r w:rsidR="00FE44FF" w:rsidRPr="00DA6A7F">
        <w:rPr>
          <w:rFonts w:eastAsia="Times New Roman"/>
          <w:kern w:val="0"/>
          <w:sz w:val="22"/>
          <w:szCs w:val="22"/>
          <w14:ligatures w14:val="none"/>
        </w:rPr>
        <w:t>Australasian College of Physical Scientists and Engineers in Medicine</w:t>
      </w:r>
      <w:r w:rsidRPr="00DA6A7F">
        <w:rPr>
          <w:rFonts w:eastAsia="Times New Roman"/>
          <w:kern w:val="0"/>
          <w:sz w:val="22"/>
          <w:szCs w:val="22"/>
          <w14:ligatures w14:val="none"/>
        </w:rPr>
        <w:t xml:space="preserve">, </w:t>
      </w:r>
      <w:r w:rsidR="00104BF8" w:rsidRPr="00DA6A7F">
        <w:rPr>
          <w:rFonts w:eastAsia="Times New Roman"/>
          <w:kern w:val="0"/>
          <w:sz w:val="22"/>
          <w:szCs w:val="22"/>
          <w14:ligatures w14:val="none"/>
        </w:rPr>
        <w:t>Active Pharmaceutical Ingredient Manufacturers’ Association of Australia</w:t>
      </w:r>
      <w:r w:rsidRPr="00DA6A7F">
        <w:rPr>
          <w:rFonts w:eastAsia="Times New Roman"/>
          <w:kern w:val="0"/>
          <w:sz w:val="22"/>
          <w:szCs w:val="22"/>
          <w14:ligatures w14:val="none"/>
        </w:rPr>
        <w:t xml:space="preserve">, </w:t>
      </w:r>
      <w:r w:rsidR="00FE44FF" w:rsidRPr="00DA6A7F">
        <w:rPr>
          <w:rFonts w:eastAsia="Times New Roman"/>
          <w:kern w:val="0"/>
          <w:sz w:val="22"/>
          <w:szCs w:val="22"/>
          <w14:ligatures w14:val="none"/>
        </w:rPr>
        <w:t>Generic</w:t>
      </w:r>
      <w:r w:rsidR="004E4E6B" w:rsidRPr="00DA6A7F">
        <w:rPr>
          <w:rFonts w:eastAsia="Times New Roman"/>
          <w:kern w:val="0"/>
          <w:sz w:val="22"/>
          <w:szCs w:val="22"/>
          <w14:ligatures w14:val="none"/>
        </w:rPr>
        <w:t xml:space="preserve"> </w:t>
      </w:r>
      <w:r w:rsidR="00FE44FF" w:rsidRPr="00DA6A7F">
        <w:rPr>
          <w:rFonts w:eastAsia="Times New Roman"/>
          <w:kern w:val="0"/>
          <w:sz w:val="22"/>
          <w:szCs w:val="22"/>
          <w14:ligatures w14:val="none"/>
        </w:rPr>
        <w:t>and Biosimilar Medicines Association</w:t>
      </w:r>
      <w:r w:rsidRPr="00DA6A7F">
        <w:rPr>
          <w:rFonts w:eastAsia="Times New Roman"/>
          <w:kern w:val="0"/>
          <w:sz w:val="22"/>
          <w:szCs w:val="22"/>
          <w14:ligatures w14:val="none"/>
        </w:rPr>
        <w:t xml:space="preserve">, </w:t>
      </w:r>
      <w:r w:rsidR="00FE44FF" w:rsidRPr="00DA6A7F">
        <w:rPr>
          <w:rFonts w:eastAsia="Times New Roman"/>
          <w:kern w:val="0"/>
          <w:sz w:val="22"/>
          <w:szCs w:val="22"/>
          <w14:ligatures w14:val="none"/>
        </w:rPr>
        <w:t>Association of Therapeutic Goods Consultants Inc</w:t>
      </w:r>
      <w:r w:rsidRPr="00DA6A7F">
        <w:rPr>
          <w:rFonts w:eastAsia="Times New Roman"/>
          <w:kern w:val="0"/>
          <w:sz w:val="22"/>
          <w:szCs w:val="22"/>
          <w14:ligatures w14:val="none"/>
        </w:rPr>
        <w:t xml:space="preserve">, </w:t>
      </w:r>
      <w:r w:rsidR="00FE44FF" w:rsidRPr="00DA6A7F">
        <w:rPr>
          <w:rFonts w:eastAsia="Times New Roman"/>
          <w:kern w:val="0"/>
          <w:sz w:val="22"/>
          <w:szCs w:val="22"/>
          <w14:ligatures w14:val="none"/>
        </w:rPr>
        <w:t>Medicines Australia</w:t>
      </w:r>
      <w:r w:rsidRPr="00DA6A7F">
        <w:rPr>
          <w:rFonts w:eastAsia="Times New Roman"/>
          <w:kern w:val="0"/>
          <w:sz w:val="22"/>
          <w:szCs w:val="22"/>
          <w14:ligatures w14:val="none"/>
        </w:rPr>
        <w:t xml:space="preserve">, </w:t>
      </w:r>
      <w:r w:rsidR="00FE44FF" w:rsidRPr="00DA6A7F">
        <w:rPr>
          <w:rFonts w:eastAsia="Times New Roman"/>
          <w:kern w:val="0"/>
          <w:sz w:val="22"/>
          <w:szCs w:val="22"/>
          <w14:ligatures w14:val="none"/>
        </w:rPr>
        <w:t>TGA</w:t>
      </w:r>
      <w:r w:rsidR="00626B2E" w:rsidRPr="00DA6A7F">
        <w:rPr>
          <w:rFonts w:eastAsia="Times New Roman"/>
          <w:kern w:val="0"/>
          <w:sz w:val="22"/>
          <w:szCs w:val="22"/>
          <w14:ligatures w14:val="none"/>
        </w:rPr>
        <w:t>-</w:t>
      </w:r>
      <w:r w:rsidR="00FE44FF" w:rsidRPr="00DA6A7F">
        <w:rPr>
          <w:rFonts w:eastAsia="Times New Roman"/>
          <w:kern w:val="0"/>
          <w:sz w:val="22"/>
          <w:szCs w:val="22"/>
          <w14:ligatures w14:val="none"/>
        </w:rPr>
        <w:t>Licensed Chemotherapy Compounders</w:t>
      </w:r>
      <w:r w:rsidRPr="00DA6A7F">
        <w:rPr>
          <w:rFonts w:eastAsia="Times New Roman"/>
          <w:kern w:val="0"/>
          <w:sz w:val="22"/>
          <w:szCs w:val="22"/>
          <w14:ligatures w14:val="none"/>
        </w:rPr>
        <w:t xml:space="preserve"> </w:t>
      </w:r>
      <w:r w:rsidR="00626B2E" w:rsidRPr="00DA6A7F">
        <w:rPr>
          <w:rFonts w:eastAsia="Times New Roman"/>
          <w:kern w:val="0"/>
          <w:sz w:val="22"/>
          <w:szCs w:val="22"/>
          <w14:ligatures w14:val="none"/>
        </w:rPr>
        <w:t xml:space="preserve">of Australia, </w:t>
      </w:r>
      <w:r w:rsidRPr="00DA6A7F">
        <w:rPr>
          <w:rFonts w:eastAsia="Times New Roman"/>
          <w:kern w:val="0"/>
          <w:sz w:val="22"/>
          <w:szCs w:val="22"/>
          <w14:ligatures w14:val="none"/>
        </w:rPr>
        <w:t xml:space="preserve">and </w:t>
      </w:r>
      <w:r w:rsidR="00FE44FF" w:rsidRPr="00DA6A7F">
        <w:rPr>
          <w:rFonts w:eastAsia="Times New Roman"/>
          <w:kern w:val="0"/>
          <w:sz w:val="22"/>
          <w:szCs w:val="22"/>
          <w14:ligatures w14:val="none"/>
        </w:rPr>
        <w:t>Standards Australia.</w:t>
      </w:r>
    </w:p>
    <w:p w14:paraId="153DA334" w14:textId="77777777" w:rsidR="00FE44FF" w:rsidRPr="00DA6A7F" w:rsidRDefault="00FE44FF" w:rsidP="009A23F8">
      <w:pPr>
        <w:spacing w:after="0" w:line="240" w:lineRule="auto"/>
        <w:rPr>
          <w:rFonts w:eastAsia="Times New Roman"/>
          <w:kern w:val="0"/>
          <w:sz w:val="22"/>
          <w:szCs w:val="22"/>
          <w14:ligatures w14:val="none"/>
        </w:rPr>
      </w:pPr>
    </w:p>
    <w:p w14:paraId="4AC5C130" w14:textId="17A7B088" w:rsidR="00B112C2" w:rsidRPr="00DA6A7F" w:rsidRDefault="00B112C2" w:rsidP="009A23F8">
      <w:pPr>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The TGA provided stakeholders with a detailed gap analysis of the differences between </w:t>
      </w:r>
      <w:r w:rsidR="00DA0F30" w:rsidRPr="00DA6A7F">
        <w:rPr>
          <w:rFonts w:eastAsia="Times New Roman"/>
          <w:kern w:val="0"/>
          <w:sz w:val="22"/>
          <w:szCs w:val="22"/>
          <w14:ligatures w14:val="none"/>
        </w:rPr>
        <w:t xml:space="preserve">versions </w:t>
      </w:r>
      <w:r w:rsidRPr="00DA6A7F">
        <w:rPr>
          <w:sz w:val="22"/>
          <w:szCs w:val="22"/>
          <w:shd w:val="clear" w:color="auto" w:fill="FFFFFF"/>
        </w:rPr>
        <w:t>PE</w:t>
      </w:r>
      <w:r w:rsidR="00DA0F30" w:rsidRPr="00DA6A7F">
        <w:rPr>
          <w:sz w:val="22"/>
          <w:szCs w:val="22"/>
          <w:shd w:val="clear" w:color="auto" w:fill="FFFFFF"/>
        </w:rPr>
        <w:t> </w:t>
      </w:r>
      <w:r w:rsidRPr="00DA6A7F">
        <w:rPr>
          <w:sz w:val="22"/>
          <w:szCs w:val="22"/>
          <w:shd w:val="clear" w:color="auto" w:fill="FFFFFF"/>
        </w:rPr>
        <w:t xml:space="preserve">009-16 and </w:t>
      </w:r>
      <w:r w:rsidRPr="00DA6A7F">
        <w:rPr>
          <w:rFonts w:eastAsia="Times New Roman"/>
          <w:iCs/>
          <w:kern w:val="0"/>
          <w:sz w:val="22"/>
          <w:szCs w:val="22"/>
          <w:lang w:eastAsia="en-AU"/>
          <w14:ligatures w14:val="none"/>
        </w:rPr>
        <w:t>PE</w:t>
      </w:r>
      <w:r w:rsidR="00DA0F30" w:rsidRPr="00DA6A7F">
        <w:rPr>
          <w:rFonts w:eastAsia="Times New Roman"/>
          <w:iCs/>
          <w:kern w:val="0"/>
          <w:sz w:val="22"/>
          <w:szCs w:val="22"/>
          <w:lang w:eastAsia="en-AU"/>
          <w14:ligatures w14:val="none"/>
        </w:rPr>
        <w:t> </w:t>
      </w:r>
      <w:r w:rsidRPr="00DA6A7F">
        <w:rPr>
          <w:rFonts w:eastAsia="Times New Roman"/>
          <w:iCs/>
          <w:kern w:val="0"/>
          <w:sz w:val="22"/>
          <w:szCs w:val="22"/>
          <w:lang w:eastAsia="en-AU"/>
          <w14:ligatures w14:val="none"/>
        </w:rPr>
        <w:t>009-17</w:t>
      </w:r>
      <w:r w:rsidR="00DA0F30" w:rsidRPr="00DA6A7F">
        <w:rPr>
          <w:rFonts w:eastAsia="Times New Roman"/>
          <w:iCs/>
          <w:kern w:val="0"/>
          <w:sz w:val="22"/>
          <w:szCs w:val="22"/>
          <w:lang w:eastAsia="en-AU"/>
          <w14:ligatures w14:val="none"/>
        </w:rPr>
        <w:t xml:space="preserve"> of the </w:t>
      </w:r>
      <w:r w:rsidR="00DA0F30" w:rsidRPr="00DA6A7F">
        <w:rPr>
          <w:rFonts w:eastAsia="Times New Roman"/>
          <w:kern w:val="0"/>
          <w:sz w:val="22"/>
          <w:szCs w:val="22"/>
          <w14:ligatures w14:val="none"/>
        </w:rPr>
        <w:t>PIC/S Guide to GMP</w:t>
      </w:r>
      <w:r w:rsidR="00705BA9" w:rsidRPr="00DA6A7F">
        <w:rPr>
          <w:rFonts w:eastAsia="Times New Roman"/>
          <w:iCs/>
          <w:kern w:val="0"/>
          <w:sz w:val="22"/>
          <w:szCs w:val="22"/>
          <w:lang w:eastAsia="en-AU"/>
          <w14:ligatures w14:val="none"/>
        </w:rPr>
        <w:t xml:space="preserve">. </w:t>
      </w:r>
      <w:r w:rsidR="00705BA9" w:rsidRPr="00DA6A7F">
        <w:rPr>
          <w:rFonts w:eastAsia="Times New Roman"/>
          <w:kern w:val="0"/>
          <w:sz w:val="22"/>
          <w:szCs w:val="22"/>
          <w14:ligatures w14:val="none"/>
        </w:rPr>
        <w:t>Feedback from the key industry associations was generally positive,</w:t>
      </w:r>
      <w:r w:rsidR="008D1D5C" w:rsidRPr="00DA6A7F">
        <w:rPr>
          <w:rFonts w:eastAsia="Times New Roman"/>
          <w:kern w:val="0"/>
          <w:sz w:val="22"/>
          <w:szCs w:val="22"/>
          <w14:ligatures w14:val="none"/>
        </w:rPr>
        <w:t xml:space="preserve"> and</w:t>
      </w:r>
      <w:r w:rsidR="008E1BAF" w:rsidRPr="00DA6A7F">
        <w:rPr>
          <w:rFonts w:eastAsia="Times New Roman"/>
          <w:kern w:val="0"/>
          <w:sz w:val="22"/>
          <w:szCs w:val="22"/>
          <w14:ligatures w14:val="none"/>
        </w:rPr>
        <w:t xml:space="preserve"> </w:t>
      </w:r>
      <w:r w:rsidR="008D1D5C" w:rsidRPr="00DA6A7F">
        <w:rPr>
          <w:rFonts w:eastAsia="Times New Roman"/>
          <w:kern w:val="0"/>
          <w:sz w:val="22"/>
          <w:szCs w:val="22"/>
          <w14:ligatures w14:val="none"/>
        </w:rPr>
        <w:t>t</w:t>
      </w:r>
      <w:r w:rsidR="00705BA9" w:rsidRPr="00DA6A7F">
        <w:rPr>
          <w:rFonts w:eastAsia="Times New Roman"/>
          <w:kern w:val="0"/>
          <w:sz w:val="22"/>
          <w:szCs w:val="22"/>
          <w14:ligatures w14:val="none"/>
        </w:rPr>
        <w:t xml:space="preserve">he associations encouraged and supported the adoption of version </w:t>
      </w:r>
      <w:r w:rsidR="00705BA9" w:rsidRPr="00DA6A7F">
        <w:rPr>
          <w:rFonts w:eastAsia="Times New Roman"/>
          <w:iCs/>
          <w:kern w:val="0"/>
          <w:sz w:val="22"/>
          <w:szCs w:val="22"/>
          <w:lang w:eastAsia="en-AU"/>
          <w14:ligatures w14:val="none"/>
        </w:rPr>
        <w:t>PE</w:t>
      </w:r>
      <w:r w:rsidR="00DA0F30" w:rsidRPr="00DA6A7F">
        <w:rPr>
          <w:rFonts w:eastAsia="Times New Roman"/>
          <w:iCs/>
          <w:kern w:val="0"/>
          <w:sz w:val="22"/>
          <w:szCs w:val="22"/>
          <w:lang w:eastAsia="en-AU"/>
          <w14:ligatures w14:val="none"/>
        </w:rPr>
        <w:t> </w:t>
      </w:r>
      <w:r w:rsidR="00705BA9" w:rsidRPr="00DA6A7F">
        <w:rPr>
          <w:rFonts w:eastAsia="Times New Roman"/>
          <w:iCs/>
          <w:kern w:val="0"/>
          <w:sz w:val="22"/>
          <w:szCs w:val="22"/>
          <w:lang w:eastAsia="en-AU"/>
          <w14:ligatures w14:val="none"/>
        </w:rPr>
        <w:t>009-17</w:t>
      </w:r>
      <w:r w:rsidR="00705BA9" w:rsidRPr="00DA6A7F">
        <w:rPr>
          <w:rFonts w:eastAsia="Times New Roman"/>
          <w:kern w:val="0"/>
          <w:sz w:val="22"/>
          <w:szCs w:val="22"/>
          <w14:ligatures w14:val="none"/>
        </w:rPr>
        <w:t xml:space="preserve">, recognising the importance of international equivalence and reputation for Australian </w:t>
      </w:r>
      <w:r w:rsidR="008E1BAF" w:rsidRPr="00DA6A7F">
        <w:rPr>
          <w:rFonts w:eastAsia="Times New Roman"/>
          <w:kern w:val="0"/>
          <w:sz w:val="22"/>
          <w:szCs w:val="22"/>
          <w14:ligatures w14:val="none"/>
        </w:rPr>
        <w:t>manufacturers.</w:t>
      </w:r>
      <w:r w:rsidR="00951CB9" w:rsidRPr="00DA6A7F">
        <w:rPr>
          <w:rFonts w:eastAsia="Times New Roman"/>
          <w:kern w:val="0"/>
          <w:sz w:val="22"/>
          <w:szCs w:val="22"/>
          <w14:ligatures w14:val="none"/>
        </w:rPr>
        <w:t xml:space="preserve"> </w:t>
      </w:r>
      <w:r w:rsidR="003F388C" w:rsidRPr="00DA6A7F">
        <w:rPr>
          <w:rFonts w:eastAsia="Times New Roman"/>
          <w:kern w:val="0"/>
          <w:sz w:val="22"/>
          <w:szCs w:val="22"/>
          <w14:ligatures w14:val="none"/>
        </w:rPr>
        <w:t>In response to consultation feedback from manufacturers</w:t>
      </w:r>
      <w:r w:rsidR="00951CB9" w:rsidRPr="00DA6A7F">
        <w:rPr>
          <w:rFonts w:eastAsia="Times New Roman"/>
          <w:kern w:val="0"/>
          <w:sz w:val="22"/>
          <w:szCs w:val="22"/>
          <w14:ligatures w14:val="none"/>
        </w:rPr>
        <w:t xml:space="preserve"> of sterile medicines and active pharmaceutical ingredients</w:t>
      </w:r>
      <w:r w:rsidR="003F388C" w:rsidRPr="00DA6A7F">
        <w:rPr>
          <w:rFonts w:eastAsia="Times New Roman"/>
          <w:kern w:val="0"/>
          <w:sz w:val="22"/>
          <w:szCs w:val="22"/>
          <w14:ligatures w14:val="none"/>
        </w:rPr>
        <w:t xml:space="preserve">, the Amendment Determination provides for a </w:t>
      </w:r>
      <w:r w:rsidR="0075105D" w:rsidRPr="00DA6A7F">
        <w:rPr>
          <w:rFonts w:eastAsia="Times New Roman"/>
          <w:kern w:val="0"/>
          <w:sz w:val="22"/>
          <w:szCs w:val="22"/>
          <w14:ligatures w14:val="none"/>
        </w:rPr>
        <w:t xml:space="preserve">delayed </w:t>
      </w:r>
      <w:r w:rsidR="00A23F73" w:rsidRPr="00DA6A7F">
        <w:rPr>
          <w:rFonts w:eastAsia="Times New Roman"/>
          <w:kern w:val="0"/>
          <w:sz w:val="22"/>
          <w:szCs w:val="22"/>
          <w14:ligatures w14:val="none"/>
        </w:rPr>
        <w:t xml:space="preserve">application of </w:t>
      </w:r>
      <w:r w:rsidR="0075105D" w:rsidRPr="00DA6A7F">
        <w:rPr>
          <w:rFonts w:eastAsia="Times New Roman"/>
          <w:kern w:val="0"/>
          <w:sz w:val="22"/>
          <w:szCs w:val="22"/>
          <w14:ligatures w14:val="none"/>
        </w:rPr>
        <w:t xml:space="preserve">6 months for </w:t>
      </w:r>
      <w:r w:rsidR="003F388C" w:rsidRPr="00DA6A7F">
        <w:rPr>
          <w:rFonts w:eastAsia="Times New Roman"/>
          <w:kern w:val="0"/>
          <w:sz w:val="22"/>
          <w:szCs w:val="22"/>
          <w14:ligatures w14:val="none"/>
        </w:rPr>
        <w:t xml:space="preserve">clauses 2.1, 2.3, 7.14 and 9.31 of Annex 1 </w:t>
      </w:r>
      <w:r w:rsidR="00686502" w:rsidRPr="00DA6A7F">
        <w:rPr>
          <w:rFonts w:eastAsia="Times New Roman"/>
          <w:kern w:val="0"/>
          <w:sz w:val="22"/>
          <w:szCs w:val="22"/>
          <w14:ligatures w14:val="none"/>
        </w:rPr>
        <w:t>to</w:t>
      </w:r>
      <w:r w:rsidR="003F388C" w:rsidRPr="00DA6A7F">
        <w:rPr>
          <w:rFonts w:eastAsia="Times New Roman"/>
          <w:kern w:val="0"/>
          <w:sz w:val="22"/>
          <w:szCs w:val="22"/>
          <w14:ligatures w14:val="none"/>
        </w:rPr>
        <w:t xml:space="preserve"> version </w:t>
      </w:r>
      <w:r w:rsidR="003F388C" w:rsidRPr="00DA6A7F">
        <w:rPr>
          <w:rFonts w:eastAsia="Times New Roman"/>
          <w:iCs/>
          <w:kern w:val="0"/>
          <w:sz w:val="22"/>
          <w:szCs w:val="22"/>
          <w:lang w:eastAsia="en-AU"/>
          <w14:ligatures w14:val="none"/>
        </w:rPr>
        <w:t>PE 009-17</w:t>
      </w:r>
      <w:r w:rsidR="0075105D" w:rsidRPr="00DA6A7F">
        <w:rPr>
          <w:rFonts w:eastAsia="Times New Roman"/>
          <w:kern w:val="0"/>
          <w:sz w:val="22"/>
          <w:szCs w:val="22"/>
          <w14:ligatures w14:val="none"/>
        </w:rPr>
        <w:t xml:space="preserve">, </w:t>
      </w:r>
      <w:r w:rsidR="00951CB9" w:rsidRPr="00DA6A7F">
        <w:rPr>
          <w:rFonts w:eastAsia="Times New Roman"/>
          <w:kern w:val="0"/>
          <w:sz w:val="22"/>
          <w:szCs w:val="22"/>
          <w14:ligatures w14:val="none"/>
        </w:rPr>
        <w:t xml:space="preserve">for </w:t>
      </w:r>
      <w:r w:rsidR="004E4E6B" w:rsidRPr="00DA6A7F">
        <w:rPr>
          <w:rFonts w:eastAsia="Times New Roman"/>
          <w:kern w:val="0"/>
          <w:sz w:val="22"/>
          <w:szCs w:val="22"/>
          <w14:ligatures w14:val="none"/>
        </w:rPr>
        <w:t xml:space="preserve">the manufacture of </w:t>
      </w:r>
      <w:r w:rsidR="00951CB9" w:rsidRPr="00DA6A7F">
        <w:rPr>
          <w:rFonts w:eastAsia="Times New Roman"/>
          <w:kern w:val="0"/>
          <w:sz w:val="22"/>
          <w:szCs w:val="22"/>
          <w14:ligatures w14:val="none"/>
        </w:rPr>
        <w:t xml:space="preserve">therapeutic goods that are sterile medicines or active pharmaceutical ingredients, </w:t>
      </w:r>
      <w:r w:rsidR="003F388C" w:rsidRPr="00DA6A7F">
        <w:rPr>
          <w:rFonts w:eastAsia="Times New Roman"/>
          <w:kern w:val="0"/>
          <w:sz w:val="22"/>
          <w:szCs w:val="22"/>
          <w14:ligatures w14:val="none"/>
        </w:rPr>
        <w:t xml:space="preserve">to allow </w:t>
      </w:r>
      <w:r w:rsidR="0075105D" w:rsidRPr="00DA6A7F">
        <w:rPr>
          <w:rFonts w:eastAsia="Times New Roman"/>
          <w:kern w:val="0"/>
          <w:sz w:val="22"/>
          <w:szCs w:val="22"/>
          <w14:ligatures w14:val="none"/>
        </w:rPr>
        <w:t>industry</w:t>
      </w:r>
      <w:r w:rsidR="003F388C" w:rsidRPr="00DA6A7F">
        <w:rPr>
          <w:rFonts w:eastAsia="Times New Roman"/>
          <w:kern w:val="0"/>
          <w:sz w:val="22"/>
          <w:szCs w:val="22"/>
          <w14:ligatures w14:val="none"/>
        </w:rPr>
        <w:t xml:space="preserve"> sufficient time to </w:t>
      </w:r>
      <w:r w:rsidR="0075105D" w:rsidRPr="00DA6A7F">
        <w:rPr>
          <w:rFonts w:eastAsia="Times New Roman"/>
          <w:kern w:val="0"/>
          <w:sz w:val="22"/>
          <w:szCs w:val="22"/>
          <w14:ligatures w14:val="none"/>
        </w:rPr>
        <w:t xml:space="preserve">ensure </w:t>
      </w:r>
      <w:r w:rsidR="00BB19E1" w:rsidRPr="00DA6A7F">
        <w:rPr>
          <w:rFonts w:eastAsia="Times New Roman"/>
          <w:kern w:val="0"/>
          <w:sz w:val="22"/>
          <w:szCs w:val="22"/>
          <w14:ligatures w14:val="none"/>
        </w:rPr>
        <w:t xml:space="preserve">that </w:t>
      </w:r>
      <w:r w:rsidR="0075105D" w:rsidRPr="00DA6A7F">
        <w:rPr>
          <w:rFonts w:eastAsia="Times New Roman"/>
          <w:kern w:val="0"/>
          <w:sz w:val="22"/>
          <w:szCs w:val="22"/>
          <w14:ligatures w14:val="none"/>
        </w:rPr>
        <w:t>their manufacturing practices comply with the updated</w:t>
      </w:r>
      <w:r w:rsidR="003F388C" w:rsidRPr="00DA6A7F">
        <w:rPr>
          <w:rFonts w:eastAsia="Times New Roman"/>
          <w:kern w:val="0"/>
          <w:sz w:val="22"/>
          <w:szCs w:val="22"/>
          <w14:ligatures w14:val="none"/>
        </w:rPr>
        <w:t xml:space="preserve"> requirements</w:t>
      </w:r>
      <w:r w:rsidR="0075105D" w:rsidRPr="00DA6A7F">
        <w:rPr>
          <w:rFonts w:eastAsia="Times New Roman"/>
          <w:kern w:val="0"/>
          <w:sz w:val="22"/>
          <w:szCs w:val="22"/>
          <w14:ligatures w14:val="none"/>
        </w:rPr>
        <w:t xml:space="preserve"> in those clauses</w:t>
      </w:r>
      <w:r w:rsidR="003F388C" w:rsidRPr="00DA6A7F">
        <w:rPr>
          <w:rFonts w:eastAsia="Times New Roman"/>
          <w:kern w:val="0"/>
          <w:sz w:val="22"/>
          <w:szCs w:val="22"/>
          <w14:ligatures w14:val="none"/>
        </w:rPr>
        <w:t>.</w:t>
      </w:r>
    </w:p>
    <w:p w14:paraId="67564329" w14:textId="77777777" w:rsidR="008707AA" w:rsidRPr="00DA6A7F" w:rsidRDefault="008707AA" w:rsidP="009A23F8">
      <w:pPr>
        <w:spacing w:after="0" w:line="240" w:lineRule="auto"/>
        <w:rPr>
          <w:rFonts w:eastAsia="Times New Roman"/>
          <w:kern w:val="0"/>
          <w:sz w:val="22"/>
          <w:szCs w:val="22"/>
          <w:lang w:eastAsia="en-AU"/>
          <w14:ligatures w14:val="none"/>
        </w:rPr>
      </w:pPr>
    </w:p>
    <w:bookmarkEnd w:id="1"/>
    <w:p w14:paraId="449661AB" w14:textId="3D0FB1B6" w:rsidR="00705BA9" w:rsidRPr="00DA6A7F" w:rsidRDefault="00705BA9" w:rsidP="009A23F8">
      <w:pPr>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Other details</w:t>
      </w:r>
    </w:p>
    <w:p w14:paraId="3887371E" w14:textId="77777777" w:rsidR="00705BA9" w:rsidRPr="00DA6A7F" w:rsidRDefault="00705BA9" w:rsidP="009A23F8">
      <w:pPr>
        <w:spacing w:after="0" w:line="240" w:lineRule="auto"/>
        <w:rPr>
          <w:rFonts w:eastAsia="Times New Roman"/>
          <w:kern w:val="0"/>
          <w:sz w:val="22"/>
          <w:szCs w:val="22"/>
          <w:lang w:eastAsia="en-AU"/>
          <w14:ligatures w14:val="none"/>
        </w:rPr>
      </w:pPr>
    </w:p>
    <w:p w14:paraId="00549FC4" w14:textId="1B4B72FE" w:rsidR="00DA60E1" w:rsidRPr="00DA6A7F" w:rsidRDefault="00DA60E1"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Details of the Amendment Determination are set out in </w:t>
      </w:r>
      <w:r w:rsidRPr="00DA6A7F">
        <w:rPr>
          <w:rFonts w:eastAsia="Times New Roman"/>
          <w:b/>
          <w:kern w:val="0"/>
          <w:sz w:val="22"/>
          <w:szCs w:val="22"/>
          <w:lang w:eastAsia="en-AU"/>
          <w14:ligatures w14:val="none"/>
        </w:rPr>
        <w:t>Attachment A</w:t>
      </w:r>
      <w:r w:rsidRPr="00DA6A7F">
        <w:rPr>
          <w:rFonts w:eastAsia="Times New Roman"/>
          <w:kern w:val="0"/>
          <w:sz w:val="22"/>
          <w:szCs w:val="22"/>
          <w:lang w:eastAsia="en-AU"/>
          <w14:ligatures w14:val="none"/>
        </w:rPr>
        <w:t>.</w:t>
      </w:r>
    </w:p>
    <w:p w14:paraId="4981DA40" w14:textId="77777777" w:rsidR="00DA60E1" w:rsidRPr="00DA6A7F" w:rsidRDefault="00DA60E1" w:rsidP="009A23F8">
      <w:pPr>
        <w:spacing w:after="0" w:line="240" w:lineRule="auto"/>
        <w:rPr>
          <w:rFonts w:eastAsia="Times New Roman"/>
          <w:kern w:val="0"/>
          <w:sz w:val="22"/>
          <w:szCs w:val="22"/>
          <w:lang w:eastAsia="en-AU"/>
          <w14:ligatures w14:val="none"/>
        </w:rPr>
      </w:pPr>
    </w:p>
    <w:p w14:paraId="159E9E00" w14:textId="77777777" w:rsidR="00DA60E1" w:rsidRPr="00DA6A7F" w:rsidRDefault="00DA60E1"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is compatible with the human rights and freedoms recognised or declared under section 3 of the </w:t>
      </w:r>
      <w:r w:rsidRPr="00DA6A7F">
        <w:rPr>
          <w:rFonts w:eastAsia="Times New Roman"/>
          <w:i/>
          <w:kern w:val="0"/>
          <w:sz w:val="22"/>
          <w:szCs w:val="22"/>
          <w:lang w:eastAsia="en-AU"/>
          <w14:ligatures w14:val="none"/>
        </w:rPr>
        <w:t>Human Rights (Parliamentary Scrutiny) Act 2011</w:t>
      </w:r>
      <w:r w:rsidRPr="00DA6A7F">
        <w:rPr>
          <w:rFonts w:eastAsia="Times New Roman"/>
          <w:kern w:val="0"/>
          <w:sz w:val="22"/>
          <w:szCs w:val="22"/>
          <w:lang w:eastAsia="en-AU"/>
          <w14:ligatures w14:val="none"/>
        </w:rPr>
        <w:t xml:space="preserve">. A full statement of compatibility is set out in </w:t>
      </w:r>
      <w:r w:rsidRPr="00DA6A7F">
        <w:rPr>
          <w:rFonts w:eastAsia="Times New Roman"/>
          <w:b/>
          <w:kern w:val="0"/>
          <w:sz w:val="22"/>
          <w:szCs w:val="22"/>
          <w:lang w:eastAsia="en-AU"/>
          <w14:ligatures w14:val="none"/>
        </w:rPr>
        <w:t>Attachment B</w:t>
      </w:r>
      <w:r w:rsidRPr="00DA6A7F">
        <w:rPr>
          <w:rFonts w:eastAsia="Times New Roman"/>
          <w:kern w:val="0"/>
          <w:sz w:val="22"/>
          <w:szCs w:val="22"/>
          <w:lang w:eastAsia="en-AU"/>
          <w14:ligatures w14:val="none"/>
        </w:rPr>
        <w:t>.</w:t>
      </w:r>
    </w:p>
    <w:p w14:paraId="01201236" w14:textId="77777777" w:rsidR="00DA60E1" w:rsidRPr="00DA6A7F" w:rsidRDefault="00DA60E1" w:rsidP="009A23F8">
      <w:pPr>
        <w:spacing w:after="0" w:line="240" w:lineRule="auto"/>
        <w:rPr>
          <w:rFonts w:eastAsia="Times New Roman"/>
          <w:kern w:val="0"/>
          <w:sz w:val="22"/>
          <w:szCs w:val="22"/>
          <w:lang w:eastAsia="en-AU"/>
          <w14:ligatures w14:val="none"/>
        </w:rPr>
      </w:pPr>
    </w:p>
    <w:p w14:paraId="1600295F" w14:textId="31E6F4C5" w:rsidR="00EF7A4B" w:rsidRPr="00DA6A7F" w:rsidRDefault="00DA60E1" w:rsidP="00383260">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is a disallowable legislative instrument for the purposes of the </w:t>
      </w:r>
      <w:r w:rsidRPr="00DA6A7F">
        <w:rPr>
          <w:rFonts w:eastAsia="Times New Roman"/>
          <w:iCs/>
          <w:kern w:val="0"/>
          <w:sz w:val="22"/>
          <w:szCs w:val="22"/>
          <w:lang w:eastAsia="en-AU"/>
          <w14:ligatures w14:val="none"/>
        </w:rPr>
        <w:t xml:space="preserve">Legislation </w:t>
      </w:r>
      <w:proofErr w:type="gramStart"/>
      <w:r w:rsidRPr="00DA6A7F">
        <w:rPr>
          <w:rFonts w:eastAsia="Times New Roman"/>
          <w:iCs/>
          <w:kern w:val="0"/>
          <w:sz w:val="22"/>
          <w:szCs w:val="22"/>
          <w:lang w:eastAsia="en-AU"/>
          <w14:ligatures w14:val="none"/>
        </w:rPr>
        <w:t>Act</w:t>
      </w:r>
      <w:r w:rsidR="005C1F2A" w:rsidRPr="00DA6A7F">
        <w:rPr>
          <w:rFonts w:eastAsia="Times New Roman"/>
          <w:kern w:val="0"/>
          <w:sz w:val="22"/>
          <w:szCs w:val="22"/>
          <w:lang w:eastAsia="en-AU"/>
          <w14:ligatures w14:val="none"/>
        </w:rPr>
        <w:t>,</w:t>
      </w:r>
      <w:r w:rsidRPr="00DA6A7F">
        <w:rPr>
          <w:rFonts w:eastAsia="Times New Roman"/>
          <w:kern w:val="0"/>
          <w:sz w:val="22"/>
          <w:szCs w:val="22"/>
          <w:lang w:eastAsia="en-AU"/>
          <w14:ligatures w14:val="none"/>
        </w:rPr>
        <w:t xml:space="preserve"> and</w:t>
      </w:r>
      <w:proofErr w:type="gramEnd"/>
      <w:r w:rsidRPr="00DA6A7F">
        <w:rPr>
          <w:rFonts w:eastAsia="Times New Roman"/>
          <w:kern w:val="0"/>
          <w:sz w:val="22"/>
          <w:szCs w:val="22"/>
          <w:lang w:eastAsia="en-AU"/>
          <w14:ligatures w14:val="none"/>
        </w:rPr>
        <w:t xml:space="preserve"> commences </w:t>
      </w:r>
      <w:r w:rsidR="00EF7A4B" w:rsidRPr="00DA6A7F">
        <w:rPr>
          <w:rFonts w:eastAsia="Times New Roman"/>
          <w:kern w:val="0"/>
          <w:sz w:val="22"/>
          <w:szCs w:val="22"/>
          <w:lang w:eastAsia="en-AU"/>
          <w14:ligatures w14:val="none"/>
        </w:rPr>
        <w:t>on</w:t>
      </w:r>
      <w:r w:rsidR="00F704EA" w:rsidRPr="00DA6A7F">
        <w:rPr>
          <w:rFonts w:eastAsia="Times New Roman"/>
          <w:kern w:val="0"/>
          <w:sz w:val="22"/>
          <w:szCs w:val="22"/>
          <w:lang w:eastAsia="en-AU"/>
          <w14:ligatures w14:val="none"/>
        </w:rPr>
        <w:t xml:space="preserve"> </w:t>
      </w:r>
      <w:r w:rsidR="0051622E" w:rsidRPr="00DA6A7F">
        <w:rPr>
          <w:rFonts w:eastAsia="Times New Roman"/>
          <w:kern w:val="0"/>
          <w:sz w:val="22"/>
          <w:szCs w:val="22"/>
          <w:lang w:eastAsia="en-AU"/>
          <w14:ligatures w14:val="none"/>
        </w:rPr>
        <w:t>1 September 2025</w:t>
      </w:r>
      <w:r w:rsidR="00EF7A4B" w:rsidRPr="00DA6A7F">
        <w:rPr>
          <w:rFonts w:eastAsia="Times New Roman"/>
          <w:i/>
          <w:iCs/>
          <w:kern w:val="0"/>
          <w:sz w:val="22"/>
          <w:szCs w:val="22"/>
          <w:lang w:eastAsia="en-AU"/>
          <w14:ligatures w14:val="none"/>
        </w:rPr>
        <w:t>.</w:t>
      </w:r>
    </w:p>
    <w:p w14:paraId="062F8046" w14:textId="77777777" w:rsidR="00DA60E1" w:rsidRPr="00DA6A7F" w:rsidRDefault="00DA60E1" w:rsidP="009A23F8">
      <w:pPr>
        <w:spacing w:after="0" w:line="240" w:lineRule="auto"/>
        <w:rPr>
          <w:rFonts w:eastAsia="Times New Roman"/>
          <w:kern w:val="0"/>
          <w:sz w:val="22"/>
          <w:szCs w:val="22"/>
          <w:shd w:val="clear" w:color="auto" w:fill="FFFFFF"/>
          <w:lang w:eastAsia="en-AU"/>
          <w14:ligatures w14:val="none"/>
        </w:rPr>
      </w:pPr>
      <w:r w:rsidRPr="00DA6A7F">
        <w:rPr>
          <w:rFonts w:eastAsia="Times New Roman"/>
          <w:kern w:val="0"/>
          <w:sz w:val="22"/>
          <w:szCs w:val="22"/>
          <w:shd w:val="clear" w:color="auto" w:fill="FFFFFF"/>
          <w:lang w:eastAsia="en-AU"/>
          <w14:ligatures w14:val="none"/>
        </w:rPr>
        <w:br w:type="page"/>
      </w:r>
    </w:p>
    <w:p w14:paraId="648F0A71" w14:textId="77777777" w:rsidR="00931C7C" w:rsidRPr="00DA6A7F" w:rsidRDefault="00931C7C" w:rsidP="009A23F8">
      <w:pPr>
        <w:spacing w:after="0" w:line="240" w:lineRule="auto"/>
        <w:ind w:left="284"/>
        <w:jc w:val="right"/>
        <w:rPr>
          <w:rFonts w:eastAsia="Times New Roman"/>
          <w:b/>
          <w:kern w:val="0"/>
          <w:sz w:val="22"/>
          <w:szCs w:val="22"/>
          <w:lang w:eastAsia="en-AU"/>
          <w14:ligatures w14:val="none"/>
        </w:rPr>
      </w:pPr>
      <w:bookmarkStart w:id="2" w:name="_Toc199566624"/>
      <w:r w:rsidRPr="00DA6A7F">
        <w:rPr>
          <w:rFonts w:eastAsia="Times New Roman"/>
          <w:b/>
          <w:kern w:val="0"/>
          <w:sz w:val="22"/>
          <w:szCs w:val="22"/>
          <w:lang w:eastAsia="en-AU"/>
          <w14:ligatures w14:val="none"/>
        </w:rPr>
        <w:lastRenderedPageBreak/>
        <w:t>Attachment A</w:t>
      </w:r>
    </w:p>
    <w:p w14:paraId="5E908E2E" w14:textId="77777777" w:rsidR="00931C7C" w:rsidRPr="00DA6A7F" w:rsidRDefault="00931C7C" w:rsidP="009A23F8">
      <w:pPr>
        <w:spacing w:after="0" w:line="240" w:lineRule="auto"/>
        <w:rPr>
          <w:rFonts w:eastAsia="Times New Roman"/>
          <w:bCs/>
          <w:kern w:val="0"/>
          <w:sz w:val="22"/>
          <w:szCs w:val="22"/>
          <w:lang w:eastAsia="en-AU"/>
          <w14:ligatures w14:val="none"/>
        </w:rPr>
      </w:pPr>
    </w:p>
    <w:p w14:paraId="6AAB6196" w14:textId="3199D2CC" w:rsidR="00931C7C" w:rsidRPr="00DA6A7F" w:rsidRDefault="00931C7C" w:rsidP="009A23F8">
      <w:pPr>
        <w:spacing w:after="0" w:line="240" w:lineRule="auto"/>
        <w:rPr>
          <w:rFonts w:eastAsia="Times New Roman"/>
          <w:b/>
          <w:i/>
          <w:kern w:val="0"/>
          <w:sz w:val="22"/>
          <w:szCs w:val="22"/>
          <w:lang w:eastAsia="en-AU"/>
          <w14:ligatures w14:val="none"/>
        </w:rPr>
      </w:pPr>
      <w:r w:rsidRPr="00DA6A7F">
        <w:rPr>
          <w:rFonts w:eastAsia="Times New Roman"/>
          <w:b/>
          <w:kern w:val="0"/>
          <w:sz w:val="22"/>
          <w:szCs w:val="22"/>
          <w:lang w:eastAsia="en-AU"/>
          <w14:ligatures w14:val="none"/>
        </w:rPr>
        <w:t xml:space="preserve">Details of the </w:t>
      </w:r>
      <w:r w:rsidRPr="00DA6A7F">
        <w:rPr>
          <w:rFonts w:eastAsia="Times New Roman"/>
          <w:b/>
          <w:i/>
          <w:kern w:val="0"/>
          <w:sz w:val="22"/>
          <w:szCs w:val="22"/>
          <w:lang w:eastAsia="en-AU"/>
          <w14:ligatures w14:val="none"/>
        </w:rPr>
        <w:t xml:space="preserve">Therapeutic Goods (Manufacturing Principles) Amendment </w:t>
      </w:r>
      <w:r w:rsidR="008E053A" w:rsidRPr="00DA6A7F">
        <w:rPr>
          <w:rFonts w:eastAsia="Times New Roman"/>
          <w:b/>
          <w:i/>
          <w:kern w:val="0"/>
          <w:sz w:val="22"/>
          <w:szCs w:val="22"/>
          <w:lang w:eastAsia="en-AU"/>
          <w14:ligatures w14:val="none"/>
        </w:rPr>
        <w:t xml:space="preserve">(PIC/S Guide) </w:t>
      </w:r>
      <w:r w:rsidRPr="00DA6A7F">
        <w:rPr>
          <w:rFonts w:eastAsia="Times New Roman"/>
          <w:b/>
          <w:i/>
          <w:kern w:val="0"/>
          <w:sz w:val="22"/>
          <w:szCs w:val="22"/>
          <w:lang w:eastAsia="en-AU"/>
          <w14:ligatures w14:val="none"/>
        </w:rPr>
        <w:t>Determination 202</w:t>
      </w:r>
      <w:r w:rsidR="005E7A0F" w:rsidRPr="00DA6A7F">
        <w:rPr>
          <w:rFonts w:eastAsia="Times New Roman"/>
          <w:b/>
          <w:i/>
          <w:kern w:val="0"/>
          <w:sz w:val="22"/>
          <w:szCs w:val="22"/>
          <w:lang w:eastAsia="en-AU"/>
          <w14:ligatures w14:val="none"/>
        </w:rPr>
        <w:t>5</w:t>
      </w:r>
    </w:p>
    <w:p w14:paraId="4BCBA064" w14:textId="77777777" w:rsidR="00931C7C" w:rsidRPr="00DA6A7F" w:rsidRDefault="00931C7C" w:rsidP="009A23F8">
      <w:pPr>
        <w:spacing w:after="0" w:line="240" w:lineRule="auto"/>
        <w:rPr>
          <w:rFonts w:eastAsia="Times New Roman"/>
          <w:bCs/>
          <w:iCs/>
          <w:kern w:val="0"/>
          <w:sz w:val="22"/>
          <w:szCs w:val="22"/>
          <w:lang w:eastAsia="en-AU"/>
          <w14:ligatures w14:val="none"/>
        </w:rPr>
      </w:pPr>
    </w:p>
    <w:p w14:paraId="5DD5018E" w14:textId="77777777" w:rsidR="00931C7C" w:rsidRPr="00DA6A7F" w:rsidRDefault="00931C7C" w:rsidP="009A23F8">
      <w:pPr>
        <w:autoSpaceDE w:val="0"/>
        <w:autoSpaceDN w:val="0"/>
        <w:adjustRightInd w:val="0"/>
        <w:spacing w:after="0" w:line="240" w:lineRule="auto"/>
        <w:outlineLvl w:val="1"/>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Section 1</w:t>
      </w:r>
      <w:r w:rsidRPr="00DA6A7F">
        <w:rPr>
          <w:rFonts w:eastAsia="Times New Roman"/>
          <w:kern w:val="0"/>
          <w:sz w:val="22"/>
          <w:szCs w:val="22"/>
          <w:lang w:eastAsia="en-AU"/>
          <w14:ligatures w14:val="none"/>
        </w:rPr>
        <w:t xml:space="preserve"> </w:t>
      </w:r>
      <w:r w:rsidRPr="00DA6A7F">
        <w:rPr>
          <w:rFonts w:eastAsia="Times New Roman"/>
          <w:b/>
          <w:bCs/>
          <w:kern w:val="0"/>
          <w:sz w:val="22"/>
          <w:szCs w:val="22"/>
          <w:lang w:eastAsia="en-AU"/>
          <w14:ligatures w14:val="none"/>
        </w:rPr>
        <w:t xml:space="preserve">– </w:t>
      </w:r>
      <w:r w:rsidRPr="00DA6A7F">
        <w:rPr>
          <w:rFonts w:eastAsia="Times New Roman"/>
          <w:b/>
          <w:kern w:val="0"/>
          <w:sz w:val="22"/>
          <w:szCs w:val="22"/>
          <w:lang w:eastAsia="en-AU"/>
          <w14:ligatures w14:val="none"/>
        </w:rPr>
        <w:t>Name</w:t>
      </w:r>
    </w:p>
    <w:p w14:paraId="4FA98DA3" w14:textId="77777777" w:rsidR="00931C7C" w:rsidRPr="00DA6A7F" w:rsidRDefault="00931C7C" w:rsidP="009A23F8">
      <w:pPr>
        <w:autoSpaceDE w:val="0"/>
        <w:autoSpaceDN w:val="0"/>
        <w:adjustRightInd w:val="0"/>
        <w:spacing w:after="0" w:line="240" w:lineRule="auto"/>
        <w:outlineLvl w:val="1"/>
        <w:rPr>
          <w:rFonts w:eastAsia="Times New Roman"/>
          <w:kern w:val="0"/>
          <w:sz w:val="22"/>
          <w:szCs w:val="22"/>
          <w:lang w:eastAsia="en-AU"/>
          <w14:ligatures w14:val="none"/>
        </w:rPr>
      </w:pPr>
    </w:p>
    <w:p w14:paraId="36AB7304" w14:textId="27A1EBAF" w:rsidR="00931C7C" w:rsidRPr="00DA6A7F" w:rsidRDefault="00931C7C"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This section provides that the name of the instrument is </w:t>
      </w:r>
      <w:bookmarkEnd w:id="2"/>
      <w:r w:rsidRPr="00DA6A7F">
        <w:rPr>
          <w:rFonts w:eastAsia="Times New Roman"/>
          <w:kern w:val="0"/>
          <w:sz w:val="22"/>
          <w:szCs w:val="22"/>
          <w:lang w:eastAsia="en-AU"/>
          <w14:ligatures w14:val="none"/>
        </w:rPr>
        <w:t xml:space="preserve">the </w:t>
      </w:r>
      <w:r w:rsidRPr="00DA6A7F">
        <w:rPr>
          <w:rFonts w:eastAsia="Times New Roman"/>
          <w:i/>
          <w:kern w:val="0"/>
          <w:sz w:val="22"/>
          <w:szCs w:val="22"/>
          <w:lang w:eastAsia="en-AU"/>
          <w14:ligatures w14:val="none"/>
        </w:rPr>
        <w:t xml:space="preserve">Therapeutic Goods (Manufacturing Principles) Amendment </w:t>
      </w:r>
      <w:r w:rsidR="008E053A" w:rsidRPr="00DA6A7F">
        <w:rPr>
          <w:rFonts w:eastAsia="Times New Roman"/>
          <w:i/>
          <w:kern w:val="0"/>
          <w:sz w:val="22"/>
          <w:szCs w:val="22"/>
          <w:lang w:eastAsia="en-AU"/>
          <w14:ligatures w14:val="none"/>
        </w:rPr>
        <w:t xml:space="preserve">(PIC/S Guide) </w:t>
      </w:r>
      <w:r w:rsidRPr="00DA6A7F">
        <w:rPr>
          <w:rFonts w:eastAsia="Times New Roman"/>
          <w:i/>
          <w:kern w:val="0"/>
          <w:sz w:val="22"/>
          <w:szCs w:val="22"/>
          <w:lang w:eastAsia="en-AU"/>
          <w14:ligatures w14:val="none"/>
        </w:rPr>
        <w:t>Determination 202</w:t>
      </w:r>
      <w:r w:rsidR="006945F9" w:rsidRPr="00DA6A7F">
        <w:rPr>
          <w:rFonts w:eastAsia="Times New Roman"/>
          <w:i/>
          <w:kern w:val="0"/>
          <w:sz w:val="22"/>
          <w:szCs w:val="22"/>
          <w:lang w:eastAsia="en-AU"/>
          <w14:ligatures w14:val="none"/>
        </w:rPr>
        <w:t>5</w:t>
      </w:r>
      <w:r w:rsidRPr="00DA6A7F">
        <w:rPr>
          <w:rFonts w:eastAsia="Times New Roman"/>
          <w:iCs/>
          <w:kern w:val="0"/>
          <w:sz w:val="22"/>
          <w:szCs w:val="22"/>
          <w:lang w:eastAsia="en-AU"/>
          <w14:ligatures w14:val="none"/>
        </w:rPr>
        <w:t xml:space="preserve"> (the Amendment Determination)</w:t>
      </w:r>
      <w:r w:rsidRPr="00DA6A7F">
        <w:rPr>
          <w:rFonts w:eastAsia="Times New Roman"/>
          <w:kern w:val="0"/>
          <w:sz w:val="22"/>
          <w:szCs w:val="22"/>
          <w:lang w:eastAsia="en-AU"/>
          <w14:ligatures w14:val="none"/>
        </w:rPr>
        <w:t>.</w:t>
      </w:r>
    </w:p>
    <w:p w14:paraId="6A684142" w14:textId="77777777" w:rsidR="00931C7C" w:rsidRPr="00DA6A7F" w:rsidRDefault="00931C7C" w:rsidP="009A23F8">
      <w:pPr>
        <w:spacing w:after="0" w:line="240" w:lineRule="auto"/>
        <w:rPr>
          <w:rFonts w:eastAsia="Times New Roman"/>
          <w:bCs/>
          <w:kern w:val="0"/>
          <w:sz w:val="22"/>
          <w:szCs w:val="22"/>
          <w:lang w:eastAsia="en-AU"/>
          <w14:ligatures w14:val="none"/>
        </w:rPr>
      </w:pPr>
    </w:p>
    <w:p w14:paraId="3C9C74E4" w14:textId="77777777" w:rsidR="00931C7C" w:rsidRPr="00DA6A7F" w:rsidRDefault="00931C7C" w:rsidP="009A23F8">
      <w:pPr>
        <w:tabs>
          <w:tab w:val="left" w:pos="851"/>
        </w:tabs>
        <w:spacing w:after="0" w:line="240" w:lineRule="auto"/>
        <w:outlineLvl w:val="0"/>
        <w:rPr>
          <w:rFonts w:eastAsia="Times New Roman"/>
          <w:b/>
          <w:kern w:val="0"/>
          <w:sz w:val="22"/>
          <w:szCs w:val="22"/>
          <w:lang w:eastAsia="en-AU"/>
          <w14:ligatures w14:val="none"/>
        </w:rPr>
      </w:pPr>
      <w:bookmarkStart w:id="3" w:name="_Toc199566625"/>
      <w:r w:rsidRPr="00DA6A7F">
        <w:rPr>
          <w:rFonts w:eastAsia="Times New Roman"/>
          <w:b/>
          <w:kern w:val="0"/>
          <w:sz w:val="22"/>
          <w:szCs w:val="22"/>
          <w:lang w:eastAsia="en-AU"/>
          <w14:ligatures w14:val="none"/>
        </w:rPr>
        <w:t xml:space="preserve">Section 2 </w:t>
      </w:r>
      <w:r w:rsidRPr="00DA6A7F">
        <w:rPr>
          <w:rFonts w:eastAsia="Times New Roman"/>
          <w:b/>
          <w:bCs/>
          <w:kern w:val="0"/>
          <w:sz w:val="22"/>
          <w:szCs w:val="22"/>
          <w:lang w:eastAsia="en-AU"/>
          <w14:ligatures w14:val="none"/>
        </w:rPr>
        <w:t>–</w:t>
      </w:r>
      <w:r w:rsidRPr="00DA6A7F">
        <w:rPr>
          <w:rFonts w:eastAsia="Times New Roman"/>
          <w:b/>
          <w:kern w:val="0"/>
          <w:sz w:val="22"/>
          <w:szCs w:val="22"/>
          <w:lang w:eastAsia="en-AU"/>
          <w14:ligatures w14:val="none"/>
        </w:rPr>
        <w:t xml:space="preserve"> Commencement</w:t>
      </w:r>
    </w:p>
    <w:p w14:paraId="593D2897" w14:textId="77777777"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p>
    <w:p w14:paraId="1A4B19ED" w14:textId="517AEE3A"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r w:rsidRPr="00DA6A7F">
        <w:rPr>
          <w:rFonts w:eastAsia="Times New Roman"/>
          <w:kern w:val="0"/>
          <w:sz w:val="22"/>
          <w:szCs w:val="22"/>
          <w:lang w:eastAsia="en-AU"/>
          <w14:ligatures w14:val="none"/>
        </w:rPr>
        <w:t>This section provides that</w:t>
      </w:r>
      <w:bookmarkEnd w:id="3"/>
      <w:r w:rsidRPr="00DA6A7F">
        <w:rPr>
          <w:rFonts w:eastAsia="Times New Roman"/>
          <w:kern w:val="0"/>
          <w:sz w:val="22"/>
          <w:szCs w:val="22"/>
          <w:lang w:eastAsia="en-AU"/>
          <w14:ligatures w14:val="none"/>
        </w:rPr>
        <w:t xml:space="preserve"> the Amendment Determination commences on </w:t>
      </w:r>
      <w:r w:rsidR="006945F9" w:rsidRPr="00DA6A7F">
        <w:rPr>
          <w:rFonts w:eastAsia="Times New Roman"/>
          <w:kern w:val="0"/>
          <w:sz w:val="22"/>
          <w:szCs w:val="22"/>
          <w:lang w:eastAsia="en-AU"/>
          <w14:ligatures w14:val="none"/>
        </w:rPr>
        <w:t>1 September 2025</w:t>
      </w:r>
      <w:r w:rsidRPr="00DA6A7F">
        <w:rPr>
          <w:rFonts w:eastAsia="Times New Roman"/>
          <w:kern w:val="0"/>
          <w:sz w:val="22"/>
          <w:szCs w:val="22"/>
          <w:lang w:eastAsia="en-AU"/>
          <w14:ligatures w14:val="none"/>
        </w:rPr>
        <w:t>.</w:t>
      </w:r>
    </w:p>
    <w:p w14:paraId="4E2E503F" w14:textId="77777777"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p>
    <w:p w14:paraId="61C94EBC" w14:textId="77777777" w:rsidR="00931C7C" w:rsidRPr="00DA6A7F" w:rsidRDefault="00931C7C" w:rsidP="009A23F8">
      <w:pPr>
        <w:tabs>
          <w:tab w:val="left" w:pos="851"/>
        </w:tabs>
        <w:spacing w:after="0" w:line="240" w:lineRule="auto"/>
        <w:outlineLvl w:val="0"/>
        <w:rPr>
          <w:rFonts w:eastAsia="Times New Roman"/>
          <w:b/>
          <w:kern w:val="0"/>
          <w:sz w:val="22"/>
          <w:szCs w:val="22"/>
          <w:lang w:eastAsia="en-AU"/>
          <w14:ligatures w14:val="none"/>
        </w:rPr>
      </w:pPr>
      <w:bookmarkStart w:id="4" w:name="_Toc199566627"/>
      <w:r w:rsidRPr="00DA6A7F">
        <w:rPr>
          <w:rFonts w:eastAsia="Times New Roman"/>
          <w:b/>
          <w:kern w:val="0"/>
          <w:sz w:val="22"/>
          <w:szCs w:val="22"/>
          <w:lang w:eastAsia="en-AU"/>
          <w14:ligatures w14:val="none"/>
        </w:rPr>
        <w:t>Section 3</w:t>
      </w:r>
      <w:bookmarkEnd w:id="4"/>
      <w:r w:rsidRPr="00DA6A7F">
        <w:rPr>
          <w:rFonts w:eastAsia="Times New Roman"/>
          <w:kern w:val="0"/>
          <w:sz w:val="22"/>
          <w:szCs w:val="22"/>
          <w:lang w:eastAsia="en-AU"/>
          <w14:ligatures w14:val="none"/>
        </w:rPr>
        <w:t xml:space="preserve"> </w:t>
      </w:r>
      <w:r w:rsidRPr="00DA6A7F">
        <w:rPr>
          <w:rFonts w:eastAsia="Times New Roman"/>
          <w:b/>
          <w:bCs/>
          <w:kern w:val="0"/>
          <w:sz w:val="22"/>
          <w:szCs w:val="22"/>
          <w:lang w:eastAsia="en-AU"/>
          <w14:ligatures w14:val="none"/>
        </w:rPr>
        <w:t xml:space="preserve">– </w:t>
      </w:r>
      <w:r w:rsidRPr="00DA6A7F">
        <w:rPr>
          <w:rFonts w:eastAsia="Times New Roman"/>
          <w:b/>
          <w:kern w:val="0"/>
          <w:sz w:val="22"/>
          <w:szCs w:val="22"/>
          <w:lang w:eastAsia="en-AU"/>
          <w14:ligatures w14:val="none"/>
        </w:rPr>
        <w:t>Authority</w:t>
      </w:r>
    </w:p>
    <w:p w14:paraId="02DE77F0" w14:textId="77777777" w:rsidR="00931C7C" w:rsidRPr="00DA6A7F" w:rsidRDefault="00931C7C" w:rsidP="009A23F8">
      <w:pPr>
        <w:tabs>
          <w:tab w:val="left" w:pos="851"/>
        </w:tabs>
        <w:spacing w:after="0" w:line="240" w:lineRule="auto"/>
        <w:outlineLvl w:val="0"/>
        <w:rPr>
          <w:rFonts w:eastAsia="Times New Roman"/>
          <w:bCs/>
          <w:kern w:val="0"/>
          <w:sz w:val="22"/>
          <w:szCs w:val="22"/>
          <w:lang w:eastAsia="en-AU"/>
          <w14:ligatures w14:val="none"/>
        </w:rPr>
      </w:pPr>
    </w:p>
    <w:p w14:paraId="2BABEC69" w14:textId="6A48AACB"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This section provides that the legislative authority for making the Amendment Determination is section 36 of the </w:t>
      </w:r>
      <w:r w:rsidRPr="00DA6A7F">
        <w:rPr>
          <w:rFonts w:eastAsia="Times New Roman"/>
          <w:i/>
          <w:kern w:val="0"/>
          <w:sz w:val="22"/>
          <w:szCs w:val="22"/>
          <w:lang w:eastAsia="en-AU"/>
          <w14:ligatures w14:val="none"/>
        </w:rPr>
        <w:t xml:space="preserve">Therapeutic Goods Act 1989 </w:t>
      </w:r>
      <w:r w:rsidRPr="00DA6A7F">
        <w:rPr>
          <w:rFonts w:eastAsia="Times New Roman"/>
          <w:kern w:val="0"/>
          <w:sz w:val="22"/>
          <w:szCs w:val="22"/>
          <w:lang w:eastAsia="en-AU"/>
          <w14:ligatures w14:val="none"/>
        </w:rPr>
        <w:t>(the Act).</w:t>
      </w:r>
    </w:p>
    <w:p w14:paraId="7D9930CA" w14:textId="77777777"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p>
    <w:p w14:paraId="78F1B283" w14:textId="349E2062"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Subsection 33(3) of the </w:t>
      </w:r>
      <w:r w:rsidRPr="00DA6A7F">
        <w:rPr>
          <w:rFonts w:eastAsia="Times New Roman"/>
          <w:i/>
          <w:iCs/>
          <w:kern w:val="0"/>
          <w:sz w:val="22"/>
          <w:szCs w:val="22"/>
          <w:lang w:eastAsia="en-AU"/>
          <w14:ligatures w14:val="none"/>
        </w:rPr>
        <w:t>Acts Interpretation Act 1901</w:t>
      </w:r>
      <w:r w:rsidRPr="00DA6A7F">
        <w:rPr>
          <w:rFonts w:eastAsia="Times New Roman"/>
          <w:kern w:val="0"/>
          <w:sz w:val="22"/>
          <w:szCs w:val="22"/>
          <w:lang w:eastAsia="en-AU"/>
          <w14:ligatures w14:val="none"/>
        </w:rPr>
        <w:t xml:space="preserve"> relevantly provides that, where an</w:t>
      </w:r>
      <w:r w:rsidR="004E4E6B" w:rsidRPr="00DA6A7F">
        <w:rPr>
          <w:rFonts w:eastAsia="Times New Roman"/>
          <w:kern w:val="0"/>
          <w:sz w:val="22"/>
          <w:szCs w:val="22"/>
          <w:lang w:eastAsia="en-AU"/>
          <w14:ligatures w14:val="none"/>
        </w:rPr>
        <w:t xml:space="preserve"> </w:t>
      </w:r>
      <w:r w:rsidRPr="00DA6A7F">
        <w:rPr>
          <w:rFonts w:eastAsia="Times New Roman"/>
          <w:kern w:val="0"/>
          <w:sz w:val="22"/>
          <w:szCs w:val="22"/>
          <w:lang w:eastAsia="en-AU"/>
          <w14:ligatures w14:val="none"/>
        </w:rPr>
        <w:t>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6B5A329D" w14:textId="77777777" w:rsidR="00931C7C" w:rsidRPr="00DA6A7F" w:rsidRDefault="00931C7C" w:rsidP="009A23F8">
      <w:pPr>
        <w:tabs>
          <w:tab w:val="left" w:pos="851"/>
        </w:tabs>
        <w:spacing w:after="0" w:line="240" w:lineRule="auto"/>
        <w:outlineLvl w:val="0"/>
        <w:rPr>
          <w:rFonts w:eastAsia="Times New Roman"/>
          <w:kern w:val="0"/>
          <w:sz w:val="22"/>
          <w:szCs w:val="22"/>
          <w:lang w:eastAsia="en-AU"/>
          <w14:ligatures w14:val="none"/>
        </w:rPr>
      </w:pPr>
    </w:p>
    <w:p w14:paraId="7E54A7F1" w14:textId="77777777" w:rsidR="00931C7C" w:rsidRPr="00DA6A7F" w:rsidRDefault="00931C7C" w:rsidP="009A23F8">
      <w:pPr>
        <w:tabs>
          <w:tab w:val="left" w:pos="851"/>
        </w:tabs>
        <w:spacing w:after="0" w:line="240" w:lineRule="auto"/>
        <w:outlineLvl w:val="0"/>
        <w:rPr>
          <w:rFonts w:eastAsia="Times New Roman"/>
          <w:b/>
          <w:kern w:val="0"/>
          <w:sz w:val="22"/>
          <w:szCs w:val="22"/>
          <w:lang w:eastAsia="en-AU"/>
          <w14:ligatures w14:val="none"/>
        </w:rPr>
      </w:pPr>
      <w:bookmarkStart w:id="5" w:name="_Toc199566628"/>
      <w:r w:rsidRPr="00DA6A7F">
        <w:rPr>
          <w:rFonts w:eastAsia="Times New Roman"/>
          <w:b/>
          <w:kern w:val="0"/>
          <w:sz w:val="22"/>
          <w:szCs w:val="22"/>
          <w:lang w:eastAsia="en-AU"/>
          <w14:ligatures w14:val="none"/>
        </w:rPr>
        <w:t xml:space="preserve">Section 4 </w:t>
      </w:r>
      <w:r w:rsidRPr="00DA6A7F">
        <w:rPr>
          <w:rFonts w:eastAsia="Times New Roman"/>
          <w:b/>
          <w:bCs/>
          <w:kern w:val="0"/>
          <w:sz w:val="22"/>
          <w:szCs w:val="22"/>
          <w:lang w:eastAsia="en-AU"/>
          <w14:ligatures w14:val="none"/>
        </w:rPr>
        <w:t>– Schedules</w:t>
      </w:r>
    </w:p>
    <w:p w14:paraId="10BBD2F2" w14:textId="77777777" w:rsidR="00931C7C" w:rsidRPr="00DA6A7F" w:rsidRDefault="00931C7C" w:rsidP="00383260">
      <w:pPr>
        <w:autoSpaceDE w:val="0"/>
        <w:autoSpaceDN w:val="0"/>
        <w:spacing w:after="0" w:line="240" w:lineRule="auto"/>
        <w:rPr>
          <w:rFonts w:eastAsia="Times New Roman"/>
          <w:bCs/>
          <w:kern w:val="0"/>
          <w:sz w:val="22"/>
          <w:szCs w:val="22"/>
          <w:lang w:eastAsia="en-AU"/>
          <w14:ligatures w14:val="none"/>
        </w:rPr>
      </w:pPr>
    </w:p>
    <w:p w14:paraId="10985446" w14:textId="77777777" w:rsidR="00931C7C" w:rsidRPr="00DA6A7F" w:rsidRDefault="00931C7C" w:rsidP="00383260">
      <w:pPr>
        <w:autoSpaceDE w:val="0"/>
        <w:autoSpaceDN w:val="0"/>
        <w:spacing w:after="0" w:line="240" w:lineRule="auto"/>
        <w:rPr>
          <w:rFonts w:eastAsia="Times New Roman"/>
          <w:bCs/>
          <w:kern w:val="0"/>
          <w:sz w:val="22"/>
          <w:szCs w:val="22"/>
          <w:lang w:eastAsia="en-AU"/>
          <w14:ligatures w14:val="none"/>
        </w:rPr>
      </w:pPr>
      <w:r w:rsidRPr="00DA6A7F">
        <w:rPr>
          <w:rFonts w:eastAsia="Times New Roman"/>
          <w:bCs/>
          <w:kern w:val="0"/>
          <w:sz w:val="22"/>
          <w:szCs w:val="22"/>
          <w:lang w:eastAsia="en-AU"/>
          <w14:ligatures w14:val="none"/>
        </w:rPr>
        <w:t>This section provides that each instrument that is specified in a Schedule to the Amendment Determination is amended or repealed as set out in the applicable items in the Schedule concerned, and that any other item in a Schedule to the Amendment Determination has effect according to its terms.</w:t>
      </w:r>
    </w:p>
    <w:p w14:paraId="3EE5CA69" w14:textId="77777777" w:rsidR="00931C7C" w:rsidRPr="00DA6A7F" w:rsidRDefault="00931C7C" w:rsidP="009A23F8">
      <w:pPr>
        <w:tabs>
          <w:tab w:val="left" w:pos="851"/>
        </w:tabs>
        <w:spacing w:after="0" w:line="240" w:lineRule="auto"/>
        <w:outlineLvl w:val="0"/>
        <w:rPr>
          <w:rFonts w:eastAsia="Cambria"/>
          <w:kern w:val="0"/>
          <w:sz w:val="22"/>
          <w:szCs w:val="22"/>
          <w:lang w:eastAsia="en-AU"/>
          <w14:ligatures w14:val="none"/>
        </w:rPr>
      </w:pPr>
    </w:p>
    <w:bookmarkEnd w:id="5"/>
    <w:p w14:paraId="1092F4D7" w14:textId="77777777" w:rsidR="00931C7C" w:rsidRPr="00DA6A7F" w:rsidRDefault="00931C7C" w:rsidP="00383260">
      <w:pPr>
        <w:autoSpaceDE w:val="0"/>
        <w:autoSpaceDN w:val="0"/>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Schedule 1 – Amendments</w:t>
      </w:r>
    </w:p>
    <w:p w14:paraId="70C795A6" w14:textId="77777777" w:rsidR="00931C7C" w:rsidRPr="00DA6A7F" w:rsidRDefault="00931C7C" w:rsidP="00383260">
      <w:pPr>
        <w:autoSpaceDE w:val="0"/>
        <w:autoSpaceDN w:val="0"/>
        <w:spacing w:after="0" w:line="240" w:lineRule="auto"/>
        <w:rPr>
          <w:rFonts w:eastAsia="Times New Roman"/>
          <w:bCs/>
          <w:kern w:val="0"/>
          <w:sz w:val="22"/>
          <w:szCs w:val="22"/>
          <w:lang w:eastAsia="en-AU"/>
          <w14:ligatures w14:val="none"/>
        </w:rPr>
      </w:pPr>
    </w:p>
    <w:p w14:paraId="33C4EE54" w14:textId="7024F703" w:rsidR="00931C7C" w:rsidRPr="00DA6A7F" w:rsidRDefault="00931C7C" w:rsidP="00383260">
      <w:pPr>
        <w:autoSpaceDE w:val="0"/>
        <w:autoSpaceDN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This Schedule amends the </w:t>
      </w:r>
      <w:r w:rsidRPr="00DA6A7F">
        <w:rPr>
          <w:rFonts w:eastAsia="Times New Roman"/>
          <w:i/>
          <w:iCs/>
          <w:kern w:val="0"/>
          <w:sz w:val="22"/>
          <w:szCs w:val="22"/>
          <w:lang w:eastAsia="en-AU"/>
          <w14:ligatures w14:val="none"/>
        </w:rPr>
        <w:t>Therapeutic Goods (Manufacturing Principles) Determination 2020</w:t>
      </w:r>
      <w:r w:rsidRPr="00DA6A7F">
        <w:rPr>
          <w:rFonts w:eastAsia="Times New Roman"/>
          <w:kern w:val="0"/>
          <w:sz w:val="22"/>
          <w:szCs w:val="22"/>
          <w:lang w:eastAsia="en-AU"/>
          <w14:ligatures w14:val="none"/>
        </w:rPr>
        <w:t xml:space="preserve"> (the</w:t>
      </w:r>
      <w:r w:rsidR="00C67535" w:rsidRPr="00DA6A7F">
        <w:rPr>
          <w:rFonts w:eastAsia="Times New Roman"/>
          <w:kern w:val="0"/>
          <w:sz w:val="22"/>
          <w:szCs w:val="22"/>
          <w:lang w:eastAsia="en-AU"/>
          <w14:ligatures w14:val="none"/>
        </w:rPr>
        <w:t> </w:t>
      </w:r>
      <w:r w:rsidRPr="00DA6A7F">
        <w:rPr>
          <w:rFonts w:eastAsia="Times New Roman"/>
          <w:kern w:val="0"/>
          <w:sz w:val="22"/>
          <w:szCs w:val="22"/>
          <w:lang w:eastAsia="en-AU"/>
          <w14:ligatures w14:val="none"/>
        </w:rPr>
        <w:t>Principal Determination).</w:t>
      </w:r>
    </w:p>
    <w:p w14:paraId="4A5E3808" w14:textId="77777777" w:rsidR="005E7A0F" w:rsidRPr="00DA6A7F" w:rsidRDefault="005E7A0F" w:rsidP="00383260">
      <w:pPr>
        <w:autoSpaceDE w:val="0"/>
        <w:autoSpaceDN w:val="0"/>
        <w:spacing w:after="0" w:line="240" w:lineRule="auto"/>
        <w:rPr>
          <w:rFonts w:eastAsia="Times New Roman"/>
          <w:kern w:val="0"/>
          <w:sz w:val="22"/>
          <w:szCs w:val="22"/>
          <w:lang w:eastAsia="en-AU"/>
          <w14:ligatures w14:val="none"/>
        </w:rPr>
      </w:pPr>
    </w:p>
    <w:p w14:paraId="3A27B1F6" w14:textId="2C059189" w:rsidR="005E7A0F" w:rsidRPr="00DA6A7F" w:rsidRDefault="005E7A0F" w:rsidP="00383260">
      <w:pPr>
        <w:autoSpaceDE w:val="0"/>
        <w:autoSpaceDN w:val="0"/>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 xml:space="preserve">Item 1 – Section 4 (definition of </w:t>
      </w:r>
      <w:r w:rsidRPr="00DA6A7F">
        <w:rPr>
          <w:rFonts w:eastAsia="Times New Roman"/>
          <w:b/>
          <w:bCs/>
          <w:i/>
          <w:iCs/>
          <w:kern w:val="0"/>
          <w:sz w:val="22"/>
          <w:szCs w:val="22"/>
          <w:lang w:eastAsia="en-AU"/>
          <w14:ligatures w14:val="none"/>
        </w:rPr>
        <w:t>PIC/S Guide to GMP</w:t>
      </w:r>
      <w:r w:rsidRPr="00DA6A7F">
        <w:rPr>
          <w:rFonts w:eastAsia="Times New Roman"/>
          <w:b/>
          <w:bCs/>
          <w:kern w:val="0"/>
          <w:sz w:val="22"/>
          <w:szCs w:val="22"/>
          <w:lang w:eastAsia="en-AU"/>
          <w14:ligatures w14:val="none"/>
        </w:rPr>
        <w:t>)</w:t>
      </w:r>
    </w:p>
    <w:p w14:paraId="6B2682E6" w14:textId="77777777" w:rsidR="005E7A0F" w:rsidRPr="00DA6A7F" w:rsidRDefault="005E7A0F" w:rsidP="00383260">
      <w:pPr>
        <w:autoSpaceDE w:val="0"/>
        <w:autoSpaceDN w:val="0"/>
        <w:spacing w:after="0" w:line="240" w:lineRule="auto"/>
        <w:rPr>
          <w:rFonts w:eastAsia="Times New Roman"/>
          <w:kern w:val="0"/>
          <w:sz w:val="22"/>
          <w:szCs w:val="22"/>
          <w:lang w:eastAsia="en-AU"/>
          <w14:ligatures w14:val="none"/>
        </w:rPr>
      </w:pPr>
    </w:p>
    <w:p w14:paraId="7044B43A" w14:textId="71DDD06C" w:rsidR="00C030D3" w:rsidRPr="00DA6A7F" w:rsidRDefault="00931C7C" w:rsidP="00383260">
      <w:pPr>
        <w:autoSpaceDE w:val="0"/>
        <w:autoSpaceDN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Item 1 replaces the definition of </w:t>
      </w:r>
      <w:bookmarkStart w:id="6" w:name="_Hlk203723899"/>
      <w:r w:rsidRPr="00DA6A7F">
        <w:rPr>
          <w:rFonts w:eastAsia="Times New Roman"/>
          <w:kern w:val="0"/>
          <w:sz w:val="22"/>
          <w:szCs w:val="22"/>
          <w:lang w:eastAsia="en-AU"/>
          <w14:ligatures w14:val="none"/>
        </w:rPr>
        <w:t>‘PIC/S Guide to GMP’</w:t>
      </w:r>
      <w:bookmarkEnd w:id="6"/>
      <w:r w:rsidRPr="00DA6A7F">
        <w:rPr>
          <w:rFonts w:eastAsia="Times New Roman"/>
          <w:kern w:val="0"/>
          <w:sz w:val="22"/>
          <w:szCs w:val="22"/>
          <w:lang w:eastAsia="en-AU"/>
          <w14:ligatures w14:val="none"/>
        </w:rPr>
        <w:t xml:space="preserve"> in section 4 of the Principal Determination to reflect that ‘PIC/S Guide to GMP’ means the updated version of the </w:t>
      </w:r>
      <w:r w:rsidRPr="00DA6A7F">
        <w:rPr>
          <w:rFonts w:eastAsia="Times New Roman"/>
          <w:i/>
          <w:iCs/>
          <w:kern w:val="0"/>
          <w:sz w:val="22"/>
          <w:szCs w:val="22"/>
          <w:lang w:eastAsia="en-AU"/>
          <w14:ligatures w14:val="none"/>
        </w:rPr>
        <w:t>Guide to Good Manufacturing Practice for Medicinal Products</w:t>
      </w:r>
      <w:r w:rsidR="00884611" w:rsidRPr="00DA6A7F">
        <w:rPr>
          <w:rFonts w:eastAsia="Times New Roman"/>
          <w:i/>
          <w:iCs/>
          <w:kern w:val="0"/>
          <w:sz w:val="22"/>
          <w:szCs w:val="22"/>
          <w:lang w:eastAsia="en-AU"/>
          <w14:ligatures w14:val="none"/>
        </w:rPr>
        <w:t xml:space="preserve"> </w:t>
      </w:r>
      <w:r w:rsidR="00C67535" w:rsidRPr="00DA6A7F">
        <w:rPr>
          <w:rFonts w:eastAsia="Times New Roman"/>
          <w:kern w:val="0"/>
          <w:sz w:val="22"/>
          <w:szCs w:val="22"/>
          <w:lang w:eastAsia="en-AU"/>
          <w14:ligatures w14:val="none"/>
        </w:rPr>
        <w:t>(PE</w:t>
      </w:r>
      <w:r w:rsidR="00005ED6" w:rsidRPr="00DA6A7F">
        <w:rPr>
          <w:rFonts w:eastAsia="Times New Roman"/>
          <w:kern w:val="0"/>
          <w:sz w:val="22"/>
          <w:szCs w:val="22"/>
          <w:lang w:eastAsia="en-AU"/>
          <w14:ligatures w14:val="none"/>
        </w:rPr>
        <w:t> </w:t>
      </w:r>
      <w:r w:rsidR="00C67535" w:rsidRPr="00DA6A7F">
        <w:rPr>
          <w:rFonts w:eastAsia="Times New Roman"/>
          <w:kern w:val="0"/>
          <w:sz w:val="22"/>
          <w:szCs w:val="22"/>
          <w:lang w:eastAsia="en-AU"/>
          <w14:ligatures w14:val="none"/>
        </w:rPr>
        <w:t xml:space="preserve">009-17, 25 August 2023) </w:t>
      </w:r>
      <w:r w:rsidR="00CD53C1" w:rsidRPr="00DA6A7F">
        <w:rPr>
          <w:rFonts w:eastAsia="Times New Roman"/>
          <w:kern w:val="0"/>
          <w:sz w:val="22"/>
          <w:szCs w:val="22"/>
          <w:lang w:eastAsia="en-AU"/>
          <w14:ligatures w14:val="none"/>
        </w:rPr>
        <w:t xml:space="preserve">(the PIC/S Guide to GMP) </w:t>
      </w:r>
      <w:r w:rsidR="00530122" w:rsidRPr="00DA6A7F">
        <w:rPr>
          <w:rFonts w:eastAsia="Times New Roman"/>
          <w:kern w:val="0"/>
          <w:sz w:val="22"/>
          <w:szCs w:val="22"/>
          <w:lang w:eastAsia="en-AU"/>
          <w14:ligatures w14:val="none"/>
        </w:rPr>
        <w:t xml:space="preserve">as in force or existing </w:t>
      </w:r>
      <w:proofErr w:type="gramStart"/>
      <w:r w:rsidR="00530122" w:rsidRPr="00DA6A7F">
        <w:rPr>
          <w:rFonts w:eastAsia="Times New Roman"/>
          <w:kern w:val="0"/>
          <w:sz w:val="22"/>
          <w:szCs w:val="22"/>
          <w:lang w:eastAsia="en-AU"/>
          <w14:ligatures w14:val="none"/>
        </w:rPr>
        <w:t>at</w:t>
      </w:r>
      <w:proofErr w:type="gramEnd"/>
      <w:r w:rsidR="00530122" w:rsidRPr="00DA6A7F">
        <w:rPr>
          <w:rFonts w:eastAsia="Times New Roman"/>
          <w:kern w:val="0"/>
          <w:sz w:val="22"/>
          <w:szCs w:val="22"/>
          <w:lang w:eastAsia="en-AU"/>
          <w14:ligatures w14:val="none"/>
        </w:rPr>
        <w:t xml:space="preserve"> 1 September 2025</w:t>
      </w:r>
      <w:r w:rsidRPr="00DA6A7F">
        <w:rPr>
          <w:rFonts w:eastAsia="Times New Roman"/>
          <w:kern w:val="0"/>
          <w:sz w:val="22"/>
          <w:szCs w:val="22"/>
          <w:lang w:eastAsia="en-AU"/>
          <w14:ligatures w14:val="none"/>
        </w:rPr>
        <w:t>.</w:t>
      </w:r>
    </w:p>
    <w:p w14:paraId="3622E4F4" w14:textId="77777777" w:rsidR="00C030D3" w:rsidRPr="00DA6A7F" w:rsidRDefault="00C030D3" w:rsidP="00383260">
      <w:pPr>
        <w:autoSpaceDE w:val="0"/>
        <w:autoSpaceDN w:val="0"/>
        <w:spacing w:after="0" w:line="240" w:lineRule="auto"/>
        <w:rPr>
          <w:rFonts w:eastAsia="Times New Roman"/>
          <w:kern w:val="0"/>
          <w:sz w:val="22"/>
          <w:szCs w:val="22"/>
          <w:lang w:eastAsia="en-AU"/>
          <w14:ligatures w14:val="none"/>
        </w:rPr>
      </w:pPr>
    </w:p>
    <w:p w14:paraId="4B408206" w14:textId="5C8E2C60" w:rsidR="005E7A0F" w:rsidRPr="00DA6A7F" w:rsidRDefault="00C67535" w:rsidP="00383260">
      <w:pPr>
        <w:autoSpaceDE w:val="0"/>
        <w:autoSpaceDN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w:t>
      </w:r>
      <w:r w:rsidR="00C030D3" w:rsidRPr="00DA6A7F">
        <w:rPr>
          <w:rFonts w:eastAsia="Times New Roman"/>
          <w:kern w:val="0"/>
          <w:sz w:val="22"/>
          <w:szCs w:val="22"/>
          <w:lang w:eastAsia="en-AU"/>
          <w14:ligatures w14:val="none"/>
        </w:rPr>
        <w:t xml:space="preserve">note </w:t>
      </w:r>
      <w:r w:rsidRPr="00DA6A7F">
        <w:rPr>
          <w:rFonts w:eastAsia="Times New Roman"/>
          <w:kern w:val="0"/>
          <w:sz w:val="22"/>
          <w:szCs w:val="22"/>
          <w:lang w:eastAsia="en-AU"/>
          <w14:ligatures w14:val="none"/>
        </w:rPr>
        <w:t xml:space="preserve">to the definition of ‘PIC/S Guide to GMP’ makes it clear </w:t>
      </w:r>
      <w:r w:rsidR="005B6AE5" w:rsidRPr="00DA6A7F">
        <w:rPr>
          <w:rFonts w:eastAsia="Times New Roman"/>
          <w:kern w:val="0"/>
          <w:sz w:val="22"/>
          <w:szCs w:val="22"/>
          <w:lang w:eastAsia="en-AU"/>
          <w14:ligatures w14:val="none"/>
        </w:rPr>
        <w:t xml:space="preserve">that the PIC/S Guide to GMP could, in 2025, be viewed on </w:t>
      </w:r>
      <w:r w:rsidR="00EB6040" w:rsidRPr="00DA6A7F">
        <w:rPr>
          <w:rFonts w:eastAsia="Times New Roman"/>
          <w:kern w:val="0"/>
          <w:sz w:val="22"/>
          <w:szCs w:val="22"/>
          <w:lang w:eastAsia="en-AU"/>
          <w14:ligatures w14:val="none"/>
        </w:rPr>
        <w:t xml:space="preserve">the </w:t>
      </w:r>
      <w:r w:rsidR="005B6AE5" w:rsidRPr="00DA6A7F">
        <w:rPr>
          <w:rFonts w:eastAsia="Times New Roman"/>
          <w:kern w:val="0"/>
          <w:sz w:val="22"/>
          <w:szCs w:val="22"/>
          <w:lang w:eastAsia="en-AU"/>
          <w14:ligatures w14:val="none"/>
        </w:rPr>
        <w:t>PIC/S’s website at https://picscheme.org.</w:t>
      </w:r>
    </w:p>
    <w:p w14:paraId="5560EBDC" w14:textId="77777777" w:rsidR="005E7A0F" w:rsidRPr="00DA6A7F" w:rsidRDefault="005E7A0F" w:rsidP="00383260">
      <w:pPr>
        <w:autoSpaceDE w:val="0"/>
        <w:autoSpaceDN w:val="0"/>
        <w:spacing w:after="0" w:line="240" w:lineRule="auto"/>
        <w:rPr>
          <w:rFonts w:eastAsia="Times New Roman"/>
          <w:kern w:val="0"/>
          <w:sz w:val="22"/>
          <w:szCs w:val="22"/>
          <w:lang w:eastAsia="en-AU"/>
          <w14:ligatures w14:val="none"/>
        </w:rPr>
      </w:pPr>
    </w:p>
    <w:p w14:paraId="3C616A43" w14:textId="77777777" w:rsidR="008E1BAF" w:rsidRPr="00DA6A7F" w:rsidRDefault="008E1BAF" w:rsidP="008E1BAF">
      <w:pPr>
        <w:autoSpaceDE w:val="0"/>
        <w:autoSpaceDN w:val="0"/>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Item 2 – Part 3</w:t>
      </w:r>
    </w:p>
    <w:p w14:paraId="00366D61" w14:textId="77777777" w:rsidR="008E1BAF" w:rsidRPr="00DA6A7F" w:rsidRDefault="008E1BAF" w:rsidP="008E1BAF">
      <w:pPr>
        <w:autoSpaceDE w:val="0"/>
        <w:autoSpaceDN w:val="0"/>
        <w:spacing w:after="0" w:line="240" w:lineRule="auto"/>
        <w:rPr>
          <w:rFonts w:eastAsia="Times New Roman"/>
          <w:kern w:val="0"/>
          <w:sz w:val="22"/>
          <w:szCs w:val="22"/>
          <w:lang w:eastAsia="en-AU"/>
          <w14:ligatures w14:val="none"/>
        </w:rPr>
      </w:pPr>
    </w:p>
    <w:p w14:paraId="430ECEF8" w14:textId="416624FD" w:rsidR="008E1BAF" w:rsidRPr="00DA6A7F" w:rsidRDefault="008E1BAF" w:rsidP="008E1BAF">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Item 2 repeals Part 3 of the Principal Determination, which provides for application provisions relating to amendments made by a former </w:t>
      </w:r>
      <w:proofErr w:type="gramStart"/>
      <w:r w:rsidRPr="00DA6A7F">
        <w:rPr>
          <w:rFonts w:eastAsia="Times New Roman"/>
          <w:kern w:val="0"/>
          <w:sz w:val="22"/>
          <w:szCs w:val="22"/>
          <w:lang w:eastAsia="en-AU"/>
          <w14:ligatures w14:val="none"/>
        </w:rPr>
        <w:t>instrument</w:t>
      </w:r>
      <w:r w:rsidR="00951CB9" w:rsidRPr="00DA6A7F">
        <w:rPr>
          <w:rFonts w:eastAsia="Times New Roman"/>
          <w:kern w:val="0"/>
          <w:sz w:val="22"/>
          <w:szCs w:val="22"/>
          <w:lang w:eastAsia="en-AU"/>
          <w14:ligatures w14:val="none"/>
        </w:rPr>
        <w:t>, and</w:t>
      </w:r>
      <w:proofErr w:type="gramEnd"/>
      <w:r w:rsidR="00951CB9" w:rsidRPr="00DA6A7F">
        <w:rPr>
          <w:rFonts w:eastAsia="Times New Roman"/>
          <w:kern w:val="0"/>
          <w:sz w:val="22"/>
          <w:szCs w:val="22"/>
          <w:lang w:eastAsia="en-AU"/>
          <w14:ligatures w14:val="none"/>
        </w:rPr>
        <w:t xml:space="preserve"> replaces with a new Part 3 to provide for the application of amendments made by the Amendment Determination.</w:t>
      </w:r>
    </w:p>
    <w:p w14:paraId="234215CB" w14:textId="77777777" w:rsidR="00951CB9" w:rsidRPr="00DA6A7F" w:rsidRDefault="00951CB9" w:rsidP="008E1BAF">
      <w:pPr>
        <w:autoSpaceDE w:val="0"/>
        <w:autoSpaceDN w:val="0"/>
        <w:adjustRightInd w:val="0"/>
        <w:spacing w:after="0" w:line="240" w:lineRule="auto"/>
        <w:rPr>
          <w:rFonts w:eastAsia="Times New Roman"/>
          <w:kern w:val="0"/>
          <w:sz w:val="22"/>
          <w:szCs w:val="22"/>
          <w:lang w:eastAsia="en-AU"/>
          <w14:ligatures w14:val="none"/>
        </w:rPr>
      </w:pPr>
    </w:p>
    <w:p w14:paraId="52EC92BE" w14:textId="74783010" w:rsidR="0075105D" w:rsidRPr="00DA6A7F" w:rsidRDefault="00E658B1" w:rsidP="008E1BAF">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Subsection</w:t>
      </w:r>
      <w:r w:rsidR="00951CB9" w:rsidRPr="00DA6A7F">
        <w:rPr>
          <w:rFonts w:eastAsia="Times New Roman"/>
          <w:kern w:val="0"/>
          <w:sz w:val="22"/>
          <w:szCs w:val="22"/>
          <w:lang w:eastAsia="en-AU"/>
          <w14:ligatures w14:val="none"/>
        </w:rPr>
        <w:t xml:space="preserve"> 8(1) introduces definitions of ‘amending determination’ and ‘sterile therapeutic goods’ for the purposes of section 8.</w:t>
      </w:r>
    </w:p>
    <w:p w14:paraId="59D0970A" w14:textId="7EF920A8" w:rsidR="00E658B1" w:rsidRPr="00DA6A7F" w:rsidRDefault="00E658B1" w:rsidP="008E1BAF">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lastRenderedPageBreak/>
        <w:t xml:space="preserve">Subsection 8(2) provides that the amendments made to the Principal Determination by item 1 in Schedule 1 to the amending determination apply to </w:t>
      </w:r>
      <w:r w:rsidR="001D4F6D" w:rsidRPr="00DA6A7F">
        <w:rPr>
          <w:rFonts w:eastAsia="Times New Roman"/>
          <w:kern w:val="0"/>
          <w:sz w:val="22"/>
          <w:szCs w:val="22"/>
          <w:lang w:eastAsia="en-AU"/>
          <w14:ligatures w14:val="none"/>
        </w:rPr>
        <w:t xml:space="preserve">the manufacture of </w:t>
      </w:r>
      <w:r w:rsidRPr="00DA6A7F">
        <w:rPr>
          <w:rFonts w:eastAsia="Times New Roman"/>
          <w:kern w:val="0"/>
          <w:sz w:val="22"/>
          <w:szCs w:val="22"/>
          <w:lang w:eastAsia="en-AU"/>
          <w14:ligatures w14:val="none"/>
        </w:rPr>
        <w:t xml:space="preserve">therapeutic goods </w:t>
      </w:r>
      <w:r w:rsidR="001D4F6D" w:rsidRPr="00DA6A7F">
        <w:rPr>
          <w:rFonts w:eastAsia="Times New Roman"/>
          <w:kern w:val="0"/>
          <w:sz w:val="22"/>
          <w:szCs w:val="22"/>
          <w:lang w:eastAsia="en-AU"/>
          <w14:ligatures w14:val="none"/>
        </w:rPr>
        <w:t>that occurs</w:t>
      </w:r>
      <w:r w:rsidRPr="00DA6A7F">
        <w:rPr>
          <w:rFonts w:eastAsia="Times New Roman"/>
          <w:kern w:val="0"/>
          <w:sz w:val="22"/>
          <w:szCs w:val="22"/>
          <w:lang w:eastAsia="en-AU"/>
          <w14:ligatures w14:val="none"/>
        </w:rPr>
        <w:t xml:space="preserve"> on or after 1 September 2025.</w:t>
      </w:r>
    </w:p>
    <w:p w14:paraId="1E9BA23E" w14:textId="77777777" w:rsidR="00E658B1" w:rsidRPr="00DA6A7F" w:rsidRDefault="00E658B1" w:rsidP="008E1BAF">
      <w:pPr>
        <w:autoSpaceDE w:val="0"/>
        <w:autoSpaceDN w:val="0"/>
        <w:adjustRightInd w:val="0"/>
        <w:spacing w:after="0" w:line="240" w:lineRule="auto"/>
        <w:rPr>
          <w:rFonts w:eastAsia="Times New Roman"/>
          <w:kern w:val="0"/>
          <w:sz w:val="22"/>
          <w:szCs w:val="22"/>
          <w:lang w:eastAsia="en-AU"/>
          <w14:ligatures w14:val="none"/>
        </w:rPr>
      </w:pPr>
    </w:p>
    <w:p w14:paraId="674D2984" w14:textId="13292F0A" w:rsidR="0075105D" w:rsidRPr="00DA6A7F" w:rsidRDefault="00E658B1" w:rsidP="008E1BAF">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Subsection 8(3) provides that despite subsection 8(2), the amendments made to the Principal Determination by item 1 in Schedule 1 to the amending determination, only to the extent that the amendment has the effect of incorporating</w:t>
      </w:r>
      <w:r w:rsidR="00AC3EE3" w:rsidRPr="00DA6A7F">
        <w:rPr>
          <w:rFonts w:eastAsia="Times New Roman"/>
          <w:kern w:val="0"/>
          <w:sz w:val="22"/>
          <w:szCs w:val="22"/>
          <w:lang w:eastAsia="en-AU"/>
          <w14:ligatures w14:val="none"/>
        </w:rPr>
        <w:t xml:space="preserve"> </w:t>
      </w:r>
      <w:r w:rsidR="00005ED6" w:rsidRPr="00DA6A7F">
        <w:rPr>
          <w:rFonts w:eastAsia="Times New Roman"/>
          <w:kern w:val="0"/>
          <w:sz w:val="22"/>
          <w:szCs w:val="22"/>
          <w:lang w:eastAsia="en-AU"/>
          <w14:ligatures w14:val="none"/>
        </w:rPr>
        <w:t>clauses 2.1, 2.3, 7.14 and 9.31 of Annex 1</w:t>
      </w:r>
      <w:r w:rsidRPr="00DA6A7F">
        <w:rPr>
          <w:rFonts w:eastAsia="Times New Roman"/>
          <w:kern w:val="0"/>
          <w:sz w:val="22"/>
          <w:szCs w:val="22"/>
          <w:lang w:eastAsia="en-AU"/>
          <w14:ligatures w14:val="none"/>
        </w:rPr>
        <w:t xml:space="preserve"> </w:t>
      </w:r>
      <w:r w:rsidR="008E3EB9" w:rsidRPr="00DA6A7F">
        <w:rPr>
          <w:rFonts w:eastAsia="Times New Roman"/>
          <w:kern w:val="0"/>
          <w:sz w:val="22"/>
          <w:szCs w:val="22"/>
          <w:lang w:eastAsia="en-AU"/>
          <w14:ligatures w14:val="none"/>
        </w:rPr>
        <w:t>to</w:t>
      </w:r>
      <w:r w:rsidRPr="00DA6A7F">
        <w:rPr>
          <w:rFonts w:eastAsia="Times New Roman"/>
          <w:kern w:val="0"/>
          <w:sz w:val="22"/>
          <w:szCs w:val="22"/>
          <w:lang w:eastAsia="en-AU"/>
          <w14:ligatures w14:val="none"/>
        </w:rPr>
        <w:t xml:space="preserve"> the PIC/S</w:t>
      </w:r>
      <w:r w:rsidR="008E3EB9" w:rsidRPr="00DA6A7F">
        <w:rPr>
          <w:rFonts w:eastAsia="Times New Roman"/>
          <w:kern w:val="0"/>
          <w:sz w:val="22"/>
          <w:szCs w:val="22"/>
          <w:lang w:eastAsia="en-AU"/>
          <w14:ligatures w14:val="none"/>
        </w:rPr>
        <w:t> </w:t>
      </w:r>
      <w:r w:rsidRPr="00DA6A7F">
        <w:rPr>
          <w:rFonts w:eastAsia="Times New Roman"/>
          <w:kern w:val="0"/>
          <w:sz w:val="22"/>
          <w:szCs w:val="22"/>
          <w:lang w:eastAsia="en-AU"/>
          <w14:ligatures w14:val="none"/>
        </w:rPr>
        <w:t xml:space="preserve">Guide to GMP, applies to </w:t>
      </w:r>
      <w:r w:rsidR="009777AE" w:rsidRPr="00DA6A7F">
        <w:rPr>
          <w:rFonts w:eastAsia="Times New Roman"/>
          <w:kern w:val="0"/>
          <w:sz w:val="22"/>
          <w:szCs w:val="22"/>
          <w:lang w:eastAsia="en-AU"/>
          <w14:ligatures w14:val="none"/>
        </w:rPr>
        <w:t xml:space="preserve">the manufacture of </w:t>
      </w:r>
      <w:r w:rsidRPr="00DA6A7F">
        <w:rPr>
          <w:rFonts w:eastAsia="Times New Roman"/>
          <w:kern w:val="0"/>
          <w:sz w:val="22"/>
          <w:szCs w:val="22"/>
          <w:lang w:eastAsia="en-AU"/>
          <w14:ligatures w14:val="none"/>
        </w:rPr>
        <w:t>sterile therapeutic goods</w:t>
      </w:r>
      <w:r w:rsidR="00005ED6" w:rsidRPr="00DA6A7F">
        <w:rPr>
          <w:rFonts w:eastAsia="Times New Roman"/>
          <w:kern w:val="0"/>
          <w:sz w:val="22"/>
          <w:szCs w:val="22"/>
          <w:lang w:eastAsia="en-AU"/>
          <w14:ligatures w14:val="none"/>
        </w:rPr>
        <w:t xml:space="preserve"> </w:t>
      </w:r>
      <w:r w:rsidR="009777AE" w:rsidRPr="00DA6A7F">
        <w:rPr>
          <w:rFonts w:eastAsia="Times New Roman"/>
          <w:kern w:val="0"/>
          <w:sz w:val="22"/>
          <w:szCs w:val="22"/>
          <w:lang w:eastAsia="en-AU"/>
          <w14:ligatures w14:val="none"/>
        </w:rPr>
        <w:t xml:space="preserve">that occurs </w:t>
      </w:r>
      <w:r w:rsidR="00005ED6" w:rsidRPr="00DA6A7F">
        <w:rPr>
          <w:rFonts w:eastAsia="Times New Roman"/>
          <w:kern w:val="0"/>
          <w:sz w:val="22"/>
          <w:szCs w:val="22"/>
          <w:lang w:eastAsia="en-AU"/>
          <w14:ligatures w14:val="none"/>
        </w:rPr>
        <w:t>on or after 1 March 2026.</w:t>
      </w:r>
      <w:r w:rsidRPr="00DA6A7F">
        <w:rPr>
          <w:rFonts w:eastAsia="Times New Roman"/>
          <w:kern w:val="0"/>
          <w:sz w:val="22"/>
          <w:szCs w:val="22"/>
          <w:lang w:eastAsia="en-AU"/>
          <w14:ligatures w14:val="none"/>
        </w:rPr>
        <w:t xml:space="preserve"> </w:t>
      </w:r>
      <w:r w:rsidR="00005ED6" w:rsidRPr="00DA6A7F">
        <w:rPr>
          <w:rFonts w:eastAsia="Times New Roman"/>
          <w:kern w:val="0"/>
          <w:sz w:val="22"/>
          <w:szCs w:val="22"/>
          <w:lang w:eastAsia="en-AU"/>
          <w14:ligatures w14:val="none"/>
        </w:rPr>
        <w:t xml:space="preserve">The delayed application of </w:t>
      </w:r>
      <w:r w:rsidR="001474D0" w:rsidRPr="00DA6A7F">
        <w:rPr>
          <w:rFonts w:eastAsia="Times New Roman"/>
          <w:kern w:val="0"/>
          <w:sz w:val="22"/>
          <w:szCs w:val="22"/>
          <w:lang w:eastAsia="en-AU"/>
          <w14:ligatures w14:val="none"/>
        </w:rPr>
        <w:t xml:space="preserve">6 months for </w:t>
      </w:r>
      <w:r w:rsidR="00005ED6" w:rsidRPr="00DA6A7F">
        <w:rPr>
          <w:rFonts w:eastAsia="Times New Roman"/>
          <w:kern w:val="0"/>
          <w:sz w:val="22"/>
          <w:szCs w:val="22"/>
          <w:lang w:eastAsia="en-AU"/>
          <w14:ligatures w14:val="none"/>
        </w:rPr>
        <w:t>clauses 2.1, 2.3, 7.14 and 9.31 of Annex 1</w:t>
      </w:r>
      <w:r w:rsidRPr="00DA6A7F">
        <w:rPr>
          <w:rFonts w:eastAsia="Times New Roman"/>
          <w:kern w:val="0"/>
          <w:sz w:val="22"/>
          <w:szCs w:val="22"/>
          <w:lang w:eastAsia="en-AU"/>
          <w14:ligatures w14:val="none"/>
        </w:rPr>
        <w:t xml:space="preserve"> for </w:t>
      </w:r>
      <w:r w:rsidR="004E4E6B" w:rsidRPr="00DA6A7F">
        <w:rPr>
          <w:rFonts w:eastAsia="Times New Roman"/>
          <w:kern w:val="0"/>
          <w:sz w:val="22"/>
          <w:szCs w:val="22"/>
          <w:lang w:eastAsia="en-AU"/>
          <w14:ligatures w14:val="none"/>
        </w:rPr>
        <w:t xml:space="preserve">the manufacture of </w:t>
      </w:r>
      <w:r w:rsidRPr="00DA6A7F">
        <w:rPr>
          <w:rFonts w:eastAsia="Times New Roman"/>
          <w:kern w:val="0"/>
          <w:sz w:val="22"/>
          <w:szCs w:val="22"/>
          <w:lang w:eastAsia="en-AU"/>
          <w14:ligatures w14:val="none"/>
        </w:rPr>
        <w:t>sterile therapeutic goods is intended to provide</w:t>
      </w:r>
      <w:r w:rsidRPr="00DA6A7F">
        <w:rPr>
          <w:rFonts w:eastAsia="Times New Roman"/>
          <w:kern w:val="0"/>
          <w:sz w:val="22"/>
          <w:szCs w:val="22"/>
          <w14:ligatures w14:val="none"/>
        </w:rPr>
        <w:t xml:space="preserve"> </w:t>
      </w:r>
      <w:r w:rsidR="00005ED6" w:rsidRPr="00DA6A7F">
        <w:rPr>
          <w:rFonts w:eastAsia="Times New Roman"/>
          <w:kern w:val="0"/>
          <w:sz w:val="22"/>
          <w:szCs w:val="22"/>
          <w14:ligatures w14:val="none"/>
        </w:rPr>
        <w:t>industry</w:t>
      </w:r>
      <w:r w:rsidRPr="00DA6A7F">
        <w:rPr>
          <w:rFonts w:eastAsia="Times New Roman"/>
          <w:kern w:val="0"/>
          <w:sz w:val="22"/>
          <w:szCs w:val="22"/>
          <w14:ligatures w14:val="none"/>
        </w:rPr>
        <w:t xml:space="preserve"> with</w:t>
      </w:r>
      <w:r w:rsidR="00005ED6" w:rsidRPr="00DA6A7F">
        <w:rPr>
          <w:rFonts w:eastAsia="Times New Roman"/>
          <w:kern w:val="0"/>
          <w:sz w:val="22"/>
          <w:szCs w:val="22"/>
          <w14:ligatures w14:val="none"/>
        </w:rPr>
        <w:t xml:space="preserve"> sufficient time to ensure </w:t>
      </w:r>
      <w:r w:rsidR="00BB19E1" w:rsidRPr="00DA6A7F">
        <w:rPr>
          <w:rFonts w:eastAsia="Times New Roman"/>
          <w:kern w:val="0"/>
          <w:sz w:val="22"/>
          <w:szCs w:val="22"/>
          <w14:ligatures w14:val="none"/>
        </w:rPr>
        <w:t xml:space="preserve">that </w:t>
      </w:r>
      <w:r w:rsidR="00005ED6" w:rsidRPr="00DA6A7F">
        <w:rPr>
          <w:rFonts w:eastAsia="Times New Roman"/>
          <w:kern w:val="0"/>
          <w:sz w:val="22"/>
          <w:szCs w:val="22"/>
          <w14:ligatures w14:val="none"/>
        </w:rPr>
        <w:t>their manufacturing practices comply with the updated requirements in those clauses.</w:t>
      </w:r>
    </w:p>
    <w:p w14:paraId="5F79E94E" w14:textId="77777777" w:rsidR="00931C7C" w:rsidRPr="00DA6A7F" w:rsidRDefault="00931C7C" w:rsidP="00383260">
      <w:pPr>
        <w:autoSpaceDE w:val="0"/>
        <w:autoSpaceDN w:val="0"/>
        <w:spacing w:after="0" w:line="240" w:lineRule="auto"/>
        <w:rPr>
          <w:rFonts w:eastAsia="Times New Roman"/>
          <w:kern w:val="0"/>
          <w:sz w:val="22"/>
          <w:szCs w:val="22"/>
          <w:shd w:val="clear" w:color="auto" w:fill="FFFFFF"/>
          <w:lang w:eastAsia="en-AU"/>
          <w14:ligatures w14:val="none"/>
        </w:rPr>
      </w:pPr>
      <w:r w:rsidRPr="00DA6A7F">
        <w:rPr>
          <w:rFonts w:eastAsia="Times New Roman"/>
          <w:kern w:val="0"/>
          <w:sz w:val="22"/>
          <w:szCs w:val="22"/>
          <w:lang w:eastAsia="en-AU"/>
          <w14:ligatures w14:val="none"/>
        </w:rPr>
        <w:br w:type="page"/>
      </w:r>
    </w:p>
    <w:p w14:paraId="62F83EE8" w14:textId="77777777" w:rsidR="00931C7C" w:rsidRPr="00DA6A7F" w:rsidRDefault="00931C7C" w:rsidP="009A23F8">
      <w:pPr>
        <w:spacing w:after="0" w:line="240" w:lineRule="auto"/>
        <w:ind w:left="284"/>
        <w:jc w:val="right"/>
        <w:rPr>
          <w:rFonts w:eastAsia="Times New Roman"/>
          <w:b/>
          <w:kern w:val="0"/>
          <w:sz w:val="22"/>
          <w:szCs w:val="22"/>
          <w:lang w:eastAsia="en-AU"/>
          <w14:ligatures w14:val="none"/>
        </w:rPr>
      </w:pPr>
      <w:r w:rsidRPr="00DA6A7F">
        <w:rPr>
          <w:rFonts w:eastAsia="Times New Roman"/>
          <w:b/>
          <w:kern w:val="0"/>
          <w:sz w:val="22"/>
          <w:szCs w:val="22"/>
          <w:lang w:eastAsia="en-AU"/>
          <w14:ligatures w14:val="none"/>
        </w:rPr>
        <w:lastRenderedPageBreak/>
        <w:t>Attachment B</w:t>
      </w:r>
    </w:p>
    <w:p w14:paraId="689247DC" w14:textId="77777777" w:rsidR="00931C7C" w:rsidRPr="00DA6A7F" w:rsidRDefault="00931C7C" w:rsidP="009A23F8">
      <w:pPr>
        <w:spacing w:after="0" w:line="240" w:lineRule="auto"/>
        <w:rPr>
          <w:rFonts w:eastAsia="Times New Roman"/>
          <w:kern w:val="0"/>
          <w:sz w:val="22"/>
          <w:szCs w:val="22"/>
          <w:lang w:eastAsia="en-AU"/>
          <w14:ligatures w14:val="none"/>
        </w:rPr>
      </w:pPr>
    </w:p>
    <w:p w14:paraId="4EDBAD3F" w14:textId="77777777" w:rsidR="00931C7C" w:rsidRPr="00DA6A7F" w:rsidRDefault="00931C7C" w:rsidP="009A23F8">
      <w:pPr>
        <w:spacing w:after="0" w:line="240" w:lineRule="auto"/>
        <w:jc w:val="center"/>
        <w:rPr>
          <w:rFonts w:eastAsia="Times New Roman"/>
          <w:b/>
          <w:kern w:val="0"/>
          <w:sz w:val="22"/>
          <w:szCs w:val="22"/>
          <w:lang w:val="en-US" w:eastAsia="en-AU"/>
          <w14:ligatures w14:val="none"/>
        </w:rPr>
      </w:pPr>
      <w:r w:rsidRPr="00DA6A7F">
        <w:rPr>
          <w:rFonts w:eastAsia="Times New Roman"/>
          <w:b/>
          <w:kern w:val="0"/>
          <w:sz w:val="22"/>
          <w:szCs w:val="22"/>
          <w:lang w:eastAsia="en-AU"/>
          <w14:ligatures w14:val="none"/>
        </w:rPr>
        <w:t>Statement of Compatibility with Human Rights</w:t>
      </w:r>
    </w:p>
    <w:p w14:paraId="5C921A0F" w14:textId="77777777" w:rsidR="00931C7C" w:rsidRPr="00DA6A7F" w:rsidRDefault="00931C7C" w:rsidP="009A23F8">
      <w:pPr>
        <w:spacing w:after="0" w:line="240" w:lineRule="auto"/>
        <w:rPr>
          <w:rFonts w:eastAsia="Times New Roman"/>
          <w:kern w:val="0"/>
          <w:sz w:val="22"/>
          <w:szCs w:val="22"/>
          <w:lang w:eastAsia="en-AU"/>
          <w14:ligatures w14:val="none"/>
        </w:rPr>
      </w:pPr>
    </w:p>
    <w:p w14:paraId="6BFE98EC" w14:textId="42D53A5C" w:rsidR="00931C7C" w:rsidRPr="00DA6A7F" w:rsidRDefault="00931C7C" w:rsidP="009A23F8">
      <w:pPr>
        <w:spacing w:after="0" w:line="240" w:lineRule="auto"/>
        <w:ind w:right="-142"/>
        <w:jc w:val="center"/>
        <w:rPr>
          <w:rFonts w:eastAsia="Times New Roman"/>
          <w:i/>
          <w:kern w:val="0"/>
          <w:sz w:val="22"/>
          <w:szCs w:val="22"/>
          <w:lang w:eastAsia="en-AU"/>
          <w14:ligatures w14:val="none"/>
        </w:rPr>
      </w:pPr>
      <w:r w:rsidRPr="00DA6A7F">
        <w:rPr>
          <w:rFonts w:eastAsia="Times New Roman"/>
          <w:iCs/>
          <w:kern w:val="0"/>
          <w:sz w:val="22"/>
          <w:szCs w:val="22"/>
          <w:lang w:eastAsia="en-AU"/>
          <w14:ligatures w14:val="none"/>
        </w:rPr>
        <w:t>Prepared in accordance with Part 3 of the</w:t>
      </w:r>
      <w:r w:rsidRPr="00DA6A7F">
        <w:rPr>
          <w:rFonts w:eastAsia="Times New Roman"/>
          <w:i/>
          <w:iCs/>
          <w:kern w:val="0"/>
          <w:sz w:val="22"/>
          <w:szCs w:val="22"/>
          <w:lang w:eastAsia="en-AU"/>
          <w14:ligatures w14:val="none"/>
        </w:rPr>
        <w:t xml:space="preserve"> Human Rights (Parliamentary Scrutiny) Act 2011</w:t>
      </w:r>
    </w:p>
    <w:p w14:paraId="213D9005" w14:textId="77777777" w:rsidR="00931C7C" w:rsidRPr="00DA6A7F" w:rsidRDefault="00931C7C" w:rsidP="009A23F8">
      <w:pPr>
        <w:spacing w:after="0" w:line="240" w:lineRule="auto"/>
        <w:rPr>
          <w:rFonts w:eastAsia="Times New Roman"/>
          <w:kern w:val="0"/>
          <w:sz w:val="22"/>
          <w:szCs w:val="22"/>
          <w:lang w:val="en-US" w:eastAsia="en-AU"/>
          <w14:ligatures w14:val="none"/>
        </w:rPr>
      </w:pPr>
    </w:p>
    <w:p w14:paraId="51CAD413" w14:textId="13519D5B" w:rsidR="00931C7C" w:rsidRPr="00DA6A7F" w:rsidRDefault="00931C7C" w:rsidP="009A23F8">
      <w:pPr>
        <w:spacing w:after="0" w:line="240" w:lineRule="auto"/>
        <w:jc w:val="center"/>
        <w:rPr>
          <w:rFonts w:eastAsia="Times New Roman"/>
          <w:b/>
          <w:kern w:val="0"/>
          <w:sz w:val="22"/>
          <w:szCs w:val="22"/>
          <w:lang w:eastAsia="en-AU"/>
          <w14:ligatures w14:val="none"/>
        </w:rPr>
      </w:pPr>
      <w:r w:rsidRPr="00DA6A7F">
        <w:rPr>
          <w:rFonts w:eastAsia="Times New Roman"/>
          <w:b/>
          <w:i/>
          <w:kern w:val="0"/>
          <w:sz w:val="22"/>
          <w:szCs w:val="22"/>
          <w:lang w:eastAsia="en-AU"/>
          <w14:ligatures w14:val="none"/>
        </w:rPr>
        <w:t>Therapeutic Goods (Manufacturing Principles) Amendment</w:t>
      </w:r>
      <w:r w:rsidR="008E053A" w:rsidRPr="00DA6A7F">
        <w:rPr>
          <w:rFonts w:eastAsia="Times New Roman"/>
          <w:b/>
          <w:i/>
          <w:kern w:val="0"/>
          <w:sz w:val="22"/>
          <w:szCs w:val="22"/>
          <w:lang w:eastAsia="en-AU"/>
          <w14:ligatures w14:val="none"/>
        </w:rPr>
        <w:t xml:space="preserve"> (PIC/S Guide)</w:t>
      </w:r>
      <w:r w:rsidRPr="00DA6A7F">
        <w:rPr>
          <w:rFonts w:eastAsia="Times New Roman"/>
          <w:b/>
          <w:i/>
          <w:kern w:val="0"/>
          <w:sz w:val="22"/>
          <w:szCs w:val="22"/>
          <w:lang w:eastAsia="en-AU"/>
          <w14:ligatures w14:val="none"/>
        </w:rPr>
        <w:t xml:space="preserve"> Determination</w:t>
      </w:r>
      <w:r w:rsidR="00754517" w:rsidRPr="00DA6A7F">
        <w:rPr>
          <w:rFonts w:eastAsia="Times New Roman"/>
          <w:b/>
          <w:i/>
          <w:kern w:val="0"/>
          <w:sz w:val="22"/>
          <w:szCs w:val="22"/>
          <w:lang w:eastAsia="en-AU"/>
          <w14:ligatures w14:val="none"/>
        </w:rPr>
        <w:t> </w:t>
      </w:r>
      <w:r w:rsidRPr="00DA6A7F">
        <w:rPr>
          <w:rFonts w:eastAsia="Times New Roman"/>
          <w:b/>
          <w:i/>
          <w:kern w:val="0"/>
          <w:sz w:val="22"/>
          <w:szCs w:val="22"/>
          <w:lang w:eastAsia="en-AU"/>
          <w14:ligatures w14:val="none"/>
        </w:rPr>
        <w:t>202</w:t>
      </w:r>
      <w:r w:rsidR="00EF1BC8" w:rsidRPr="00DA6A7F">
        <w:rPr>
          <w:rFonts w:eastAsia="Times New Roman"/>
          <w:b/>
          <w:i/>
          <w:kern w:val="0"/>
          <w:sz w:val="22"/>
          <w:szCs w:val="22"/>
          <w:lang w:eastAsia="en-AU"/>
          <w14:ligatures w14:val="none"/>
        </w:rPr>
        <w:t>5</w:t>
      </w:r>
    </w:p>
    <w:p w14:paraId="6D36C8F2" w14:textId="77777777" w:rsidR="00931C7C" w:rsidRPr="00DA6A7F" w:rsidRDefault="00931C7C" w:rsidP="009A23F8">
      <w:pPr>
        <w:spacing w:after="0" w:line="240" w:lineRule="auto"/>
        <w:rPr>
          <w:rFonts w:eastAsia="Times New Roman"/>
          <w:kern w:val="0"/>
          <w:sz w:val="22"/>
          <w:szCs w:val="22"/>
          <w:lang w:eastAsia="en-AU"/>
          <w14:ligatures w14:val="none"/>
        </w:rPr>
      </w:pPr>
    </w:p>
    <w:p w14:paraId="69C7E944" w14:textId="2DB0F28B" w:rsidR="00931C7C" w:rsidRPr="00DA6A7F" w:rsidRDefault="00931C7C" w:rsidP="009A23F8">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This disallowable legislative instrument is compatible with the</w:t>
      </w:r>
      <w:r w:rsidR="00FC1C04" w:rsidRPr="00DA6A7F">
        <w:rPr>
          <w:rFonts w:eastAsia="Times New Roman"/>
          <w:kern w:val="0"/>
          <w:sz w:val="22"/>
          <w:szCs w:val="22"/>
          <w:lang w:eastAsia="en-AU"/>
          <w14:ligatures w14:val="none"/>
        </w:rPr>
        <w:t xml:space="preserve"> </w:t>
      </w:r>
      <w:r w:rsidRPr="00DA6A7F">
        <w:rPr>
          <w:rFonts w:eastAsia="Times New Roman"/>
          <w:kern w:val="0"/>
          <w:sz w:val="22"/>
          <w:szCs w:val="22"/>
          <w:lang w:eastAsia="en-AU"/>
          <w14:ligatures w14:val="none"/>
        </w:rPr>
        <w:t xml:space="preserve">human rights and freedoms recognised or declared in the international instruments listed in section 3 of the </w:t>
      </w:r>
      <w:r w:rsidRPr="00DA6A7F">
        <w:rPr>
          <w:rFonts w:eastAsia="Times New Roman"/>
          <w:i/>
          <w:kern w:val="0"/>
          <w:sz w:val="22"/>
          <w:szCs w:val="22"/>
          <w:lang w:eastAsia="en-AU"/>
          <w14:ligatures w14:val="none"/>
        </w:rPr>
        <w:t>Human Rights (Parliamentary Scrutiny) Act 2011</w:t>
      </w:r>
      <w:r w:rsidRPr="00DA6A7F">
        <w:rPr>
          <w:rFonts w:eastAsia="Times New Roman"/>
          <w:kern w:val="0"/>
          <w:sz w:val="22"/>
          <w:szCs w:val="22"/>
          <w:lang w:eastAsia="en-AU"/>
          <w14:ligatures w14:val="none"/>
        </w:rPr>
        <w:t>.</w:t>
      </w:r>
    </w:p>
    <w:p w14:paraId="354CD190" w14:textId="77777777" w:rsidR="00931C7C" w:rsidRPr="00DA6A7F" w:rsidRDefault="00931C7C" w:rsidP="009A23F8">
      <w:pPr>
        <w:spacing w:after="0" w:line="240" w:lineRule="auto"/>
        <w:rPr>
          <w:rFonts w:eastAsia="Times New Roman"/>
          <w:kern w:val="0"/>
          <w:sz w:val="22"/>
          <w:szCs w:val="22"/>
          <w:lang w:eastAsia="en-AU"/>
          <w14:ligatures w14:val="none"/>
        </w:rPr>
      </w:pPr>
    </w:p>
    <w:p w14:paraId="5F103E74" w14:textId="77777777" w:rsidR="00931C7C" w:rsidRPr="00DA6A7F" w:rsidRDefault="00931C7C" w:rsidP="009A23F8">
      <w:pPr>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Overview of legislative instrument</w:t>
      </w:r>
    </w:p>
    <w:p w14:paraId="0D38CA60" w14:textId="77777777" w:rsidR="00931C7C" w:rsidRPr="00DA6A7F" w:rsidRDefault="00931C7C" w:rsidP="009A23F8">
      <w:pPr>
        <w:spacing w:after="0" w:line="240" w:lineRule="auto"/>
        <w:rPr>
          <w:rFonts w:eastAsia="Times New Roman"/>
          <w:bCs/>
          <w:kern w:val="0"/>
          <w:sz w:val="22"/>
          <w:szCs w:val="22"/>
          <w:lang w:eastAsia="en-AU"/>
          <w14:ligatures w14:val="none"/>
        </w:rPr>
      </w:pPr>
    </w:p>
    <w:p w14:paraId="5AF48741" w14:textId="6CBC0BCE" w:rsidR="00A6213A" w:rsidRPr="00DA6A7F" w:rsidRDefault="00A6213A" w:rsidP="00A6213A">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Subsection 36(1) of the </w:t>
      </w:r>
      <w:r w:rsidRPr="00DA6A7F">
        <w:rPr>
          <w:rFonts w:eastAsia="Times New Roman"/>
          <w:i/>
          <w:iCs/>
          <w:kern w:val="0"/>
          <w:sz w:val="22"/>
          <w:szCs w:val="22"/>
          <w:lang w:eastAsia="en-AU"/>
          <w14:ligatures w14:val="none"/>
        </w:rPr>
        <w:t>Therapeutic Goods Act 1989</w:t>
      </w:r>
      <w:r w:rsidRPr="00DA6A7F">
        <w:rPr>
          <w:rFonts w:eastAsia="Times New Roman"/>
          <w:kern w:val="0"/>
          <w:sz w:val="22"/>
          <w:szCs w:val="22"/>
          <w:lang w:eastAsia="en-AU"/>
          <w14:ligatures w14:val="none"/>
        </w:rPr>
        <w:t xml:space="preserve"> </w:t>
      </w:r>
      <w:r w:rsidR="001E1DF2" w:rsidRPr="00DA6A7F">
        <w:rPr>
          <w:rFonts w:eastAsia="Times New Roman"/>
          <w:kern w:val="0"/>
          <w:sz w:val="22"/>
          <w:szCs w:val="22"/>
          <w:lang w:eastAsia="en-AU"/>
          <w14:ligatures w14:val="none"/>
        </w:rPr>
        <w:t xml:space="preserve">(the Act) </w:t>
      </w:r>
      <w:r w:rsidRPr="00DA6A7F">
        <w:rPr>
          <w:rFonts w:eastAsia="Times New Roman"/>
          <w:kern w:val="0"/>
          <w:sz w:val="22"/>
          <w:szCs w:val="22"/>
          <w:lang w:eastAsia="en-AU"/>
          <w14:ligatures w14:val="none"/>
        </w:rPr>
        <w:t>provides that the Minister may, from time to time, determine written principles to be observed in the manufacture of therapeutic goods for use in humans. Subsection 36(4) of the Act provides that such manufacturing principles are legislative instruments.</w:t>
      </w:r>
    </w:p>
    <w:p w14:paraId="71F5AE10"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792399C4" w14:textId="77777777" w:rsidR="00A6213A" w:rsidRPr="00DA6A7F" w:rsidRDefault="00A6213A" w:rsidP="00A6213A">
      <w:pPr>
        <w:autoSpaceDE w:val="0"/>
        <w:autoSpaceDN w:val="0"/>
        <w:adjustRightInd w:val="0"/>
        <w:spacing w:after="0" w:line="240" w:lineRule="auto"/>
        <w:rPr>
          <w:rFonts w:eastAsia="Times New Roman"/>
          <w:kern w:val="0"/>
          <w:sz w:val="22"/>
          <w:szCs w:val="22"/>
          <w:shd w:val="clear" w:color="auto" w:fill="FFFFFF"/>
          <w14:ligatures w14:val="none"/>
        </w:rPr>
      </w:pPr>
      <w:r w:rsidRPr="00DA6A7F">
        <w:rPr>
          <w:rFonts w:eastAsia="Times New Roman"/>
          <w:kern w:val="0"/>
          <w:sz w:val="22"/>
          <w:szCs w:val="22"/>
          <w:shd w:val="clear" w:color="auto" w:fill="FFFFFF"/>
          <w14:ligatures w14:val="none"/>
        </w:rPr>
        <w:t>Under subsection 36(2) of the Act, manufacturing principles may relate to any of the matters specified in paragraphs 36(2)(a) to (e), including the standards to be maintained and the equipment to be used at manufacturing premises, procedures for quality assurance and quality control and the manufacturing practices to be employed in the manufacturing of therapeutic goods.</w:t>
      </w:r>
    </w:p>
    <w:p w14:paraId="65CEDB14"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4BB7773D"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The </w:t>
      </w:r>
      <w:r w:rsidRPr="00DA6A7F">
        <w:rPr>
          <w:rFonts w:eastAsia="Times New Roman"/>
          <w:i/>
          <w:kern w:val="0"/>
          <w:sz w:val="22"/>
          <w:szCs w:val="22"/>
          <w14:ligatures w14:val="none"/>
        </w:rPr>
        <w:t>Therapeutic Goods (Manufacturing Principles)</w:t>
      </w:r>
      <w:r w:rsidRPr="00DA6A7F">
        <w:rPr>
          <w:rFonts w:eastAsia="Times New Roman"/>
          <w:kern w:val="0"/>
          <w:sz w:val="22"/>
          <w:szCs w:val="22"/>
          <w14:ligatures w14:val="none"/>
        </w:rPr>
        <w:t xml:space="preserve"> </w:t>
      </w:r>
      <w:r w:rsidRPr="00DA6A7F">
        <w:rPr>
          <w:rFonts w:eastAsia="Times New Roman"/>
          <w:i/>
          <w:kern w:val="0"/>
          <w:sz w:val="22"/>
          <w:szCs w:val="22"/>
          <w14:ligatures w14:val="none"/>
        </w:rPr>
        <w:t xml:space="preserve">Determination 2020 </w:t>
      </w:r>
      <w:r w:rsidRPr="00DA6A7F">
        <w:rPr>
          <w:rFonts w:eastAsia="Times New Roman"/>
          <w:kern w:val="0"/>
          <w:sz w:val="22"/>
          <w:szCs w:val="22"/>
          <w14:ligatures w14:val="none"/>
        </w:rPr>
        <w:t>(the Principal Determination) is made under subsection 36(1) of the Act for the purpose of determining written principles to be observed in the manufacture of therapeutic goods.</w:t>
      </w:r>
    </w:p>
    <w:p w14:paraId="58664B5B"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6765C6FC" w14:textId="77777777" w:rsidR="00A6213A" w:rsidRPr="00DA6A7F" w:rsidRDefault="00A6213A" w:rsidP="00A6213A">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w:t>
      </w:r>
      <w:r w:rsidRPr="00DA6A7F">
        <w:rPr>
          <w:rFonts w:eastAsia="Times New Roman"/>
          <w:i/>
          <w:kern w:val="0"/>
          <w:sz w:val="22"/>
          <w:szCs w:val="22"/>
          <w:lang w:eastAsia="en-AU"/>
          <w14:ligatures w14:val="none"/>
        </w:rPr>
        <w:t xml:space="preserve">Therapeutic Goods (Manufacturing Principles) Amendment (PIC/S Guide) Determination 2025 </w:t>
      </w:r>
      <w:r w:rsidRPr="00DA6A7F">
        <w:rPr>
          <w:rFonts w:eastAsia="Times New Roman"/>
          <w:iCs/>
          <w:kern w:val="0"/>
          <w:sz w:val="22"/>
          <w:szCs w:val="22"/>
          <w:lang w:eastAsia="en-AU"/>
          <w14:ligatures w14:val="none"/>
        </w:rPr>
        <w:t>(the Amendment</w:t>
      </w:r>
      <w:r w:rsidRPr="00DA6A7F">
        <w:rPr>
          <w:rFonts w:eastAsia="Times New Roman"/>
          <w:i/>
          <w:kern w:val="0"/>
          <w:sz w:val="22"/>
          <w:szCs w:val="22"/>
          <w:lang w:eastAsia="en-AU"/>
          <w14:ligatures w14:val="none"/>
        </w:rPr>
        <w:t xml:space="preserve"> </w:t>
      </w:r>
      <w:r w:rsidRPr="00DA6A7F">
        <w:rPr>
          <w:rFonts w:eastAsia="Times New Roman"/>
          <w:kern w:val="0"/>
          <w:sz w:val="22"/>
          <w:szCs w:val="22"/>
          <w:lang w:eastAsia="en-AU"/>
          <w14:ligatures w14:val="none"/>
        </w:rPr>
        <w:t xml:space="preserve">Determination) amends the Principal Determination to incorporate an updated version of the </w:t>
      </w:r>
      <w:r w:rsidRPr="00DA6A7F">
        <w:rPr>
          <w:rFonts w:eastAsia="Times New Roman"/>
          <w:i/>
          <w:kern w:val="0"/>
          <w:sz w:val="22"/>
          <w:szCs w:val="22"/>
          <w:lang w:eastAsia="en-AU"/>
          <w14:ligatures w14:val="none"/>
        </w:rPr>
        <w:t>Guide to Good Manufacturing Practice for Medicinal Products</w:t>
      </w:r>
      <w:r w:rsidRPr="00DA6A7F">
        <w:rPr>
          <w:rFonts w:eastAsia="Times New Roman"/>
          <w:kern w:val="0"/>
          <w:sz w:val="22"/>
          <w:szCs w:val="22"/>
          <w:lang w:eastAsia="en-AU"/>
          <w14:ligatures w14:val="none"/>
        </w:rPr>
        <w:t xml:space="preserve"> (the PIC/S Guide to GMP), published by the Pharmaceutical Inspection Co-operation Scheme (PIC/S), effective 25 August 2023.</w:t>
      </w:r>
    </w:p>
    <w:p w14:paraId="1142FCEC" w14:textId="77777777" w:rsidR="004E4E6B" w:rsidRPr="00DA6A7F" w:rsidRDefault="004E4E6B" w:rsidP="00A6213A">
      <w:pPr>
        <w:autoSpaceDE w:val="0"/>
        <w:autoSpaceDN w:val="0"/>
        <w:adjustRightInd w:val="0"/>
        <w:spacing w:after="0" w:line="240" w:lineRule="auto"/>
        <w:rPr>
          <w:rFonts w:eastAsia="Times New Roman"/>
          <w:kern w:val="0"/>
          <w:sz w:val="22"/>
          <w:szCs w:val="22"/>
          <w:lang w:eastAsia="en-AU"/>
          <w14:ligatures w14:val="none"/>
        </w:rPr>
      </w:pPr>
    </w:p>
    <w:p w14:paraId="0FAAE58E" w14:textId="77777777" w:rsidR="004E4E6B" w:rsidRPr="00DA6A7F" w:rsidRDefault="004E4E6B" w:rsidP="004E4E6B">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also replaces Part 3 of the Principal Determination, which contains application provisions that are no longer required, to introduce application provisions which provide that version </w:t>
      </w:r>
      <w:r w:rsidRPr="00DA6A7F">
        <w:rPr>
          <w:rFonts w:eastAsia="Times New Roman"/>
          <w:iCs/>
          <w:kern w:val="0"/>
          <w:sz w:val="22"/>
          <w:szCs w:val="22"/>
          <w:lang w:eastAsia="en-AU"/>
          <w14:ligatures w14:val="none"/>
        </w:rPr>
        <w:t>PE 009-17 of the PIC/S Guide to GMP</w:t>
      </w:r>
      <w:r w:rsidRPr="00DA6A7F">
        <w:rPr>
          <w:rFonts w:eastAsia="Times New Roman"/>
          <w:kern w:val="0"/>
          <w:sz w:val="22"/>
          <w:szCs w:val="22"/>
          <w:lang w:eastAsia="en-AU"/>
          <w14:ligatures w14:val="none"/>
        </w:rPr>
        <w:t xml:space="preserve"> applies to the manufacture of therapeutic goods that occurs on or after 1 September 2025, with the exception of clauses 2.1, 2.3, 7.14 and 9.31 of Annex 1 which applies to the manufacture of therapeutic goods that are sterile medicines or sterile active pharmaceutical ingredients that occurs on or after 1 March 2026.</w:t>
      </w:r>
    </w:p>
    <w:p w14:paraId="468FA516" w14:textId="77777777" w:rsidR="00A6213A" w:rsidRPr="00DA6A7F" w:rsidRDefault="00A6213A" w:rsidP="00A6213A">
      <w:pPr>
        <w:autoSpaceDE w:val="0"/>
        <w:autoSpaceDN w:val="0"/>
        <w:adjustRightInd w:val="0"/>
        <w:spacing w:after="0" w:line="240" w:lineRule="auto"/>
        <w:rPr>
          <w:rFonts w:eastAsia="Times New Roman"/>
          <w:kern w:val="0"/>
          <w:sz w:val="22"/>
          <w:szCs w:val="22"/>
          <w:lang w:eastAsia="en-AU"/>
          <w14:ligatures w14:val="none"/>
        </w:rPr>
      </w:pPr>
    </w:p>
    <w:p w14:paraId="0FBD1A48" w14:textId="77777777" w:rsidR="00A6213A" w:rsidRPr="00DA6A7F" w:rsidRDefault="00A6213A" w:rsidP="00A6213A">
      <w:pPr>
        <w:autoSpaceDE w:val="0"/>
        <w:autoSpaceDN w:val="0"/>
        <w:adjustRightInd w:val="0"/>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Background</w:t>
      </w:r>
    </w:p>
    <w:p w14:paraId="64A5F51A" w14:textId="77777777" w:rsidR="00A6213A" w:rsidRPr="00DA6A7F" w:rsidRDefault="00A6213A" w:rsidP="00A6213A">
      <w:pPr>
        <w:spacing w:after="0" w:line="240" w:lineRule="auto"/>
        <w:rPr>
          <w:rFonts w:eastAsia="Times New Roman"/>
          <w:kern w:val="0"/>
          <w:sz w:val="22"/>
          <w:szCs w:val="22"/>
          <w:lang w:eastAsia="en-AU"/>
          <w14:ligatures w14:val="none"/>
        </w:rPr>
      </w:pPr>
    </w:p>
    <w:p w14:paraId="4DB8C215" w14:textId="77777777" w:rsidR="00A6213A" w:rsidRPr="00DA6A7F" w:rsidRDefault="00A6213A" w:rsidP="00A6213A">
      <w:pPr>
        <w:spacing w:after="0" w:line="240" w:lineRule="auto"/>
        <w:rPr>
          <w:rFonts w:eastAsia="Times New Roman"/>
          <w:i/>
          <w:iCs/>
          <w:kern w:val="0"/>
          <w:sz w:val="22"/>
          <w:szCs w:val="22"/>
          <w:lang w:eastAsia="en-AU"/>
          <w14:ligatures w14:val="none"/>
        </w:rPr>
      </w:pPr>
      <w:r w:rsidRPr="00DA6A7F">
        <w:rPr>
          <w:rFonts w:eastAsia="Times New Roman"/>
          <w:i/>
          <w:iCs/>
          <w:kern w:val="0"/>
          <w:sz w:val="22"/>
          <w:szCs w:val="22"/>
          <w:lang w:eastAsia="en-AU"/>
          <w14:ligatures w14:val="none"/>
        </w:rPr>
        <w:t>Manufacturing Principles</w:t>
      </w:r>
    </w:p>
    <w:p w14:paraId="43FA7F16" w14:textId="77777777" w:rsidR="00A6213A" w:rsidRPr="00DA6A7F" w:rsidRDefault="00A6213A" w:rsidP="00A6213A">
      <w:pPr>
        <w:spacing w:after="0" w:line="240" w:lineRule="auto"/>
        <w:rPr>
          <w:rFonts w:eastAsia="Times New Roman"/>
          <w:kern w:val="0"/>
          <w:sz w:val="22"/>
          <w:szCs w:val="22"/>
          <w:lang w:eastAsia="en-AU"/>
          <w14:ligatures w14:val="none"/>
        </w:rPr>
      </w:pPr>
    </w:p>
    <w:p w14:paraId="7BEA5890" w14:textId="77777777" w:rsidR="00A6213A" w:rsidRPr="00DA6A7F" w:rsidRDefault="00A6213A" w:rsidP="00A6213A">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Part 3-3 of the Act sets out requirements relating to the manufacture of therapeutic goods other than medical devices, Class 1 biologicals, or goods or persons exempt from the operation of that Part by regulations made for the purposes of section 34 of the Act.</w:t>
      </w:r>
    </w:p>
    <w:p w14:paraId="685489E4"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0E3ADA28" w14:textId="77777777" w:rsidR="00A6213A" w:rsidRPr="00DA6A7F" w:rsidRDefault="00A6213A" w:rsidP="00A6213A">
      <w:pPr>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Part 3-3 contains criminal offences and civil penalty provisions that may apply where a person carries out, at premises in Australia, a step in the manufacture of therapeutic goods and the person does not have a licence issued under Part 3-3 (or the person, or the goods involved, are not exempt from the operation of that Part under section 34 of the Act).</w:t>
      </w:r>
    </w:p>
    <w:p w14:paraId="02CFDA58"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7AF82314"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lastRenderedPageBreak/>
        <w:t>It is a condition of each manufacturing licence that a manufacturer of therapeutic goods complies with the manufacturing principles (subparagraph 40(4)(a)(ii) of the Act refers). If the holder of a manufacturing licence breaches this or any other condition of the licence, the Secretary may suspend or revoke the licence (subparagraph 41(1)(a)(viii) of the Act refers). The Secretary can also refuse to grant a manufacturing licence if satisfied that the applicant for the licence will be unable to comply with the manufacturing principles (paragraph 38(1)(e) of the Act refers).</w:t>
      </w:r>
    </w:p>
    <w:p w14:paraId="1C66B08E"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2A8FEC90"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The manufacturing principles set out the minimum requirements that are to be observed in the manufacture of therapeutic goods (other than medical devices), to ensure that therapeutic goods are produced to a high quality, and consistent with their specifications. The Principal Determination separately specifies the principles to be observed in relation to the manufacture of the following therapeutic goods:</w:t>
      </w:r>
    </w:p>
    <w:p w14:paraId="6E7313E5"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4FCF3240" w14:textId="77777777" w:rsidR="00A6213A" w:rsidRPr="00DA6A7F" w:rsidRDefault="00A6213A" w:rsidP="00A6213A">
      <w:pPr>
        <w:numPr>
          <w:ilvl w:val="0"/>
          <w:numId w:val="1"/>
        </w:num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registered and listed therapeutic goods (principally, these are medicines and sunscreens), active pharmaceutical ingredients, and biologicals that comprise or contain live animal cells, tissues or organs; and</w:t>
      </w:r>
    </w:p>
    <w:p w14:paraId="5AC7970B" w14:textId="77777777" w:rsidR="00A6213A" w:rsidRPr="00DA6A7F" w:rsidRDefault="00A6213A" w:rsidP="00A6213A">
      <w:pPr>
        <w:numPr>
          <w:ilvl w:val="0"/>
          <w:numId w:val="1"/>
        </w:num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blood, blood components, haematopoietic progenitor cells and biologicals (other than biologicals that comprise or contain live animal cells, tissues or organs).</w:t>
      </w:r>
    </w:p>
    <w:p w14:paraId="35FA5A03"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605BF6D6" w14:textId="77777777" w:rsidR="00A6213A" w:rsidRPr="00DA6A7F" w:rsidRDefault="00A6213A" w:rsidP="00A6213A">
      <w:pPr>
        <w:shd w:val="clear" w:color="auto" w:fill="FFFFFF"/>
        <w:spacing w:after="0" w:line="240" w:lineRule="auto"/>
        <w:rPr>
          <w:rFonts w:eastAsia="Times New Roman"/>
          <w:i/>
          <w:iCs/>
          <w:kern w:val="0"/>
          <w:sz w:val="22"/>
          <w:szCs w:val="22"/>
          <w:lang w:eastAsia="en-AU"/>
          <w14:ligatures w14:val="none"/>
        </w:rPr>
      </w:pPr>
      <w:r w:rsidRPr="00DA6A7F">
        <w:rPr>
          <w:rFonts w:eastAsia="Times New Roman"/>
          <w:i/>
          <w:iCs/>
          <w:kern w:val="0"/>
          <w:sz w:val="22"/>
          <w:szCs w:val="22"/>
          <w:lang w:eastAsia="en-AU"/>
          <w14:ligatures w14:val="none"/>
        </w:rPr>
        <w:t>PIC/S Guide to GMP</w:t>
      </w:r>
    </w:p>
    <w:p w14:paraId="4319501A"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p>
    <w:p w14:paraId="3D22BF8D" w14:textId="77777777" w:rsidR="00A6213A" w:rsidRPr="00DA6A7F" w:rsidRDefault="00A6213A" w:rsidP="00A6213A">
      <w:pPr>
        <w:autoSpaceDE w:val="0"/>
        <w:autoSpaceDN w:val="0"/>
        <w:adjustRightInd w:val="0"/>
        <w:spacing w:after="0" w:line="240" w:lineRule="auto"/>
        <w:rPr>
          <w:rFonts w:eastAsia="Times New Roman"/>
          <w:kern w:val="0"/>
          <w:sz w:val="22"/>
          <w:szCs w:val="22"/>
          <w14:ligatures w14:val="none"/>
        </w:rPr>
      </w:pPr>
      <w:r w:rsidRPr="00DA6A7F">
        <w:rPr>
          <w:rFonts w:eastAsia="Times New Roman"/>
          <w:kern w:val="0"/>
          <w:sz w:val="22"/>
          <w:szCs w:val="22"/>
          <w14:ligatures w14:val="none"/>
        </w:rPr>
        <w:t xml:space="preserve">The TGA uses internationally harmonised manufacturing standards to allow manufacturers to operate in an international environment. The TGA maintains Good Manufacturing Practice (GMP) requirements in line with updates issued through PIC/S. Updates are necessary </w:t>
      </w:r>
      <w:proofErr w:type="gramStart"/>
      <w:r w:rsidRPr="00DA6A7F">
        <w:rPr>
          <w:rFonts w:eastAsia="Times New Roman"/>
          <w:kern w:val="0"/>
          <w:sz w:val="22"/>
          <w:szCs w:val="22"/>
          <w14:ligatures w14:val="none"/>
        </w:rPr>
        <w:t>in order to</w:t>
      </w:r>
      <w:proofErr w:type="gramEnd"/>
      <w:r w:rsidRPr="00DA6A7F">
        <w:rPr>
          <w:rFonts w:eastAsia="Times New Roman"/>
          <w:kern w:val="0"/>
          <w:sz w:val="22"/>
          <w:szCs w:val="22"/>
          <w14:ligatures w14:val="none"/>
        </w:rPr>
        <w:t xml:space="preserve"> maintain mutual confidence with regulators overseas, and to promote quality assurance of inspections and the harmonisation of technical standards and procedures with international inspection standards for the production and testing of medicinal products.</w:t>
      </w:r>
    </w:p>
    <w:p w14:paraId="791B5059" w14:textId="77777777" w:rsidR="00A6213A" w:rsidRPr="00DA6A7F" w:rsidRDefault="00A6213A" w:rsidP="00A6213A">
      <w:pPr>
        <w:shd w:val="clear" w:color="auto" w:fill="FFFFFF"/>
        <w:spacing w:after="0" w:line="240" w:lineRule="auto"/>
        <w:rPr>
          <w:rFonts w:eastAsia="Times New Roman"/>
          <w:kern w:val="0"/>
          <w:sz w:val="22"/>
          <w:szCs w:val="22"/>
          <w:lang w:eastAsia="en-AU"/>
          <w14:ligatures w14:val="none"/>
        </w:rPr>
      </w:pPr>
    </w:p>
    <w:p w14:paraId="27E65527" w14:textId="77777777" w:rsidR="00A6213A" w:rsidRPr="00DA6A7F" w:rsidRDefault="00A6213A" w:rsidP="00A6213A">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PIC/S is </w:t>
      </w:r>
      <w:r w:rsidRPr="00DA6A7F">
        <w:rPr>
          <w:rFonts w:eastAsia="Times New Roman"/>
          <w:kern w:val="0"/>
          <w:sz w:val="22"/>
          <w:szCs w:val="22"/>
          <w:lang w:val="en" w:eastAsia="en-AU"/>
          <w14:ligatures w14:val="none"/>
        </w:rPr>
        <w:t>a non-binding, informal co-operative arrangement between regulatory authorities in the field of GMP of medicinal products for human or veterinary use.</w:t>
      </w:r>
      <w:r w:rsidRPr="00DA6A7F">
        <w:rPr>
          <w:rFonts w:eastAsia="Times New Roman"/>
          <w:kern w:val="0"/>
          <w:sz w:val="22"/>
          <w:szCs w:val="22"/>
          <w:lang w:eastAsia="en-AU"/>
          <w14:ligatures w14:val="none"/>
        </w:rPr>
        <w:t xml:space="preserve"> PIC/S leads the international development, implementation and maintenance of harmonised GMP standards and quality systems of inspectorates.</w:t>
      </w:r>
    </w:p>
    <w:p w14:paraId="4A5D8585" w14:textId="77777777" w:rsidR="00A6213A" w:rsidRPr="00DA6A7F" w:rsidRDefault="00A6213A" w:rsidP="00A6213A">
      <w:pPr>
        <w:shd w:val="clear" w:color="auto" w:fill="FFFFFF"/>
        <w:spacing w:after="0" w:line="240" w:lineRule="auto"/>
        <w:rPr>
          <w:rFonts w:eastAsia="Times New Roman"/>
          <w:kern w:val="0"/>
          <w:sz w:val="22"/>
          <w:szCs w:val="22"/>
          <w:lang w:eastAsia="en-AU"/>
          <w14:ligatures w14:val="none"/>
        </w:rPr>
      </w:pPr>
    </w:p>
    <w:p w14:paraId="00D81CAE" w14:textId="75F41FF9" w:rsidR="00A6213A" w:rsidRPr="00DA6A7F" w:rsidRDefault="00A6213A" w:rsidP="00A6213A">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PIC/S Guide to GMP version PE 009-17 which came into effect on 25 August 2023 includes revisions limited to Annex 1 (Manufacture of sterile medicinal products) </w:t>
      </w:r>
      <w:r w:rsidR="00B27EAF" w:rsidRPr="00DA6A7F">
        <w:rPr>
          <w:rFonts w:eastAsia="Times New Roman"/>
          <w:kern w:val="0"/>
          <w:sz w:val="22"/>
          <w:szCs w:val="22"/>
          <w:lang w:eastAsia="en-AU"/>
          <w14:ligatures w14:val="none"/>
        </w:rPr>
        <w:t>to</w:t>
      </w:r>
      <w:r w:rsidRPr="00DA6A7F">
        <w:rPr>
          <w:rFonts w:eastAsia="Times New Roman"/>
          <w:kern w:val="0"/>
          <w:sz w:val="22"/>
          <w:szCs w:val="22"/>
          <w:lang w:eastAsia="en-AU"/>
          <w14:ligatures w14:val="none"/>
        </w:rPr>
        <w:t xml:space="preserve"> the </w:t>
      </w:r>
      <w:r w:rsidR="00B27EAF" w:rsidRPr="00DA6A7F">
        <w:rPr>
          <w:rFonts w:eastAsia="Times New Roman"/>
          <w:kern w:val="0"/>
          <w:sz w:val="22"/>
          <w:szCs w:val="22"/>
          <w:lang w:eastAsia="en-AU"/>
          <w14:ligatures w14:val="none"/>
        </w:rPr>
        <w:t>g</w:t>
      </w:r>
      <w:r w:rsidRPr="00DA6A7F">
        <w:rPr>
          <w:rFonts w:eastAsia="Times New Roman"/>
          <w:kern w:val="0"/>
          <w:sz w:val="22"/>
          <w:szCs w:val="22"/>
          <w:lang w:eastAsia="en-AU"/>
          <w14:ligatures w14:val="none"/>
        </w:rPr>
        <w:t xml:space="preserve">uide. The revised Annex 1 introduces </w:t>
      </w:r>
      <w:proofErr w:type="gramStart"/>
      <w:r w:rsidRPr="00DA6A7F">
        <w:rPr>
          <w:rFonts w:eastAsia="Times New Roman"/>
          <w:kern w:val="0"/>
          <w:sz w:val="22"/>
          <w:szCs w:val="22"/>
          <w:lang w:eastAsia="en-AU"/>
          <w14:ligatures w14:val="none"/>
        </w:rPr>
        <w:t>a number of</w:t>
      </w:r>
      <w:proofErr w:type="gramEnd"/>
      <w:r w:rsidRPr="00DA6A7F">
        <w:rPr>
          <w:rFonts w:eastAsia="Times New Roman"/>
          <w:kern w:val="0"/>
          <w:sz w:val="22"/>
          <w:szCs w:val="22"/>
          <w:lang w:eastAsia="en-AU"/>
          <w14:ligatures w14:val="none"/>
        </w:rPr>
        <w:t xml:space="preserve"> changes that largely clarify existing GMP requirements, provide guidance for the adoption of new manufacturing technologies, support the application of Quality Risk Management to manufacturing operations and contamination control, and offer additional direction on environmental classification, qualification, and monitoring expectations.</w:t>
      </w:r>
    </w:p>
    <w:p w14:paraId="7DD0FF1F" w14:textId="77777777" w:rsidR="00A6213A" w:rsidRPr="00DA6A7F" w:rsidRDefault="00A6213A" w:rsidP="00A6213A">
      <w:pPr>
        <w:autoSpaceDE w:val="0"/>
        <w:autoSpaceDN w:val="0"/>
        <w:spacing w:after="0" w:line="240" w:lineRule="auto"/>
        <w:rPr>
          <w:rFonts w:eastAsia="Times New Roman"/>
          <w:kern w:val="0"/>
          <w:sz w:val="22"/>
          <w:szCs w:val="22"/>
          <w:lang w:eastAsia="en-AU"/>
          <w14:ligatures w14:val="none"/>
        </w:rPr>
      </w:pPr>
    </w:p>
    <w:p w14:paraId="55D84624" w14:textId="77777777" w:rsidR="00A6213A" w:rsidRPr="00DA6A7F" w:rsidRDefault="00A6213A" w:rsidP="00A6213A">
      <w:pPr>
        <w:autoSpaceDE w:val="0"/>
        <w:autoSpaceDN w:val="0"/>
        <w:spacing w:after="0" w:line="240" w:lineRule="auto"/>
        <w:rPr>
          <w:rFonts w:eastAsia="Times New Roman"/>
          <w:b/>
          <w:bCs/>
          <w:kern w:val="0"/>
          <w:sz w:val="22"/>
          <w:szCs w:val="22"/>
          <w:lang w:eastAsia="en-AU"/>
          <w14:ligatures w14:val="none"/>
        </w:rPr>
      </w:pPr>
      <w:r w:rsidRPr="00DA6A7F">
        <w:rPr>
          <w:rFonts w:eastAsia="Times New Roman"/>
          <w:b/>
          <w:bCs/>
          <w:kern w:val="0"/>
          <w:sz w:val="22"/>
          <w:szCs w:val="22"/>
          <w:lang w:eastAsia="en-AU"/>
          <w14:ligatures w14:val="none"/>
        </w:rPr>
        <w:t>Purpose</w:t>
      </w:r>
    </w:p>
    <w:p w14:paraId="6507BE73" w14:textId="77777777" w:rsidR="00A6213A" w:rsidRPr="00DA6A7F" w:rsidRDefault="00A6213A" w:rsidP="00A6213A">
      <w:pPr>
        <w:autoSpaceDE w:val="0"/>
        <w:autoSpaceDN w:val="0"/>
        <w:spacing w:after="0" w:line="240" w:lineRule="auto"/>
        <w:rPr>
          <w:rFonts w:eastAsia="Times New Roman"/>
          <w:kern w:val="0"/>
          <w:sz w:val="22"/>
          <w:szCs w:val="22"/>
          <w:lang w:eastAsia="en-AU"/>
          <w14:ligatures w14:val="none"/>
        </w:rPr>
      </w:pPr>
    </w:p>
    <w:p w14:paraId="752226C7" w14:textId="77777777" w:rsidR="00A6213A" w:rsidRPr="00DA6A7F" w:rsidRDefault="00A6213A" w:rsidP="00A6213A">
      <w:pPr>
        <w:autoSpaceDE w:val="0"/>
        <w:autoSpaceDN w:val="0"/>
        <w:adjustRightInd w:val="0"/>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Amendment Determination amends the Principal Determination to replace the definition of ‘PIC/S Guide to GMP’ with a reference to the updated version of the </w:t>
      </w:r>
      <w:r w:rsidRPr="00DA6A7F">
        <w:rPr>
          <w:rFonts w:eastAsia="Times New Roman"/>
          <w:i/>
          <w:kern w:val="0"/>
          <w:sz w:val="22"/>
          <w:szCs w:val="22"/>
          <w:lang w:eastAsia="en-AU"/>
          <w14:ligatures w14:val="none"/>
        </w:rPr>
        <w:t>Guide to Good Manufacturing Practice for Medicinal Products</w:t>
      </w:r>
      <w:r w:rsidRPr="00DA6A7F">
        <w:rPr>
          <w:rFonts w:eastAsia="Times New Roman"/>
          <w:kern w:val="0"/>
          <w:sz w:val="22"/>
          <w:szCs w:val="22"/>
          <w:lang w:eastAsia="en-AU"/>
          <w14:ligatures w14:val="none"/>
        </w:rPr>
        <w:t xml:space="preserve"> (PE 009-17, 25 August 2023) published by PIC/S.</w:t>
      </w:r>
    </w:p>
    <w:p w14:paraId="3A369ACD" w14:textId="77777777" w:rsidR="00A6213A" w:rsidRPr="00DA6A7F" w:rsidRDefault="00A6213A" w:rsidP="00A6213A">
      <w:pPr>
        <w:autoSpaceDE w:val="0"/>
        <w:autoSpaceDN w:val="0"/>
        <w:spacing w:after="0" w:line="240" w:lineRule="auto"/>
        <w:rPr>
          <w:rFonts w:eastAsia="Times New Roman"/>
          <w:kern w:val="0"/>
          <w:sz w:val="22"/>
          <w:szCs w:val="22"/>
          <w:lang w:eastAsia="en-AU"/>
          <w14:ligatures w14:val="none"/>
        </w:rPr>
      </w:pPr>
    </w:p>
    <w:p w14:paraId="5BDD83B6" w14:textId="77777777" w:rsidR="00A6213A" w:rsidRPr="00DA6A7F" w:rsidRDefault="00A6213A" w:rsidP="00A6213A">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The amendment of the Principal Determination to incorporate the updated version of the PIC/S Guide to GMP ensures consistency with best international practice, and that an appropriate level of GMP will be required to be applied to the manufacture of therapeutic goods for use by patients in Australia. The amendments also reduce the risk and burden for sponsors and manufacturers of therapeutic goods associated with having to comply with requirements in Australia that are inconsistent with those in place in major international markets such as Europe and the United States. This provides confidence for sponsors and manufacturers to bring their products to market in Australia and reduces delays for Australian patients in accessing new therapeutic goods.</w:t>
      </w:r>
    </w:p>
    <w:p w14:paraId="5C12C3C4" w14:textId="77777777" w:rsidR="00A6213A" w:rsidRPr="00DA6A7F" w:rsidRDefault="00A6213A" w:rsidP="00A6213A">
      <w:pPr>
        <w:autoSpaceDE w:val="0"/>
        <w:autoSpaceDN w:val="0"/>
        <w:adjustRightInd w:val="0"/>
        <w:spacing w:after="0" w:line="240" w:lineRule="auto"/>
        <w:rPr>
          <w:rFonts w:eastAsia="Times New Roman"/>
          <w:kern w:val="0"/>
          <w:sz w:val="22"/>
          <w:szCs w:val="22"/>
          <w:lang w:eastAsia="en-AU"/>
          <w14:ligatures w14:val="none"/>
        </w:rPr>
      </w:pPr>
    </w:p>
    <w:p w14:paraId="56ED308F" w14:textId="77777777" w:rsidR="00A6213A" w:rsidRPr="00DA6A7F" w:rsidRDefault="00A6213A" w:rsidP="00A6213A">
      <w:pPr>
        <w:autoSpaceDE w:val="0"/>
        <w:autoSpaceDN w:val="0"/>
        <w:adjustRightInd w:val="0"/>
        <w:spacing w:after="0" w:line="240" w:lineRule="auto"/>
        <w:contextualSpacing/>
        <w:rPr>
          <w:rFonts w:eastAsia="Times New Roman"/>
          <w:kern w:val="0"/>
          <w:sz w:val="22"/>
          <w:szCs w:val="22"/>
          <w:lang w:eastAsia="en-AU"/>
          <w14:ligatures w14:val="none"/>
        </w:rPr>
      </w:pPr>
      <w:r w:rsidRPr="00DA6A7F">
        <w:rPr>
          <w:rFonts w:eastAsia="Times New Roman"/>
          <w:kern w:val="0"/>
          <w:sz w:val="22"/>
          <w:szCs w:val="22"/>
          <w:lang w:eastAsia="en-AU"/>
          <w14:ligatures w14:val="none"/>
        </w:rPr>
        <w:lastRenderedPageBreak/>
        <w:t>Australian manufacturers will also benefit from reduced regulatory burden where the TGA is able to adopt harmonised international standards and establish mutual recognition agreements and cooperation arrangements with comparable overseas regulatory authorities.</w:t>
      </w:r>
    </w:p>
    <w:p w14:paraId="646CCF8A" w14:textId="77777777" w:rsidR="00A6213A" w:rsidRPr="00DA6A7F" w:rsidRDefault="00A6213A" w:rsidP="00A6213A">
      <w:pPr>
        <w:autoSpaceDE w:val="0"/>
        <w:autoSpaceDN w:val="0"/>
        <w:adjustRightInd w:val="0"/>
        <w:spacing w:after="0" w:line="240" w:lineRule="auto"/>
        <w:contextualSpacing/>
        <w:rPr>
          <w:rFonts w:eastAsia="Times New Roman"/>
          <w:kern w:val="0"/>
          <w:sz w:val="22"/>
          <w:szCs w:val="22"/>
          <w:lang w:eastAsia="en-AU"/>
          <w14:ligatures w14:val="none"/>
        </w:rPr>
      </w:pPr>
    </w:p>
    <w:p w14:paraId="3D62C90F" w14:textId="77777777" w:rsidR="00A6213A" w:rsidRPr="00DA6A7F" w:rsidRDefault="00A6213A" w:rsidP="00A6213A">
      <w:pPr>
        <w:autoSpaceDE w:val="0"/>
        <w:autoSpaceDN w:val="0"/>
        <w:adjustRightInd w:val="0"/>
        <w:spacing w:after="0" w:line="240" w:lineRule="auto"/>
        <w:contextualSpacing/>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In addition to updating the reference to the PIC/S Guide to GMP, the Amendment Determination also replaces Part 3 of the Principal Determination, as the application provisions provided by that Part are no longer required. The Amendment Determination replaces Part 3 with new application provisions which provide that version </w:t>
      </w:r>
      <w:r w:rsidRPr="00DA6A7F">
        <w:rPr>
          <w:rFonts w:eastAsia="Times New Roman"/>
          <w:iCs/>
          <w:kern w:val="0"/>
          <w:sz w:val="22"/>
          <w:szCs w:val="22"/>
          <w:lang w:eastAsia="en-AU"/>
          <w14:ligatures w14:val="none"/>
        </w:rPr>
        <w:t>PE 009-17 of the PIC/S Guide to GMP</w:t>
      </w:r>
      <w:r w:rsidRPr="00DA6A7F">
        <w:rPr>
          <w:rFonts w:eastAsia="Times New Roman"/>
          <w:kern w:val="0"/>
          <w:sz w:val="22"/>
          <w:szCs w:val="22"/>
          <w:lang w:eastAsia="en-AU"/>
          <w14:ligatures w14:val="none"/>
        </w:rPr>
        <w:t xml:space="preserve"> applies to the manufacture of therapeutic goods that occurs on or after 1 September 2025, with the exception of clauses 2.1, 2.3, 7.14 and 9.31 of Annex 1 which applies to the manufacture of therapeutic goods that are sterile medicines or sterile active pharmaceutical ingredients that occurs on or after 1 March 2026.</w:t>
      </w:r>
    </w:p>
    <w:p w14:paraId="5C92FB2E" w14:textId="77777777" w:rsidR="00931C7C" w:rsidRPr="00DA6A7F" w:rsidRDefault="00931C7C" w:rsidP="00383260">
      <w:pPr>
        <w:autoSpaceDE w:val="0"/>
        <w:autoSpaceDN w:val="0"/>
        <w:adjustRightInd w:val="0"/>
        <w:spacing w:after="0" w:line="240" w:lineRule="auto"/>
        <w:contextualSpacing/>
        <w:rPr>
          <w:rFonts w:eastAsia="Times New Roman"/>
          <w:kern w:val="0"/>
          <w:sz w:val="22"/>
          <w:szCs w:val="22"/>
          <w:lang w:eastAsia="en-AU"/>
          <w14:ligatures w14:val="none"/>
        </w:rPr>
      </w:pPr>
    </w:p>
    <w:p w14:paraId="21847E74" w14:textId="77777777" w:rsidR="00931C7C" w:rsidRPr="00DA6A7F" w:rsidRDefault="00931C7C" w:rsidP="00DA6A7F">
      <w:pPr>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Human rights implications</w:t>
      </w:r>
    </w:p>
    <w:p w14:paraId="72F3F4CA" w14:textId="77777777" w:rsidR="00931C7C" w:rsidRPr="00DA6A7F" w:rsidRDefault="00931C7C" w:rsidP="00DA6A7F">
      <w:pPr>
        <w:spacing w:after="0" w:line="240" w:lineRule="auto"/>
        <w:rPr>
          <w:rFonts w:eastAsia="Times New Roman"/>
          <w:kern w:val="0"/>
          <w:sz w:val="22"/>
          <w:szCs w:val="22"/>
          <w:lang w:eastAsia="en-AU"/>
          <w14:ligatures w14:val="none"/>
        </w:rPr>
      </w:pPr>
    </w:p>
    <w:p w14:paraId="1402E29F" w14:textId="0409A5EC" w:rsidR="00931C7C" w:rsidRPr="00DA6A7F" w:rsidRDefault="00931C7C" w:rsidP="00DA6A7F">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w:t>
      </w:r>
      <w:r w:rsidR="00953A59" w:rsidRPr="00DA6A7F">
        <w:rPr>
          <w:rFonts w:eastAsia="Times New Roman"/>
          <w:kern w:val="0"/>
          <w:sz w:val="22"/>
          <w:szCs w:val="22"/>
          <w:lang w:eastAsia="en-AU"/>
          <w14:ligatures w14:val="none"/>
        </w:rPr>
        <w:t xml:space="preserve">Amendment Determination </w:t>
      </w:r>
      <w:r w:rsidRPr="00DA6A7F">
        <w:rPr>
          <w:rFonts w:eastAsia="Times New Roman"/>
          <w:kern w:val="0"/>
          <w:sz w:val="22"/>
          <w:szCs w:val="22"/>
          <w:lang w:eastAsia="en-AU"/>
          <w14:ligatures w14:val="none"/>
        </w:rPr>
        <w:t xml:space="preserve">engages the right to health in Article 12 of the International Covenant on Economic, Social and Cultural </w:t>
      </w:r>
      <w:r w:rsidR="00554BB9" w:rsidRPr="00DA6A7F">
        <w:rPr>
          <w:rFonts w:eastAsia="Times New Roman"/>
          <w:kern w:val="0"/>
          <w:sz w:val="22"/>
          <w:szCs w:val="22"/>
          <w:lang w:eastAsia="en-AU"/>
          <w14:ligatures w14:val="none"/>
        </w:rPr>
        <w:t>R</w:t>
      </w:r>
      <w:r w:rsidRPr="00DA6A7F">
        <w:rPr>
          <w:rFonts w:eastAsia="Times New Roman"/>
          <w:kern w:val="0"/>
          <w:sz w:val="22"/>
          <w:szCs w:val="22"/>
          <w:lang w:eastAsia="en-AU"/>
          <w14:ligatures w14:val="none"/>
        </w:rPr>
        <w:t xml:space="preserve">ights (the ICESCR). Article 12 of the ICESCR promotes the right of all individuals to enjoy the highest attainable standards of physical and mental </w:t>
      </w:r>
      <w:proofErr w:type="gramStart"/>
      <w:r w:rsidRPr="00DA6A7F">
        <w:rPr>
          <w:rFonts w:eastAsia="Times New Roman"/>
          <w:kern w:val="0"/>
          <w:sz w:val="22"/>
          <w:szCs w:val="22"/>
          <w:lang w:eastAsia="en-AU"/>
          <w14:ligatures w14:val="none"/>
        </w:rPr>
        <w:t>health</w:t>
      </w:r>
      <w:r w:rsidR="00554BB9" w:rsidRPr="00DA6A7F">
        <w:rPr>
          <w:rFonts w:eastAsia="Times New Roman"/>
          <w:kern w:val="0"/>
          <w:sz w:val="22"/>
          <w:szCs w:val="22"/>
          <w:lang w:eastAsia="en-AU"/>
          <w14:ligatures w14:val="none"/>
        </w:rPr>
        <w:t>, and</w:t>
      </w:r>
      <w:proofErr w:type="gramEnd"/>
      <w:r w:rsidR="00554BB9" w:rsidRPr="00DA6A7F">
        <w:rPr>
          <w:rFonts w:eastAsia="Times New Roman"/>
          <w:kern w:val="0"/>
          <w:sz w:val="22"/>
          <w:szCs w:val="22"/>
          <w:lang w:eastAsia="en-AU"/>
          <w14:ligatures w14:val="none"/>
        </w:rPr>
        <w:t xml:space="preserve"> includes an obligation to take reasonable measures within available resources to progressively secure broader enjoyment of the right.</w:t>
      </w:r>
    </w:p>
    <w:p w14:paraId="4DBC9D57" w14:textId="77777777"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p>
    <w:p w14:paraId="57ECF98E" w14:textId="317B8BCB"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In </w:t>
      </w:r>
      <w:r w:rsidRPr="00DA6A7F">
        <w:rPr>
          <w:rFonts w:eastAsia="Times New Roman"/>
          <w:i/>
          <w:kern w:val="0"/>
          <w:sz w:val="22"/>
          <w:szCs w:val="22"/>
          <w:lang w:eastAsia="en-AU"/>
          <w14:ligatures w14:val="none"/>
        </w:rPr>
        <w:t>General Comment No. 14: The Right to the Highest Attainable Standard of Health (Art. 12)</w:t>
      </w:r>
      <w:r w:rsidRPr="00DA6A7F">
        <w:rPr>
          <w:rFonts w:eastAsia="Times New Roman"/>
          <w:kern w:val="0"/>
          <w:sz w:val="22"/>
          <w:szCs w:val="22"/>
          <w:lang w:eastAsia="en-AU"/>
          <w14:ligatures w14:val="none"/>
        </w:rPr>
        <w:t xml:space="preserve"> (2000), the United</w:t>
      </w:r>
      <w:r w:rsidR="00B27EAF" w:rsidRPr="00DA6A7F">
        <w:rPr>
          <w:rFonts w:eastAsia="Times New Roman"/>
          <w:kern w:val="0"/>
          <w:sz w:val="22"/>
          <w:szCs w:val="22"/>
          <w:lang w:eastAsia="en-AU"/>
          <w14:ligatures w14:val="none"/>
        </w:rPr>
        <w:t xml:space="preserve"> </w:t>
      </w:r>
      <w:r w:rsidRPr="00DA6A7F">
        <w:rPr>
          <w:rFonts w:eastAsia="Times New Roman"/>
          <w:kern w:val="0"/>
          <w:sz w:val="22"/>
          <w:szCs w:val="22"/>
          <w:lang w:eastAsia="en-AU"/>
          <w14:ligatures w14:val="none"/>
        </w:rPr>
        <w:t>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392EAC74" w14:textId="77777777"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p>
    <w:p w14:paraId="4E9ABF3F" w14:textId="50A0148A"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The </w:t>
      </w:r>
      <w:r w:rsidR="00953A59" w:rsidRPr="00DA6A7F">
        <w:rPr>
          <w:rFonts w:eastAsia="Times New Roman"/>
          <w:kern w:val="0"/>
          <w:sz w:val="22"/>
          <w:szCs w:val="22"/>
          <w:lang w:eastAsia="en-AU"/>
          <w14:ligatures w14:val="none"/>
        </w:rPr>
        <w:t>Amendment Determination</w:t>
      </w:r>
      <w:r w:rsidRPr="00DA6A7F">
        <w:rPr>
          <w:rFonts w:eastAsia="Times New Roman"/>
          <w:kern w:val="0"/>
          <w:sz w:val="22"/>
          <w:szCs w:val="22"/>
          <w:lang w:eastAsia="en-AU"/>
          <w14:ligatures w14:val="none"/>
        </w:rPr>
        <w:t xml:space="preserve"> takes positive steps to promote the right to health by ensuring that therapeutic goods manufactured in Australia continue to be subject to an appropriate level of </w:t>
      </w:r>
      <w:r w:rsidR="00554BB9" w:rsidRPr="00DA6A7F">
        <w:rPr>
          <w:rFonts w:eastAsia="Times New Roman"/>
          <w:kern w:val="0"/>
          <w:sz w:val="22"/>
          <w:szCs w:val="22"/>
          <w:lang w:eastAsia="en-AU"/>
          <w14:ligatures w14:val="none"/>
        </w:rPr>
        <w:t>G</w:t>
      </w:r>
      <w:r w:rsidR="00FC1C04" w:rsidRPr="00DA6A7F">
        <w:rPr>
          <w:rFonts w:eastAsia="Times New Roman"/>
          <w:kern w:val="0"/>
          <w:sz w:val="22"/>
          <w:szCs w:val="22"/>
          <w:lang w:eastAsia="en-AU"/>
          <w14:ligatures w14:val="none"/>
        </w:rPr>
        <w:t xml:space="preserve">ood </w:t>
      </w:r>
      <w:r w:rsidR="00554BB9" w:rsidRPr="00DA6A7F">
        <w:rPr>
          <w:rFonts w:eastAsia="Times New Roman"/>
          <w:kern w:val="0"/>
          <w:sz w:val="22"/>
          <w:szCs w:val="22"/>
          <w:lang w:eastAsia="en-AU"/>
          <w14:ligatures w14:val="none"/>
        </w:rPr>
        <w:t>M</w:t>
      </w:r>
      <w:r w:rsidR="00FC1C04" w:rsidRPr="00DA6A7F">
        <w:rPr>
          <w:rFonts w:eastAsia="Times New Roman"/>
          <w:kern w:val="0"/>
          <w:sz w:val="22"/>
          <w:szCs w:val="22"/>
          <w:lang w:eastAsia="en-AU"/>
          <w14:ligatures w14:val="none"/>
        </w:rPr>
        <w:t xml:space="preserve">anufacturing </w:t>
      </w:r>
      <w:r w:rsidR="00554BB9" w:rsidRPr="00DA6A7F">
        <w:rPr>
          <w:rFonts w:eastAsia="Times New Roman"/>
          <w:kern w:val="0"/>
          <w:sz w:val="22"/>
          <w:szCs w:val="22"/>
          <w:lang w:eastAsia="en-AU"/>
          <w14:ligatures w14:val="none"/>
        </w:rPr>
        <w:t>P</w:t>
      </w:r>
      <w:r w:rsidR="00FC1C04" w:rsidRPr="00DA6A7F">
        <w:rPr>
          <w:rFonts w:eastAsia="Times New Roman"/>
          <w:kern w:val="0"/>
          <w:sz w:val="22"/>
          <w:szCs w:val="22"/>
          <w:lang w:eastAsia="en-AU"/>
          <w14:ligatures w14:val="none"/>
        </w:rPr>
        <w:t>ractice (GMP</w:t>
      </w:r>
      <w:proofErr w:type="gramStart"/>
      <w:r w:rsidR="00FC1C04" w:rsidRPr="00DA6A7F">
        <w:rPr>
          <w:rFonts w:eastAsia="Times New Roman"/>
          <w:kern w:val="0"/>
          <w:sz w:val="22"/>
          <w:szCs w:val="22"/>
          <w:lang w:eastAsia="en-AU"/>
          <w14:ligatures w14:val="none"/>
        </w:rPr>
        <w:t>),</w:t>
      </w:r>
      <w:r w:rsidRPr="00DA6A7F">
        <w:rPr>
          <w:rFonts w:eastAsia="Times New Roman"/>
          <w:kern w:val="0"/>
          <w:sz w:val="22"/>
          <w:szCs w:val="22"/>
          <w:lang w:eastAsia="en-AU"/>
          <w14:ligatures w14:val="none"/>
        </w:rPr>
        <w:t xml:space="preserve"> and</w:t>
      </w:r>
      <w:proofErr w:type="gramEnd"/>
      <w:r w:rsidRPr="00DA6A7F">
        <w:rPr>
          <w:rFonts w:eastAsia="Times New Roman"/>
          <w:kern w:val="0"/>
          <w:sz w:val="22"/>
          <w:szCs w:val="22"/>
          <w:lang w:eastAsia="en-AU"/>
          <w14:ligatures w14:val="none"/>
        </w:rPr>
        <w:t xml:space="preserve"> are of a high quality. The </w:t>
      </w:r>
      <w:r w:rsidR="00953A59" w:rsidRPr="00DA6A7F">
        <w:rPr>
          <w:rFonts w:eastAsia="Times New Roman"/>
          <w:kern w:val="0"/>
          <w:sz w:val="22"/>
          <w:szCs w:val="22"/>
          <w:lang w:eastAsia="en-AU"/>
          <w14:ligatures w14:val="none"/>
        </w:rPr>
        <w:t>Amendment Determination</w:t>
      </w:r>
      <w:r w:rsidRPr="00DA6A7F">
        <w:rPr>
          <w:rFonts w:eastAsia="Times New Roman"/>
          <w:kern w:val="0"/>
          <w:sz w:val="22"/>
          <w:szCs w:val="22"/>
          <w:lang w:eastAsia="en-AU"/>
          <w14:ligatures w14:val="none"/>
        </w:rPr>
        <w:t xml:space="preserve"> ensures consistency with best international practice for the manufacture of therapeutic goods (other than medical devices), and that an appropriate level of GMP will be required to be applied to the manufacture of therapeutic goods for use by patients in Australia. Accordingly, these measures will assist to protect the safety of consumers who use therapeutic goods that are manufactured under licence in Australia.</w:t>
      </w:r>
    </w:p>
    <w:p w14:paraId="21A7BD50" w14:textId="77777777"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p>
    <w:p w14:paraId="3B166F58" w14:textId="41721675"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 xml:space="preserve">In ensuring consistency with best international practice, the </w:t>
      </w:r>
      <w:r w:rsidR="008D31DF" w:rsidRPr="00DA6A7F">
        <w:rPr>
          <w:rFonts w:eastAsia="Times New Roman"/>
          <w:kern w:val="0"/>
          <w:sz w:val="22"/>
          <w:szCs w:val="22"/>
          <w:lang w:eastAsia="en-AU"/>
          <w14:ligatures w14:val="none"/>
        </w:rPr>
        <w:t>Amendment Determination</w:t>
      </w:r>
      <w:r w:rsidRPr="00DA6A7F">
        <w:rPr>
          <w:rFonts w:eastAsia="Times New Roman"/>
          <w:kern w:val="0"/>
          <w:sz w:val="22"/>
          <w:szCs w:val="22"/>
          <w:lang w:eastAsia="en-AU"/>
          <w14:ligatures w14:val="none"/>
        </w:rPr>
        <w:t xml:space="preserve"> also reduces the risk and burden for sponsors and manufacturers of therapeutic goods associated with having to comply with requirements in Australia that are inconsistent with those in place in major international markets such as Europe and the United States. This provides confidence for sponsors and manufacturers to bring their products to market in Australia and reduces delays for Australian patients in accessing new therapeutic goods.</w:t>
      </w:r>
    </w:p>
    <w:p w14:paraId="66BA4F2B" w14:textId="77777777" w:rsidR="00931C7C" w:rsidRPr="00DA6A7F" w:rsidRDefault="00931C7C" w:rsidP="009A23F8">
      <w:pPr>
        <w:shd w:val="clear" w:color="auto" w:fill="FFFFFF"/>
        <w:spacing w:after="0" w:line="240" w:lineRule="auto"/>
        <w:rPr>
          <w:rFonts w:eastAsia="Times New Roman"/>
          <w:kern w:val="0"/>
          <w:sz w:val="22"/>
          <w:szCs w:val="22"/>
          <w:lang w:eastAsia="en-AU"/>
          <w14:ligatures w14:val="none"/>
        </w:rPr>
      </w:pPr>
    </w:p>
    <w:p w14:paraId="147C1A69" w14:textId="77777777" w:rsidR="00931C7C" w:rsidRPr="00DA6A7F" w:rsidRDefault="00931C7C" w:rsidP="009A23F8">
      <w:pPr>
        <w:spacing w:after="0" w:line="240" w:lineRule="auto"/>
        <w:rPr>
          <w:rFonts w:eastAsia="Times New Roman"/>
          <w:b/>
          <w:kern w:val="0"/>
          <w:sz w:val="22"/>
          <w:szCs w:val="22"/>
          <w:lang w:eastAsia="en-AU"/>
          <w14:ligatures w14:val="none"/>
        </w:rPr>
      </w:pPr>
      <w:r w:rsidRPr="00DA6A7F">
        <w:rPr>
          <w:rFonts w:eastAsia="Times New Roman"/>
          <w:b/>
          <w:kern w:val="0"/>
          <w:sz w:val="22"/>
          <w:szCs w:val="22"/>
          <w:lang w:eastAsia="en-AU"/>
          <w14:ligatures w14:val="none"/>
        </w:rPr>
        <w:t>Conclusion</w:t>
      </w:r>
    </w:p>
    <w:p w14:paraId="780DF64C" w14:textId="77777777" w:rsidR="00931C7C" w:rsidRPr="00DA6A7F" w:rsidRDefault="00931C7C" w:rsidP="009A23F8">
      <w:pPr>
        <w:spacing w:after="0" w:line="240" w:lineRule="auto"/>
        <w:rPr>
          <w:rFonts w:eastAsia="Times New Roman"/>
          <w:kern w:val="0"/>
          <w:sz w:val="22"/>
          <w:szCs w:val="22"/>
          <w:lang w:eastAsia="en-AU"/>
          <w14:ligatures w14:val="none"/>
        </w:rPr>
      </w:pPr>
    </w:p>
    <w:p w14:paraId="5CADF8D2" w14:textId="50D46C2E" w:rsidR="00EA2A7E" w:rsidRPr="00343CFD" w:rsidRDefault="00931C7C" w:rsidP="009A23F8">
      <w:pPr>
        <w:shd w:val="clear" w:color="auto" w:fill="FFFFFF"/>
        <w:spacing w:after="0" w:line="240" w:lineRule="auto"/>
        <w:rPr>
          <w:rFonts w:eastAsia="Times New Roman"/>
          <w:kern w:val="0"/>
          <w:sz w:val="22"/>
          <w:szCs w:val="22"/>
          <w:lang w:eastAsia="en-AU"/>
          <w14:ligatures w14:val="none"/>
        </w:rPr>
      </w:pPr>
      <w:r w:rsidRPr="00DA6A7F">
        <w:rPr>
          <w:rFonts w:eastAsia="Times New Roman"/>
          <w:kern w:val="0"/>
          <w:sz w:val="22"/>
          <w:szCs w:val="22"/>
          <w:lang w:eastAsia="en-AU"/>
          <w14:ligatures w14:val="none"/>
        </w:rPr>
        <w:t>Th</w:t>
      </w:r>
      <w:r w:rsidR="00953A59" w:rsidRPr="00DA6A7F">
        <w:rPr>
          <w:rFonts w:eastAsia="Times New Roman"/>
          <w:kern w:val="0"/>
          <w:sz w:val="22"/>
          <w:szCs w:val="22"/>
          <w:lang w:eastAsia="en-AU"/>
          <w14:ligatures w14:val="none"/>
        </w:rPr>
        <w:t>e</w:t>
      </w:r>
      <w:r w:rsidRPr="00DA6A7F">
        <w:rPr>
          <w:rFonts w:eastAsia="Times New Roman"/>
          <w:kern w:val="0"/>
          <w:sz w:val="22"/>
          <w:szCs w:val="22"/>
          <w:lang w:eastAsia="en-AU"/>
          <w14:ligatures w14:val="none"/>
        </w:rPr>
        <w:t xml:space="preserve"> </w:t>
      </w:r>
      <w:r w:rsidR="00953A59" w:rsidRPr="00DA6A7F">
        <w:rPr>
          <w:rFonts w:eastAsia="Times New Roman"/>
          <w:kern w:val="0"/>
          <w:sz w:val="22"/>
          <w:szCs w:val="22"/>
          <w:lang w:eastAsia="en-AU"/>
          <w14:ligatures w14:val="none"/>
        </w:rPr>
        <w:t>Amendment Determination</w:t>
      </w:r>
      <w:r w:rsidRPr="00DA6A7F">
        <w:rPr>
          <w:rFonts w:eastAsia="Times New Roman"/>
          <w:kern w:val="0"/>
          <w:sz w:val="22"/>
          <w:szCs w:val="22"/>
          <w:lang w:eastAsia="en-AU"/>
          <w14:ligatures w14:val="none"/>
        </w:rPr>
        <w:t xml:space="preserve"> is compatible with human rights because it promotes the right to health in Article 12 of the </w:t>
      </w:r>
      <w:proofErr w:type="gramStart"/>
      <w:r w:rsidRPr="00DA6A7F">
        <w:rPr>
          <w:rFonts w:eastAsia="Times New Roman"/>
          <w:kern w:val="0"/>
          <w:sz w:val="22"/>
          <w:szCs w:val="22"/>
          <w:lang w:eastAsia="en-AU"/>
          <w14:ligatures w14:val="none"/>
        </w:rPr>
        <w:t>ICESCR</w:t>
      </w:r>
      <w:r w:rsidR="00953A59" w:rsidRPr="00DA6A7F">
        <w:rPr>
          <w:rFonts w:eastAsia="Times New Roman"/>
          <w:kern w:val="0"/>
          <w:sz w:val="22"/>
          <w:szCs w:val="22"/>
          <w:lang w:eastAsia="en-AU"/>
          <w14:ligatures w14:val="none"/>
        </w:rPr>
        <w:t>,</w:t>
      </w:r>
      <w:r w:rsidRPr="00DA6A7F">
        <w:rPr>
          <w:rFonts w:eastAsia="Times New Roman"/>
          <w:kern w:val="0"/>
          <w:sz w:val="22"/>
          <w:szCs w:val="22"/>
          <w:lang w:eastAsia="en-AU"/>
          <w14:ligatures w14:val="none"/>
        </w:rPr>
        <w:t xml:space="preserve"> and</w:t>
      </w:r>
      <w:proofErr w:type="gramEnd"/>
      <w:r w:rsidRPr="00DA6A7F">
        <w:rPr>
          <w:rFonts w:eastAsia="Times New Roman"/>
          <w:kern w:val="0"/>
          <w:sz w:val="22"/>
          <w:szCs w:val="22"/>
          <w:lang w:eastAsia="en-AU"/>
          <w14:ligatures w14:val="none"/>
        </w:rPr>
        <w:t xml:space="preserve"> does not raise any other human rights issues.</w:t>
      </w:r>
    </w:p>
    <w:sectPr w:rsidR="00EA2A7E" w:rsidRPr="00343C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AAB1" w14:textId="77777777" w:rsidR="00692DD0" w:rsidRDefault="00692DD0" w:rsidP="0059697E">
      <w:pPr>
        <w:spacing w:after="0" w:line="240" w:lineRule="auto"/>
      </w:pPr>
      <w:r>
        <w:separator/>
      </w:r>
    </w:p>
  </w:endnote>
  <w:endnote w:type="continuationSeparator" w:id="0">
    <w:p w14:paraId="7DDF993B" w14:textId="77777777" w:rsidR="00692DD0" w:rsidRDefault="00692DD0" w:rsidP="0059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53215270"/>
      <w:docPartObj>
        <w:docPartGallery w:val="Page Numbers (Bottom of Page)"/>
        <w:docPartUnique/>
      </w:docPartObj>
    </w:sdtPr>
    <w:sdtEndPr>
      <w:rPr>
        <w:noProof/>
      </w:rPr>
    </w:sdtEndPr>
    <w:sdtContent>
      <w:p w14:paraId="320C6CCE" w14:textId="1DB0269B" w:rsidR="0059697E" w:rsidRPr="00FF539E" w:rsidRDefault="0059697E" w:rsidP="00041085">
        <w:pPr>
          <w:pStyle w:val="Footer"/>
          <w:jc w:val="center"/>
          <w:rPr>
            <w:sz w:val="22"/>
            <w:szCs w:val="22"/>
          </w:rPr>
        </w:pPr>
        <w:r w:rsidRPr="00FF539E">
          <w:rPr>
            <w:sz w:val="22"/>
            <w:szCs w:val="22"/>
          </w:rPr>
          <w:fldChar w:fldCharType="begin"/>
        </w:r>
        <w:r w:rsidRPr="00FF539E">
          <w:rPr>
            <w:sz w:val="22"/>
            <w:szCs w:val="22"/>
          </w:rPr>
          <w:instrText xml:space="preserve"> PAGE   \* MERGEFORMAT </w:instrText>
        </w:r>
        <w:r w:rsidRPr="00FF539E">
          <w:rPr>
            <w:sz w:val="22"/>
            <w:szCs w:val="22"/>
          </w:rPr>
          <w:fldChar w:fldCharType="separate"/>
        </w:r>
        <w:r w:rsidRPr="00FF539E">
          <w:rPr>
            <w:noProof/>
            <w:sz w:val="22"/>
            <w:szCs w:val="22"/>
          </w:rPr>
          <w:t>2</w:t>
        </w:r>
        <w:r w:rsidRPr="00FF539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5BF9" w14:textId="77777777" w:rsidR="00692DD0" w:rsidRDefault="00692DD0" w:rsidP="0059697E">
      <w:pPr>
        <w:spacing w:after="0" w:line="240" w:lineRule="auto"/>
      </w:pPr>
      <w:r>
        <w:separator/>
      </w:r>
    </w:p>
  </w:footnote>
  <w:footnote w:type="continuationSeparator" w:id="0">
    <w:p w14:paraId="450B89E5" w14:textId="77777777" w:rsidR="00692DD0" w:rsidRDefault="00692DD0" w:rsidP="0059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5966"/>
    <w:multiLevelType w:val="hybridMultilevel"/>
    <w:tmpl w:val="F0AC7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2AB60F7"/>
    <w:multiLevelType w:val="hybridMultilevel"/>
    <w:tmpl w:val="4ED4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2763155">
    <w:abstractNumId w:val="1"/>
  </w:num>
  <w:num w:numId="2" w16cid:durableId="58249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13"/>
    <w:rsid w:val="00005ED6"/>
    <w:rsid w:val="00006CB9"/>
    <w:rsid w:val="0001256F"/>
    <w:rsid w:val="00015B0C"/>
    <w:rsid w:val="00031746"/>
    <w:rsid w:val="00041085"/>
    <w:rsid w:val="00042BD6"/>
    <w:rsid w:val="00043145"/>
    <w:rsid w:val="0004732F"/>
    <w:rsid w:val="0005551F"/>
    <w:rsid w:val="00072E6D"/>
    <w:rsid w:val="00074AE6"/>
    <w:rsid w:val="00093102"/>
    <w:rsid w:val="000A20B3"/>
    <w:rsid w:val="000A5596"/>
    <w:rsid w:val="000B0145"/>
    <w:rsid w:val="000B3543"/>
    <w:rsid w:val="000B364C"/>
    <w:rsid w:val="00104BF8"/>
    <w:rsid w:val="001474D0"/>
    <w:rsid w:val="00155B13"/>
    <w:rsid w:val="001632EC"/>
    <w:rsid w:val="00175882"/>
    <w:rsid w:val="00176D3B"/>
    <w:rsid w:val="00180A68"/>
    <w:rsid w:val="001B46D3"/>
    <w:rsid w:val="001B63FF"/>
    <w:rsid w:val="001C09FD"/>
    <w:rsid w:val="001D03BF"/>
    <w:rsid w:val="001D0F56"/>
    <w:rsid w:val="001D4F6D"/>
    <w:rsid w:val="001D7AC4"/>
    <w:rsid w:val="001E1DF2"/>
    <w:rsid w:val="001E34A2"/>
    <w:rsid w:val="001F2E69"/>
    <w:rsid w:val="00206C7E"/>
    <w:rsid w:val="0022179F"/>
    <w:rsid w:val="002360E2"/>
    <w:rsid w:val="00240611"/>
    <w:rsid w:val="00280050"/>
    <w:rsid w:val="00283BE5"/>
    <w:rsid w:val="00283E73"/>
    <w:rsid w:val="002841CE"/>
    <w:rsid w:val="00287280"/>
    <w:rsid w:val="00290117"/>
    <w:rsid w:val="002D0266"/>
    <w:rsid w:val="002D170E"/>
    <w:rsid w:val="002D7EB1"/>
    <w:rsid w:val="002E435B"/>
    <w:rsid w:val="002F3E53"/>
    <w:rsid w:val="002F62FB"/>
    <w:rsid w:val="00301017"/>
    <w:rsid w:val="00305344"/>
    <w:rsid w:val="00315739"/>
    <w:rsid w:val="003432E4"/>
    <w:rsid w:val="00343CFD"/>
    <w:rsid w:val="00352E91"/>
    <w:rsid w:val="00356000"/>
    <w:rsid w:val="00372BCF"/>
    <w:rsid w:val="00383260"/>
    <w:rsid w:val="003947AF"/>
    <w:rsid w:val="003B1639"/>
    <w:rsid w:val="003B52DE"/>
    <w:rsid w:val="003C2D2B"/>
    <w:rsid w:val="003C6794"/>
    <w:rsid w:val="003D2B75"/>
    <w:rsid w:val="003D3C8B"/>
    <w:rsid w:val="003D77DF"/>
    <w:rsid w:val="003E5491"/>
    <w:rsid w:val="003F388C"/>
    <w:rsid w:val="003F66A3"/>
    <w:rsid w:val="0040081C"/>
    <w:rsid w:val="00401557"/>
    <w:rsid w:val="00415D8A"/>
    <w:rsid w:val="00424CD1"/>
    <w:rsid w:val="00431912"/>
    <w:rsid w:val="0044009D"/>
    <w:rsid w:val="00445849"/>
    <w:rsid w:val="00453C10"/>
    <w:rsid w:val="0047002A"/>
    <w:rsid w:val="004726D4"/>
    <w:rsid w:val="004727A0"/>
    <w:rsid w:val="004813F6"/>
    <w:rsid w:val="004817D6"/>
    <w:rsid w:val="00493EB7"/>
    <w:rsid w:val="004A2AE4"/>
    <w:rsid w:val="004A51AD"/>
    <w:rsid w:val="004B215D"/>
    <w:rsid w:val="004B57A5"/>
    <w:rsid w:val="004C14D4"/>
    <w:rsid w:val="004D6496"/>
    <w:rsid w:val="004E4E6B"/>
    <w:rsid w:val="004F7134"/>
    <w:rsid w:val="00500156"/>
    <w:rsid w:val="005040F5"/>
    <w:rsid w:val="00512567"/>
    <w:rsid w:val="0051622E"/>
    <w:rsid w:val="00517C7F"/>
    <w:rsid w:val="00530122"/>
    <w:rsid w:val="00540306"/>
    <w:rsid w:val="00551F28"/>
    <w:rsid w:val="00554BB9"/>
    <w:rsid w:val="0056760B"/>
    <w:rsid w:val="0059697E"/>
    <w:rsid w:val="005A1066"/>
    <w:rsid w:val="005B6AE5"/>
    <w:rsid w:val="005C1F2A"/>
    <w:rsid w:val="005D123B"/>
    <w:rsid w:val="005E0008"/>
    <w:rsid w:val="005E05D6"/>
    <w:rsid w:val="005E7A0F"/>
    <w:rsid w:val="005F1725"/>
    <w:rsid w:val="0060693E"/>
    <w:rsid w:val="00612D7C"/>
    <w:rsid w:val="006215F3"/>
    <w:rsid w:val="00626B2E"/>
    <w:rsid w:val="00642695"/>
    <w:rsid w:val="00686502"/>
    <w:rsid w:val="00692DD0"/>
    <w:rsid w:val="006945F9"/>
    <w:rsid w:val="006B3188"/>
    <w:rsid w:val="006C36CD"/>
    <w:rsid w:val="006D177D"/>
    <w:rsid w:val="006E52C5"/>
    <w:rsid w:val="006E7494"/>
    <w:rsid w:val="00705BA9"/>
    <w:rsid w:val="00710054"/>
    <w:rsid w:val="00712EE2"/>
    <w:rsid w:val="007171B1"/>
    <w:rsid w:val="00720910"/>
    <w:rsid w:val="0072156C"/>
    <w:rsid w:val="00722556"/>
    <w:rsid w:val="0075105D"/>
    <w:rsid w:val="00754517"/>
    <w:rsid w:val="00762717"/>
    <w:rsid w:val="00765AA2"/>
    <w:rsid w:val="00771FCD"/>
    <w:rsid w:val="0078402C"/>
    <w:rsid w:val="00784584"/>
    <w:rsid w:val="00793B89"/>
    <w:rsid w:val="007961EE"/>
    <w:rsid w:val="007B46E4"/>
    <w:rsid w:val="007C01CE"/>
    <w:rsid w:val="007D4DAD"/>
    <w:rsid w:val="00803A4D"/>
    <w:rsid w:val="008066B6"/>
    <w:rsid w:val="00820F2A"/>
    <w:rsid w:val="00822F6A"/>
    <w:rsid w:val="008707AA"/>
    <w:rsid w:val="008737FB"/>
    <w:rsid w:val="00884611"/>
    <w:rsid w:val="00890A67"/>
    <w:rsid w:val="00892DE5"/>
    <w:rsid w:val="008A196D"/>
    <w:rsid w:val="008B13BA"/>
    <w:rsid w:val="008D1D5C"/>
    <w:rsid w:val="008D31DF"/>
    <w:rsid w:val="008D7BE4"/>
    <w:rsid w:val="008E053A"/>
    <w:rsid w:val="008E1BAF"/>
    <w:rsid w:val="008E3EB9"/>
    <w:rsid w:val="008E7099"/>
    <w:rsid w:val="0091377B"/>
    <w:rsid w:val="00915A8F"/>
    <w:rsid w:val="00915D35"/>
    <w:rsid w:val="00922818"/>
    <w:rsid w:val="009239A5"/>
    <w:rsid w:val="00923AE1"/>
    <w:rsid w:val="00923D7F"/>
    <w:rsid w:val="00931C7C"/>
    <w:rsid w:val="009376EF"/>
    <w:rsid w:val="00951CB9"/>
    <w:rsid w:val="00953A59"/>
    <w:rsid w:val="00970B79"/>
    <w:rsid w:val="00972E89"/>
    <w:rsid w:val="009777AE"/>
    <w:rsid w:val="00980271"/>
    <w:rsid w:val="00980DFC"/>
    <w:rsid w:val="00985349"/>
    <w:rsid w:val="009951C9"/>
    <w:rsid w:val="009A23F8"/>
    <w:rsid w:val="009D748B"/>
    <w:rsid w:val="009F715B"/>
    <w:rsid w:val="00A01528"/>
    <w:rsid w:val="00A0665B"/>
    <w:rsid w:val="00A14F99"/>
    <w:rsid w:val="00A23F73"/>
    <w:rsid w:val="00A254B6"/>
    <w:rsid w:val="00A255B0"/>
    <w:rsid w:val="00A42A7F"/>
    <w:rsid w:val="00A44FB6"/>
    <w:rsid w:val="00A61D53"/>
    <w:rsid w:val="00A6213A"/>
    <w:rsid w:val="00A711F8"/>
    <w:rsid w:val="00A76DE3"/>
    <w:rsid w:val="00A90A5B"/>
    <w:rsid w:val="00AA7BAE"/>
    <w:rsid w:val="00AB1BCE"/>
    <w:rsid w:val="00AC3EE3"/>
    <w:rsid w:val="00AE731B"/>
    <w:rsid w:val="00B02860"/>
    <w:rsid w:val="00B10E96"/>
    <w:rsid w:val="00B112C2"/>
    <w:rsid w:val="00B25729"/>
    <w:rsid w:val="00B27EAF"/>
    <w:rsid w:val="00B34F37"/>
    <w:rsid w:val="00B442AE"/>
    <w:rsid w:val="00B60C17"/>
    <w:rsid w:val="00B84770"/>
    <w:rsid w:val="00BB0ABF"/>
    <w:rsid w:val="00BB19E1"/>
    <w:rsid w:val="00BC060D"/>
    <w:rsid w:val="00BD5B35"/>
    <w:rsid w:val="00BE2402"/>
    <w:rsid w:val="00BE4008"/>
    <w:rsid w:val="00C030D3"/>
    <w:rsid w:val="00C06CED"/>
    <w:rsid w:val="00C11A06"/>
    <w:rsid w:val="00C1291E"/>
    <w:rsid w:val="00C24C41"/>
    <w:rsid w:val="00C3005B"/>
    <w:rsid w:val="00C4182D"/>
    <w:rsid w:val="00C53F3E"/>
    <w:rsid w:val="00C67535"/>
    <w:rsid w:val="00C724FD"/>
    <w:rsid w:val="00C755C6"/>
    <w:rsid w:val="00C815B6"/>
    <w:rsid w:val="00C82B8E"/>
    <w:rsid w:val="00C872B2"/>
    <w:rsid w:val="00C94F5B"/>
    <w:rsid w:val="00C963B9"/>
    <w:rsid w:val="00CA0613"/>
    <w:rsid w:val="00CA4AC3"/>
    <w:rsid w:val="00CA6BC9"/>
    <w:rsid w:val="00CB1F44"/>
    <w:rsid w:val="00CD53C1"/>
    <w:rsid w:val="00CE124D"/>
    <w:rsid w:val="00CE7855"/>
    <w:rsid w:val="00CF04C0"/>
    <w:rsid w:val="00CF2D3B"/>
    <w:rsid w:val="00D038FB"/>
    <w:rsid w:val="00D1283E"/>
    <w:rsid w:val="00D13992"/>
    <w:rsid w:val="00D3096D"/>
    <w:rsid w:val="00D32903"/>
    <w:rsid w:val="00D94227"/>
    <w:rsid w:val="00D97C58"/>
    <w:rsid w:val="00DA0F30"/>
    <w:rsid w:val="00DA60E1"/>
    <w:rsid w:val="00DA6A7F"/>
    <w:rsid w:val="00DE7C1D"/>
    <w:rsid w:val="00DF05C1"/>
    <w:rsid w:val="00DF3C31"/>
    <w:rsid w:val="00E0058A"/>
    <w:rsid w:val="00E009B3"/>
    <w:rsid w:val="00E26C66"/>
    <w:rsid w:val="00E5399D"/>
    <w:rsid w:val="00E57007"/>
    <w:rsid w:val="00E658B1"/>
    <w:rsid w:val="00E84FB3"/>
    <w:rsid w:val="00E97620"/>
    <w:rsid w:val="00EA23E4"/>
    <w:rsid w:val="00EA2A7E"/>
    <w:rsid w:val="00EA3AFC"/>
    <w:rsid w:val="00EA453B"/>
    <w:rsid w:val="00EB6040"/>
    <w:rsid w:val="00EB60EE"/>
    <w:rsid w:val="00EC0C34"/>
    <w:rsid w:val="00ED0473"/>
    <w:rsid w:val="00EF1BC8"/>
    <w:rsid w:val="00EF7A4B"/>
    <w:rsid w:val="00F14D6C"/>
    <w:rsid w:val="00F2472B"/>
    <w:rsid w:val="00F315FF"/>
    <w:rsid w:val="00F37340"/>
    <w:rsid w:val="00F41549"/>
    <w:rsid w:val="00F45C9B"/>
    <w:rsid w:val="00F47032"/>
    <w:rsid w:val="00F52462"/>
    <w:rsid w:val="00F704EA"/>
    <w:rsid w:val="00F7721E"/>
    <w:rsid w:val="00F833C7"/>
    <w:rsid w:val="00F86489"/>
    <w:rsid w:val="00F967CD"/>
    <w:rsid w:val="00FA5103"/>
    <w:rsid w:val="00FC1C04"/>
    <w:rsid w:val="00FC5C53"/>
    <w:rsid w:val="00FE44FF"/>
    <w:rsid w:val="00FF3ADD"/>
    <w:rsid w:val="00FF5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9A78"/>
  <w15:chartTrackingRefBased/>
  <w15:docId w15:val="{8178C1AF-675C-498D-BBA9-1202E13C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B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5B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5B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5B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5B1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55B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5B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5B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5B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5B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5B1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5B1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55B1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55B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5B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B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5B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B13"/>
    <w:pPr>
      <w:spacing w:before="160"/>
      <w:jc w:val="center"/>
    </w:pPr>
    <w:rPr>
      <w:i/>
      <w:iCs/>
      <w:color w:val="404040" w:themeColor="text1" w:themeTint="BF"/>
    </w:rPr>
  </w:style>
  <w:style w:type="character" w:customStyle="1" w:styleId="QuoteChar">
    <w:name w:val="Quote Char"/>
    <w:basedOn w:val="DefaultParagraphFont"/>
    <w:link w:val="Quote"/>
    <w:uiPriority w:val="29"/>
    <w:rsid w:val="00155B13"/>
    <w:rPr>
      <w:i/>
      <w:iCs/>
      <w:color w:val="404040" w:themeColor="text1" w:themeTint="BF"/>
    </w:rPr>
  </w:style>
  <w:style w:type="paragraph" w:styleId="ListParagraph">
    <w:name w:val="List Paragraph"/>
    <w:basedOn w:val="Normal"/>
    <w:uiPriority w:val="34"/>
    <w:qFormat/>
    <w:rsid w:val="00155B13"/>
    <w:pPr>
      <w:ind w:left="720"/>
      <w:contextualSpacing/>
    </w:pPr>
  </w:style>
  <w:style w:type="character" w:styleId="IntenseEmphasis">
    <w:name w:val="Intense Emphasis"/>
    <w:basedOn w:val="DefaultParagraphFont"/>
    <w:uiPriority w:val="21"/>
    <w:qFormat/>
    <w:rsid w:val="00155B13"/>
    <w:rPr>
      <w:i/>
      <w:iCs/>
      <w:color w:val="2E74B5" w:themeColor="accent1" w:themeShade="BF"/>
    </w:rPr>
  </w:style>
  <w:style w:type="paragraph" w:styleId="IntenseQuote">
    <w:name w:val="Intense Quote"/>
    <w:basedOn w:val="Normal"/>
    <w:next w:val="Normal"/>
    <w:link w:val="IntenseQuoteChar"/>
    <w:uiPriority w:val="30"/>
    <w:qFormat/>
    <w:rsid w:val="00155B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5B13"/>
    <w:rPr>
      <w:i/>
      <w:iCs/>
      <w:color w:val="2E74B5" w:themeColor="accent1" w:themeShade="BF"/>
    </w:rPr>
  </w:style>
  <w:style w:type="character" w:styleId="IntenseReference">
    <w:name w:val="Intense Reference"/>
    <w:basedOn w:val="DefaultParagraphFont"/>
    <w:uiPriority w:val="32"/>
    <w:qFormat/>
    <w:rsid w:val="00155B13"/>
    <w:rPr>
      <w:b/>
      <w:bCs/>
      <w:smallCaps/>
      <w:color w:val="2E74B5" w:themeColor="accent1" w:themeShade="BF"/>
      <w:spacing w:val="5"/>
    </w:rPr>
  </w:style>
  <w:style w:type="character" w:styleId="Hyperlink">
    <w:name w:val="Hyperlink"/>
    <w:basedOn w:val="DefaultParagraphFont"/>
    <w:uiPriority w:val="99"/>
    <w:unhideWhenUsed/>
    <w:rsid w:val="000B364C"/>
    <w:rPr>
      <w:color w:val="0563C1" w:themeColor="hyperlink"/>
      <w:u w:val="single"/>
    </w:rPr>
  </w:style>
  <w:style w:type="character" w:styleId="UnresolvedMention">
    <w:name w:val="Unresolved Mention"/>
    <w:basedOn w:val="DefaultParagraphFont"/>
    <w:uiPriority w:val="99"/>
    <w:semiHidden/>
    <w:unhideWhenUsed/>
    <w:rsid w:val="000B364C"/>
    <w:rPr>
      <w:color w:val="605E5C"/>
      <w:shd w:val="clear" w:color="auto" w:fill="E1DFDD"/>
    </w:rPr>
  </w:style>
  <w:style w:type="character" w:styleId="CommentReference">
    <w:name w:val="annotation reference"/>
    <w:basedOn w:val="DefaultParagraphFont"/>
    <w:uiPriority w:val="99"/>
    <w:unhideWhenUsed/>
    <w:rsid w:val="00F86489"/>
    <w:rPr>
      <w:sz w:val="16"/>
      <w:szCs w:val="16"/>
    </w:rPr>
  </w:style>
  <w:style w:type="paragraph" w:styleId="CommentText">
    <w:name w:val="annotation text"/>
    <w:basedOn w:val="Normal"/>
    <w:link w:val="CommentTextChar"/>
    <w:uiPriority w:val="99"/>
    <w:unhideWhenUsed/>
    <w:rsid w:val="00F86489"/>
    <w:pPr>
      <w:spacing w:line="240" w:lineRule="auto"/>
    </w:pPr>
    <w:rPr>
      <w:sz w:val="20"/>
      <w:szCs w:val="20"/>
    </w:rPr>
  </w:style>
  <w:style w:type="character" w:customStyle="1" w:styleId="CommentTextChar">
    <w:name w:val="Comment Text Char"/>
    <w:basedOn w:val="DefaultParagraphFont"/>
    <w:link w:val="CommentText"/>
    <w:uiPriority w:val="99"/>
    <w:rsid w:val="00F86489"/>
    <w:rPr>
      <w:sz w:val="20"/>
      <w:szCs w:val="20"/>
    </w:rPr>
  </w:style>
  <w:style w:type="paragraph" w:styleId="CommentSubject">
    <w:name w:val="annotation subject"/>
    <w:basedOn w:val="CommentText"/>
    <w:next w:val="CommentText"/>
    <w:link w:val="CommentSubjectChar"/>
    <w:uiPriority w:val="99"/>
    <w:semiHidden/>
    <w:unhideWhenUsed/>
    <w:rsid w:val="00F86489"/>
    <w:rPr>
      <w:b/>
      <w:bCs/>
    </w:rPr>
  </w:style>
  <w:style w:type="character" w:customStyle="1" w:styleId="CommentSubjectChar">
    <w:name w:val="Comment Subject Char"/>
    <w:basedOn w:val="CommentTextChar"/>
    <w:link w:val="CommentSubject"/>
    <w:uiPriority w:val="99"/>
    <w:semiHidden/>
    <w:rsid w:val="00F86489"/>
    <w:rPr>
      <w:b/>
      <w:bCs/>
      <w:sz w:val="20"/>
      <w:szCs w:val="20"/>
    </w:rPr>
  </w:style>
  <w:style w:type="paragraph" w:styleId="Revision">
    <w:name w:val="Revision"/>
    <w:hidden/>
    <w:uiPriority w:val="99"/>
    <w:semiHidden/>
    <w:rsid w:val="00A76DE3"/>
    <w:pPr>
      <w:spacing w:after="0" w:line="240" w:lineRule="auto"/>
    </w:pPr>
  </w:style>
  <w:style w:type="paragraph" w:styleId="Header">
    <w:name w:val="header"/>
    <w:basedOn w:val="Normal"/>
    <w:link w:val="HeaderChar"/>
    <w:uiPriority w:val="99"/>
    <w:unhideWhenUsed/>
    <w:rsid w:val="00596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97E"/>
  </w:style>
  <w:style w:type="paragraph" w:styleId="Footer">
    <w:name w:val="footer"/>
    <w:basedOn w:val="Normal"/>
    <w:link w:val="FooterChar"/>
    <w:uiPriority w:val="99"/>
    <w:unhideWhenUsed/>
    <w:rsid w:val="00596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476">
      <w:bodyDiv w:val="1"/>
      <w:marLeft w:val="0"/>
      <w:marRight w:val="0"/>
      <w:marTop w:val="0"/>
      <w:marBottom w:val="0"/>
      <w:divBdr>
        <w:top w:val="none" w:sz="0" w:space="0" w:color="auto"/>
        <w:left w:val="none" w:sz="0" w:space="0" w:color="auto"/>
        <w:bottom w:val="none" w:sz="0" w:space="0" w:color="auto"/>
        <w:right w:val="none" w:sz="0" w:space="0" w:color="auto"/>
      </w:divBdr>
    </w:div>
    <w:div w:id="8218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3728</Words>
  <Characters>20284</Characters>
  <Application>Microsoft Office Word</Application>
  <DocSecurity>4</DocSecurity>
  <Lines>431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Legislation Section</dc:creator>
  <cp:keywords/>
  <dc:description/>
  <cp:lastModifiedBy>PANITSIDIS, Christina</cp:lastModifiedBy>
  <cp:revision>2</cp:revision>
  <dcterms:created xsi:type="dcterms:W3CDTF">2025-08-25T23:23:00Z</dcterms:created>
  <dcterms:modified xsi:type="dcterms:W3CDTF">2025-08-25T23:23:00Z</dcterms:modified>
</cp:coreProperties>
</file>