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E194" w14:textId="77777777" w:rsidR="0096753E" w:rsidRPr="0052253B" w:rsidRDefault="0096753E" w:rsidP="0096753E">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52253B">
        <w:rPr>
          <w:rFonts w:ascii="Times New Roman" w:eastAsia="Times New Roman" w:hAnsi="Times New Roman" w:cs="Times New Roman"/>
          <w:b/>
          <w:kern w:val="28"/>
          <w:sz w:val="24"/>
          <w:szCs w:val="24"/>
          <w:u w:val="single"/>
          <w:lang w:eastAsia="en-AU"/>
          <w14:ligatures w14:val="none"/>
        </w:rPr>
        <w:t>EXPLANATORY STATEMENT</w:t>
      </w:r>
    </w:p>
    <w:p w14:paraId="46CF9CF8" w14:textId="77777777" w:rsidR="0096753E" w:rsidRPr="0052253B" w:rsidRDefault="0096753E" w:rsidP="0096753E">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52253B">
        <w:rPr>
          <w:rFonts w:ascii="Times New Roman" w:eastAsia="Times New Roman" w:hAnsi="Times New Roman" w:cs="Times New Roman"/>
          <w:b/>
          <w:kern w:val="0"/>
          <w:sz w:val="24"/>
          <w:szCs w:val="24"/>
          <w:u w:val="single"/>
          <w:lang w:eastAsia="en-AU"/>
          <w14:ligatures w14:val="none"/>
        </w:rPr>
        <w:t xml:space="preserve">Issued by authority of the Assistant Minister for </w:t>
      </w:r>
      <w:r>
        <w:rPr>
          <w:rFonts w:ascii="Times New Roman" w:eastAsia="Times New Roman" w:hAnsi="Times New Roman" w:cs="Times New Roman"/>
          <w:b/>
          <w:kern w:val="0"/>
          <w:sz w:val="24"/>
          <w:szCs w:val="24"/>
          <w:u w:val="single"/>
          <w:lang w:eastAsia="en-AU"/>
          <w14:ligatures w14:val="none"/>
        </w:rPr>
        <w:t xml:space="preserve">Productivity, </w:t>
      </w:r>
      <w:r w:rsidRPr="0052253B">
        <w:rPr>
          <w:rFonts w:ascii="Times New Roman" w:eastAsia="Times New Roman" w:hAnsi="Times New Roman" w:cs="Times New Roman"/>
          <w:b/>
          <w:kern w:val="0"/>
          <w:sz w:val="24"/>
          <w:szCs w:val="24"/>
          <w:u w:val="single"/>
          <w:lang w:eastAsia="en-AU"/>
          <w14:ligatures w14:val="none"/>
        </w:rPr>
        <w:t>Competition, Charities and Treasury</w:t>
      </w:r>
    </w:p>
    <w:p w14:paraId="25C5A465" w14:textId="77777777" w:rsidR="0096753E" w:rsidRPr="0052253B" w:rsidRDefault="0096753E" w:rsidP="0096753E">
      <w:pPr>
        <w:spacing w:before="240"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Currency Act 1965</w:t>
      </w:r>
    </w:p>
    <w:p w14:paraId="2A40896A" w14:textId="3E82D1A6" w:rsidR="0096753E" w:rsidRPr="0052253B" w:rsidRDefault="0096753E" w:rsidP="0096753E">
      <w:pPr>
        <w:tabs>
          <w:tab w:val="left" w:pos="1418"/>
        </w:tabs>
        <w:spacing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 xml:space="preserve">Currency (Australian Coins) Amendment (2025 Royal Australian Mint No. </w:t>
      </w:r>
      <w:r>
        <w:rPr>
          <w:rFonts w:ascii="Times New Roman" w:eastAsia="Calibri" w:hAnsi="Times New Roman" w:cs="Times New Roman"/>
          <w:i/>
          <w:kern w:val="0"/>
          <w:sz w:val="24"/>
          <w:szCs w:val="24"/>
          <w14:ligatures w14:val="none"/>
        </w:rPr>
        <w:t>8</w:t>
      </w:r>
      <w:r w:rsidRPr="0052253B">
        <w:rPr>
          <w:rFonts w:ascii="Times New Roman" w:eastAsia="Calibri" w:hAnsi="Times New Roman" w:cs="Times New Roman"/>
          <w:i/>
          <w:kern w:val="0"/>
          <w:sz w:val="24"/>
          <w:szCs w:val="24"/>
          <w14:ligatures w14:val="none"/>
        </w:rPr>
        <w:t>) Determination 2025</w:t>
      </w:r>
    </w:p>
    <w:p w14:paraId="08E46F5E" w14:textId="77777777" w:rsidR="0096753E" w:rsidRPr="00AE66C6"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Subsection 13(2) and section 13A of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w:t>
      </w:r>
      <w:r w:rsidRPr="00AE66C6">
        <w:rPr>
          <w:rFonts w:ascii="Times New Roman" w:eastAsia="Calibri" w:hAnsi="Times New Roman" w:cs="Times New Roman"/>
          <w:kern w:val="0"/>
          <w:sz w:val="24"/>
          <w:szCs w:val="24"/>
          <w14:ligatures w14:val="none"/>
        </w:rPr>
        <w:t>dimensions.</w:t>
      </w:r>
    </w:p>
    <w:p w14:paraId="3E91240B" w14:textId="673C535D" w:rsidR="0096753E" w:rsidRPr="0052253B" w:rsidRDefault="0096753E" w:rsidP="0096753E">
      <w:pPr>
        <w:spacing w:before="240"/>
        <w:rPr>
          <w:rFonts w:ascii="Times New Roman" w:eastAsia="Calibri" w:hAnsi="Times New Roman" w:cs="Times New Roman"/>
          <w:kern w:val="0"/>
          <w:sz w:val="24"/>
          <w:szCs w:val="24"/>
          <w14:ligatures w14:val="none"/>
        </w:rPr>
      </w:pPr>
      <w:r w:rsidRPr="002C69C5">
        <w:rPr>
          <w:rFonts w:ascii="Times New Roman" w:eastAsia="Calibri" w:hAnsi="Times New Roman" w:cs="Times New Roman"/>
          <w:kern w:val="0"/>
          <w:sz w:val="24"/>
          <w:szCs w:val="24"/>
          <w14:ligatures w14:val="none"/>
        </w:rPr>
        <w:t xml:space="preserve">The purpose of this legislative instrument is to determine the characteristics of </w:t>
      </w:r>
      <w:r w:rsidRPr="002C69C5" w:rsidDel="002C69C5">
        <w:rPr>
          <w:rFonts w:ascii="Times New Roman" w:eastAsia="Calibri" w:hAnsi="Times New Roman" w:cs="Times New Roman"/>
          <w:kern w:val="0"/>
          <w:sz w:val="24"/>
          <w:szCs w:val="24"/>
          <w14:ligatures w14:val="none"/>
        </w:rPr>
        <w:t xml:space="preserve">1 new </w:t>
      </w:r>
      <w:r w:rsidRPr="002C69C5">
        <w:rPr>
          <w:rFonts w:ascii="Times New Roman" w:eastAsia="Calibri" w:hAnsi="Times New Roman" w:cs="Times New Roman"/>
          <w:kern w:val="0"/>
          <w:sz w:val="24"/>
          <w:szCs w:val="24"/>
          <w14:ligatures w14:val="none"/>
        </w:rPr>
        <w:t>non-circulating coin proposed to be issued by the Royal Australian Mint.</w:t>
      </w:r>
    </w:p>
    <w:p w14:paraId="61208AFE"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Treasurer may authorise the making and issuing of coins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A payment of money is a legal tender if it is made in coins that are made and issued under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Through the issue of a currency determination, the Treasurer can add, remove and alter the coin characteristics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88119A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In accordance with section 19 of the </w:t>
      </w:r>
      <w:r w:rsidRPr="0052253B">
        <w:rPr>
          <w:rFonts w:ascii="Times New Roman" w:eastAsia="Calibri" w:hAnsi="Times New Roman" w:cs="Times New Roman"/>
          <w:i/>
          <w:kern w:val="0"/>
          <w:sz w:val="24"/>
          <w:szCs w:val="24"/>
          <w14:ligatures w14:val="none"/>
        </w:rPr>
        <w:t>Acts Interpretation Act 1901</w:t>
      </w:r>
      <w:r w:rsidRPr="0052253B">
        <w:rPr>
          <w:rFonts w:ascii="Times New Roman" w:eastAsia="Calibri" w:hAnsi="Times New Roman" w:cs="Times New Roman"/>
          <w:kern w:val="0"/>
          <w:sz w:val="24"/>
          <w:szCs w:val="24"/>
          <w14:ligatures w14:val="none"/>
        </w:rPr>
        <w:t>, any Minister in the Treasury portfolio may, by legislative instrument, determine details of Australian coin characteristics.</w:t>
      </w:r>
    </w:p>
    <w:p w14:paraId="4BC2CECC" w14:textId="77777777" w:rsidR="0096753E" w:rsidRPr="0052253B" w:rsidRDefault="0096753E" w:rsidP="0096753E">
      <w:pPr>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14:ligatures w14:val="none"/>
        </w:rPr>
        <w:t xml:space="preserve">Details of the legislative instrument are set out in the </w:t>
      </w:r>
      <w:r w:rsidRPr="0052253B">
        <w:rPr>
          <w:rFonts w:ascii="Times New Roman" w:eastAsia="Calibri" w:hAnsi="Times New Roman" w:cs="Times New Roman"/>
          <w:kern w:val="0"/>
          <w:sz w:val="24"/>
          <w:szCs w:val="24"/>
          <w:u w:val="single"/>
          <w14:ligatures w14:val="none"/>
        </w:rPr>
        <w:t>Attachment.</w:t>
      </w:r>
    </w:p>
    <w:p w14:paraId="0B8456DB"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The legislative instrument commenced on the day after it was registered on the Federal Register of Legislation.</w:t>
      </w:r>
    </w:p>
    <w:p w14:paraId="6F04D4D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legislative instrument is subject to disallowance under section 42 of the </w:t>
      </w:r>
      <w:bookmarkStart w:id="0" w:name="OLE_LINK8"/>
      <w:r w:rsidRPr="0052253B">
        <w:rPr>
          <w:rFonts w:ascii="Times New Roman" w:eastAsia="Calibri" w:hAnsi="Times New Roman" w:cs="Times New Roman"/>
          <w:i/>
          <w:kern w:val="0"/>
          <w:sz w:val="24"/>
          <w:szCs w:val="24"/>
          <w14:ligatures w14:val="none"/>
        </w:rPr>
        <w:t>Legislation Act 2003</w:t>
      </w:r>
      <w:bookmarkEnd w:id="0"/>
      <w:r w:rsidRPr="0052253B">
        <w:rPr>
          <w:rFonts w:ascii="Times New Roman" w:eastAsia="Calibri" w:hAnsi="Times New Roman" w:cs="Times New Roman"/>
          <w:kern w:val="0"/>
          <w:sz w:val="24"/>
          <w:szCs w:val="24"/>
          <w14:ligatures w14:val="none"/>
        </w:rPr>
        <w:t>.</w:t>
      </w:r>
    </w:p>
    <w:p w14:paraId="2767232A"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Determination is a legislative instrument for the purposes of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The Determination is not subject to sunsetting under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on the grounds that the instrument ensures economic certainty (see item 20 of the table in section 12 of the </w:t>
      </w:r>
      <w:r w:rsidRPr="0052253B">
        <w:rPr>
          <w:rFonts w:ascii="Times New Roman" w:eastAsia="Calibri" w:hAnsi="Times New Roman" w:cs="Times New Roman"/>
          <w:i/>
          <w:iCs/>
          <w:kern w:val="0"/>
          <w:sz w:val="24"/>
          <w:szCs w:val="24"/>
          <w14:ligatures w14:val="none"/>
        </w:rPr>
        <w:t>Legislation (Exemptions and Other Matters) Regulation 2015</w:t>
      </w:r>
      <w:r w:rsidRPr="0052253B">
        <w:rPr>
          <w:rFonts w:ascii="Times New Roman" w:eastAsia="Calibri" w:hAnsi="Times New Roman" w:cs="Times New Roman"/>
          <w:kern w:val="0"/>
          <w:sz w:val="24"/>
          <w:szCs w:val="24"/>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ABCC5EB" w14:textId="77777777" w:rsidR="0096753E" w:rsidRPr="0052253B" w:rsidRDefault="0096753E" w:rsidP="0096753E">
      <w:pPr>
        <w:rPr>
          <w:rFonts w:ascii="Times New Roman" w:eastAsia="Calibri" w:hAnsi="Times New Roman" w:cs="Times New Roman"/>
          <w:b/>
          <w:i/>
          <w:kern w:val="0"/>
          <w:sz w:val="24"/>
          <w:szCs w:val="24"/>
          <w14:ligatures w14:val="none"/>
        </w:rPr>
      </w:pPr>
      <w:r w:rsidRPr="0052253B">
        <w:rPr>
          <w:rFonts w:ascii="Times New Roman" w:eastAsia="Calibri" w:hAnsi="Times New Roman" w:cs="Times New Roman"/>
          <w:b/>
          <w:kern w:val="0"/>
          <w:sz w:val="24"/>
          <w:szCs w:val="24"/>
          <w14:ligatures w14:val="none"/>
        </w:rPr>
        <w:t>Consultation</w:t>
      </w:r>
    </w:p>
    <w:p w14:paraId="7701A308"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14D861DF"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lastRenderedPageBreak/>
        <w:t xml:space="preserve">Members of the public </w:t>
      </w:r>
      <w:proofErr w:type="gramStart"/>
      <w:r w:rsidRPr="0052253B">
        <w:rPr>
          <w:rFonts w:ascii="Times New Roman" w:eastAsia="Calibri" w:hAnsi="Times New Roman" w:cs="Times New Roman"/>
          <w:kern w:val="0"/>
          <w:sz w:val="24"/>
          <w:szCs w:val="24"/>
          <w14:ligatures w14:val="none"/>
        </w:rPr>
        <w:t>have the opportunity to</w:t>
      </w:r>
      <w:proofErr w:type="gramEnd"/>
      <w:r w:rsidRPr="0052253B">
        <w:rPr>
          <w:rFonts w:ascii="Times New Roman" w:eastAsia="Calibri" w:hAnsi="Times New Roman" w:cs="Times New Roman"/>
          <w:kern w:val="0"/>
          <w:sz w:val="24"/>
          <w:szCs w:val="24"/>
          <w14:ligatures w14:val="none"/>
        </w:rPr>
        <w:t xml:space="preserve"> contact the Royal Australian Mint to present any themes they would like to see commemorated on Australian legal tender. These concepts are then researched and assessed in accordance with the Royal Australian Mint’s </w:t>
      </w:r>
      <w:r w:rsidRPr="0052253B">
        <w:rPr>
          <w:rFonts w:ascii="Times New Roman" w:eastAsia="Calibri" w:hAnsi="Times New Roman" w:cs="Times New Roman"/>
          <w:iCs/>
          <w:kern w:val="0"/>
          <w:sz w:val="24"/>
          <w:szCs w:val="24"/>
          <w14:ligatures w14:val="none"/>
        </w:rPr>
        <w:t>coin design policies.</w:t>
      </w:r>
      <w:r w:rsidRPr="0052253B">
        <w:rPr>
          <w:rFonts w:ascii="Times New Roman" w:eastAsia="Calibri" w:hAnsi="Times New Roman" w:cs="Times New Roman"/>
          <w:kern w:val="0"/>
          <w:sz w:val="24"/>
          <w:szCs w:val="24"/>
          <w14:ligatures w14:val="none"/>
        </w:rPr>
        <w:t xml:space="preserve"> The Royal Australian Mint also uses market-based tools to identify interested parties and gauge interest in coin themes.</w:t>
      </w:r>
    </w:p>
    <w:p w14:paraId="4C2F5425" w14:textId="77777777" w:rsidR="0096753E" w:rsidRPr="0052253B" w:rsidRDefault="0096753E" w:rsidP="0096753E">
      <w:pPr>
        <w:rPr>
          <w:rFonts w:ascii="Times New Roman" w:eastAsia="Calibri" w:hAnsi="Times New Roman" w:cs="Times New Roman"/>
          <w:kern w:val="0"/>
          <w:sz w:val="24"/>
          <w:szCs w:val="24"/>
          <w14:ligatures w14:val="none"/>
        </w:rPr>
      </w:pPr>
    </w:p>
    <w:p w14:paraId="4EBBE8C1" w14:textId="77777777" w:rsidR="0096753E" w:rsidRPr="0052253B" w:rsidRDefault="0096753E" w:rsidP="0096753E">
      <w:pPr>
        <w:keepNext/>
        <w:keepLines/>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Statement of Compatibility with Human Rights</w:t>
      </w:r>
    </w:p>
    <w:p w14:paraId="19DD21BC" w14:textId="77777777" w:rsidR="0096753E" w:rsidRPr="0052253B" w:rsidRDefault="0096753E" w:rsidP="0096753E">
      <w:pPr>
        <w:keepNext/>
        <w:keepLines/>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Prepared in accordance with Part 3 of the Human Rights (Parliamentary Scrutiny) Act 2011</w:t>
      </w:r>
    </w:p>
    <w:p w14:paraId="5363F92B" w14:textId="22FA397A" w:rsidR="0096753E" w:rsidRPr="0052253B" w:rsidRDefault="0096753E" w:rsidP="0096753E">
      <w:pPr>
        <w:keepNext/>
        <w:keepLines/>
        <w:jc w:val="cente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i/>
          <w:kern w:val="0"/>
          <w:sz w:val="24"/>
          <w:szCs w:val="24"/>
          <w14:ligatures w14:val="none"/>
        </w:rPr>
        <w:t xml:space="preserve">Currency (Australian Coins) Amendment (2025 Royal Australian Mint No. </w:t>
      </w:r>
      <w:r>
        <w:rPr>
          <w:rFonts w:ascii="Times New Roman" w:eastAsia="Calibri" w:hAnsi="Times New Roman" w:cs="Times New Roman"/>
          <w:b/>
          <w:i/>
          <w:kern w:val="0"/>
          <w:sz w:val="24"/>
          <w:szCs w:val="24"/>
          <w14:ligatures w14:val="none"/>
        </w:rPr>
        <w:t>8</w:t>
      </w:r>
      <w:r w:rsidRPr="0052253B">
        <w:rPr>
          <w:rFonts w:ascii="Times New Roman" w:eastAsia="Calibri" w:hAnsi="Times New Roman" w:cs="Times New Roman"/>
          <w:b/>
          <w:i/>
          <w:kern w:val="0"/>
          <w:sz w:val="24"/>
          <w:szCs w:val="24"/>
          <w14:ligatures w14:val="none"/>
        </w:rPr>
        <w:t>) Determination 2025</w:t>
      </w:r>
    </w:p>
    <w:p w14:paraId="3D5AD896"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52253B">
        <w:rPr>
          <w:rFonts w:ascii="Times New Roman" w:eastAsia="Calibri" w:hAnsi="Times New Roman" w:cs="Times New Roman"/>
          <w:i/>
          <w:kern w:val="0"/>
          <w:sz w:val="24"/>
          <w:szCs w:val="24"/>
          <w14:ligatures w14:val="none"/>
        </w:rPr>
        <w:t>Human Rights (Parliamentary Scrutiny) Act 2011</w:t>
      </w:r>
      <w:r w:rsidRPr="0052253B">
        <w:rPr>
          <w:rFonts w:ascii="Times New Roman" w:eastAsia="Calibri" w:hAnsi="Times New Roman" w:cs="Times New Roman"/>
          <w:kern w:val="0"/>
          <w:sz w:val="24"/>
          <w:szCs w:val="24"/>
          <w14:ligatures w14:val="none"/>
        </w:rPr>
        <w:t>.</w:t>
      </w:r>
    </w:p>
    <w:p w14:paraId="6133D6E5"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Overview of the Legislative Instrument</w:t>
      </w:r>
    </w:p>
    <w:p w14:paraId="1CC7F851" w14:textId="60D25789"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purpose of this legislative instrument is to determine the </w:t>
      </w:r>
      <w:r w:rsidRPr="00AE66C6">
        <w:rPr>
          <w:rFonts w:ascii="Times New Roman" w:eastAsia="Calibri" w:hAnsi="Times New Roman" w:cs="Times New Roman"/>
          <w:kern w:val="0"/>
          <w:sz w:val="24"/>
          <w:szCs w:val="24"/>
          <w14:ligatures w14:val="none"/>
        </w:rPr>
        <w:t xml:space="preserve">characteristics of </w:t>
      </w:r>
      <w:r>
        <w:rPr>
          <w:rFonts w:ascii="Times New Roman" w:eastAsia="Calibri" w:hAnsi="Times New Roman" w:cs="Times New Roman"/>
          <w:kern w:val="0"/>
          <w:sz w:val="24"/>
          <w:szCs w:val="24"/>
          <w14:ligatures w14:val="none"/>
        </w:rPr>
        <w:t>1</w:t>
      </w:r>
      <w:r w:rsidRPr="00AE66C6">
        <w:rPr>
          <w:rFonts w:ascii="Times New Roman" w:eastAsia="Calibri" w:hAnsi="Times New Roman" w:cs="Times New Roman"/>
          <w:kern w:val="0"/>
          <w:sz w:val="24"/>
          <w:szCs w:val="24"/>
          <w14:ligatures w14:val="none"/>
        </w:rPr>
        <w:t xml:space="preserve"> new non-circulating coin proposed to be issued by the Royal Australian Mint.</w:t>
      </w:r>
    </w:p>
    <w:p w14:paraId="3E8E0F32"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b/>
          <w:kern w:val="0"/>
          <w:sz w:val="24"/>
          <w:szCs w:val="24"/>
          <w14:ligatures w14:val="none"/>
        </w:rPr>
        <w:t>Human rights implications</w:t>
      </w:r>
    </w:p>
    <w:p w14:paraId="6AE9CDD9"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does not engage any of the applicable rights or freedoms.</w:t>
      </w:r>
    </w:p>
    <w:p w14:paraId="268AF21F"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Conclusion</w:t>
      </w:r>
    </w:p>
    <w:p w14:paraId="3B776581"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is compatible with human rights as it does not raise any human rights issues.</w:t>
      </w:r>
    </w:p>
    <w:p w14:paraId="6E7DE253"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br w:type="page"/>
      </w:r>
    </w:p>
    <w:p w14:paraId="6E606989" w14:textId="77777777" w:rsidR="0096753E" w:rsidRPr="0052253B" w:rsidRDefault="0096753E" w:rsidP="0096753E">
      <w:pPr>
        <w:pageBreakBefore/>
        <w:spacing w:before="240"/>
        <w:jc w:val="right"/>
        <w:rPr>
          <w:rFonts w:ascii="Times New Roman" w:eastAsia="Calibri" w:hAnsi="Times New Roman" w:cs="Times New Roman"/>
          <w:b/>
          <w:kern w:val="0"/>
          <w:sz w:val="24"/>
          <w:szCs w:val="24"/>
          <w:u w:val="single"/>
          <w14:ligatures w14:val="none"/>
        </w:rPr>
      </w:pPr>
      <w:r w:rsidRPr="0052253B">
        <w:rPr>
          <w:rFonts w:ascii="Times New Roman" w:eastAsia="Calibri" w:hAnsi="Times New Roman" w:cs="Times New Roman"/>
          <w:b/>
          <w:kern w:val="0"/>
          <w:sz w:val="24"/>
          <w:szCs w:val="24"/>
          <w:u w:val="single"/>
          <w14:ligatures w14:val="none"/>
        </w:rPr>
        <w:lastRenderedPageBreak/>
        <w:t>ATTACHMENT</w:t>
      </w:r>
    </w:p>
    <w:p w14:paraId="03BD8F74" w14:textId="480975FB" w:rsidR="0096753E" w:rsidRPr="0052253B" w:rsidRDefault="0096753E" w:rsidP="0096753E">
      <w:pPr>
        <w:spacing w:before="240"/>
        <w:ind w:right="91"/>
        <w:rPr>
          <w:rFonts w:ascii="Times New Roman" w:eastAsia="Calibri" w:hAnsi="Times New Roman" w:cs="Times New Roman"/>
          <w:b/>
          <w:bCs/>
          <w:kern w:val="0"/>
          <w:sz w:val="24"/>
          <w:szCs w:val="24"/>
          <w:u w:val="single"/>
          <w14:ligatures w14:val="none"/>
        </w:rPr>
      </w:pPr>
      <w:r w:rsidRPr="0052253B">
        <w:rPr>
          <w:rFonts w:ascii="Times New Roman" w:eastAsia="Calibri" w:hAnsi="Times New Roman" w:cs="Times New Roman"/>
          <w:b/>
          <w:bCs/>
          <w:kern w:val="0"/>
          <w:sz w:val="24"/>
          <w:szCs w:val="24"/>
          <w:u w:val="single"/>
          <w14:ligatures w14:val="none"/>
        </w:rPr>
        <w:t xml:space="preserve">Details of the </w:t>
      </w:r>
      <w:r w:rsidRPr="0052253B">
        <w:rPr>
          <w:rFonts w:ascii="Times New Roman" w:eastAsia="Calibri" w:hAnsi="Times New Roman" w:cs="Times New Roman"/>
          <w:b/>
          <w:i/>
          <w:kern w:val="0"/>
          <w:sz w:val="24"/>
          <w:szCs w:val="24"/>
          <w:u w:val="single"/>
          <w14:ligatures w14:val="none"/>
        </w:rPr>
        <w:t xml:space="preserve">Currency (Australian Coins) Amendment (2025 Royal Australian Mint No. </w:t>
      </w:r>
      <w:r>
        <w:rPr>
          <w:rFonts w:ascii="Times New Roman" w:eastAsia="Calibri" w:hAnsi="Times New Roman" w:cs="Times New Roman"/>
          <w:b/>
          <w:i/>
          <w:kern w:val="0"/>
          <w:sz w:val="24"/>
          <w:szCs w:val="24"/>
          <w:u w:val="single"/>
          <w14:ligatures w14:val="none"/>
        </w:rPr>
        <w:t>8</w:t>
      </w:r>
      <w:r w:rsidRPr="0052253B">
        <w:rPr>
          <w:rFonts w:ascii="Times New Roman" w:eastAsia="Calibri" w:hAnsi="Times New Roman" w:cs="Times New Roman"/>
          <w:b/>
          <w:i/>
          <w:kern w:val="0"/>
          <w:sz w:val="24"/>
          <w:szCs w:val="24"/>
          <w:u w:val="single"/>
          <w14:ligatures w14:val="none"/>
        </w:rPr>
        <w:t>) Determination 2025</w:t>
      </w:r>
    </w:p>
    <w:p w14:paraId="1A351129" w14:textId="4ECC9C02"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Attachment sets out further details of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Pr>
          <w:rFonts w:ascii="Times New Roman" w:eastAsia="Calibri" w:hAnsi="Times New Roman" w:cs="Times New Roman"/>
          <w:i/>
          <w:kern w:val="0"/>
          <w:sz w:val="24"/>
          <w:szCs w:val="24"/>
          <w14:ligatures w14:val="none"/>
        </w:rPr>
        <w:t>8</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 xml:space="preserve"> (the Determination).</w:t>
      </w:r>
    </w:p>
    <w:p w14:paraId="00E01855" w14:textId="77777777" w:rsidR="0096753E" w:rsidRPr="0052253B" w:rsidRDefault="0096753E" w:rsidP="0096753E">
      <w:pPr>
        <w:spacing w:before="240"/>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 xml:space="preserve">Section 1 – Name </w:t>
      </w:r>
    </w:p>
    <w:p w14:paraId="30121E77" w14:textId="34DE50A9"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name of the Determination is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Pr>
          <w:rFonts w:ascii="Times New Roman" w:eastAsia="Calibri" w:hAnsi="Times New Roman" w:cs="Times New Roman"/>
          <w:i/>
          <w:kern w:val="0"/>
          <w:sz w:val="24"/>
          <w:szCs w:val="24"/>
          <w14:ligatures w14:val="none"/>
        </w:rPr>
        <w:t>8</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w:t>
      </w:r>
    </w:p>
    <w:p w14:paraId="42278DCE"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2 – Commencement</w:t>
      </w:r>
    </w:p>
    <w:p w14:paraId="0277DD43"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section prescribes that the Determination commences the day after the Determination is registered.</w:t>
      </w:r>
    </w:p>
    <w:p w14:paraId="4B6FFEC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3 – Authority</w:t>
      </w:r>
    </w:p>
    <w:p w14:paraId="228EBF71"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Determination is made under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95308A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4 – Schedule</w:t>
      </w:r>
    </w:p>
    <w:p w14:paraId="61809848"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each instrument specified in a Schedule to the Determination is amended or repealed as set out in the Schedule. </w:t>
      </w:r>
    </w:p>
    <w:p w14:paraId="1D5EEE48" w14:textId="77777777" w:rsidR="0096753E" w:rsidRPr="0052253B" w:rsidRDefault="0096753E" w:rsidP="0096753E">
      <w:pPr>
        <w:spacing w:after="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Schedule 1 – Amendments</w:t>
      </w:r>
    </w:p>
    <w:p w14:paraId="5DE7F7C0"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Schedule 1 amends the </w:t>
      </w:r>
      <w:r w:rsidRPr="0052253B">
        <w:rPr>
          <w:rFonts w:ascii="Times New Roman" w:eastAsia="Calibri" w:hAnsi="Times New Roman" w:cs="Times New Roman"/>
          <w:i/>
          <w:kern w:val="0"/>
          <w:sz w:val="24"/>
          <w:szCs w:val="24"/>
          <w14:ligatures w14:val="none"/>
        </w:rPr>
        <w:t>Currency (Australian Coins) Determination 2019</w:t>
      </w:r>
      <w:r w:rsidRPr="0052253B">
        <w:rPr>
          <w:rFonts w:ascii="Times New Roman" w:eastAsia="Calibri" w:hAnsi="Times New Roman" w:cs="Times New Roman"/>
          <w:kern w:val="0"/>
          <w:sz w:val="24"/>
          <w:szCs w:val="24"/>
          <w14:ligatures w14:val="none"/>
        </w:rPr>
        <w:t xml:space="preserve"> by adding the details of new coin characteristics. The newly determined coin characteristics are set out below.</w:t>
      </w:r>
    </w:p>
    <w:p w14:paraId="2718786A" w14:textId="77777777" w:rsidR="0096753E" w:rsidRDefault="0096753E" w:rsidP="0096753E"/>
    <w:p w14:paraId="70D0310E" w14:textId="77777777" w:rsidR="0096753E" w:rsidRDefault="0096753E" w:rsidP="0096753E">
      <w:r>
        <w:br w:type="page"/>
      </w:r>
    </w:p>
    <w:p w14:paraId="79513D71" w14:textId="10570B27" w:rsidR="0096753E" w:rsidRDefault="0096753E" w:rsidP="0096753E">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non-circulating coin </w:t>
      </w:r>
      <w:bookmarkStart w:id="1" w:name="bkSelection"/>
      <w:bookmarkEnd w:id="1"/>
    </w:p>
    <w:p w14:paraId="3CAF07FF" w14:textId="77777777" w:rsidR="0096753E" w:rsidRDefault="0096753E" w:rsidP="0096753E">
      <w:pPr>
        <w:keepNext/>
        <w:keepLines/>
        <w:spacing w:after="0" w:line="240" w:lineRule="auto"/>
        <w:rPr>
          <w:rFonts w:ascii="Times New Roman" w:eastAsia="Times New Roman" w:hAnsi="Times New Roman" w:cs="Times New Roman"/>
          <w:i/>
          <w:sz w:val="24"/>
          <w:szCs w:val="24"/>
          <w:lang w:eastAsia="en-AU"/>
        </w:rPr>
      </w:pPr>
    </w:p>
    <w:p w14:paraId="215E6CD2" w14:textId="05A83686" w:rsidR="0080056C" w:rsidRDefault="0080056C" w:rsidP="0080056C">
      <w:pPr>
        <w:keepNext/>
        <w:keepLines/>
        <w:spacing w:after="0" w:line="240" w:lineRule="auto"/>
        <w:rPr>
          <w:rFonts w:ascii="Times New Roman" w:eastAsia="Times New Roman" w:hAnsi="Times New Roman" w:cs="Times New Roman"/>
          <w:b/>
          <w:bCs/>
          <w:i/>
          <w:lang w:eastAsia="en-AU"/>
        </w:rPr>
      </w:pPr>
      <w:r w:rsidRPr="004B335C">
        <w:rPr>
          <w:rFonts w:ascii="Times New Roman" w:eastAsia="Times New Roman" w:hAnsi="Times New Roman" w:cs="Times New Roman"/>
          <w:b/>
          <w:bCs/>
          <w:i/>
          <w:lang w:eastAsia="en-AU"/>
        </w:rPr>
        <w:t>202</w:t>
      </w:r>
      <w:r w:rsidR="00275647">
        <w:rPr>
          <w:rFonts w:ascii="Times New Roman" w:eastAsia="Times New Roman" w:hAnsi="Times New Roman" w:cs="Times New Roman"/>
          <w:b/>
          <w:bCs/>
          <w:i/>
          <w:lang w:eastAsia="en-AU"/>
        </w:rPr>
        <w:t>6</w:t>
      </w:r>
      <w:r w:rsidRPr="004B335C">
        <w:rPr>
          <w:rFonts w:ascii="Times New Roman" w:eastAsia="Times New Roman" w:hAnsi="Times New Roman" w:cs="Times New Roman"/>
          <w:b/>
          <w:bCs/>
          <w:i/>
          <w:lang w:eastAsia="en-AU"/>
        </w:rPr>
        <w:t xml:space="preserve"> $</w:t>
      </w:r>
      <w:r w:rsidR="00275647">
        <w:rPr>
          <w:rFonts w:ascii="Times New Roman" w:eastAsia="Times New Roman" w:hAnsi="Times New Roman" w:cs="Times New Roman"/>
          <w:b/>
          <w:bCs/>
          <w:i/>
          <w:lang w:eastAsia="en-AU"/>
        </w:rPr>
        <w:t>5</w:t>
      </w:r>
      <w:r w:rsidRPr="004B335C">
        <w:rPr>
          <w:rFonts w:ascii="Times New Roman" w:eastAsia="Times New Roman" w:hAnsi="Times New Roman" w:cs="Times New Roman"/>
          <w:b/>
          <w:bCs/>
          <w:i/>
          <w:lang w:eastAsia="en-AU"/>
        </w:rPr>
        <w:t xml:space="preserve"> Uncirculated Coin – </w:t>
      </w:r>
      <w:r>
        <w:rPr>
          <w:rFonts w:ascii="Times New Roman" w:eastAsia="Times New Roman" w:hAnsi="Times New Roman" w:cs="Times New Roman"/>
          <w:b/>
          <w:bCs/>
          <w:i/>
          <w:lang w:eastAsia="en-AU"/>
        </w:rPr>
        <w:t>Aussie Bubs – Tasmanian Devil</w:t>
      </w:r>
    </w:p>
    <w:p w14:paraId="6AFB54A6" w14:textId="77777777" w:rsidR="0096753E" w:rsidRDefault="0096753E" w:rsidP="0096753E">
      <w:pPr>
        <w:keepNext/>
        <w:keepLines/>
        <w:spacing w:after="0" w:line="240" w:lineRule="auto"/>
        <w:rPr>
          <w:rFonts w:ascii="Times New Roman" w:eastAsia="Times New Roman" w:hAnsi="Times New Roman" w:cs="Times New Roman"/>
          <w:b/>
          <w:bCs/>
          <w:i/>
          <w:sz w:val="24"/>
          <w:szCs w:val="24"/>
          <w:lang w:eastAsia="en-AU"/>
        </w:rPr>
      </w:pPr>
    </w:p>
    <w:p w14:paraId="2F1AB744" w14:textId="791367FF" w:rsidR="00B067B6" w:rsidRPr="00440ED6" w:rsidRDefault="00256F7C" w:rsidP="751043BE">
      <w:pPr>
        <w:keepNext/>
        <w:keepLines/>
        <w:spacing w:after="0" w:line="240" w:lineRule="auto"/>
        <w:rPr>
          <w:rFonts w:ascii="Times New Roman" w:eastAsia="Times New Roman" w:hAnsi="Times New Roman" w:cs="Times New Roman"/>
          <w:kern w:val="0"/>
          <w:sz w:val="24"/>
          <w:szCs w:val="24"/>
          <w:lang w:eastAsia="en-AU"/>
          <w14:ligatures w14:val="none"/>
        </w:rPr>
      </w:pPr>
      <w:r w:rsidRPr="00440ED6">
        <w:rPr>
          <w:rFonts w:ascii="Times New Roman" w:eastAsia="Times New Roman" w:hAnsi="Times New Roman" w:cs="Times New Roman"/>
          <w:kern w:val="0"/>
          <w:sz w:val="24"/>
          <w:szCs w:val="24"/>
          <w:lang w:eastAsia="en-AU"/>
          <w14:ligatures w14:val="none"/>
        </w:rPr>
        <w:t xml:space="preserve">The design on the 2026 $5 Aussie bubs – Tasmanian devil coin consists of, in the foreground, a cartoon representation of a Tasmanian devil joey </w:t>
      </w:r>
      <w:r w:rsidR="008D7BB1" w:rsidRPr="00440ED6">
        <w:rPr>
          <w:rFonts w:ascii="Times New Roman" w:eastAsia="Times New Roman" w:hAnsi="Times New Roman" w:cs="Times New Roman"/>
          <w:kern w:val="0"/>
          <w:sz w:val="24"/>
          <w:szCs w:val="24"/>
          <w:lang w:eastAsia="en-AU"/>
          <w14:ligatures w14:val="none"/>
        </w:rPr>
        <w:t>sitting on its haunches sniffing a</w:t>
      </w:r>
      <w:r w:rsidR="001372E3" w:rsidRPr="00440ED6">
        <w:rPr>
          <w:rFonts w:ascii="Times New Roman" w:eastAsia="Times New Roman" w:hAnsi="Times New Roman" w:cs="Times New Roman"/>
          <w:kern w:val="0"/>
          <w:sz w:val="24"/>
          <w:szCs w:val="24"/>
          <w:lang w:eastAsia="en-AU"/>
          <w14:ligatures w14:val="none"/>
        </w:rPr>
        <w:t xml:space="preserve"> </w:t>
      </w:r>
      <w:proofErr w:type="spellStart"/>
      <w:r w:rsidR="001372E3" w:rsidRPr="00440ED6">
        <w:rPr>
          <w:rFonts w:ascii="Times New Roman" w:eastAsia="Times New Roman" w:hAnsi="Times New Roman" w:cs="Times New Roman"/>
          <w:i/>
          <w:kern w:val="0"/>
          <w:sz w:val="24"/>
          <w:szCs w:val="24"/>
          <w:lang w:eastAsia="en-AU"/>
          <w14:ligatures w14:val="none"/>
        </w:rPr>
        <w:t>Bulbine</w:t>
      </w:r>
      <w:proofErr w:type="spellEnd"/>
      <w:r w:rsidR="001372E3" w:rsidRPr="00440ED6">
        <w:rPr>
          <w:rFonts w:ascii="Times New Roman" w:eastAsia="Times New Roman" w:hAnsi="Times New Roman" w:cs="Times New Roman"/>
          <w:i/>
          <w:kern w:val="0"/>
          <w:sz w:val="24"/>
          <w:szCs w:val="24"/>
          <w:lang w:eastAsia="en-AU"/>
          <w14:ligatures w14:val="none"/>
        </w:rPr>
        <w:t xml:space="preserve"> bulbosa</w:t>
      </w:r>
      <w:r w:rsidR="001372E3" w:rsidRPr="00440ED6">
        <w:rPr>
          <w:rFonts w:ascii="Times New Roman" w:eastAsia="Times New Roman" w:hAnsi="Times New Roman" w:cs="Times New Roman"/>
          <w:kern w:val="0"/>
          <w:sz w:val="24"/>
          <w:szCs w:val="24"/>
          <w:lang w:eastAsia="en-AU"/>
          <w14:ligatures w14:val="none"/>
        </w:rPr>
        <w:t xml:space="preserve"> (also known as the golden rock lily)</w:t>
      </w:r>
      <w:r w:rsidR="00A26A02" w:rsidRPr="00440ED6">
        <w:rPr>
          <w:rFonts w:ascii="Times New Roman" w:eastAsia="Times New Roman" w:hAnsi="Times New Roman" w:cs="Times New Roman"/>
          <w:kern w:val="0"/>
          <w:sz w:val="24"/>
          <w:szCs w:val="24"/>
          <w:lang w:eastAsia="en-AU"/>
          <w14:ligatures w14:val="none"/>
        </w:rPr>
        <w:t>. In</w:t>
      </w:r>
      <w:r w:rsidR="00B067B6" w:rsidRPr="00440ED6">
        <w:rPr>
          <w:rFonts w:ascii="Times New Roman" w:eastAsia="Times New Roman" w:hAnsi="Times New Roman" w:cs="Times New Roman"/>
          <w:kern w:val="0"/>
          <w:sz w:val="24"/>
          <w:szCs w:val="24"/>
          <w:lang w:eastAsia="en-AU"/>
          <w14:ligatures w14:val="none"/>
        </w:rPr>
        <w:t xml:space="preserve"> the background, partially obscured by the Tasmanian devil joey, </w:t>
      </w:r>
      <w:r w:rsidR="002A3023">
        <w:rPr>
          <w:rFonts w:ascii="Times New Roman" w:eastAsia="Times New Roman" w:hAnsi="Times New Roman" w:cs="Times New Roman"/>
          <w:kern w:val="0"/>
          <w:sz w:val="24"/>
          <w:szCs w:val="24"/>
          <w:lang w:eastAsia="en-AU"/>
          <w14:ligatures w14:val="none"/>
        </w:rPr>
        <w:t xml:space="preserve">is </w:t>
      </w:r>
      <w:r w:rsidR="00B067B6" w:rsidRPr="00440ED6">
        <w:rPr>
          <w:rFonts w:ascii="Times New Roman" w:eastAsia="Times New Roman" w:hAnsi="Times New Roman" w:cs="Times New Roman"/>
          <w:kern w:val="0"/>
          <w:sz w:val="24"/>
          <w:szCs w:val="24"/>
          <w:lang w:eastAsia="en-AU"/>
          <w14:ligatures w14:val="none"/>
        </w:rPr>
        <w:t>a stylised representation of additional golden rock lilies and a rock.</w:t>
      </w:r>
      <w:r w:rsidR="0044153F" w:rsidRPr="00440ED6">
        <w:rPr>
          <w:rFonts w:ascii="Times New Roman" w:eastAsia="Times New Roman" w:hAnsi="Times New Roman" w:cs="Times New Roman"/>
          <w:kern w:val="0"/>
          <w:sz w:val="24"/>
          <w:szCs w:val="24"/>
          <w:lang w:eastAsia="en-AU"/>
          <w14:ligatures w14:val="none"/>
        </w:rPr>
        <w:t xml:space="preserve"> The design includes the following inscriptions: “EW” (being the initials of the designer Elyssa Waterford); and</w:t>
      </w:r>
      <w:r w:rsidR="0044153F" w:rsidRPr="002805FC">
        <w:rPr>
          <w:rFonts w:ascii="Times New Roman" w:eastAsia="Times New Roman" w:hAnsi="Times New Roman" w:cs="Times New Roman"/>
          <w:kern w:val="0"/>
          <w:sz w:val="24"/>
          <w:szCs w:val="24"/>
          <w:lang w:eastAsia="en-AU"/>
          <w14:ligatures w14:val="none"/>
        </w:rPr>
        <w:t xml:space="preserve"> </w:t>
      </w:r>
      <w:r w:rsidR="000754C4" w:rsidRPr="002805FC">
        <w:rPr>
          <w:rFonts w:ascii="Times New Roman" w:eastAsia="Times New Roman" w:hAnsi="Times New Roman" w:cs="Times New Roman"/>
          <w:kern w:val="0"/>
          <w:sz w:val="24"/>
          <w:szCs w:val="24"/>
          <w:lang w:eastAsia="en-AU"/>
          <w14:ligatures w14:val="none"/>
        </w:rPr>
        <w:t>A</w:t>
      </w:r>
      <w:r w:rsidR="000754C4" w:rsidRPr="00440ED6">
        <w:rPr>
          <w:rFonts w:ascii="Times New Roman" w:eastAsia="Times New Roman" w:hAnsi="Times New Roman" w:cs="Times New Roman"/>
          <w:kern w:val="0"/>
          <w:sz w:val="24"/>
          <w:szCs w:val="24"/>
          <w:lang w:eastAsia="en-AU"/>
          <w14:ligatures w14:val="none"/>
        </w:rPr>
        <w:t>rabic numerals for the amount, in dollars or cents, of the denomination of the coin, followed by “DOLLAR”, “</w:t>
      </w:r>
      <w:r w:rsidR="0044153F" w:rsidRPr="00440ED6">
        <w:rPr>
          <w:rFonts w:ascii="Times New Roman" w:eastAsia="Times New Roman" w:hAnsi="Times New Roman" w:cs="Times New Roman"/>
          <w:kern w:val="0"/>
          <w:sz w:val="24"/>
          <w:szCs w:val="24"/>
          <w:lang w:eastAsia="en-AU"/>
          <w14:ligatures w14:val="none"/>
        </w:rPr>
        <w:t>DOLLARS</w:t>
      </w:r>
      <w:r w:rsidR="000754C4" w:rsidRPr="00440ED6">
        <w:rPr>
          <w:rFonts w:ascii="Times New Roman" w:eastAsia="Times New Roman" w:hAnsi="Times New Roman" w:cs="Times New Roman"/>
          <w:kern w:val="0"/>
          <w:sz w:val="24"/>
          <w:szCs w:val="24"/>
          <w:lang w:eastAsia="en-AU"/>
          <w14:ligatures w14:val="none"/>
        </w:rPr>
        <w:t>” or “CENTS” as the case requires.</w:t>
      </w:r>
    </w:p>
    <w:p w14:paraId="61B602A1"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p>
    <w:p w14:paraId="1E8FD7D8"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r w:rsidRPr="004F2CD7">
        <w:rPr>
          <w:rFonts w:ascii="Times New Roman" w:eastAsia="Times New Roman" w:hAnsi="Times New Roman" w:cs="Times New Roman"/>
          <w:kern w:val="0"/>
          <w:sz w:val="24"/>
          <w:szCs w:val="24"/>
          <w:lang w:eastAsia="en-AU"/>
          <w14:ligatures w14:val="none"/>
        </w:rPr>
        <w:t xml:space="preserve">Consistent with the tradition of an effigy of the reigning monarch appearing on the obverse </w:t>
      </w:r>
    </w:p>
    <w:p w14:paraId="0F584EE4"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r w:rsidRPr="004F2CD7">
        <w:rPr>
          <w:rFonts w:ascii="Times New Roman" w:eastAsia="Times New Roman" w:hAnsi="Times New Roman" w:cs="Times New Roman"/>
          <w:kern w:val="0"/>
          <w:sz w:val="24"/>
          <w:szCs w:val="24"/>
          <w:lang w:eastAsia="en-AU"/>
          <w14:ligatures w14:val="none"/>
        </w:rPr>
        <w:t xml:space="preserve">side of all Australian legal tender coinage, an effigy of His Majesty King Charles III will </w:t>
      </w:r>
    </w:p>
    <w:p w14:paraId="49D73700"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r w:rsidRPr="004F2CD7">
        <w:rPr>
          <w:rFonts w:ascii="Times New Roman" w:eastAsia="Times New Roman" w:hAnsi="Times New Roman" w:cs="Times New Roman"/>
          <w:kern w:val="0"/>
          <w:sz w:val="24"/>
          <w:szCs w:val="24"/>
          <w:lang w:eastAsia="en-AU"/>
          <w14:ligatures w14:val="none"/>
        </w:rPr>
        <w:t xml:space="preserve">appear on the obverse side of the coin together with the inscriptions “CHARLES III”, </w:t>
      </w:r>
    </w:p>
    <w:p w14:paraId="6065E15A"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r w:rsidRPr="004F2CD7">
        <w:rPr>
          <w:rFonts w:ascii="Times New Roman" w:eastAsia="Times New Roman" w:hAnsi="Times New Roman" w:cs="Times New Roman"/>
          <w:kern w:val="0"/>
          <w:sz w:val="24"/>
          <w:szCs w:val="24"/>
          <w:lang w:eastAsia="en-AU"/>
          <w14:ligatures w14:val="none"/>
        </w:rPr>
        <w:t xml:space="preserve">“AUSTRALIA”, and the inscription, in numerals, of a year. The obverse design includes the </w:t>
      </w:r>
    </w:p>
    <w:p w14:paraId="3F83182E" w14:textId="77777777" w:rsidR="00256F7C" w:rsidRPr="004F2CD7" w:rsidRDefault="00256F7C" w:rsidP="00256F7C">
      <w:pPr>
        <w:keepNext/>
        <w:keepLines/>
        <w:spacing w:after="0" w:line="240" w:lineRule="auto"/>
        <w:rPr>
          <w:rFonts w:ascii="Times New Roman" w:eastAsia="Times New Roman" w:hAnsi="Times New Roman" w:cs="Times New Roman"/>
          <w:kern w:val="0"/>
          <w:sz w:val="24"/>
          <w:szCs w:val="24"/>
          <w:lang w:eastAsia="en-AU"/>
          <w14:ligatures w14:val="none"/>
        </w:rPr>
      </w:pPr>
      <w:r w:rsidRPr="004F2CD7">
        <w:rPr>
          <w:rFonts w:ascii="Times New Roman" w:eastAsia="Times New Roman" w:hAnsi="Times New Roman" w:cs="Times New Roman"/>
          <w:kern w:val="0"/>
          <w:sz w:val="24"/>
          <w:szCs w:val="24"/>
          <w:lang w:eastAsia="en-AU"/>
          <w14:ligatures w14:val="none"/>
        </w:rPr>
        <w:t>initials of the designer Dan Thorne “DT”.</w:t>
      </w:r>
    </w:p>
    <w:p w14:paraId="49B4F313" w14:textId="77777777" w:rsidR="00BC1D88" w:rsidRDefault="00BC1D88"/>
    <w:sectPr w:rsidR="00BC1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66E6" w14:textId="77777777" w:rsidR="001910F5" w:rsidRDefault="001910F5" w:rsidP="0096753E">
      <w:pPr>
        <w:spacing w:after="0" w:line="240" w:lineRule="auto"/>
      </w:pPr>
      <w:r>
        <w:separator/>
      </w:r>
    </w:p>
  </w:endnote>
  <w:endnote w:type="continuationSeparator" w:id="0">
    <w:p w14:paraId="15447A95" w14:textId="77777777" w:rsidR="001910F5" w:rsidRDefault="001910F5" w:rsidP="0096753E">
      <w:pPr>
        <w:spacing w:after="0" w:line="240" w:lineRule="auto"/>
      </w:pPr>
      <w:r>
        <w:continuationSeparator/>
      </w:r>
    </w:p>
  </w:endnote>
  <w:endnote w:type="continuationNotice" w:id="1">
    <w:p w14:paraId="739D3FDF" w14:textId="77777777" w:rsidR="001910F5" w:rsidRDefault="00191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8892" w14:textId="77777777" w:rsidR="001910F5" w:rsidRDefault="001910F5" w:rsidP="0096753E">
      <w:pPr>
        <w:spacing w:after="0" w:line="240" w:lineRule="auto"/>
      </w:pPr>
      <w:r>
        <w:separator/>
      </w:r>
    </w:p>
  </w:footnote>
  <w:footnote w:type="continuationSeparator" w:id="0">
    <w:p w14:paraId="1E920179" w14:textId="77777777" w:rsidR="001910F5" w:rsidRDefault="001910F5" w:rsidP="0096753E">
      <w:pPr>
        <w:spacing w:after="0" w:line="240" w:lineRule="auto"/>
      </w:pPr>
      <w:r>
        <w:continuationSeparator/>
      </w:r>
    </w:p>
  </w:footnote>
  <w:footnote w:type="continuationNotice" w:id="1">
    <w:p w14:paraId="1579650A" w14:textId="77777777" w:rsidR="001910F5" w:rsidRDefault="00191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F07"/>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B863DBB"/>
    <w:multiLevelType w:val="hybridMultilevel"/>
    <w:tmpl w:val="C9EE43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9621280">
    <w:abstractNumId w:val="1"/>
  </w:num>
  <w:num w:numId="2" w16cid:durableId="39382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E"/>
    <w:rsid w:val="000303B2"/>
    <w:rsid w:val="00062681"/>
    <w:rsid w:val="00066B54"/>
    <w:rsid w:val="00073072"/>
    <w:rsid w:val="000754C4"/>
    <w:rsid w:val="000B046A"/>
    <w:rsid w:val="000C1D9E"/>
    <w:rsid w:val="00112F7B"/>
    <w:rsid w:val="00112FDA"/>
    <w:rsid w:val="001372E3"/>
    <w:rsid w:val="00174155"/>
    <w:rsid w:val="001910F5"/>
    <w:rsid w:val="001E2E96"/>
    <w:rsid w:val="001F3836"/>
    <w:rsid w:val="00235252"/>
    <w:rsid w:val="00256F7C"/>
    <w:rsid w:val="00257802"/>
    <w:rsid w:val="00275647"/>
    <w:rsid w:val="002805FC"/>
    <w:rsid w:val="00296762"/>
    <w:rsid w:val="002A3023"/>
    <w:rsid w:val="002B405E"/>
    <w:rsid w:val="002B4862"/>
    <w:rsid w:val="002C69C5"/>
    <w:rsid w:val="002E649D"/>
    <w:rsid w:val="00324F95"/>
    <w:rsid w:val="003366B1"/>
    <w:rsid w:val="003470EF"/>
    <w:rsid w:val="003B78B7"/>
    <w:rsid w:val="003C667B"/>
    <w:rsid w:val="003C6C2C"/>
    <w:rsid w:val="00401B22"/>
    <w:rsid w:val="00411F4F"/>
    <w:rsid w:val="00421BD2"/>
    <w:rsid w:val="00440ED6"/>
    <w:rsid w:val="0044153F"/>
    <w:rsid w:val="00470312"/>
    <w:rsid w:val="004F2CD7"/>
    <w:rsid w:val="0051770F"/>
    <w:rsid w:val="0052392B"/>
    <w:rsid w:val="00535A2D"/>
    <w:rsid w:val="005716F8"/>
    <w:rsid w:val="005739AC"/>
    <w:rsid w:val="00585DC8"/>
    <w:rsid w:val="005C7417"/>
    <w:rsid w:val="00632B9B"/>
    <w:rsid w:val="00673181"/>
    <w:rsid w:val="00675E28"/>
    <w:rsid w:val="00727707"/>
    <w:rsid w:val="00727B2E"/>
    <w:rsid w:val="00727D47"/>
    <w:rsid w:val="007A3AF7"/>
    <w:rsid w:val="007B1C95"/>
    <w:rsid w:val="007E7E41"/>
    <w:rsid w:val="0080056C"/>
    <w:rsid w:val="00890040"/>
    <w:rsid w:val="008979CC"/>
    <w:rsid w:val="008A0BBC"/>
    <w:rsid w:val="008D0082"/>
    <w:rsid w:val="008D2C8D"/>
    <w:rsid w:val="008D7BB1"/>
    <w:rsid w:val="009346BF"/>
    <w:rsid w:val="009529D6"/>
    <w:rsid w:val="009652AB"/>
    <w:rsid w:val="0096753E"/>
    <w:rsid w:val="0097119F"/>
    <w:rsid w:val="009D0452"/>
    <w:rsid w:val="00A26A02"/>
    <w:rsid w:val="00A32808"/>
    <w:rsid w:val="00A4644B"/>
    <w:rsid w:val="00A4784B"/>
    <w:rsid w:val="00A75823"/>
    <w:rsid w:val="00AA5128"/>
    <w:rsid w:val="00AB09C4"/>
    <w:rsid w:val="00B027FD"/>
    <w:rsid w:val="00B067B6"/>
    <w:rsid w:val="00B254AD"/>
    <w:rsid w:val="00B51915"/>
    <w:rsid w:val="00B8116C"/>
    <w:rsid w:val="00B815E6"/>
    <w:rsid w:val="00BC1D88"/>
    <w:rsid w:val="00BD1D9C"/>
    <w:rsid w:val="00BD75A0"/>
    <w:rsid w:val="00C522EC"/>
    <w:rsid w:val="00C64E53"/>
    <w:rsid w:val="00C67AD1"/>
    <w:rsid w:val="00C906F6"/>
    <w:rsid w:val="00CE6CD7"/>
    <w:rsid w:val="00CF7ECE"/>
    <w:rsid w:val="00D55CF6"/>
    <w:rsid w:val="00DC3FD2"/>
    <w:rsid w:val="00E0388A"/>
    <w:rsid w:val="00E66BAB"/>
    <w:rsid w:val="00EA2459"/>
    <w:rsid w:val="00F71D15"/>
    <w:rsid w:val="00F96A49"/>
    <w:rsid w:val="00FD39DC"/>
    <w:rsid w:val="00FE71F9"/>
    <w:rsid w:val="00FF7C05"/>
    <w:rsid w:val="751043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D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3E"/>
    <w:pPr>
      <w:spacing w:line="259" w:lineRule="auto"/>
    </w:pPr>
    <w:rPr>
      <w:sz w:val="22"/>
      <w:szCs w:val="22"/>
    </w:rPr>
  </w:style>
  <w:style w:type="paragraph" w:styleId="Heading1">
    <w:name w:val="heading 1"/>
    <w:basedOn w:val="Normal"/>
    <w:next w:val="Normal"/>
    <w:link w:val="Heading1Char"/>
    <w:uiPriority w:val="9"/>
    <w:qFormat/>
    <w:rsid w:val="00967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3E"/>
    <w:rPr>
      <w:rFonts w:eastAsiaTheme="majorEastAsia" w:cstheme="majorBidi"/>
      <w:color w:val="272727" w:themeColor="text1" w:themeTint="D8"/>
    </w:rPr>
  </w:style>
  <w:style w:type="paragraph" w:styleId="Title">
    <w:name w:val="Title"/>
    <w:basedOn w:val="Normal"/>
    <w:next w:val="Normal"/>
    <w:link w:val="TitleChar"/>
    <w:uiPriority w:val="10"/>
    <w:qFormat/>
    <w:rsid w:val="0096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3E"/>
    <w:pPr>
      <w:spacing w:before="160"/>
      <w:jc w:val="center"/>
    </w:pPr>
    <w:rPr>
      <w:i/>
      <w:iCs/>
      <w:color w:val="404040" w:themeColor="text1" w:themeTint="BF"/>
    </w:rPr>
  </w:style>
  <w:style w:type="character" w:customStyle="1" w:styleId="QuoteChar">
    <w:name w:val="Quote Char"/>
    <w:basedOn w:val="DefaultParagraphFont"/>
    <w:link w:val="Quote"/>
    <w:uiPriority w:val="29"/>
    <w:rsid w:val="0096753E"/>
    <w:rPr>
      <w:i/>
      <w:iCs/>
      <w:color w:val="404040" w:themeColor="text1" w:themeTint="BF"/>
    </w:rPr>
  </w:style>
  <w:style w:type="paragraph" w:styleId="ListParagraph">
    <w:name w:val="List Paragraph"/>
    <w:basedOn w:val="Normal"/>
    <w:uiPriority w:val="34"/>
    <w:qFormat/>
    <w:rsid w:val="0096753E"/>
    <w:pPr>
      <w:ind w:left="720"/>
      <w:contextualSpacing/>
    </w:pPr>
  </w:style>
  <w:style w:type="character" w:styleId="IntenseEmphasis">
    <w:name w:val="Intense Emphasis"/>
    <w:basedOn w:val="DefaultParagraphFont"/>
    <w:uiPriority w:val="21"/>
    <w:qFormat/>
    <w:rsid w:val="0096753E"/>
    <w:rPr>
      <w:i/>
      <w:iCs/>
      <w:color w:val="0F4761" w:themeColor="accent1" w:themeShade="BF"/>
    </w:rPr>
  </w:style>
  <w:style w:type="paragraph" w:styleId="IntenseQuote">
    <w:name w:val="Intense Quote"/>
    <w:basedOn w:val="Normal"/>
    <w:next w:val="Normal"/>
    <w:link w:val="IntenseQuoteChar"/>
    <w:uiPriority w:val="30"/>
    <w:qFormat/>
    <w:rsid w:val="00967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3E"/>
    <w:rPr>
      <w:i/>
      <w:iCs/>
      <w:color w:val="0F4761" w:themeColor="accent1" w:themeShade="BF"/>
    </w:rPr>
  </w:style>
  <w:style w:type="character" w:styleId="IntenseReference">
    <w:name w:val="Intense Reference"/>
    <w:basedOn w:val="DefaultParagraphFont"/>
    <w:uiPriority w:val="32"/>
    <w:qFormat/>
    <w:rsid w:val="0096753E"/>
    <w:rPr>
      <w:b/>
      <w:bCs/>
      <w:smallCaps/>
      <w:color w:val="0F4761" w:themeColor="accent1" w:themeShade="BF"/>
      <w:spacing w:val="5"/>
    </w:rPr>
  </w:style>
  <w:style w:type="paragraph" w:customStyle="1" w:styleId="paragraph">
    <w:name w:val="paragraph"/>
    <w:basedOn w:val="Normal"/>
    <w:link w:val="paragraphChar"/>
    <w:rsid w:val="009675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paragraphChar">
    <w:name w:val="paragraph Char"/>
    <w:basedOn w:val="DefaultParagraphFont"/>
    <w:link w:val="paragraph"/>
    <w:rsid w:val="0096753E"/>
    <w:rPr>
      <w:rFonts w:ascii="Times New Roman" w:eastAsia="Times New Roman" w:hAnsi="Times New Roman" w:cs="Times New Roman"/>
      <w:kern w:val="0"/>
      <w:lang w:eastAsia="en-AU"/>
      <w14:ligatures w14:val="none"/>
    </w:rPr>
  </w:style>
  <w:style w:type="paragraph" w:customStyle="1" w:styleId="Tablei">
    <w:name w:val="Table(i)"/>
    <w:aliases w:val="taa"/>
    <w:basedOn w:val="Normal"/>
    <w:rsid w:val="0096753E"/>
    <w:pPr>
      <w:tabs>
        <w:tab w:val="left" w:pos="-6543"/>
        <w:tab w:val="left" w:pos="-6260"/>
        <w:tab w:val="right" w:pos="970"/>
      </w:tabs>
      <w:spacing w:after="0" w:line="240" w:lineRule="exact"/>
      <w:ind w:left="828" w:hanging="284"/>
    </w:pPr>
    <w:rPr>
      <w:rFonts w:ascii="Times New Roman" w:eastAsia="Times New Roman" w:hAnsi="Times New Roman" w:cs="Times New Roman"/>
      <w:kern w:val="0"/>
      <w:sz w:val="20"/>
      <w:szCs w:val="20"/>
      <w:lang w:eastAsia="en-AU"/>
      <w14:ligatures w14:val="none"/>
    </w:rPr>
  </w:style>
  <w:style w:type="paragraph" w:styleId="NoSpacing">
    <w:name w:val="No Spacing"/>
    <w:link w:val="NoSpacingChar"/>
    <w:uiPriority w:val="1"/>
    <w:qFormat/>
    <w:rsid w:val="0096753E"/>
    <w:pPr>
      <w:spacing w:after="0" w:line="240" w:lineRule="auto"/>
    </w:pPr>
    <w:rPr>
      <w:rFonts w:ascii="Times New Roman" w:eastAsia="Times New Roman" w:hAnsi="Times New Roman" w:cs="Times New Roman"/>
      <w:kern w:val="0"/>
      <w:szCs w:val="20"/>
      <w:lang w:eastAsia="en-AU"/>
      <w14:ligatures w14:val="none"/>
    </w:rPr>
  </w:style>
  <w:style w:type="character" w:customStyle="1" w:styleId="NoSpacingChar">
    <w:name w:val="No Spacing Char"/>
    <w:basedOn w:val="DefaultParagraphFont"/>
    <w:link w:val="NoSpacing"/>
    <w:uiPriority w:val="1"/>
    <w:rsid w:val="0096753E"/>
    <w:rPr>
      <w:rFonts w:ascii="Times New Roman" w:eastAsia="Times New Roman" w:hAnsi="Times New Roman" w:cs="Times New Roman"/>
      <w:kern w:val="0"/>
      <w:szCs w:val="20"/>
      <w:lang w:eastAsia="en-AU"/>
      <w14:ligatures w14:val="none"/>
    </w:rPr>
  </w:style>
  <w:style w:type="paragraph" w:styleId="Header">
    <w:name w:val="header"/>
    <w:basedOn w:val="Normal"/>
    <w:link w:val="HeaderChar"/>
    <w:uiPriority w:val="99"/>
    <w:unhideWhenUsed/>
    <w:rsid w:val="0096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53E"/>
    <w:rPr>
      <w:sz w:val="22"/>
      <w:szCs w:val="22"/>
    </w:rPr>
  </w:style>
  <w:style w:type="paragraph" w:styleId="Footer">
    <w:name w:val="footer"/>
    <w:basedOn w:val="Normal"/>
    <w:link w:val="FooterChar"/>
    <w:uiPriority w:val="99"/>
    <w:unhideWhenUsed/>
    <w:rsid w:val="0096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53E"/>
    <w:rPr>
      <w:sz w:val="22"/>
      <w:szCs w:val="22"/>
    </w:rPr>
  </w:style>
  <w:style w:type="paragraph" w:styleId="Revision">
    <w:name w:val="Revision"/>
    <w:hidden/>
    <w:uiPriority w:val="99"/>
    <w:semiHidden/>
    <w:rsid w:val="001F3836"/>
    <w:pPr>
      <w:spacing w:after="0" w:line="240" w:lineRule="auto"/>
    </w:pPr>
    <w:rPr>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S574FYTY5PW6-969949929-2967</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https://austreasury.sharepoint.com/sites/leg-cord-function/_layouts/15/DocIdRedir.aspx?ID=S574FYTY5PW6-969949929-2967</Url>
      <Description>S574FYTY5PW6-969949929-2967</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68DBBF01-41D4-48A9-BCCF-B1F232D144EC}"/>
</file>

<file path=customXml/itemProps2.xml><?xml version="1.0" encoding="utf-8"?>
<ds:datastoreItem xmlns:ds="http://schemas.openxmlformats.org/officeDocument/2006/customXml" ds:itemID="{C31B303B-AD80-4A68-AA21-BD7377F57D1C}"/>
</file>

<file path=customXml/itemProps3.xml><?xml version="1.0" encoding="utf-8"?>
<ds:datastoreItem xmlns:ds="http://schemas.openxmlformats.org/officeDocument/2006/customXml" ds:itemID="{B1BB7BC6-B171-4414-B9D4-CEBBBFE590FC}"/>
</file>

<file path=customXml/itemProps4.xml><?xml version="1.0" encoding="utf-8"?>
<ds:datastoreItem xmlns:ds="http://schemas.openxmlformats.org/officeDocument/2006/customXml" ds:itemID="{4A1EE5A2-18FC-42DB-A2AC-A5DA3EA517C5}"/>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2025-08-22T02:07:00Z</dcterms:created>
  <dcterms:modified xsi:type="dcterms:W3CDTF">2025-08-22T02:07:00Z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2025-08-22T02:07:18Z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73fa6b1a-2209-406e-9757-bfd05c0ef922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ClassificationContentMarkingFooterText">
    <vt:lpwstr>OFFICIAL: Sensitive</vt:lpwstr>
  </property>
  <property fmtid="{D5CDD505-2E9C-101B-9397-08002B2CF9AE}" pid="11" name="TSYStatus">
    <vt:lpwstr/>
  </property>
  <property fmtid="{D5CDD505-2E9C-101B-9397-08002B2CF9AE}" pid="12" name="Document_x0020_Type">
    <vt:lpwstr>42;#Legislation|25c35cca-98fe-4d3e-a63c-3dda1c39f3ec</vt:lpwstr>
  </property>
  <property fmtid="{D5CDD505-2E9C-101B-9397-08002B2CF9AE}" pid="13" name="ClassificationContentMarkingHeaderText">
    <vt:lpwstr>OFFICIAL: Sensitive</vt:lpwstr>
  </property>
  <property fmtid="{D5CDD505-2E9C-101B-9397-08002B2CF9AE}" pid="14" name="Topic">
    <vt:lpwstr>36;#Legislation Coordination|58c6712e-e847-48f4-81ab-b25e2bbd3986</vt:lpwstr>
  </property>
  <property fmtid="{D5CDD505-2E9C-101B-9397-08002B2CF9AE}" pid="15" name="Activity">
    <vt:lpwstr>35;#Legislation management|cb630f2f-9155-496b-ad0f-d960eb1bf90c</vt:lpwstr>
  </property>
  <property fmtid="{D5CDD505-2E9C-101B-9397-08002B2CF9AE}" pid="16" name="MediaServiceImageTags">
    <vt:lpwstr/>
  </property>
  <property fmtid="{D5CDD505-2E9C-101B-9397-08002B2CF9AE}" pid="17" name="ContentTypeId">
    <vt:lpwstr>0x010100B569D256E75E71428C72445DFBB99E7A</vt:lpwstr>
  </property>
  <property fmtid="{D5CDD505-2E9C-101B-9397-08002B2CF9AE}" pid="18" name="eTheme">
    <vt:lpwstr>1</vt:lpwstr>
  </property>
  <property fmtid="{D5CDD505-2E9C-101B-9397-08002B2CF9AE}" pid="19" name="ClassificationContentMarkingHeaderFontProps">
    <vt:lpwstr>#ff0000,12,Calibri</vt:lpwstr>
  </property>
  <property fmtid="{D5CDD505-2E9C-101B-9397-08002B2CF9AE}" pid="20" name="eDocumentType">
    <vt:lpwstr>153;#Explanatory Materials|ac61e78e-992e-40fd-ae93-2c9522960b05</vt:lpwstr>
  </property>
  <property fmtid="{D5CDD505-2E9C-101B-9397-08002B2CF9AE}" pid="21" name="Classification">
    <vt:lpwstr> </vt:lpwstr>
  </property>
  <property fmtid="{D5CDD505-2E9C-101B-9397-08002B2CF9AE}" pid="22" name="DLM">
    <vt:lpwstr> </vt:lpwstr>
  </property>
  <property fmtid="{D5CDD505-2E9C-101B-9397-08002B2CF9AE}" pid="23" name="Document Type">
    <vt:lpwstr>42;#Legislation|25c35cca-98fe-4d3e-a63c-3dda1c39f3ec</vt:lpwstr>
  </property>
  <property fmtid="{D5CDD505-2E9C-101B-9397-08002B2CF9AE}" pid="24" name="LMDivision">
    <vt:lpwstr>3;#Treasury Enterprise Terms|69519368-d55f-4403-adc0-7b3d464d5501</vt:lpwstr>
  </property>
  <property fmtid="{D5CDD505-2E9C-101B-9397-08002B2CF9AE}" pid="25" name="eActivity">
    <vt:lpwstr>35</vt:lpwstr>
  </property>
  <property fmtid="{D5CDD505-2E9C-101B-9397-08002B2CF9AE}" pid="26" name="ClassificationContentMarkingFooterShapeIds">
    <vt:lpwstr>163058ec,5b4f3fa7,23899a15</vt:lpwstr>
  </property>
  <property fmtid="{D5CDD505-2E9C-101B-9397-08002B2CF9AE}" pid="27" name="ClassificationContentMarkingHeaderShapeIds">
    <vt:lpwstr>591d99c8,64c37327,d6192f</vt:lpwstr>
  </property>
  <property fmtid="{D5CDD505-2E9C-101B-9397-08002B2CF9AE}" pid="28" name="k8424359e03846678cc4a99dd97e9705">
    <vt:lpwstr>Treasury Enterprise Terms|69519368-d55f-4403-adc0-7b3d464d5501</vt:lpwstr>
  </property>
  <property fmtid="{D5CDD505-2E9C-101B-9397-08002B2CF9AE}" pid="29" name="ClassificationContentMarkingFooterFontProps">
    <vt:lpwstr>#ff0000,12,Calibri</vt:lpwstr>
  </property>
  <property fmtid="{D5CDD505-2E9C-101B-9397-08002B2CF9AE}" pid="30" name="_dlc_DocIdItemGuid">
    <vt:lpwstr>bf9c8196-20c6-44e0-a446-55e3af8cfd0c</vt:lpwstr>
  </property>
  <property fmtid="{D5CDD505-2E9C-101B-9397-08002B2CF9AE}" pid="31" name="eTopic">
    <vt:lpwstr>36;#Legislation Coordination|58c6712e-e847-48f4-81ab-b25e2bbd3986</vt:lpwstr>
  </property>
</Properties>
</file>