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448C" w14:textId="77777777" w:rsidR="0048364F" w:rsidRDefault="00193461" w:rsidP="0020300C">
      <w:pPr>
        <w:rPr>
          <w:sz w:val="28"/>
        </w:rPr>
      </w:pPr>
      <w:r>
        <w:rPr>
          <w:noProof/>
          <w:lang w:eastAsia="en-AU"/>
        </w:rPr>
        <w:drawing>
          <wp:inline distT="0" distB="0" distL="0" distR="0" wp14:anchorId="3AEB81C5" wp14:editId="4A8BC33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B8E5EBC" w14:textId="77777777" w:rsidR="0048364F" w:rsidRDefault="0048364F" w:rsidP="0048364F">
      <w:pPr>
        <w:rPr>
          <w:sz w:val="19"/>
        </w:rPr>
      </w:pPr>
    </w:p>
    <w:p w14:paraId="4FD5551F" w14:textId="7D8E0479" w:rsidR="0048364F" w:rsidRDefault="00866A11" w:rsidP="0048364F">
      <w:pPr>
        <w:pStyle w:val="ShortT"/>
      </w:pPr>
      <w:r w:rsidRPr="00866A11">
        <w:t xml:space="preserve">Financial Framework (Supplementary Powers) Amendment (Health, Disability and Ageing Measures No. </w:t>
      </w:r>
      <w:r>
        <w:t>2</w:t>
      </w:r>
      <w:r w:rsidRPr="00866A11">
        <w:t xml:space="preserve">) </w:t>
      </w:r>
      <w:r w:rsidR="00D416CA">
        <w:t>Regulations 2</w:t>
      </w:r>
      <w:r w:rsidRPr="00866A11">
        <w:t>025</w:t>
      </w:r>
    </w:p>
    <w:p w14:paraId="62BEFEE3" w14:textId="582C7020" w:rsidR="00866A11" w:rsidRPr="0034086C" w:rsidRDefault="00866A11" w:rsidP="007517B8">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5A4C9A">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54454379" w14:textId="640BFDD7" w:rsidR="00866A11" w:rsidRPr="0034086C" w:rsidRDefault="00866A11" w:rsidP="007517B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00B3140B">
        <w:rPr>
          <w:szCs w:val="22"/>
        </w:rPr>
        <w:t xml:space="preserve">21 August </w:t>
      </w:r>
      <w:r w:rsidRPr="0034086C">
        <w:rPr>
          <w:szCs w:val="22"/>
        </w:rPr>
        <w:fldChar w:fldCharType="begin"/>
      </w:r>
      <w:r w:rsidRPr="0034086C">
        <w:rPr>
          <w:szCs w:val="22"/>
        </w:rPr>
        <w:instrText xml:space="preserve"> DOCPROPERTY  DateMade </w:instrText>
      </w:r>
      <w:r w:rsidRPr="0034086C">
        <w:rPr>
          <w:szCs w:val="22"/>
        </w:rPr>
        <w:fldChar w:fldCharType="separate"/>
      </w:r>
      <w:r w:rsidR="001C7B5C">
        <w:rPr>
          <w:szCs w:val="22"/>
        </w:rPr>
        <w:t>2025</w:t>
      </w:r>
      <w:r w:rsidRPr="0034086C">
        <w:rPr>
          <w:szCs w:val="22"/>
        </w:rPr>
        <w:fldChar w:fldCharType="end"/>
      </w:r>
    </w:p>
    <w:p w14:paraId="003A6036" w14:textId="26346419" w:rsidR="00866A11" w:rsidRPr="0034086C" w:rsidRDefault="00866A11" w:rsidP="007517B8">
      <w:pPr>
        <w:keepNext/>
        <w:tabs>
          <w:tab w:val="left" w:pos="3402"/>
        </w:tabs>
        <w:spacing w:before="1080" w:line="300" w:lineRule="atLeast"/>
        <w:ind w:left="397" w:right="397"/>
        <w:jc w:val="right"/>
        <w:rPr>
          <w:szCs w:val="22"/>
        </w:rPr>
      </w:pPr>
      <w:r>
        <w:rPr>
          <w:szCs w:val="22"/>
        </w:rPr>
        <w:t>Sam Mostyn AC</w:t>
      </w:r>
    </w:p>
    <w:p w14:paraId="5A89B6A1" w14:textId="287CC933" w:rsidR="00866A11" w:rsidRPr="0034086C" w:rsidRDefault="00866A11" w:rsidP="007517B8">
      <w:pPr>
        <w:keepNext/>
        <w:tabs>
          <w:tab w:val="left" w:pos="3402"/>
        </w:tabs>
        <w:spacing w:line="300" w:lineRule="atLeast"/>
        <w:ind w:left="397" w:right="397"/>
        <w:jc w:val="right"/>
        <w:rPr>
          <w:szCs w:val="22"/>
        </w:rPr>
      </w:pPr>
      <w:r>
        <w:rPr>
          <w:szCs w:val="22"/>
        </w:rPr>
        <w:t>Governor</w:t>
      </w:r>
      <w:r w:rsidR="005A4C9A">
        <w:rPr>
          <w:szCs w:val="22"/>
        </w:rPr>
        <w:noBreakHyphen/>
      </w:r>
      <w:r>
        <w:rPr>
          <w:szCs w:val="22"/>
        </w:rPr>
        <w:t>General</w:t>
      </w:r>
    </w:p>
    <w:p w14:paraId="70303579" w14:textId="77777777" w:rsidR="00866A11" w:rsidRPr="0034086C" w:rsidRDefault="00866A11" w:rsidP="007517B8">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04805C45" w14:textId="7F206910" w:rsidR="00866A11" w:rsidRPr="0034086C" w:rsidRDefault="00866A11" w:rsidP="007517B8">
      <w:pPr>
        <w:keepNext/>
        <w:tabs>
          <w:tab w:val="left" w:pos="3402"/>
        </w:tabs>
        <w:spacing w:before="480" w:line="300" w:lineRule="atLeast"/>
        <w:ind w:right="397"/>
        <w:rPr>
          <w:szCs w:val="22"/>
        </w:rPr>
      </w:pPr>
      <w:r>
        <w:rPr>
          <w:szCs w:val="22"/>
        </w:rPr>
        <w:t>Katy Gallagher</w:t>
      </w:r>
    </w:p>
    <w:p w14:paraId="4B60798A" w14:textId="212A231C" w:rsidR="00866A11" w:rsidRPr="001F2C7F" w:rsidRDefault="00866A11" w:rsidP="007517B8">
      <w:pPr>
        <w:pStyle w:val="SignCoverPageEnd"/>
        <w:rPr>
          <w:szCs w:val="22"/>
        </w:rPr>
      </w:pPr>
      <w:r>
        <w:rPr>
          <w:szCs w:val="22"/>
        </w:rPr>
        <w:t>Minister for Finance</w:t>
      </w:r>
    </w:p>
    <w:p w14:paraId="4F237EFF" w14:textId="77777777" w:rsidR="00866A11" w:rsidRDefault="00866A11" w:rsidP="007517B8"/>
    <w:p w14:paraId="1FCBCAA4" w14:textId="77777777" w:rsidR="00866A11" w:rsidRDefault="00866A11" w:rsidP="007517B8"/>
    <w:p w14:paraId="6829AC6C" w14:textId="77777777" w:rsidR="00866A11" w:rsidRDefault="00866A11" w:rsidP="007517B8"/>
    <w:p w14:paraId="3A282B70" w14:textId="77777777" w:rsidR="0048364F" w:rsidRPr="00B75A4B" w:rsidRDefault="0048364F" w:rsidP="0048364F">
      <w:pPr>
        <w:pStyle w:val="Header"/>
        <w:tabs>
          <w:tab w:val="clear" w:pos="4150"/>
          <w:tab w:val="clear" w:pos="8307"/>
        </w:tabs>
      </w:pPr>
      <w:r w:rsidRPr="00B75A4B">
        <w:rPr>
          <w:rStyle w:val="CharAmSchNo"/>
        </w:rPr>
        <w:t xml:space="preserve"> </w:t>
      </w:r>
      <w:r w:rsidRPr="00B75A4B">
        <w:rPr>
          <w:rStyle w:val="CharAmSchText"/>
        </w:rPr>
        <w:t xml:space="preserve"> </w:t>
      </w:r>
    </w:p>
    <w:p w14:paraId="32173131" w14:textId="77777777" w:rsidR="0048364F" w:rsidRPr="00B75A4B" w:rsidRDefault="0048364F" w:rsidP="0048364F">
      <w:pPr>
        <w:pStyle w:val="Header"/>
        <w:tabs>
          <w:tab w:val="clear" w:pos="4150"/>
          <w:tab w:val="clear" w:pos="8307"/>
        </w:tabs>
      </w:pPr>
      <w:r w:rsidRPr="00B75A4B">
        <w:rPr>
          <w:rStyle w:val="CharAmPartNo"/>
        </w:rPr>
        <w:t xml:space="preserve"> </w:t>
      </w:r>
      <w:r w:rsidRPr="00B75A4B">
        <w:rPr>
          <w:rStyle w:val="CharAmPartText"/>
        </w:rPr>
        <w:t xml:space="preserve"> </w:t>
      </w:r>
    </w:p>
    <w:p w14:paraId="3EC705E9" w14:textId="77777777" w:rsidR="0048364F" w:rsidRDefault="0048364F" w:rsidP="0048364F">
      <w:pPr>
        <w:sectPr w:rsidR="0048364F" w:rsidSect="002D69C3">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743A7EB4" w14:textId="77777777" w:rsidR="00220A0C" w:rsidRDefault="0048364F" w:rsidP="0048364F">
      <w:pPr>
        <w:outlineLvl w:val="0"/>
        <w:rPr>
          <w:sz w:val="36"/>
        </w:rPr>
      </w:pPr>
      <w:r w:rsidRPr="007A1328">
        <w:rPr>
          <w:sz w:val="36"/>
        </w:rPr>
        <w:lastRenderedPageBreak/>
        <w:t>Contents</w:t>
      </w:r>
    </w:p>
    <w:p w14:paraId="6C18375D" w14:textId="6B70E84F" w:rsidR="001A7AC8" w:rsidRDefault="001A7AC8">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Pr>
          <w:noProof/>
        </w:rPr>
        <w:t>1</w:t>
      </w:r>
      <w:r>
        <w:rPr>
          <w:noProof/>
        </w:rPr>
        <w:tab/>
        <w:t>Name</w:t>
      </w:r>
      <w:r w:rsidRPr="001A7AC8">
        <w:rPr>
          <w:noProof/>
        </w:rPr>
        <w:tab/>
      </w:r>
      <w:r w:rsidRPr="001A7AC8">
        <w:rPr>
          <w:noProof/>
        </w:rPr>
        <w:fldChar w:fldCharType="begin"/>
      </w:r>
      <w:r w:rsidRPr="001A7AC8">
        <w:rPr>
          <w:noProof/>
        </w:rPr>
        <w:instrText xml:space="preserve"> PAGEREF _Toc201760098 \h </w:instrText>
      </w:r>
      <w:r w:rsidRPr="001A7AC8">
        <w:rPr>
          <w:noProof/>
        </w:rPr>
      </w:r>
      <w:r w:rsidRPr="001A7AC8">
        <w:rPr>
          <w:noProof/>
        </w:rPr>
        <w:fldChar w:fldCharType="separate"/>
      </w:r>
      <w:r w:rsidR="00DD75BA">
        <w:rPr>
          <w:noProof/>
        </w:rPr>
        <w:t>1</w:t>
      </w:r>
      <w:r w:rsidRPr="001A7AC8">
        <w:rPr>
          <w:noProof/>
        </w:rPr>
        <w:fldChar w:fldCharType="end"/>
      </w:r>
    </w:p>
    <w:p w14:paraId="7810D555" w14:textId="6D80885C" w:rsidR="001A7AC8" w:rsidRDefault="001A7AC8">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1A7AC8">
        <w:rPr>
          <w:noProof/>
        </w:rPr>
        <w:tab/>
      </w:r>
      <w:r w:rsidRPr="001A7AC8">
        <w:rPr>
          <w:noProof/>
        </w:rPr>
        <w:fldChar w:fldCharType="begin"/>
      </w:r>
      <w:r w:rsidRPr="001A7AC8">
        <w:rPr>
          <w:noProof/>
        </w:rPr>
        <w:instrText xml:space="preserve"> PAGEREF _Toc201760099 \h </w:instrText>
      </w:r>
      <w:r w:rsidRPr="001A7AC8">
        <w:rPr>
          <w:noProof/>
        </w:rPr>
      </w:r>
      <w:r w:rsidRPr="001A7AC8">
        <w:rPr>
          <w:noProof/>
        </w:rPr>
        <w:fldChar w:fldCharType="separate"/>
      </w:r>
      <w:r w:rsidR="00DD75BA">
        <w:rPr>
          <w:noProof/>
        </w:rPr>
        <w:t>1</w:t>
      </w:r>
      <w:r w:rsidRPr="001A7AC8">
        <w:rPr>
          <w:noProof/>
        </w:rPr>
        <w:fldChar w:fldCharType="end"/>
      </w:r>
    </w:p>
    <w:p w14:paraId="38D5031C" w14:textId="3FE3E8AB" w:rsidR="001A7AC8" w:rsidRDefault="001A7AC8">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Authority</w:t>
      </w:r>
      <w:r w:rsidRPr="001A7AC8">
        <w:rPr>
          <w:noProof/>
        </w:rPr>
        <w:tab/>
      </w:r>
      <w:r w:rsidRPr="001A7AC8">
        <w:rPr>
          <w:noProof/>
        </w:rPr>
        <w:fldChar w:fldCharType="begin"/>
      </w:r>
      <w:r w:rsidRPr="001A7AC8">
        <w:rPr>
          <w:noProof/>
        </w:rPr>
        <w:instrText xml:space="preserve"> PAGEREF _Toc201760100 \h </w:instrText>
      </w:r>
      <w:r w:rsidRPr="001A7AC8">
        <w:rPr>
          <w:noProof/>
        </w:rPr>
      </w:r>
      <w:r w:rsidRPr="001A7AC8">
        <w:rPr>
          <w:noProof/>
        </w:rPr>
        <w:fldChar w:fldCharType="separate"/>
      </w:r>
      <w:r w:rsidR="00DD75BA">
        <w:rPr>
          <w:noProof/>
        </w:rPr>
        <w:t>1</w:t>
      </w:r>
      <w:r w:rsidRPr="001A7AC8">
        <w:rPr>
          <w:noProof/>
        </w:rPr>
        <w:fldChar w:fldCharType="end"/>
      </w:r>
    </w:p>
    <w:p w14:paraId="5EE50BEE" w14:textId="324F4C8F" w:rsidR="001A7AC8" w:rsidRDefault="001A7AC8">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Schedules</w:t>
      </w:r>
      <w:r w:rsidRPr="001A7AC8">
        <w:rPr>
          <w:noProof/>
        </w:rPr>
        <w:tab/>
      </w:r>
      <w:r w:rsidRPr="001A7AC8">
        <w:rPr>
          <w:noProof/>
        </w:rPr>
        <w:fldChar w:fldCharType="begin"/>
      </w:r>
      <w:r w:rsidRPr="001A7AC8">
        <w:rPr>
          <w:noProof/>
        </w:rPr>
        <w:instrText xml:space="preserve"> PAGEREF _Toc201760101 \h </w:instrText>
      </w:r>
      <w:r w:rsidRPr="001A7AC8">
        <w:rPr>
          <w:noProof/>
        </w:rPr>
      </w:r>
      <w:r w:rsidRPr="001A7AC8">
        <w:rPr>
          <w:noProof/>
        </w:rPr>
        <w:fldChar w:fldCharType="separate"/>
      </w:r>
      <w:r w:rsidR="00DD75BA">
        <w:rPr>
          <w:noProof/>
        </w:rPr>
        <w:t>1</w:t>
      </w:r>
      <w:r w:rsidRPr="001A7AC8">
        <w:rPr>
          <w:noProof/>
        </w:rPr>
        <w:fldChar w:fldCharType="end"/>
      </w:r>
    </w:p>
    <w:p w14:paraId="1407A399" w14:textId="492EF498" w:rsidR="001A7AC8" w:rsidRDefault="00D416CA">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w:t>
      </w:r>
      <w:r w:rsidR="001A7AC8">
        <w:rPr>
          <w:noProof/>
        </w:rPr>
        <w:t>—Amendments</w:t>
      </w:r>
      <w:r w:rsidR="001A7AC8" w:rsidRPr="001A7AC8">
        <w:rPr>
          <w:b w:val="0"/>
          <w:noProof/>
          <w:sz w:val="18"/>
        </w:rPr>
        <w:tab/>
      </w:r>
      <w:r w:rsidR="001A7AC8" w:rsidRPr="001A7AC8">
        <w:rPr>
          <w:b w:val="0"/>
          <w:noProof/>
          <w:sz w:val="18"/>
        </w:rPr>
        <w:fldChar w:fldCharType="begin"/>
      </w:r>
      <w:r w:rsidR="001A7AC8" w:rsidRPr="001A7AC8">
        <w:rPr>
          <w:b w:val="0"/>
          <w:noProof/>
          <w:sz w:val="18"/>
        </w:rPr>
        <w:instrText xml:space="preserve"> PAGEREF _Toc201760102 \h </w:instrText>
      </w:r>
      <w:r w:rsidR="001A7AC8" w:rsidRPr="001A7AC8">
        <w:rPr>
          <w:b w:val="0"/>
          <w:noProof/>
          <w:sz w:val="18"/>
        </w:rPr>
      </w:r>
      <w:r w:rsidR="001A7AC8" w:rsidRPr="001A7AC8">
        <w:rPr>
          <w:b w:val="0"/>
          <w:noProof/>
          <w:sz w:val="18"/>
        </w:rPr>
        <w:fldChar w:fldCharType="separate"/>
      </w:r>
      <w:r w:rsidR="00DD75BA">
        <w:rPr>
          <w:b w:val="0"/>
          <w:noProof/>
          <w:sz w:val="18"/>
        </w:rPr>
        <w:t>2</w:t>
      </w:r>
      <w:r w:rsidR="001A7AC8" w:rsidRPr="001A7AC8">
        <w:rPr>
          <w:b w:val="0"/>
          <w:noProof/>
          <w:sz w:val="18"/>
        </w:rPr>
        <w:fldChar w:fldCharType="end"/>
      </w:r>
    </w:p>
    <w:p w14:paraId="041BDAE9" w14:textId="6CE8221E" w:rsidR="001A7AC8" w:rsidRDefault="001A7AC8">
      <w:pPr>
        <w:pStyle w:val="TOC9"/>
        <w:rPr>
          <w:rFonts w:asciiTheme="minorHAnsi" w:eastAsiaTheme="minorEastAsia" w:hAnsiTheme="minorHAnsi" w:cstheme="minorBidi"/>
          <w:i w:val="0"/>
          <w:noProof/>
          <w:kern w:val="2"/>
          <w:sz w:val="24"/>
          <w:szCs w:val="30"/>
          <w:lang w:eastAsia="zh-CN" w:bidi="th-TH"/>
          <w14:ligatures w14:val="standardContextual"/>
        </w:rPr>
      </w:pPr>
      <w:r>
        <w:rPr>
          <w:noProof/>
        </w:rPr>
        <w:t>Financial Framework (Supplementary Powers) Regulations 1997</w:t>
      </w:r>
      <w:r w:rsidRPr="001A7AC8">
        <w:rPr>
          <w:i w:val="0"/>
          <w:noProof/>
          <w:sz w:val="18"/>
        </w:rPr>
        <w:tab/>
      </w:r>
      <w:r w:rsidRPr="001A7AC8">
        <w:rPr>
          <w:i w:val="0"/>
          <w:noProof/>
          <w:sz w:val="18"/>
        </w:rPr>
        <w:fldChar w:fldCharType="begin"/>
      </w:r>
      <w:r w:rsidRPr="001A7AC8">
        <w:rPr>
          <w:i w:val="0"/>
          <w:noProof/>
          <w:sz w:val="18"/>
        </w:rPr>
        <w:instrText xml:space="preserve"> PAGEREF _Toc201760103 \h </w:instrText>
      </w:r>
      <w:r w:rsidRPr="001A7AC8">
        <w:rPr>
          <w:i w:val="0"/>
          <w:noProof/>
          <w:sz w:val="18"/>
        </w:rPr>
      </w:r>
      <w:r w:rsidRPr="001A7AC8">
        <w:rPr>
          <w:i w:val="0"/>
          <w:noProof/>
          <w:sz w:val="18"/>
        </w:rPr>
        <w:fldChar w:fldCharType="separate"/>
      </w:r>
      <w:r w:rsidR="00DD75BA">
        <w:rPr>
          <w:i w:val="0"/>
          <w:noProof/>
          <w:sz w:val="18"/>
        </w:rPr>
        <w:t>2</w:t>
      </w:r>
      <w:r w:rsidRPr="001A7AC8">
        <w:rPr>
          <w:i w:val="0"/>
          <w:noProof/>
          <w:sz w:val="18"/>
        </w:rPr>
        <w:fldChar w:fldCharType="end"/>
      </w:r>
    </w:p>
    <w:p w14:paraId="3B7ADD92" w14:textId="3BA9C435" w:rsidR="0048364F" w:rsidRPr="007A1328" w:rsidRDefault="001A7AC8" w:rsidP="0048364F">
      <w:r>
        <w:fldChar w:fldCharType="end"/>
      </w:r>
    </w:p>
    <w:p w14:paraId="73931003" w14:textId="77777777" w:rsidR="0048364F" w:rsidRDefault="0048364F" w:rsidP="0048364F">
      <w:pPr>
        <w:sectPr w:rsidR="0048364F" w:rsidSect="002D69C3">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6BDA4B75" w14:textId="77777777" w:rsidR="0048364F" w:rsidRDefault="0048364F" w:rsidP="0048364F">
      <w:pPr>
        <w:pStyle w:val="ActHead5"/>
      </w:pPr>
      <w:bookmarkStart w:id="0" w:name="_Toc201760098"/>
      <w:r w:rsidRPr="00B75A4B">
        <w:rPr>
          <w:rStyle w:val="CharSectno"/>
        </w:rPr>
        <w:lastRenderedPageBreak/>
        <w:t>1</w:t>
      </w:r>
      <w:r>
        <w:t xml:space="preserve">  </w:t>
      </w:r>
      <w:r w:rsidR="004F676E">
        <w:t>Name</w:t>
      </w:r>
      <w:bookmarkEnd w:id="0"/>
    </w:p>
    <w:p w14:paraId="308DB7D3" w14:textId="7E17324F" w:rsidR="0048364F" w:rsidRDefault="0048364F" w:rsidP="0048364F">
      <w:pPr>
        <w:pStyle w:val="subsection"/>
      </w:pPr>
      <w:r>
        <w:tab/>
      </w:r>
      <w:r>
        <w:tab/>
      </w:r>
      <w:r w:rsidR="00866A11">
        <w:t>This instrument is</w:t>
      </w:r>
      <w:r>
        <w:t xml:space="preserve"> the </w:t>
      </w:r>
      <w:r w:rsidR="00866A11" w:rsidRPr="00866A11">
        <w:rPr>
          <w:i/>
          <w:iCs/>
        </w:rPr>
        <w:t xml:space="preserve">Financial Framework (Supplementary Powers) Amendment (Health, Disability and Ageing Measures No. 2) </w:t>
      </w:r>
      <w:r w:rsidR="00D416CA">
        <w:rPr>
          <w:i/>
          <w:iCs/>
        </w:rPr>
        <w:t>Regulations 2</w:t>
      </w:r>
      <w:r w:rsidR="00866A11" w:rsidRPr="00866A11">
        <w:rPr>
          <w:i/>
          <w:iCs/>
        </w:rPr>
        <w:t>025</w:t>
      </w:r>
      <w:r>
        <w:t>.</w:t>
      </w:r>
    </w:p>
    <w:p w14:paraId="47D1D7EB" w14:textId="77777777" w:rsidR="004F676E" w:rsidRDefault="0048364F" w:rsidP="005452CC">
      <w:pPr>
        <w:pStyle w:val="ActHead5"/>
      </w:pPr>
      <w:bookmarkStart w:id="1" w:name="_Toc201760099"/>
      <w:r w:rsidRPr="00B75A4B">
        <w:rPr>
          <w:rStyle w:val="CharSectno"/>
        </w:rPr>
        <w:t>2</w:t>
      </w:r>
      <w:r>
        <w:t xml:space="preserve">  Commencement</w:t>
      </w:r>
      <w:bookmarkEnd w:id="1"/>
    </w:p>
    <w:p w14:paraId="58552A09" w14:textId="77777777" w:rsidR="005452CC" w:rsidRDefault="005452CC" w:rsidP="00593449">
      <w:pPr>
        <w:pStyle w:val="subsection"/>
      </w:pPr>
      <w:r>
        <w:tab/>
        <w:t>(1)</w:t>
      </w:r>
      <w:r>
        <w:tab/>
        <w:t xml:space="preserve">Each provision of </w:t>
      </w:r>
      <w:r w:rsidR="00866A11">
        <w:t>this instrument</w:t>
      </w:r>
      <w:r>
        <w:t xml:space="preserve"> specified in column 1 of the table commences, or is taken to have commenced, in accordance with column 2 of the table. Any other statement in column 2 has effect according to its terms.</w:t>
      </w:r>
    </w:p>
    <w:p w14:paraId="563A890A" w14:textId="77777777" w:rsidR="005452CC"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333E32C7" w14:textId="77777777" w:rsidTr="00AD7252">
        <w:trPr>
          <w:tblHeader/>
        </w:trPr>
        <w:tc>
          <w:tcPr>
            <w:tcW w:w="8364" w:type="dxa"/>
            <w:gridSpan w:val="3"/>
            <w:tcBorders>
              <w:top w:val="single" w:sz="12" w:space="0" w:color="auto"/>
              <w:bottom w:val="single" w:sz="6" w:space="0" w:color="auto"/>
            </w:tcBorders>
            <w:shd w:val="clear" w:color="auto" w:fill="auto"/>
            <w:hideMark/>
          </w:tcPr>
          <w:p w14:paraId="1EA82272" w14:textId="77777777" w:rsidR="005452CC" w:rsidRPr="00416235" w:rsidRDefault="005452CC" w:rsidP="00612709">
            <w:pPr>
              <w:pStyle w:val="TableHeading"/>
            </w:pPr>
            <w:r w:rsidRPr="00416235">
              <w:t>Commencement information</w:t>
            </w:r>
          </w:p>
        </w:tc>
      </w:tr>
      <w:tr w:rsidR="005452CC" w:rsidRPr="00416235" w14:paraId="21CDC0F0" w14:textId="77777777" w:rsidTr="00AD7252">
        <w:trPr>
          <w:tblHeader/>
        </w:trPr>
        <w:tc>
          <w:tcPr>
            <w:tcW w:w="2127" w:type="dxa"/>
            <w:tcBorders>
              <w:top w:val="single" w:sz="6" w:space="0" w:color="auto"/>
              <w:bottom w:val="single" w:sz="6" w:space="0" w:color="auto"/>
            </w:tcBorders>
            <w:shd w:val="clear" w:color="auto" w:fill="auto"/>
            <w:hideMark/>
          </w:tcPr>
          <w:p w14:paraId="742EBB14" w14:textId="77777777" w:rsidR="005452CC" w:rsidRPr="00416235" w:rsidRDefault="005452CC" w:rsidP="00612709">
            <w:pPr>
              <w:pStyle w:val="TableHeading"/>
            </w:pPr>
            <w:r w:rsidRPr="00416235">
              <w:t>Column 1</w:t>
            </w:r>
          </w:p>
        </w:tc>
        <w:tc>
          <w:tcPr>
            <w:tcW w:w="4394" w:type="dxa"/>
            <w:tcBorders>
              <w:top w:val="single" w:sz="6" w:space="0" w:color="auto"/>
              <w:bottom w:val="single" w:sz="6" w:space="0" w:color="auto"/>
            </w:tcBorders>
            <w:shd w:val="clear" w:color="auto" w:fill="auto"/>
            <w:hideMark/>
          </w:tcPr>
          <w:p w14:paraId="3FCBF6B6" w14:textId="77777777" w:rsidR="005452CC" w:rsidRPr="00416235" w:rsidRDefault="005452CC" w:rsidP="00612709">
            <w:pPr>
              <w:pStyle w:val="TableHeading"/>
            </w:pPr>
            <w:r w:rsidRPr="00416235">
              <w:t>Column 2</w:t>
            </w:r>
          </w:p>
        </w:tc>
        <w:tc>
          <w:tcPr>
            <w:tcW w:w="1843" w:type="dxa"/>
            <w:tcBorders>
              <w:top w:val="single" w:sz="6" w:space="0" w:color="auto"/>
              <w:bottom w:val="single" w:sz="6" w:space="0" w:color="auto"/>
            </w:tcBorders>
            <w:shd w:val="clear" w:color="auto" w:fill="auto"/>
            <w:hideMark/>
          </w:tcPr>
          <w:p w14:paraId="0EC4751E" w14:textId="77777777" w:rsidR="005452CC" w:rsidRPr="00416235" w:rsidRDefault="005452CC" w:rsidP="00612709">
            <w:pPr>
              <w:pStyle w:val="TableHeading"/>
            </w:pPr>
            <w:r w:rsidRPr="00416235">
              <w:t>Column 3</w:t>
            </w:r>
          </w:p>
        </w:tc>
      </w:tr>
      <w:tr w:rsidR="005452CC" w14:paraId="482D659A" w14:textId="77777777" w:rsidTr="00AD7252">
        <w:trPr>
          <w:tblHeader/>
        </w:trPr>
        <w:tc>
          <w:tcPr>
            <w:tcW w:w="2127" w:type="dxa"/>
            <w:tcBorders>
              <w:top w:val="single" w:sz="6" w:space="0" w:color="auto"/>
              <w:bottom w:val="single" w:sz="12" w:space="0" w:color="auto"/>
            </w:tcBorders>
            <w:shd w:val="clear" w:color="auto" w:fill="auto"/>
            <w:hideMark/>
          </w:tcPr>
          <w:p w14:paraId="6D6F8423" w14:textId="77777777" w:rsidR="005452CC" w:rsidRPr="00416235" w:rsidRDefault="005452CC" w:rsidP="00612709">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6A2D2175" w14:textId="77777777" w:rsidR="005452CC" w:rsidRPr="00416235" w:rsidRDefault="005452CC" w:rsidP="00612709">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60697153" w14:textId="77777777" w:rsidR="005452CC" w:rsidRPr="00416235" w:rsidRDefault="005452CC" w:rsidP="00612709">
            <w:pPr>
              <w:pStyle w:val="TableHeading"/>
            </w:pPr>
            <w:r w:rsidRPr="00416235">
              <w:t>Date/Details</w:t>
            </w:r>
          </w:p>
        </w:tc>
      </w:tr>
      <w:tr w:rsidR="005452CC" w14:paraId="069C9306" w14:textId="77777777" w:rsidTr="00AD7252">
        <w:tc>
          <w:tcPr>
            <w:tcW w:w="2127" w:type="dxa"/>
            <w:tcBorders>
              <w:top w:val="single" w:sz="12" w:space="0" w:color="auto"/>
              <w:bottom w:val="single" w:sz="12" w:space="0" w:color="auto"/>
            </w:tcBorders>
            <w:shd w:val="clear" w:color="auto" w:fill="auto"/>
            <w:hideMark/>
          </w:tcPr>
          <w:p w14:paraId="109FA6BB" w14:textId="77777777" w:rsidR="005452CC" w:rsidRDefault="005452CC" w:rsidP="00AD7252">
            <w:pPr>
              <w:pStyle w:val="Tabletext"/>
            </w:pPr>
            <w:r>
              <w:t xml:space="preserve">1.  </w:t>
            </w:r>
            <w:r w:rsidR="00AD7252">
              <w:t xml:space="preserve">The whole of </w:t>
            </w:r>
            <w:r w:rsidR="00866A11">
              <w:t>this instrument</w:t>
            </w:r>
          </w:p>
        </w:tc>
        <w:tc>
          <w:tcPr>
            <w:tcW w:w="4394" w:type="dxa"/>
            <w:tcBorders>
              <w:top w:val="single" w:sz="12" w:space="0" w:color="auto"/>
              <w:bottom w:val="single" w:sz="12" w:space="0" w:color="auto"/>
            </w:tcBorders>
            <w:shd w:val="clear" w:color="auto" w:fill="auto"/>
            <w:hideMark/>
          </w:tcPr>
          <w:p w14:paraId="57CC08FB" w14:textId="77777777" w:rsidR="005452CC" w:rsidRDefault="005452CC" w:rsidP="005452CC">
            <w:pPr>
              <w:pStyle w:val="Tabletext"/>
            </w:pPr>
            <w:r>
              <w:t xml:space="preserve">The day after </w:t>
            </w:r>
            <w:r w:rsidR="00866A11">
              <w:t>this instrument is</w:t>
            </w:r>
            <w:r>
              <w:t xml:space="preserve"> registered.</w:t>
            </w:r>
          </w:p>
        </w:tc>
        <w:tc>
          <w:tcPr>
            <w:tcW w:w="1843" w:type="dxa"/>
            <w:tcBorders>
              <w:top w:val="single" w:sz="12" w:space="0" w:color="auto"/>
              <w:bottom w:val="single" w:sz="12" w:space="0" w:color="auto"/>
            </w:tcBorders>
            <w:shd w:val="clear" w:color="auto" w:fill="auto"/>
          </w:tcPr>
          <w:p w14:paraId="4981761A" w14:textId="0A9353FA" w:rsidR="005452CC" w:rsidRDefault="006E4B15">
            <w:pPr>
              <w:pStyle w:val="Tabletext"/>
            </w:pPr>
            <w:r w:rsidRPr="006E4B15">
              <w:t>23 August 2025</w:t>
            </w:r>
          </w:p>
        </w:tc>
      </w:tr>
    </w:tbl>
    <w:p w14:paraId="3FC0FCE9" w14:textId="77777777" w:rsidR="005452CC" w:rsidRPr="001E6DD6" w:rsidRDefault="005452CC" w:rsidP="00D21F74">
      <w:pPr>
        <w:pStyle w:val="notetext"/>
      </w:pPr>
      <w:r w:rsidRPr="005F477A">
        <w:rPr>
          <w:snapToGrid w:val="0"/>
          <w:lang w:eastAsia="en-US"/>
        </w:rPr>
        <w:t>Note:</w:t>
      </w:r>
      <w:r w:rsidRPr="005F477A">
        <w:rPr>
          <w:snapToGrid w:val="0"/>
          <w:lang w:eastAsia="en-US"/>
        </w:rPr>
        <w:tab/>
        <w:t xml:space="preserve">This table relates only to the provisions of </w:t>
      </w:r>
      <w:r w:rsidR="00866A11">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866A11">
        <w:rPr>
          <w:snapToGrid w:val="0"/>
          <w:lang w:eastAsia="en-US"/>
        </w:rPr>
        <w:t>this instrument</w:t>
      </w:r>
      <w:r w:rsidRPr="005F477A">
        <w:rPr>
          <w:snapToGrid w:val="0"/>
          <w:lang w:eastAsia="en-US"/>
        </w:rPr>
        <w:t>.</w:t>
      </w:r>
    </w:p>
    <w:p w14:paraId="69B3452B"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866A11">
        <w:t>this instrument</w:t>
      </w:r>
      <w:r w:rsidRPr="005F477A">
        <w:t xml:space="preserve">. Information may be inserted in this column, or information in it may be edited, in any published version of </w:t>
      </w:r>
      <w:r w:rsidR="00866A11">
        <w:t>this instrument</w:t>
      </w:r>
      <w:r w:rsidRPr="005F477A">
        <w:t>.</w:t>
      </w:r>
    </w:p>
    <w:p w14:paraId="1D716A40" w14:textId="77777777" w:rsidR="00BF6650" w:rsidRDefault="00BF6650" w:rsidP="00BF6650">
      <w:pPr>
        <w:pStyle w:val="ActHead5"/>
      </w:pPr>
      <w:bookmarkStart w:id="2" w:name="_Toc201760100"/>
      <w:r w:rsidRPr="00B75A4B">
        <w:rPr>
          <w:rStyle w:val="CharSectno"/>
        </w:rPr>
        <w:t>3</w:t>
      </w:r>
      <w:r>
        <w:t xml:space="preserve">  Authority</w:t>
      </w:r>
      <w:bookmarkEnd w:id="2"/>
    </w:p>
    <w:p w14:paraId="2305D4BF" w14:textId="1470C2E6" w:rsidR="00BF6650" w:rsidRPr="007769D4" w:rsidRDefault="00BF6650" w:rsidP="00BF6650">
      <w:pPr>
        <w:pStyle w:val="subsection"/>
      </w:pPr>
      <w:r>
        <w:tab/>
      </w:r>
      <w:r>
        <w:tab/>
      </w:r>
      <w:r w:rsidR="00866A11">
        <w:t>This instrument is</w:t>
      </w:r>
      <w:r>
        <w:t xml:space="preserve"> made under the </w:t>
      </w:r>
      <w:r w:rsidR="00866A11" w:rsidRPr="00866A11">
        <w:rPr>
          <w:i/>
        </w:rPr>
        <w:t>Financial Framework (Supplementary Powers) Act 1997</w:t>
      </w:r>
      <w:r w:rsidR="00546FA3" w:rsidRPr="00036E24">
        <w:t>.</w:t>
      </w:r>
    </w:p>
    <w:p w14:paraId="31BF5F68" w14:textId="77777777" w:rsidR="00557C7A" w:rsidRDefault="00BF6650" w:rsidP="00557C7A">
      <w:pPr>
        <w:pStyle w:val="ActHead5"/>
      </w:pPr>
      <w:bookmarkStart w:id="3" w:name="_Toc201760101"/>
      <w:r w:rsidRPr="00B75A4B">
        <w:rPr>
          <w:rStyle w:val="CharSectno"/>
        </w:rPr>
        <w:t>4</w:t>
      </w:r>
      <w:r w:rsidR="00557C7A">
        <w:t xml:space="preserve">  </w:t>
      </w:r>
      <w:r w:rsidR="00083F48">
        <w:t>Schedules</w:t>
      </w:r>
      <w:bookmarkEnd w:id="3"/>
    </w:p>
    <w:p w14:paraId="15BBDF37"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866A11">
        <w:t>this instrument</w:t>
      </w:r>
      <w:r w:rsidR="00083F48">
        <w:t xml:space="preserve"> is amended or repealed as set out in the applicable items </w:t>
      </w:r>
      <w:r w:rsidR="00083F48" w:rsidRPr="00083F48">
        <w:t xml:space="preserve">in the Schedule concerned, and any other item in a Schedule to </w:t>
      </w:r>
      <w:r w:rsidR="00866A11">
        <w:t>this instrument</w:t>
      </w:r>
      <w:r w:rsidR="00083F48" w:rsidRPr="00083F48">
        <w:t xml:space="preserve"> has effect according to its terms.</w:t>
      </w:r>
    </w:p>
    <w:p w14:paraId="2F3D0C31" w14:textId="729B0CD2" w:rsidR="0048364F" w:rsidRDefault="00D416CA" w:rsidP="009C5989">
      <w:pPr>
        <w:pStyle w:val="ActHead6"/>
        <w:pageBreakBefore/>
      </w:pPr>
      <w:bookmarkStart w:id="4" w:name="_Toc201760102"/>
      <w:r w:rsidRPr="00B75A4B">
        <w:rPr>
          <w:rStyle w:val="CharAmSchNo"/>
        </w:rPr>
        <w:lastRenderedPageBreak/>
        <w:t>Schedule 1</w:t>
      </w:r>
      <w:r w:rsidR="0048364F">
        <w:t>—</w:t>
      </w:r>
      <w:r w:rsidR="00460499" w:rsidRPr="00B75A4B">
        <w:rPr>
          <w:rStyle w:val="CharAmSchText"/>
        </w:rPr>
        <w:t>Amendments</w:t>
      </w:r>
      <w:bookmarkEnd w:id="4"/>
    </w:p>
    <w:p w14:paraId="540976F0" w14:textId="77777777" w:rsidR="0004044E" w:rsidRPr="00B75A4B" w:rsidRDefault="0004044E" w:rsidP="0004044E">
      <w:pPr>
        <w:pStyle w:val="Header"/>
      </w:pPr>
      <w:r w:rsidRPr="00B75A4B">
        <w:rPr>
          <w:rStyle w:val="CharAmPartNo"/>
        </w:rPr>
        <w:t xml:space="preserve"> </w:t>
      </w:r>
      <w:r w:rsidRPr="00B75A4B">
        <w:rPr>
          <w:rStyle w:val="CharAmPartText"/>
        </w:rPr>
        <w:t xml:space="preserve"> </w:t>
      </w:r>
    </w:p>
    <w:p w14:paraId="440DE471" w14:textId="77777777" w:rsidR="00866A11" w:rsidRDefault="00866A11" w:rsidP="00866A11">
      <w:pPr>
        <w:pStyle w:val="ActHead9"/>
      </w:pPr>
      <w:bookmarkStart w:id="5" w:name="_Toc201760103"/>
      <w:r w:rsidRPr="005E4661">
        <w:t>Financial Framework (Supplementary Powers) Regulations 1997</w:t>
      </w:r>
      <w:bookmarkEnd w:id="5"/>
    </w:p>
    <w:p w14:paraId="173562E6" w14:textId="77777777" w:rsidR="0026777E" w:rsidRPr="0029012B" w:rsidRDefault="0026777E" w:rsidP="0026777E">
      <w:pPr>
        <w:pStyle w:val="ItemHead"/>
      </w:pPr>
      <w:r w:rsidRPr="0029012B">
        <w:t xml:space="preserve">1  In the appropriate position in Part 3 of </w:t>
      </w:r>
      <w:r>
        <w:t>Schedule 1</w:t>
      </w:r>
      <w:r w:rsidRPr="0029012B">
        <w:t>AB (table)</w:t>
      </w:r>
    </w:p>
    <w:p w14:paraId="761FBF8F" w14:textId="77777777" w:rsidR="0026777E" w:rsidRPr="0029012B" w:rsidRDefault="0026777E" w:rsidP="0026777E">
      <w:pPr>
        <w:pStyle w:val="Item"/>
      </w:pPr>
      <w:r w:rsidRPr="0029012B">
        <w:t>Insert:</w:t>
      </w:r>
    </w:p>
    <w:p w14:paraId="3B04BF05" w14:textId="77777777" w:rsidR="0026777E" w:rsidRPr="0029012B" w:rsidRDefault="0026777E" w:rsidP="0026777E">
      <w:pPr>
        <w:pStyle w:val="Tabletext"/>
      </w:pPr>
    </w:p>
    <w:tbl>
      <w:tblPr>
        <w:tblW w:w="5002" w:type="pct"/>
        <w:tblInd w:w="-4" w:type="dxa"/>
        <w:tblLook w:val="0000" w:firstRow="0" w:lastRow="0" w:firstColumn="0" w:lastColumn="0" w:noHBand="0" w:noVBand="0"/>
      </w:tblPr>
      <w:tblGrid>
        <w:gridCol w:w="861"/>
        <w:gridCol w:w="2548"/>
        <w:gridCol w:w="5123"/>
      </w:tblGrid>
      <w:tr w:rsidR="0026777E" w:rsidRPr="0029012B" w14:paraId="172A3778" w14:textId="77777777" w:rsidTr="00F7627F">
        <w:tc>
          <w:tcPr>
            <w:tcW w:w="505" w:type="pct"/>
            <w:tcBorders>
              <w:bottom w:val="single" w:sz="4" w:space="0" w:color="auto"/>
            </w:tcBorders>
            <w:shd w:val="clear" w:color="auto" w:fill="auto"/>
          </w:tcPr>
          <w:p w14:paraId="4020F636" w14:textId="76203096" w:rsidR="0026777E" w:rsidRPr="0029012B" w:rsidRDefault="003010B5" w:rsidP="00F7627F">
            <w:pPr>
              <w:pStyle w:val="Tabletext"/>
            </w:pPr>
            <w:r>
              <w:t>89</w:t>
            </w:r>
          </w:p>
        </w:tc>
        <w:tc>
          <w:tcPr>
            <w:tcW w:w="1493" w:type="pct"/>
            <w:tcBorders>
              <w:bottom w:val="single" w:sz="4" w:space="0" w:color="auto"/>
            </w:tcBorders>
            <w:shd w:val="clear" w:color="auto" w:fill="auto"/>
          </w:tcPr>
          <w:p w14:paraId="4B9255D3" w14:textId="77777777" w:rsidR="0026777E" w:rsidRPr="007C25CA" w:rsidRDefault="0026777E" w:rsidP="00F7627F">
            <w:pPr>
              <w:pStyle w:val="Tabletext"/>
            </w:pPr>
            <w:r w:rsidRPr="007C25CA">
              <w:t>Grant to the Australasian Professional Society on Alcohol &amp; Other Drugs</w:t>
            </w:r>
          </w:p>
        </w:tc>
        <w:tc>
          <w:tcPr>
            <w:tcW w:w="3002" w:type="pct"/>
            <w:tcBorders>
              <w:bottom w:val="single" w:sz="4" w:space="0" w:color="auto"/>
            </w:tcBorders>
            <w:shd w:val="clear" w:color="auto" w:fill="auto"/>
          </w:tcPr>
          <w:p w14:paraId="47F3622F" w14:textId="77777777" w:rsidR="0026777E" w:rsidRPr="007C25CA" w:rsidRDefault="0026777E" w:rsidP="00F7627F">
            <w:pPr>
              <w:pStyle w:val="Tabletext"/>
            </w:pPr>
            <w:r w:rsidRPr="007C25CA">
              <w:t>To provide funding to the Australasian Professional Society on Alcohol &amp; Other Drugs to support the development and availability of scientific research and related materials in the alcohol and other drug field through the publication and distribution of the Drug and Alcohol Review journal over the internet.</w:t>
            </w:r>
          </w:p>
          <w:p w14:paraId="5F0A7971" w14:textId="77777777" w:rsidR="0026777E" w:rsidRPr="007C25CA" w:rsidRDefault="0026777E" w:rsidP="00F7627F">
            <w:pPr>
              <w:pStyle w:val="Tabletext"/>
            </w:pPr>
            <w:r w:rsidRPr="007C25CA">
              <w:t>This purpose also has the effect it would have if it were limited to measures to give effect to Australia’s obligations under one or more of the following:</w:t>
            </w:r>
          </w:p>
          <w:p w14:paraId="2FE1D21F" w14:textId="77777777" w:rsidR="0026777E" w:rsidRPr="007C25CA" w:rsidRDefault="0026777E" w:rsidP="00F7627F">
            <w:pPr>
              <w:pStyle w:val="Tablea"/>
            </w:pPr>
            <w:r w:rsidRPr="007C25CA">
              <w:t>(a) the Convention on Psychotropic Substances, particularly Article 20;</w:t>
            </w:r>
          </w:p>
          <w:p w14:paraId="0546C296" w14:textId="77777777" w:rsidR="0026777E" w:rsidRPr="007C25CA" w:rsidRDefault="0026777E" w:rsidP="00F7627F">
            <w:pPr>
              <w:pStyle w:val="Tablea"/>
            </w:pPr>
            <w:r w:rsidRPr="007C25CA">
              <w:t>(b) the International Covenant on Economic, Social and Cultural Rights, particularly Articles 2 and 12;</w:t>
            </w:r>
          </w:p>
          <w:p w14:paraId="06A3A75F" w14:textId="682BB5AB" w:rsidR="0026777E" w:rsidRPr="007C25CA" w:rsidRDefault="0026777E" w:rsidP="00F7627F">
            <w:pPr>
              <w:pStyle w:val="Tablea"/>
            </w:pPr>
            <w:r w:rsidRPr="007C25CA">
              <w:t>(</w:t>
            </w:r>
            <w:r w:rsidR="003B32D3">
              <w:t>c</w:t>
            </w:r>
            <w:r w:rsidRPr="007C25CA">
              <w:t xml:space="preserve">) </w:t>
            </w:r>
            <w:r w:rsidR="004639E2">
              <w:t xml:space="preserve">the </w:t>
            </w:r>
            <w:r w:rsidRPr="007C25CA">
              <w:t>Single Convention on Narcotic Drugs, 1961, as amended by the 1972 Protocol, particularly Article 38;</w:t>
            </w:r>
          </w:p>
          <w:p w14:paraId="4F58A7CD" w14:textId="77777777" w:rsidR="0026777E" w:rsidRPr="007C25CA" w:rsidRDefault="0026777E" w:rsidP="00F7627F">
            <w:pPr>
              <w:pStyle w:val="Tablea"/>
            </w:pPr>
            <w:r w:rsidRPr="007C25CA">
              <w:t>(d) the United Nations Convention against Illicit Traffic in Narcotic Drugs and Psychotropic Substances, particularly Article 14.</w:t>
            </w:r>
          </w:p>
        </w:tc>
      </w:tr>
      <w:tr w:rsidR="00F16CFE" w:rsidRPr="0029012B" w14:paraId="3AFB4C48" w14:textId="77777777" w:rsidTr="00F7627F">
        <w:tc>
          <w:tcPr>
            <w:tcW w:w="505" w:type="pct"/>
            <w:tcBorders>
              <w:top w:val="single" w:sz="4" w:space="0" w:color="auto"/>
            </w:tcBorders>
            <w:shd w:val="clear" w:color="auto" w:fill="auto"/>
          </w:tcPr>
          <w:p w14:paraId="358B58A4" w14:textId="156FB83E" w:rsidR="00F16CFE" w:rsidRPr="0029012B" w:rsidRDefault="003010B5" w:rsidP="00F7627F">
            <w:pPr>
              <w:pStyle w:val="Tabletext"/>
            </w:pPr>
            <w:r>
              <w:t>90</w:t>
            </w:r>
          </w:p>
        </w:tc>
        <w:tc>
          <w:tcPr>
            <w:tcW w:w="1493" w:type="pct"/>
            <w:tcBorders>
              <w:top w:val="single" w:sz="4" w:space="0" w:color="auto"/>
            </w:tcBorders>
            <w:shd w:val="clear" w:color="auto" w:fill="auto"/>
          </w:tcPr>
          <w:p w14:paraId="3DD46CB0" w14:textId="76772CEF" w:rsidR="00F16CFE" w:rsidRPr="0029012B" w:rsidRDefault="00F16CFE" w:rsidP="00F7627F">
            <w:pPr>
              <w:pStyle w:val="Tabletext"/>
            </w:pPr>
            <w:r>
              <w:t>Grant to the Alcohol and Drug Foundation Incorporated</w:t>
            </w:r>
            <w:r w:rsidR="00915101">
              <w:t>—</w:t>
            </w:r>
            <w:r w:rsidR="00205D5B">
              <w:t>Alcohol and Drug Information Network</w:t>
            </w:r>
          </w:p>
        </w:tc>
        <w:tc>
          <w:tcPr>
            <w:tcW w:w="3002" w:type="pct"/>
            <w:tcBorders>
              <w:top w:val="single" w:sz="4" w:space="0" w:color="auto"/>
            </w:tcBorders>
            <w:shd w:val="clear" w:color="auto" w:fill="auto"/>
          </w:tcPr>
          <w:p w14:paraId="6C6DB931" w14:textId="06CA8C2A" w:rsidR="00F16CFE" w:rsidRDefault="00F16CFE" w:rsidP="00F16CFE">
            <w:pPr>
              <w:pStyle w:val="Tabletext"/>
            </w:pPr>
            <w:r>
              <w:t>To increase the availability of evidence</w:t>
            </w:r>
            <w:r w:rsidR="005A4C9A">
              <w:noBreakHyphen/>
            </w:r>
            <w:r>
              <w:t xml:space="preserve">based information regarding alcohol and other drugs </w:t>
            </w:r>
            <w:r w:rsidR="00205D5B">
              <w:t xml:space="preserve">through the Alcohol and Drug Information Network </w:t>
            </w:r>
            <w:r>
              <w:t>by providing funding to the Alcohol and Drug Foundation Incorporated to:</w:t>
            </w:r>
          </w:p>
          <w:p w14:paraId="486689B5" w14:textId="15358F53" w:rsidR="00F16CFE" w:rsidRPr="00F16CFE" w:rsidRDefault="00F16CFE" w:rsidP="00F16CFE">
            <w:pPr>
              <w:pStyle w:val="Tablea"/>
            </w:pPr>
            <w:r w:rsidRPr="00F16CFE">
              <w:t>(a) compile and provide access to print and online evidence</w:t>
            </w:r>
            <w:r w:rsidR="005A4C9A">
              <w:noBreakHyphen/>
            </w:r>
            <w:r w:rsidRPr="00F16CFE">
              <w:t>based information regarding alcohol and other drugs, including information about:</w:t>
            </w:r>
          </w:p>
          <w:p w14:paraId="20BDB6CD" w14:textId="77777777" w:rsidR="00F16CFE" w:rsidRPr="00F16CFE" w:rsidRDefault="00F16CFE" w:rsidP="00F16CFE">
            <w:pPr>
              <w:pStyle w:val="Tablei"/>
            </w:pPr>
            <w:r w:rsidRPr="00F16CFE">
              <w:t>(</w:t>
            </w:r>
            <w:proofErr w:type="spellStart"/>
            <w:r w:rsidRPr="00F16CFE">
              <w:t>i</w:t>
            </w:r>
            <w:proofErr w:type="spellEnd"/>
            <w:r w:rsidRPr="00F16CFE">
              <w:t>) the effects of substances; and</w:t>
            </w:r>
          </w:p>
          <w:p w14:paraId="291AAC58" w14:textId="77777777" w:rsidR="00F16CFE" w:rsidRPr="00F16CFE" w:rsidRDefault="00F16CFE" w:rsidP="00F16CFE">
            <w:pPr>
              <w:pStyle w:val="Tablei"/>
            </w:pPr>
            <w:r w:rsidRPr="00F16CFE">
              <w:t>(ii) harm reduction and prevention; and</w:t>
            </w:r>
          </w:p>
          <w:p w14:paraId="7F526596" w14:textId="77777777" w:rsidR="00F16CFE" w:rsidRPr="00F16CFE" w:rsidRDefault="00F16CFE" w:rsidP="00F16CFE">
            <w:pPr>
              <w:pStyle w:val="Tablea"/>
            </w:pPr>
            <w:r w:rsidRPr="00F16CFE">
              <w:t>(b) develop and provide access to online tools and resources regarding alcohol and other drugs; and</w:t>
            </w:r>
          </w:p>
          <w:p w14:paraId="6094926A" w14:textId="77777777" w:rsidR="00F16CFE" w:rsidRPr="00F16CFE" w:rsidRDefault="00F16CFE" w:rsidP="00F16CFE">
            <w:pPr>
              <w:pStyle w:val="Tablea"/>
            </w:pPr>
            <w:r w:rsidRPr="00F16CFE">
              <w:t>(c) collect and analyse data to ensure information provided by the Foundation is relevant and continues to meet community needs; and</w:t>
            </w:r>
          </w:p>
          <w:p w14:paraId="3EC1D974" w14:textId="77777777" w:rsidR="00F16CFE" w:rsidRPr="00F16CFE" w:rsidRDefault="00F16CFE" w:rsidP="00F16CFE">
            <w:pPr>
              <w:pStyle w:val="Tablea"/>
            </w:pPr>
            <w:r w:rsidRPr="00F16CFE">
              <w:t>(d) provide alcohol and other drug information that is culturally relevant to Indigenous people.</w:t>
            </w:r>
          </w:p>
          <w:p w14:paraId="2DC01507" w14:textId="77777777" w:rsidR="00F16CFE" w:rsidRDefault="00F16CFE" w:rsidP="00F16CFE">
            <w:pPr>
              <w:pStyle w:val="Tabletext"/>
            </w:pPr>
            <w:r>
              <w:t>This purpose has the effect it would have if it were limited to measures:</w:t>
            </w:r>
          </w:p>
          <w:p w14:paraId="3CF377DF" w14:textId="01BCCC8D" w:rsidR="00F16CFE" w:rsidRPr="00F16CFE" w:rsidRDefault="00F16CFE" w:rsidP="00F16CFE">
            <w:pPr>
              <w:pStyle w:val="Tablea"/>
            </w:pPr>
            <w:r w:rsidRPr="00F16CFE">
              <w:t xml:space="preserve">(a) with respect to postal, telegraphic, telephonic, and other like services (within the meaning of </w:t>
            </w:r>
            <w:r w:rsidR="003A6B97">
              <w:t>paragraph 5</w:t>
            </w:r>
            <w:r w:rsidRPr="00F16CFE">
              <w:t>1(v) of the Constitution); or</w:t>
            </w:r>
          </w:p>
          <w:p w14:paraId="634A870B" w14:textId="77777777" w:rsidR="00F16CFE" w:rsidRPr="00F16CFE" w:rsidRDefault="00F16CFE" w:rsidP="00F16CFE">
            <w:pPr>
              <w:pStyle w:val="Tablea"/>
            </w:pPr>
            <w:r w:rsidRPr="00F16CFE">
              <w:t>(b) with respect to Indigenous Australians and particular groups of Indigenous Australians; or</w:t>
            </w:r>
          </w:p>
          <w:p w14:paraId="3D2B9374" w14:textId="77777777" w:rsidR="00F16CFE" w:rsidRPr="00F16CFE" w:rsidRDefault="00F16CFE" w:rsidP="00F16CFE">
            <w:pPr>
              <w:pStyle w:val="Tablea"/>
            </w:pPr>
            <w:r w:rsidRPr="00F16CFE">
              <w:t>(c) to give effect to Australia’s obligations under one or more of the following:</w:t>
            </w:r>
          </w:p>
          <w:p w14:paraId="2ECCB099" w14:textId="77777777" w:rsidR="00AF4117" w:rsidRDefault="00F16CFE" w:rsidP="00AF4117">
            <w:pPr>
              <w:pStyle w:val="Tablei"/>
            </w:pPr>
            <w:r w:rsidRPr="00AF4117">
              <w:lastRenderedPageBreak/>
              <w:t>(</w:t>
            </w:r>
            <w:proofErr w:type="spellStart"/>
            <w:r w:rsidRPr="00AF4117">
              <w:t>i</w:t>
            </w:r>
            <w:proofErr w:type="spellEnd"/>
            <w:r w:rsidRPr="00AF4117">
              <w:t xml:space="preserve">) </w:t>
            </w:r>
            <w:r w:rsidR="00AF4117" w:rsidRPr="00AF4117">
              <w:t>the Convention on Psychotropic Substances, particularly Article 20;</w:t>
            </w:r>
          </w:p>
          <w:p w14:paraId="4BC4968B" w14:textId="495BD769" w:rsidR="00F16CFE" w:rsidRPr="00AF4117" w:rsidRDefault="00AF4117" w:rsidP="00AF4117">
            <w:pPr>
              <w:pStyle w:val="Tablei"/>
            </w:pPr>
            <w:r>
              <w:t xml:space="preserve">(ii) </w:t>
            </w:r>
            <w:r w:rsidR="00F16CFE" w:rsidRPr="00AF4117">
              <w:t>the International Covenant on Economic, Social and Cultural Rights, particularly Articles 2 and 12;</w:t>
            </w:r>
          </w:p>
          <w:p w14:paraId="4FD01E53" w14:textId="38D0A282" w:rsidR="00F16CFE" w:rsidRPr="00AF4117" w:rsidRDefault="00F16CFE" w:rsidP="00AF4117">
            <w:pPr>
              <w:pStyle w:val="Tablei"/>
            </w:pPr>
            <w:r w:rsidRPr="00AF4117">
              <w:t>(ii</w:t>
            </w:r>
            <w:r w:rsidR="00AF4117">
              <w:t>i</w:t>
            </w:r>
            <w:r w:rsidRPr="00AF4117">
              <w:t>) the Single Convention on Narcotic Drugs, 1961, as amended by the 1972 Protocol, particularly Article 38;</w:t>
            </w:r>
          </w:p>
          <w:p w14:paraId="195A5F00" w14:textId="31C9686E" w:rsidR="00F16CFE" w:rsidRPr="0029012B" w:rsidRDefault="00F16CFE" w:rsidP="00AF4117">
            <w:pPr>
              <w:pStyle w:val="Tablei"/>
            </w:pPr>
            <w:r w:rsidRPr="00AF4117">
              <w:t>(iv) the United Nation</w:t>
            </w:r>
            <w:r w:rsidR="00C040AA">
              <w:t>s</w:t>
            </w:r>
            <w:r w:rsidRPr="00AF4117">
              <w:t xml:space="preserve"> Convention against Illicit Traffic in Narcotic Drugs and Psychotropic Substances, particularly Article 14.</w:t>
            </w:r>
          </w:p>
        </w:tc>
      </w:tr>
      <w:tr w:rsidR="00F16CFE" w:rsidRPr="0029012B" w14:paraId="099B61B6" w14:textId="77777777" w:rsidTr="00F81CCC">
        <w:tc>
          <w:tcPr>
            <w:tcW w:w="505" w:type="pct"/>
            <w:tcBorders>
              <w:top w:val="single" w:sz="4" w:space="0" w:color="auto"/>
              <w:bottom w:val="single" w:sz="4" w:space="0" w:color="auto"/>
            </w:tcBorders>
            <w:shd w:val="clear" w:color="auto" w:fill="auto"/>
          </w:tcPr>
          <w:p w14:paraId="6D4F2B0C" w14:textId="1F47A099" w:rsidR="00F16CFE" w:rsidRPr="0029012B" w:rsidRDefault="00006550" w:rsidP="00F81CCC">
            <w:pPr>
              <w:pStyle w:val="Tabletext"/>
            </w:pPr>
            <w:r>
              <w:lastRenderedPageBreak/>
              <w:t>91</w:t>
            </w:r>
          </w:p>
        </w:tc>
        <w:tc>
          <w:tcPr>
            <w:tcW w:w="1493" w:type="pct"/>
            <w:tcBorders>
              <w:top w:val="single" w:sz="4" w:space="0" w:color="auto"/>
              <w:bottom w:val="single" w:sz="4" w:space="0" w:color="auto"/>
            </w:tcBorders>
            <w:shd w:val="clear" w:color="auto" w:fill="auto"/>
          </w:tcPr>
          <w:p w14:paraId="113362B9" w14:textId="77777777" w:rsidR="00F16CFE" w:rsidRPr="0029012B" w:rsidRDefault="00F16CFE" w:rsidP="00F81CCC">
            <w:pPr>
              <w:pStyle w:val="Tabletext"/>
            </w:pPr>
            <w:r w:rsidRPr="0029012B">
              <w:t>Grant to the University of Sydney</w:t>
            </w:r>
          </w:p>
        </w:tc>
        <w:tc>
          <w:tcPr>
            <w:tcW w:w="3002" w:type="pct"/>
            <w:tcBorders>
              <w:top w:val="single" w:sz="4" w:space="0" w:color="auto"/>
              <w:bottom w:val="single" w:sz="4" w:space="0" w:color="auto"/>
            </w:tcBorders>
            <w:shd w:val="clear" w:color="auto" w:fill="auto"/>
          </w:tcPr>
          <w:p w14:paraId="7B5F1451" w14:textId="77777777" w:rsidR="00F16CFE" w:rsidRPr="0029012B" w:rsidRDefault="00F16CFE" w:rsidP="00F81CCC">
            <w:pPr>
              <w:pStyle w:val="Tabletext"/>
            </w:pPr>
            <w:r w:rsidRPr="0029012B">
              <w:t xml:space="preserve">To provide funding to the University of Sydney to improve the diagnosis, treatment and prevention of </w:t>
            </w:r>
            <w:proofErr w:type="spellStart"/>
            <w:r w:rsidRPr="0029012B">
              <w:t>Fetal</w:t>
            </w:r>
            <w:proofErr w:type="spellEnd"/>
            <w:r w:rsidRPr="0029012B">
              <w:t xml:space="preserve"> Alcohol Spectrum Disorder (</w:t>
            </w:r>
            <w:r w:rsidRPr="00AF4117">
              <w:rPr>
                <w:b/>
                <w:bCs/>
                <w:i/>
                <w:iCs/>
              </w:rPr>
              <w:t>FASD</w:t>
            </w:r>
            <w:r w:rsidRPr="0029012B">
              <w:t>) in Australian children by maintaining the F</w:t>
            </w:r>
            <w:r>
              <w:t>ASD</w:t>
            </w:r>
            <w:r w:rsidRPr="0029012B">
              <w:t xml:space="preserve"> Australian Registry, a central database for collecting national FASD data to monitor FASD trends and outcomes throughout the Australian population.</w:t>
            </w:r>
          </w:p>
        </w:tc>
      </w:tr>
      <w:tr w:rsidR="00F16CFE" w:rsidRPr="0029012B" w14:paraId="7A108B02" w14:textId="77777777" w:rsidTr="00F7627F">
        <w:tc>
          <w:tcPr>
            <w:tcW w:w="505" w:type="pct"/>
            <w:tcBorders>
              <w:top w:val="single" w:sz="4" w:space="0" w:color="auto"/>
            </w:tcBorders>
            <w:shd w:val="clear" w:color="auto" w:fill="auto"/>
          </w:tcPr>
          <w:p w14:paraId="3A8ADB93" w14:textId="61DA7E3A" w:rsidR="00F16CFE" w:rsidRPr="0029012B" w:rsidRDefault="00006550" w:rsidP="00F7627F">
            <w:pPr>
              <w:pStyle w:val="Tabletext"/>
            </w:pPr>
            <w:r>
              <w:t>92</w:t>
            </w:r>
          </w:p>
        </w:tc>
        <w:tc>
          <w:tcPr>
            <w:tcW w:w="1493" w:type="pct"/>
            <w:tcBorders>
              <w:top w:val="single" w:sz="4" w:space="0" w:color="auto"/>
            </w:tcBorders>
            <w:shd w:val="clear" w:color="auto" w:fill="auto"/>
          </w:tcPr>
          <w:p w14:paraId="7C1665C0" w14:textId="7158EE88" w:rsidR="00F16CFE" w:rsidRPr="0029012B" w:rsidRDefault="00F16CFE" w:rsidP="00F7627F">
            <w:pPr>
              <w:pStyle w:val="Tabletext"/>
            </w:pPr>
            <w:r>
              <w:t>Grant to the University of Newcastle</w:t>
            </w:r>
          </w:p>
        </w:tc>
        <w:tc>
          <w:tcPr>
            <w:tcW w:w="3002" w:type="pct"/>
            <w:tcBorders>
              <w:top w:val="single" w:sz="4" w:space="0" w:color="auto"/>
            </w:tcBorders>
            <w:shd w:val="clear" w:color="auto" w:fill="auto"/>
          </w:tcPr>
          <w:p w14:paraId="024A5E4E" w14:textId="6F127C96" w:rsidR="00F16CFE" w:rsidRPr="0029012B" w:rsidRDefault="00F16CFE" w:rsidP="00F7627F">
            <w:pPr>
              <w:pStyle w:val="Tabletext"/>
            </w:pPr>
            <w:r>
              <w:t>To</w:t>
            </w:r>
            <w:r w:rsidR="00C040AA">
              <w:t xml:space="preserve"> provide</w:t>
            </w:r>
            <w:r>
              <w:t xml:space="preserve"> fund</w:t>
            </w:r>
            <w:r w:rsidR="00C040AA">
              <w:t>ing to</w:t>
            </w:r>
            <w:r>
              <w:t xml:space="preserve"> the University of Newcastle to deliver the SMS4dads project, as a measure with respect to postal, telegraphic, telephonic, and other like services (within the meaning of </w:t>
            </w:r>
            <w:r w:rsidR="003A6B97">
              <w:t>paragraph 5</w:t>
            </w:r>
            <w:r>
              <w:t>1(v) of the Constitution).</w:t>
            </w:r>
          </w:p>
        </w:tc>
      </w:tr>
    </w:tbl>
    <w:p w14:paraId="41B5155D" w14:textId="451E2D30" w:rsidR="0026777E" w:rsidRDefault="0026777E" w:rsidP="0026777E">
      <w:pPr>
        <w:pStyle w:val="ItemHead"/>
      </w:pPr>
      <w:r>
        <w:t>2  Part 4</w:t>
      </w:r>
      <w:r w:rsidRPr="00271436">
        <w:t xml:space="preserve"> of </w:t>
      </w:r>
      <w:r>
        <w:t>Schedule 1</w:t>
      </w:r>
      <w:r w:rsidRPr="00271436">
        <w:t xml:space="preserve">AB (table </w:t>
      </w:r>
      <w:r>
        <w:t>item 2</w:t>
      </w:r>
      <w:r w:rsidRPr="00271436">
        <w:t>07</w:t>
      </w:r>
      <w:r>
        <w:t>)</w:t>
      </w:r>
    </w:p>
    <w:p w14:paraId="5B017902" w14:textId="77777777" w:rsidR="0026777E" w:rsidRDefault="0026777E" w:rsidP="0026777E">
      <w:pPr>
        <w:pStyle w:val="Item"/>
      </w:pPr>
      <w:r>
        <w:t>Repeal the item, substitute:</w:t>
      </w:r>
    </w:p>
    <w:p w14:paraId="628C34F7" w14:textId="77777777" w:rsidR="0026777E" w:rsidRDefault="0026777E" w:rsidP="0026777E">
      <w:pPr>
        <w:pStyle w:val="Tabletext"/>
      </w:pPr>
    </w:p>
    <w:tbl>
      <w:tblPr>
        <w:tblW w:w="4997" w:type="pct"/>
        <w:tblLayout w:type="fixed"/>
        <w:tblLook w:val="0000" w:firstRow="0" w:lastRow="0" w:firstColumn="0" w:lastColumn="0" w:noHBand="0" w:noVBand="0"/>
      </w:tblPr>
      <w:tblGrid>
        <w:gridCol w:w="878"/>
        <w:gridCol w:w="2521"/>
        <w:gridCol w:w="5125"/>
      </w:tblGrid>
      <w:tr w:rsidR="0026777E" w:rsidRPr="00744520" w14:paraId="4F934110" w14:textId="77777777" w:rsidTr="00F7627F">
        <w:tc>
          <w:tcPr>
            <w:tcW w:w="515" w:type="pct"/>
            <w:shd w:val="clear" w:color="auto" w:fill="auto"/>
          </w:tcPr>
          <w:p w14:paraId="37D8CF82" w14:textId="77777777" w:rsidR="0026777E" w:rsidRPr="00744520" w:rsidRDefault="0026777E" w:rsidP="00F7627F">
            <w:pPr>
              <w:pStyle w:val="Tabletext"/>
            </w:pPr>
            <w:r w:rsidRPr="00744520">
              <w:t>207</w:t>
            </w:r>
          </w:p>
        </w:tc>
        <w:tc>
          <w:tcPr>
            <w:tcW w:w="1479" w:type="pct"/>
            <w:shd w:val="clear" w:color="auto" w:fill="auto"/>
          </w:tcPr>
          <w:p w14:paraId="139D77A9" w14:textId="77777777" w:rsidR="0026777E" w:rsidRPr="00744520" w:rsidRDefault="0026777E" w:rsidP="00F7627F">
            <w:pPr>
              <w:pStyle w:val="Tabletext"/>
            </w:pPr>
            <w:r w:rsidRPr="00744520">
              <w:t>Digital technologies for mental health</w:t>
            </w:r>
          </w:p>
        </w:tc>
        <w:tc>
          <w:tcPr>
            <w:tcW w:w="3006" w:type="pct"/>
            <w:shd w:val="clear" w:color="auto" w:fill="auto"/>
          </w:tcPr>
          <w:p w14:paraId="1B04422C" w14:textId="77777777" w:rsidR="0026777E" w:rsidRPr="00744520" w:rsidRDefault="0026777E" w:rsidP="00F7627F">
            <w:pPr>
              <w:pStyle w:val="Tabletext"/>
            </w:pPr>
            <w:r w:rsidRPr="00744520">
              <w:t>To fund:</w:t>
            </w:r>
          </w:p>
          <w:p w14:paraId="0D6B592B" w14:textId="77777777" w:rsidR="0026777E" w:rsidRPr="00744520" w:rsidRDefault="0026777E" w:rsidP="00F7627F">
            <w:pPr>
              <w:pStyle w:val="Tablea"/>
            </w:pPr>
            <w:r w:rsidRPr="00744520">
              <w:t>(a) the development of resources and support tools relating to mental health for delivery online; and</w:t>
            </w:r>
          </w:p>
          <w:p w14:paraId="6A488F86" w14:textId="77777777" w:rsidR="0026777E" w:rsidRPr="00744520" w:rsidRDefault="0026777E" w:rsidP="00F7627F">
            <w:pPr>
              <w:pStyle w:val="Tablea"/>
            </w:pPr>
            <w:r w:rsidRPr="00744520">
              <w:t>(b) the development of smart applications and websites for the delivery online of resources and support tools relating to mental health services; and</w:t>
            </w:r>
          </w:p>
          <w:p w14:paraId="7CB6FDC3" w14:textId="77777777" w:rsidR="0026777E" w:rsidRPr="00744520" w:rsidRDefault="0026777E" w:rsidP="00F7627F">
            <w:pPr>
              <w:pStyle w:val="Tablea"/>
            </w:pPr>
            <w:r w:rsidRPr="00744520">
              <w:t>(c) the delivery</w:t>
            </w:r>
            <w:r>
              <w:t>,</w:t>
            </w:r>
            <w:r w:rsidRPr="00744520">
              <w:t xml:space="preserve"> online </w:t>
            </w:r>
            <w:r>
              <w:t xml:space="preserve">or by telephone, </w:t>
            </w:r>
            <w:r w:rsidRPr="00744520">
              <w:t>of mental health services including by means of smart applications, websites and third party messenger services; and</w:t>
            </w:r>
          </w:p>
          <w:p w14:paraId="13322C3C" w14:textId="77777777" w:rsidR="0026777E" w:rsidRDefault="0026777E" w:rsidP="00F7627F">
            <w:pPr>
              <w:pStyle w:val="Tablea"/>
            </w:pPr>
            <w:r w:rsidRPr="00744520">
              <w:t>(d) the development and trial of information technology solutions to better deliver online mental health services; and</w:t>
            </w:r>
          </w:p>
          <w:p w14:paraId="06D7C029" w14:textId="13B0F24A" w:rsidR="0026777E" w:rsidRPr="00744520" w:rsidRDefault="0026777E" w:rsidP="00F7627F">
            <w:pPr>
              <w:pStyle w:val="Tablea"/>
            </w:pPr>
            <w:r>
              <w:t xml:space="preserve">(e) </w:t>
            </w:r>
            <w:r w:rsidRPr="00705EB7">
              <w:t>the delivery, online or by telephone, of counselling services and peer</w:t>
            </w:r>
            <w:r w:rsidR="005A4C9A">
              <w:noBreakHyphen/>
            </w:r>
            <w:r w:rsidRPr="00705EB7">
              <w:t>support services to individuals who are experiencing distress o</w:t>
            </w:r>
            <w:r>
              <w:t>r</w:t>
            </w:r>
            <w:r w:rsidRPr="00705EB7">
              <w:t xml:space="preserve"> grief, or who are at increased risk of suicide; and</w:t>
            </w:r>
          </w:p>
          <w:p w14:paraId="1DF38784" w14:textId="72B7A637" w:rsidR="0026777E" w:rsidRDefault="0026777E" w:rsidP="00F7627F">
            <w:pPr>
              <w:pStyle w:val="Tablea"/>
            </w:pPr>
            <w:r w:rsidRPr="00744520">
              <w:t>(</w:t>
            </w:r>
            <w:r>
              <w:t>f</w:t>
            </w:r>
            <w:r w:rsidRPr="00744520">
              <w:t xml:space="preserve">) </w:t>
            </w:r>
            <w:bookmarkStart w:id="6" w:name="_Hlk203471432"/>
            <w:r w:rsidRPr="00744520">
              <w:t>the evaluation of the efficacy of</w:t>
            </w:r>
            <w:r>
              <w:t xml:space="preserve"> </w:t>
            </w:r>
            <w:r w:rsidRPr="00705EB7">
              <w:t>any of the resources, tools</w:t>
            </w:r>
            <w:r w:rsidR="00EC3B69">
              <w:t>, applications, websites</w:t>
            </w:r>
            <w:r w:rsidRPr="00705EB7">
              <w:t xml:space="preserve"> or services referred to in </w:t>
            </w:r>
            <w:r>
              <w:t>paragraphs (</w:t>
            </w:r>
            <w:r w:rsidRPr="00705EB7">
              <w:t>a) to (</w:t>
            </w:r>
            <w:r>
              <w:t>e</w:t>
            </w:r>
            <w:r w:rsidRPr="00705EB7">
              <w:t>)</w:t>
            </w:r>
            <w:r w:rsidR="00EC3B69">
              <w:t>;</w:t>
            </w:r>
            <w:bookmarkEnd w:id="6"/>
          </w:p>
          <w:p w14:paraId="22A28349" w14:textId="1B05231A" w:rsidR="0026777E" w:rsidRPr="0020086F" w:rsidRDefault="0026777E" w:rsidP="00F7627F">
            <w:pPr>
              <w:pStyle w:val="Tabletext"/>
            </w:pPr>
            <w:bookmarkStart w:id="7" w:name="_Hlk203471648"/>
            <w:r w:rsidRPr="00705EB7">
              <w:t>as a measure with respect to postal, telegraphic</w:t>
            </w:r>
            <w:r w:rsidR="00EC3B69">
              <w:t>,</w:t>
            </w:r>
            <w:r w:rsidRPr="00705EB7">
              <w:t xml:space="preserve"> telephonic, and other like services (within the meaning of </w:t>
            </w:r>
            <w:r w:rsidR="003A6B97">
              <w:t>paragraph 5</w:t>
            </w:r>
            <w:r w:rsidRPr="00705EB7">
              <w:t>1(v) of the Constitution).</w:t>
            </w:r>
            <w:bookmarkEnd w:id="7"/>
          </w:p>
        </w:tc>
      </w:tr>
    </w:tbl>
    <w:p w14:paraId="348836C5" w14:textId="1FAB6734" w:rsidR="0026777E" w:rsidRPr="0029012B" w:rsidRDefault="0026777E" w:rsidP="0026777E">
      <w:pPr>
        <w:pStyle w:val="ItemHead"/>
      </w:pPr>
      <w:r>
        <w:t>3</w:t>
      </w:r>
      <w:r w:rsidRPr="0029012B">
        <w:t xml:space="preserve">  In the appropriate position in </w:t>
      </w:r>
      <w:r>
        <w:t>Part 4</w:t>
      </w:r>
      <w:r w:rsidRPr="0029012B">
        <w:t xml:space="preserve"> of </w:t>
      </w:r>
      <w:r>
        <w:t>Schedule 1</w:t>
      </w:r>
      <w:r w:rsidRPr="0029012B">
        <w:t>AB (table)</w:t>
      </w:r>
    </w:p>
    <w:p w14:paraId="68AA0280" w14:textId="77777777" w:rsidR="0026777E" w:rsidRPr="0029012B" w:rsidRDefault="0026777E" w:rsidP="0026777E">
      <w:pPr>
        <w:pStyle w:val="Item"/>
        <w:rPr>
          <w:rFonts w:eastAsiaTheme="minorHAnsi"/>
        </w:rPr>
      </w:pPr>
      <w:r w:rsidRPr="0029012B">
        <w:rPr>
          <w:rFonts w:eastAsiaTheme="minorHAnsi"/>
        </w:rPr>
        <w:t>Insert:</w:t>
      </w:r>
    </w:p>
    <w:p w14:paraId="5D2EC7A8" w14:textId="77777777" w:rsidR="0026777E" w:rsidRPr="0029012B" w:rsidRDefault="0026777E" w:rsidP="0026777E">
      <w:pPr>
        <w:pStyle w:val="Tabletext"/>
      </w:pPr>
    </w:p>
    <w:tbl>
      <w:tblPr>
        <w:tblW w:w="4997" w:type="pct"/>
        <w:tblLayout w:type="fixed"/>
        <w:tblLook w:val="0000" w:firstRow="0" w:lastRow="0" w:firstColumn="0" w:lastColumn="0" w:noHBand="0" w:noVBand="0"/>
      </w:tblPr>
      <w:tblGrid>
        <w:gridCol w:w="878"/>
        <w:gridCol w:w="2521"/>
        <w:gridCol w:w="5125"/>
      </w:tblGrid>
      <w:tr w:rsidR="0026777E" w:rsidRPr="0029012B" w14:paraId="78ADB3EC" w14:textId="77777777" w:rsidTr="00F7627F">
        <w:tc>
          <w:tcPr>
            <w:tcW w:w="515" w:type="pct"/>
            <w:tcBorders>
              <w:bottom w:val="single" w:sz="4" w:space="0" w:color="auto"/>
            </w:tcBorders>
            <w:shd w:val="clear" w:color="auto" w:fill="auto"/>
          </w:tcPr>
          <w:p w14:paraId="66AE6C18" w14:textId="1F6D955E" w:rsidR="0026777E" w:rsidRPr="0029012B" w:rsidRDefault="00006550" w:rsidP="00F7627F">
            <w:pPr>
              <w:pStyle w:val="Tabletext"/>
            </w:pPr>
            <w:r>
              <w:t>726</w:t>
            </w:r>
          </w:p>
        </w:tc>
        <w:tc>
          <w:tcPr>
            <w:tcW w:w="1479" w:type="pct"/>
            <w:tcBorders>
              <w:bottom w:val="single" w:sz="4" w:space="0" w:color="auto"/>
            </w:tcBorders>
            <w:shd w:val="clear" w:color="auto" w:fill="auto"/>
          </w:tcPr>
          <w:p w14:paraId="4C75BC6B" w14:textId="77777777" w:rsidR="0026777E" w:rsidRPr="0029012B" w:rsidRDefault="0026777E" w:rsidP="00F7627F">
            <w:pPr>
              <w:pStyle w:val="Tabletext"/>
            </w:pPr>
            <w:r w:rsidRPr="0029012B">
              <w:t xml:space="preserve">Administration of the National Joint Replacement </w:t>
            </w:r>
            <w:r w:rsidRPr="0029012B">
              <w:lastRenderedPageBreak/>
              <w:t>Registry</w:t>
            </w:r>
          </w:p>
        </w:tc>
        <w:tc>
          <w:tcPr>
            <w:tcW w:w="3006" w:type="pct"/>
            <w:tcBorders>
              <w:bottom w:val="single" w:sz="4" w:space="0" w:color="auto"/>
            </w:tcBorders>
            <w:shd w:val="clear" w:color="auto" w:fill="auto"/>
          </w:tcPr>
          <w:p w14:paraId="5BCA3DB2" w14:textId="77777777" w:rsidR="0026777E" w:rsidRPr="0029012B" w:rsidRDefault="0026777E" w:rsidP="00F7627F">
            <w:pPr>
              <w:pStyle w:val="Tabletext"/>
            </w:pPr>
            <w:r w:rsidRPr="0029012B">
              <w:lastRenderedPageBreak/>
              <w:t>To support administ</w:t>
            </w:r>
            <w:r>
              <w:t>ration of</w:t>
            </w:r>
            <w:r w:rsidRPr="0029012B">
              <w:t xml:space="preserve"> the data management component of the National Joint Replacement Registry.</w:t>
            </w:r>
          </w:p>
        </w:tc>
      </w:tr>
      <w:tr w:rsidR="0026777E" w:rsidRPr="0029012B" w14:paraId="6095E71D" w14:textId="77777777" w:rsidTr="00F7627F">
        <w:tc>
          <w:tcPr>
            <w:tcW w:w="515" w:type="pct"/>
            <w:tcBorders>
              <w:top w:val="single" w:sz="4" w:space="0" w:color="auto"/>
              <w:bottom w:val="single" w:sz="4" w:space="0" w:color="auto"/>
            </w:tcBorders>
            <w:shd w:val="clear" w:color="auto" w:fill="auto"/>
          </w:tcPr>
          <w:p w14:paraId="3ADC51E8" w14:textId="17D7095C" w:rsidR="0026777E" w:rsidRPr="0029012B" w:rsidRDefault="00492FDE" w:rsidP="00F7627F">
            <w:pPr>
              <w:pStyle w:val="Tabletext"/>
            </w:pPr>
            <w:r>
              <w:t>727</w:t>
            </w:r>
          </w:p>
        </w:tc>
        <w:tc>
          <w:tcPr>
            <w:tcW w:w="1479" w:type="pct"/>
            <w:tcBorders>
              <w:top w:val="single" w:sz="4" w:space="0" w:color="auto"/>
              <w:bottom w:val="single" w:sz="4" w:space="0" w:color="auto"/>
            </w:tcBorders>
            <w:shd w:val="clear" w:color="auto" w:fill="auto"/>
          </w:tcPr>
          <w:p w14:paraId="313EFDC9" w14:textId="2252D396" w:rsidR="0026777E" w:rsidRPr="0029012B" w:rsidRDefault="0026777E" w:rsidP="00F7627F">
            <w:pPr>
              <w:pStyle w:val="Tabletext"/>
            </w:pPr>
            <w:r w:rsidRPr="0029012B">
              <w:t>Long</w:t>
            </w:r>
            <w:r w:rsidR="005A4C9A">
              <w:noBreakHyphen/>
            </w:r>
            <w:r w:rsidRPr="0029012B">
              <w:t>Acting Reversible Contraception Centres of Excellence Program</w:t>
            </w:r>
          </w:p>
        </w:tc>
        <w:tc>
          <w:tcPr>
            <w:tcW w:w="3006" w:type="pct"/>
            <w:tcBorders>
              <w:top w:val="single" w:sz="4" w:space="0" w:color="auto"/>
              <w:bottom w:val="single" w:sz="4" w:space="0" w:color="auto"/>
            </w:tcBorders>
            <w:shd w:val="clear" w:color="auto" w:fill="auto"/>
          </w:tcPr>
          <w:p w14:paraId="589ACCF4" w14:textId="37EB8372" w:rsidR="0026777E" w:rsidRPr="0029012B" w:rsidRDefault="0026777E" w:rsidP="00F7627F">
            <w:pPr>
              <w:pStyle w:val="Tabletext"/>
            </w:pPr>
            <w:r w:rsidRPr="0029012B">
              <w:t>To improve access to long</w:t>
            </w:r>
            <w:r w:rsidR="005A4C9A">
              <w:noBreakHyphen/>
            </w:r>
            <w:r w:rsidRPr="0029012B">
              <w:t>acting reversible contraception by establishing centres of excellence to provide health services and training for health professionals in relation to such contraception, as a measure to give effect to Australia’s obligations under the International Covenant on Economic, Social and Cultural Rights, particularly Articles 2 and 12.</w:t>
            </w:r>
          </w:p>
          <w:p w14:paraId="45B58AAD" w14:textId="08766A80" w:rsidR="0026777E" w:rsidRPr="0029012B" w:rsidRDefault="0026777E" w:rsidP="00F7627F">
            <w:pPr>
              <w:pStyle w:val="Tabletext"/>
            </w:pPr>
            <w:r w:rsidRPr="0029012B">
              <w:t xml:space="preserve">This objective also has the effect it would have if it were limited to measures for the provision of, or incidental to the provision of, medical services (within the meaning of </w:t>
            </w:r>
            <w:r w:rsidR="003A6B97">
              <w:t>paragraph 5</w:t>
            </w:r>
            <w:r w:rsidRPr="0029012B">
              <w:t>1(</w:t>
            </w:r>
            <w:proofErr w:type="spellStart"/>
            <w:r w:rsidRPr="0029012B">
              <w:t>xxiiiA</w:t>
            </w:r>
            <w:proofErr w:type="spellEnd"/>
            <w:r w:rsidRPr="0029012B">
              <w:t>) of the Constitution).</w:t>
            </w:r>
          </w:p>
        </w:tc>
      </w:tr>
      <w:tr w:rsidR="00F16CFE" w:rsidRPr="0029012B" w14:paraId="101CE3C5" w14:textId="77777777" w:rsidTr="00F7627F">
        <w:tc>
          <w:tcPr>
            <w:tcW w:w="515" w:type="pct"/>
            <w:tcBorders>
              <w:top w:val="single" w:sz="4" w:space="0" w:color="auto"/>
              <w:bottom w:val="single" w:sz="4" w:space="0" w:color="auto"/>
            </w:tcBorders>
            <w:shd w:val="clear" w:color="auto" w:fill="auto"/>
          </w:tcPr>
          <w:p w14:paraId="60804CCB" w14:textId="111D449F" w:rsidR="00F16CFE" w:rsidRPr="0029012B" w:rsidRDefault="00492FDE" w:rsidP="00F16CFE">
            <w:pPr>
              <w:pStyle w:val="Tabletext"/>
            </w:pPr>
            <w:r>
              <w:t>728</w:t>
            </w:r>
          </w:p>
        </w:tc>
        <w:tc>
          <w:tcPr>
            <w:tcW w:w="1479" w:type="pct"/>
            <w:tcBorders>
              <w:top w:val="single" w:sz="4" w:space="0" w:color="auto"/>
              <w:bottom w:val="single" w:sz="4" w:space="0" w:color="auto"/>
            </w:tcBorders>
            <w:shd w:val="clear" w:color="auto" w:fill="auto"/>
          </w:tcPr>
          <w:p w14:paraId="350EF4B1" w14:textId="7D498660" w:rsidR="00F16CFE" w:rsidRPr="0029012B" w:rsidRDefault="00F16CFE" w:rsidP="00F16CFE">
            <w:pPr>
              <w:pStyle w:val="Tabletext"/>
            </w:pPr>
            <w:r>
              <w:t>Endometriosis and Pelvic Pain Clinic Program</w:t>
            </w:r>
          </w:p>
        </w:tc>
        <w:tc>
          <w:tcPr>
            <w:tcW w:w="3006" w:type="pct"/>
            <w:tcBorders>
              <w:top w:val="single" w:sz="4" w:space="0" w:color="auto"/>
              <w:bottom w:val="single" w:sz="4" w:space="0" w:color="auto"/>
            </w:tcBorders>
            <w:shd w:val="clear" w:color="auto" w:fill="auto"/>
          </w:tcPr>
          <w:p w14:paraId="4368563F" w14:textId="515BAB98" w:rsidR="00F16CFE" w:rsidRPr="00F16CFE" w:rsidRDefault="00F16CFE" w:rsidP="00E50780">
            <w:pPr>
              <w:pStyle w:val="Tabletext"/>
            </w:pPr>
            <w:r w:rsidRPr="00F16CFE">
              <w:t>To improve health outcomes for individuals experiencing endometriosis, pelvic pain, perimenopause or menopause by</w:t>
            </w:r>
            <w:r w:rsidR="003D6E26">
              <w:t xml:space="preserve"> funding existing health clinics, expanding the range of services provided at </w:t>
            </w:r>
            <w:r w:rsidR="00E50780">
              <w:t>existing health clinics and providing and commissioning additional health clinics to support such individuals.</w:t>
            </w:r>
          </w:p>
          <w:p w14:paraId="14C199AA" w14:textId="77777777" w:rsidR="00F16CFE" w:rsidRPr="00F16CFE" w:rsidRDefault="00F16CFE" w:rsidP="00F16CFE">
            <w:pPr>
              <w:pStyle w:val="Tabletext"/>
            </w:pPr>
            <w:r w:rsidRPr="00F16CFE">
              <w:t>This objective has the effect it would have if it were limited to measures:</w:t>
            </w:r>
          </w:p>
          <w:p w14:paraId="6230BC03" w14:textId="583A418F" w:rsidR="00F16CFE" w:rsidRPr="00F16CFE" w:rsidRDefault="00F16CFE" w:rsidP="00F16CFE">
            <w:pPr>
              <w:pStyle w:val="Tablea"/>
            </w:pPr>
            <w:r w:rsidRPr="00F16CFE">
              <w:t xml:space="preserve">(a) for the provision of, or incidental to the provision of, medical services (within the meaning of </w:t>
            </w:r>
            <w:r w:rsidR="003A6B97">
              <w:t>paragraph 5</w:t>
            </w:r>
            <w:r w:rsidRPr="00F16CFE">
              <w:t>1(</w:t>
            </w:r>
            <w:proofErr w:type="spellStart"/>
            <w:r w:rsidRPr="00F16CFE">
              <w:t>xxiiiA</w:t>
            </w:r>
            <w:proofErr w:type="spellEnd"/>
            <w:r w:rsidRPr="00F16CFE">
              <w:t>) of the Constitution); or</w:t>
            </w:r>
          </w:p>
          <w:p w14:paraId="19CE0830" w14:textId="02A9B435" w:rsidR="00F16CFE" w:rsidRPr="0029012B" w:rsidRDefault="00F16CFE" w:rsidP="00F16CFE">
            <w:pPr>
              <w:pStyle w:val="Tablea"/>
            </w:pPr>
            <w:r w:rsidRPr="00F16CFE">
              <w:t>(b) to give effect to Australia’s obligations under the International Covenant on Economic, Social and Cultural Rights, particularly Articles 2 and 12.</w:t>
            </w:r>
          </w:p>
        </w:tc>
      </w:tr>
      <w:tr w:rsidR="00F16CFE" w:rsidRPr="0029012B" w14:paraId="32574869" w14:textId="77777777" w:rsidTr="00F7627F">
        <w:trPr>
          <w:trHeight w:val="407"/>
        </w:trPr>
        <w:tc>
          <w:tcPr>
            <w:tcW w:w="515" w:type="pct"/>
            <w:tcBorders>
              <w:top w:val="single" w:sz="4" w:space="0" w:color="auto"/>
              <w:bottom w:val="single" w:sz="4" w:space="0" w:color="auto"/>
            </w:tcBorders>
            <w:shd w:val="clear" w:color="auto" w:fill="auto"/>
          </w:tcPr>
          <w:p w14:paraId="3D88457C" w14:textId="1353274B" w:rsidR="00F16CFE" w:rsidRPr="00F16CFE" w:rsidRDefault="00492FDE" w:rsidP="00F16CFE">
            <w:pPr>
              <w:pStyle w:val="Tabletext"/>
            </w:pPr>
            <w:r>
              <w:t>729</w:t>
            </w:r>
          </w:p>
        </w:tc>
        <w:tc>
          <w:tcPr>
            <w:tcW w:w="1479" w:type="pct"/>
            <w:tcBorders>
              <w:top w:val="single" w:sz="4" w:space="0" w:color="auto"/>
              <w:bottom w:val="single" w:sz="4" w:space="0" w:color="auto"/>
            </w:tcBorders>
            <w:shd w:val="clear" w:color="auto" w:fill="auto"/>
          </w:tcPr>
          <w:p w14:paraId="2FDE8CB3" w14:textId="10723468" w:rsidR="00F16CFE" w:rsidRPr="00F16CFE" w:rsidRDefault="00F16CFE" w:rsidP="00F16CFE">
            <w:pPr>
              <w:pStyle w:val="Tabletext"/>
            </w:pPr>
            <w:proofErr w:type="spellStart"/>
            <w:r w:rsidRPr="00F16CFE">
              <w:t>Fetal</w:t>
            </w:r>
            <w:proofErr w:type="spellEnd"/>
            <w:r w:rsidRPr="00F16CFE">
              <w:t xml:space="preserve"> Alcohol Spectrum Disorder Diagnostic Program</w:t>
            </w:r>
          </w:p>
        </w:tc>
        <w:tc>
          <w:tcPr>
            <w:tcW w:w="3006" w:type="pct"/>
            <w:tcBorders>
              <w:top w:val="single" w:sz="4" w:space="0" w:color="auto"/>
              <w:bottom w:val="single" w:sz="4" w:space="0" w:color="auto"/>
            </w:tcBorders>
            <w:shd w:val="clear" w:color="auto" w:fill="auto"/>
          </w:tcPr>
          <w:p w14:paraId="0962C8FF" w14:textId="77777777" w:rsidR="00F16CFE" w:rsidRPr="00F16CFE" w:rsidRDefault="00F16CFE" w:rsidP="00F16CFE">
            <w:pPr>
              <w:pStyle w:val="Tabletext"/>
            </w:pPr>
            <w:r w:rsidRPr="00F16CFE">
              <w:t xml:space="preserve">To improve health and social outcomes for individuals, families and communities affected by </w:t>
            </w:r>
            <w:proofErr w:type="spellStart"/>
            <w:r w:rsidRPr="00F16CFE">
              <w:t>Fetal</w:t>
            </w:r>
            <w:proofErr w:type="spellEnd"/>
            <w:r w:rsidRPr="00F16CFE">
              <w:t xml:space="preserve"> Alcohol Spectrum Disorder (</w:t>
            </w:r>
            <w:r w:rsidRPr="00F16CFE">
              <w:rPr>
                <w:b/>
                <w:bCs/>
                <w:i/>
                <w:iCs/>
              </w:rPr>
              <w:t>FASD</w:t>
            </w:r>
            <w:r w:rsidRPr="00F16CFE">
              <w:t>) by:</w:t>
            </w:r>
          </w:p>
          <w:p w14:paraId="2DC59410" w14:textId="77777777" w:rsidR="00F16CFE" w:rsidRPr="00F16CFE" w:rsidRDefault="00F16CFE" w:rsidP="00F16CFE">
            <w:pPr>
              <w:pStyle w:val="Tablea"/>
            </w:pPr>
            <w:r w:rsidRPr="00F16CFE">
              <w:t>(a) providing services which diagnose FASD and assess the impairment caused by FASD; and</w:t>
            </w:r>
          </w:p>
          <w:p w14:paraId="0FCDF0D9" w14:textId="77777777" w:rsidR="00F16CFE" w:rsidRPr="00F16CFE" w:rsidRDefault="00F16CFE" w:rsidP="00F16CFE">
            <w:pPr>
              <w:pStyle w:val="Tablea"/>
            </w:pPr>
            <w:r w:rsidRPr="00F16CFE">
              <w:t>(b) training and educating health professionals and other health service providers in relation to the FASD diagnostic process; and</w:t>
            </w:r>
          </w:p>
          <w:p w14:paraId="6A9D6FCC" w14:textId="77777777" w:rsidR="00F16CFE" w:rsidRPr="00F16CFE" w:rsidRDefault="00F16CFE" w:rsidP="00F16CFE">
            <w:pPr>
              <w:pStyle w:val="Tablea"/>
            </w:pPr>
            <w:r w:rsidRPr="00F16CFE">
              <w:t>(c) supporting Australians affected by FASD and their families and carers; and</w:t>
            </w:r>
          </w:p>
          <w:p w14:paraId="34D6E371" w14:textId="61BBB278" w:rsidR="00F16CFE" w:rsidRPr="00F16CFE" w:rsidRDefault="00F16CFE" w:rsidP="00F16CFE">
            <w:pPr>
              <w:pStyle w:val="Tablea"/>
            </w:pPr>
            <w:r w:rsidRPr="00F16CFE">
              <w:t>(d) raising awareness of, providing education and advice on and developing and disseminating information about FASD (including the prevention, treatment, management, control and health effects of FASD); and</w:t>
            </w:r>
          </w:p>
          <w:p w14:paraId="32E022F8" w14:textId="4F294073" w:rsidR="00F16CFE" w:rsidRPr="00F16CFE" w:rsidRDefault="00F16CFE" w:rsidP="00F16CFE">
            <w:pPr>
              <w:pStyle w:val="Tablea"/>
            </w:pPr>
            <w:r w:rsidRPr="00F16CFE">
              <w:t>(e) undertaking research in relation to FASD</w:t>
            </w:r>
            <w:r w:rsidR="00AF4117">
              <w:t>;</w:t>
            </w:r>
          </w:p>
          <w:p w14:paraId="5BAA516B" w14:textId="77777777" w:rsidR="00F16CFE" w:rsidRPr="00F16CFE" w:rsidRDefault="00F16CFE" w:rsidP="00F16CFE">
            <w:pPr>
              <w:pStyle w:val="Tabletext"/>
            </w:pPr>
            <w:r w:rsidRPr="00F16CFE">
              <w:t>as a measure to give effect to Australia’s obligations under one or more of the following:</w:t>
            </w:r>
          </w:p>
          <w:p w14:paraId="06C2F028" w14:textId="763C6D9E" w:rsidR="002F10B0" w:rsidRDefault="00F16CFE" w:rsidP="00F16CFE">
            <w:pPr>
              <w:pStyle w:val="Tablea"/>
            </w:pPr>
            <w:r w:rsidRPr="00F16CFE">
              <w:t xml:space="preserve">(f) </w:t>
            </w:r>
            <w:r w:rsidR="002F10B0" w:rsidRPr="00F16CFE">
              <w:t>the Convention on the Rights of Persons with Disabilities, particularly Articles 4, 8 and 25</w:t>
            </w:r>
            <w:r w:rsidR="002F10B0">
              <w:t>;</w:t>
            </w:r>
          </w:p>
          <w:p w14:paraId="24758EBA" w14:textId="2A1AAB33" w:rsidR="00AF4117" w:rsidRDefault="002F10B0" w:rsidP="00F16CFE">
            <w:pPr>
              <w:pStyle w:val="Tablea"/>
            </w:pPr>
            <w:r>
              <w:t xml:space="preserve">(g) </w:t>
            </w:r>
            <w:r w:rsidR="00AF4117" w:rsidRPr="00F16CFE">
              <w:t>the Convention on the Rights of the Child, particularly Articles 4, 18 and 21;</w:t>
            </w:r>
          </w:p>
          <w:p w14:paraId="33187768" w14:textId="46FAA29F" w:rsidR="00F16CFE" w:rsidRPr="00F16CFE" w:rsidRDefault="002F10B0" w:rsidP="00F16CFE">
            <w:pPr>
              <w:pStyle w:val="Tablea"/>
            </w:pPr>
            <w:r>
              <w:t xml:space="preserve">(h) </w:t>
            </w:r>
            <w:r w:rsidR="00F16CFE" w:rsidRPr="00F16CFE">
              <w:t>the International Covenant on Economic, Social and Cultural Rights, particularly Articles 2 and 12</w:t>
            </w:r>
            <w:r>
              <w:t>.</w:t>
            </w:r>
          </w:p>
          <w:p w14:paraId="07C88307" w14:textId="57F37C3D" w:rsidR="00F16CFE" w:rsidRPr="00F16CFE" w:rsidRDefault="00F16CFE" w:rsidP="00F16CFE">
            <w:pPr>
              <w:pStyle w:val="Tabletext"/>
            </w:pPr>
            <w:r w:rsidRPr="00F16CFE">
              <w:t xml:space="preserve">This objective also has the effect it would have if it were limited to measures </w:t>
            </w:r>
            <w:r w:rsidR="004B2DEF">
              <w:t>for the provision of</w:t>
            </w:r>
            <w:r w:rsidRPr="00F16CFE">
              <w:t xml:space="preserve">, or incidental to the provision of, medical services (within the meaning of </w:t>
            </w:r>
            <w:r w:rsidR="003A6B97">
              <w:t>paragraph 5</w:t>
            </w:r>
            <w:r w:rsidRPr="00F16CFE">
              <w:t>1(</w:t>
            </w:r>
            <w:proofErr w:type="spellStart"/>
            <w:r w:rsidRPr="00F16CFE">
              <w:t>xxiiiA</w:t>
            </w:r>
            <w:proofErr w:type="spellEnd"/>
            <w:r w:rsidRPr="00F16CFE">
              <w:t>) of the Constitution).</w:t>
            </w:r>
          </w:p>
        </w:tc>
      </w:tr>
      <w:tr w:rsidR="00F16CFE" w:rsidRPr="0029012B" w14:paraId="2E246BA3" w14:textId="77777777" w:rsidTr="00F7627F">
        <w:trPr>
          <w:trHeight w:val="407"/>
        </w:trPr>
        <w:tc>
          <w:tcPr>
            <w:tcW w:w="515" w:type="pct"/>
            <w:tcBorders>
              <w:top w:val="single" w:sz="4" w:space="0" w:color="auto"/>
              <w:bottom w:val="single" w:sz="4" w:space="0" w:color="auto"/>
            </w:tcBorders>
            <w:shd w:val="clear" w:color="auto" w:fill="auto"/>
          </w:tcPr>
          <w:p w14:paraId="71D01C53" w14:textId="19213815" w:rsidR="00F16CFE" w:rsidRPr="0029012B" w:rsidRDefault="00492FDE" w:rsidP="00F16CFE">
            <w:pPr>
              <w:pStyle w:val="Tabletext"/>
            </w:pPr>
            <w:r>
              <w:lastRenderedPageBreak/>
              <w:t>730</w:t>
            </w:r>
          </w:p>
        </w:tc>
        <w:tc>
          <w:tcPr>
            <w:tcW w:w="1479" w:type="pct"/>
            <w:tcBorders>
              <w:top w:val="single" w:sz="4" w:space="0" w:color="auto"/>
              <w:bottom w:val="single" w:sz="4" w:space="0" w:color="auto"/>
            </w:tcBorders>
            <w:shd w:val="clear" w:color="auto" w:fill="auto"/>
          </w:tcPr>
          <w:p w14:paraId="57DB7F5B" w14:textId="77777777" w:rsidR="00F16CFE" w:rsidRPr="0029012B" w:rsidRDefault="00F16CFE" w:rsidP="00F16CFE">
            <w:pPr>
              <w:pStyle w:val="Tabletext"/>
            </w:pPr>
            <w:bookmarkStart w:id="8" w:name="_Hlk203471690"/>
            <w:r w:rsidRPr="0029012B">
              <w:t>Support for the United Nations Office on Drugs and Crime</w:t>
            </w:r>
            <w:bookmarkEnd w:id="8"/>
          </w:p>
        </w:tc>
        <w:tc>
          <w:tcPr>
            <w:tcW w:w="3006" w:type="pct"/>
            <w:tcBorders>
              <w:top w:val="single" w:sz="4" w:space="0" w:color="auto"/>
              <w:bottom w:val="single" w:sz="4" w:space="0" w:color="auto"/>
            </w:tcBorders>
            <w:shd w:val="clear" w:color="auto" w:fill="auto"/>
          </w:tcPr>
          <w:p w14:paraId="1AB1B2C8" w14:textId="67FAC0D9" w:rsidR="00F16CFE" w:rsidRPr="0029012B" w:rsidRDefault="00F16CFE" w:rsidP="00F16CFE">
            <w:pPr>
              <w:pStyle w:val="Tabletext"/>
            </w:pPr>
            <w:r w:rsidRPr="0029012B">
              <w:t xml:space="preserve">To fund the United Nations Office on Drugs and Crime to support the operation of the </w:t>
            </w:r>
            <w:bookmarkStart w:id="9" w:name="_Hlk203471737"/>
            <w:r w:rsidRPr="0029012B">
              <w:t xml:space="preserve">Joint Global Programme </w:t>
            </w:r>
            <w:r>
              <w:t xml:space="preserve">on </w:t>
            </w:r>
            <w:r w:rsidRPr="0029012B">
              <w:t xml:space="preserve">Access to Controlled </w:t>
            </w:r>
            <w:r w:rsidR="005E77C4">
              <w:t>Substances</w:t>
            </w:r>
            <w:r w:rsidRPr="0029012B">
              <w:t xml:space="preserve"> for Medical and Scientific Purposes, While Preventing Diversion and Non</w:t>
            </w:r>
            <w:r w:rsidR="005A4C9A">
              <w:noBreakHyphen/>
            </w:r>
            <w:r w:rsidRPr="0029012B">
              <w:t>medical Use</w:t>
            </w:r>
            <w:bookmarkEnd w:id="9"/>
            <w:r w:rsidRPr="0029012B">
              <w:t>, as a measure with respect to places, persons, matters or things external to Australia or matters affecting Australia’s relations with foreign countries.</w:t>
            </w:r>
          </w:p>
        </w:tc>
      </w:tr>
      <w:tr w:rsidR="00F16CFE" w:rsidRPr="0029012B" w14:paraId="022A1728" w14:textId="77777777" w:rsidTr="00F7627F">
        <w:tc>
          <w:tcPr>
            <w:tcW w:w="515" w:type="pct"/>
            <w:tcBorders>
              <w:top w:val="single" w:sz="4" w:space="0" w:color="auto"/>
              <w:bottom w:val="single" w:sz="4" w:space="0" w:color="auto"/>
            </w:tcBorders>
            <w:shd w:val="clear" w:color="auto" w:fill="auto"/>
          </w:tcPr>
          <w:p w14:paraId="464222E8" w14:textId="30FBF694" w:rsidR="00F16CFE" w:rsidRPr="0029012B" w:rsidRDefault="00DF35A1" w:rsidP="00F16CFE">
            <w:pPr>
              <w:pStyle w:val="Tabletext"/>
            </w:pPr>
            <w:r>
              <w:t>731</w:t>
            </w:r>
          </w:p>
        </w:tc>
        <w:tc>
          <w:tcPr>
            <w:tcW w:w="1479" w:type="pct"/>
            <w:tcBorders>
              <w:top w:val="single" w:sz="4" w:space="0" w:color="auto"/>
              <w:bottom w:val="single" w:sz="4" w:space="0" w:color="auto"/>
            </w:tcBorders>
            <w:shd w:val="clear" w:color="auto" w:fill="auto"/>
          </w:tcPr>
          <w:p w14:paraId="7241FE30" w14:textId="77777777" w:rsidR="00F16CFE" w:rsidRPr="0029012B" w:rsidRDefault="00F16CFE" w:rsidP="00F16CFE">
            <w:pPr>
              <w:pStyle w:val="Tabletext"/>
            </w:pPr>
            <w:bookmarkStart w:id="10" w:name="_Hlk203471817"/>
            <w:r w:rsidRPr="0029012B">
              <w:t>Supporting Living Organ Donors Program</w:t>
            </w:r>
            <w:bookmarkEnd w:id="10"/>
          </w:p>
        </w:tc>
        <w:tc>
          <w:tcPr>
            <w:tcW w:w="3006" w:type="pct"/>
            <w:tcBorders>
              <w:top w:val="single" w:sz="4" w:space="0" w:color="auto"/>
              <w:bottom w:val="single" w:sz="4" w:space="0" w:color="auto"/>
            </w:tcBorders>
            <w:shd w:val="clear" w:color="auto" w:fill="auto"/>
          </w:tcPr>
          <w:p w14:paraId="68C16475" w14:textId="77777777" w:rsidR="00F16CFE" w:rsidRPr="0029012B" w:rsidRDefault="00F16CFE" w:rsidP="00F16CFE">
            <w:pPr>
              <w:pStyle w:val="Tabletext"/>
            </w:pPr>
            <w:r w:rsidRPr="0029012B">
              <w:t>To provide direct and indirect financial assistance to organ donors (including potential donors), including by:</w:t>
            </w:r>
          </w:p>
          <w:p w14:paraId="5E37C16E" w14:textId="77777777" w:rsidR="00F16CFE" w:rsidRPr="0029012B" w:rsidRDefault="00F16CFE" w:rsidP="00F16CFE">
            <w:pPr>
              <w:pStyle w:val="Tablea"/>
            </w:pPr>
            <w:r w:rsidRPr="0029012B">
              <w:t>(a) providing payments to the donor’s employer where paid leave has been taken by the donor; and</w:t>
            </w:r>
          </w:p>
          <w:p w14:paraId="1C048C81" w14:textId="232AD3AE" w:rsidR="00F16CFE" w:rsidRPr="0029012B" w:rsidRDefault="00F16CFE" w:rsidP="00F16CFE">
            <w:pPr>
              <w:pStyle w:val="Tablea"/>
            </w:pPr>
            <w:r w:rsidRPr="0029012B">
              <w:t>(b) providing payments to self</w:t>
            </w:r>
            <w:r w:rsidR="005A4C9A">
              <w:noBreakHyphen/>
            </w:r>
            <w:r w:rsidRPr="0029012B">
              <w:t>employed donors for lost income; and</w:t>
            </w:r>
          </w:p>
          <w:p w14:paraId="758EE7C8" w14:textId="32791B31" w:rsidR="00F16CFE" w:rsidRPr="0029012B" w:rsidRDefault="00F16CFE" w:rsidP="00F16CFE">
            <w:pPr>
              <w:pStyle w:val="Tablea"/>
            </w:pPr>
            <w:r w:rsidRPr="0029012B">
              <w:t>(c) reimbursing out</w:t>
            </w:r>
            <w:r w:rsidR="005A4C9A">
              <w:noBreakHyphen/>
            </w:r>
            <w:r w:rsidRPr="0029012B">
              <w:t>of</w:t>
            </w:r>
            <w:r w:rsidR="005A4C9A">
              <w:noBreakHyphen/>
            </w:r>
            <w:r w:rsidRPr="0029012B">
              <w:t>pocket travel and accommodation expenses for donors, their families and carers;</w:t>
            </w:r>
          </w:p>
          <w:p w14:paraId="065EE955" w14:textId="0B0BECF3" w:rsidR="00F16CFE" w:rsidRPr="0029012B" w:rsidRDefault="00F16CFE" w:rsidP="00F16CFE">
            <w:pPr>
              <w:pStyle w:val="Tabletext"/>
            </w:pPr>
            <w:bookmarkStart w:id="11" w:name="_Hlk203471852"/>
            <w:r w:rsidRPr="0029012B">
              <w:t xml:space="preserve">as a measure for the provision of, or incidental to the provision of, sickness benefits (within the meaning of </w:t>
            </w:r>
            <w:r w:rsidR="003A6B97">
              <w:t>paragraph 5</w:t>
            </w:r>
            <w:r w:rsidRPr="0029012B">
              <w:t>1(</w:t>
            </w:r>
            <w:proofErr w:type="spellStart"/>
            <w:r w:rsidRPr="0029012B">
              <w:t>xxiiiA</w:t>
            </w:r>
            <w:proofErr w:type="spellEnd"/>
            <w:r w:rsidRPr="0029012B">
              <w:t>) of the Constitution)</w:t>
            </w:r>
            <w:r w:rsidR="00D7664D">
              <w:t>.</w:t>
            </w:r>
            <w:bookmarkEnd w:id="11"/>
          </w:p>
        </w:tc>
      </w:tr>
      <w:tr w:rsidR="00F16CFE" w:rsidRPr="0029012B" w14:paraId="509C7573" w14:textId="77777777" w:rsidTr="00F7627F">
        <w:tc>
          <w:tcPr>
            <w:tcW w:w="515" w:type="pct"/>
            <w:tcBorders>
              <w:top w:val="single" w:sz="4" w:space="0" w:color="auto"/>
              <w:bottom w:val="single" w:sz="4" w:space="0" w:color="auto"/>
            </w:tcBorders>
            <w:shd w:val="clear" w:color="auto" w:fill="auto"/>
          </w:tcPr>
          <w:p w14:paraId="3197410F" w14:textId="7A016AA6" w:rsidR="00F16CFE" w:rsidRDefault="00DF35A1" w:rsidP="00F16CFE">
            <w:pPr>
              <w:pStyle w:val="Tabletext"/>
            </w:pPr>
            <w:r>
              <w:t>732</w:t>
            </w:r>
          </w:p>
        </w:tc>
        <w:tc>
          <w:tcPr>
            <w:tcW w:w="1479" w:type="pct"/>
            <w:tcBorders>
              <w:top w:val="single" w:sz="4" w:space="0" w:color="auto"/>
              <w:bottom w:val="single" w:sz="4" w:space="0" w:color="auto"/>
            </w:tcBorders>
            <w:shd w:val="clear" w:color="auto" w:fill="auto"/>
          </w:tcPr>
          <w:p w14:paraId="12A7A00A" w14:textId="6C445D26" w:rsidR="00F16CFE" w:rsidRPr="00AF40DE" w:rsidRDefault="00F16CFE" w:rsidP="00F16CFE">
            <w:pPr>
              <w:pStyle w:val="Tabletext"/>
            </w:pPr>
            <w:r>
              <w:t>Primary Health Networks Commissioning of Multidisciplinary Teams</w:t>
            </w:r>
          </w:p>
        </w:tc>
        <w:tc>
          <w:tcPr>
            <w:tcW w:w="3006" w:type="pct"/>
            <w:tcBorders>
              <w:top w:val="single" w:sz="4" w:space="0" w:color="auto"/>
              <w:bottom w:val="single" w:sz="4" w:space="0" w:color="auto"/>
            </w:tcBorders>
            <w:shd w:val="clear" w:color="auto" w:fill="auto"/>
          </w:tcPr>
          <w:p w14:paraId="34E61F9A" w14:textId="77777777" w:rsidR="00F16CFE" w:rsidRPr="00F16CFE" w:rsidRDefault="00F16CFE" w:rsidP="00F16CFE">
            <w:pPr>
              <w:pStyle w:val="Tabletext"/>
            </w:pPr>
            <w:r w:rsidRPr="00F16CFE">
              <w:t>To increase access to health services and improve community health outcomes by funding Primary Health Networks to:</w:t>
            </w:r>
          </w:p>
          <w:p w14:paraId="7B57307B" w14:textId="77777777" w:rsidR="00F16CFE" w:rsidRPr="00F16CFE" w:rsidRDefault="00F16CFE" w:rsidP="00F16CFE">
            <w:pPr>
              <w:pStyle w:val="Tablea"/>
            </w:pPr>
            <w:r w:rsidRPr="00F16CFE">
              <w:t>(a) commission multidisciplinary teams of health professionals, including allied health professionals, nurses, nurse practitioners, midwives and Aboriginal, Torres Strait Islander health workers and Aboriginal and Torres Strait Islander health practitioners, to arrange health services for selected patient cohorts; and</w:t>
            </w:r>
          </w:p>
          <w:p w14:paraId="5AEBE135" w14:textId="77777777" w:rsidR="00F16CFE" w:rsidRPr="00F16CFE" w:rsidRDefault="00F16CFE" w:rsidP="00F16CFE">
            <w:pPr>
              <w:pStyle w:val="Tablea"/>
            </w:pPr>
            <w:r w:rsidRPr="00F16CFE">
              <w:t>(b) deliver practice support to allied health, nursing, midwifery and Aboriginal and Torres Strait Islander health practices to improve the quality of health services and the capabilities of health professionals;</w:t>
            </w:r>
          </w:p>
          <w:p w14:paraId="262B9848" w14:textId="77777777" w:rsidR="00F16CFE" w:rsidRPr="00F16CFE" w:rsidRDefault="00F16CFE" w:rsidP="00F16CFE">
            <w:pPr>
              <w:pStyle w:val="Tabletext"/>
            </w:pPr>
            <w:r w:rsidRPr="00F16CFE">
              <w:t>as a measure to give effect to Australia’s obligations under the International Covenant on Economic, Social and Cultural Rights, particularly Articles 2 and 12.</w:t>
            </w:r>
          </w:p>
          <w:p w14:paraId="43B34CF7" w14:textId="717DB674" w:rsidR="00F16CFE" w:rsidRPr="00AF40DE" w:rsidRDefault="00F16CFE" w:rsidP="00F16CFE">
            <w:pPr>
              <w:pStyle w:val="Tabletext"/>
            </w:pPr>
            <w:r w:rsidRPr="00F16CFE">
              <w:t>This objective also has the effect it would have if it were limited to measures with respect to Indigenous Australians and particular groups of Indigenous Australians.</w:t>
            </w:r>
          </w:p>
        </w:tc>
      </w:tr>
      <w:tr w:rsidR="00F16CFE" w:rsidRPr="0029012B" w14:paraId="3436630C" w14:textId="77777777" w:rsidTr="00F7627F">
        <w:tc>
          <w:tcPr>
            <w:tcW w:w="515" w:type="pct"/>
            <w:tcBorders>
              <w:top w:val="single" w:sz="4" w:space="0" w:color="auto"/>
              <w:bottom w:val="single" w:sz="4" w:space="0" w:color="auto"/>
            </w:tcBorders>
            <w:shd w:val="clear" w:color="auto" w:fill="auto"/>
          </w:tcPr>
          <w:p w14:paraId="23C712A1" w14:textId="18D19F3F" w:rsidR="00F16CFE" w:rsidRPr="0029012B" w:rsidRDefault="00DF35A1" w:rsidP="00F16CFE">
            <w:pPr>
              <w:pStyle w:val="Tabletext"/>
            </w:pPr>
            <w:r>
              <w:t>733</w:t>
            </w:r>
          </w:p>
        </w:tc>
        <w:tc>
          <w:tcPr>
            <w:tcW w:w="1479" w:type="pct"/>
            <w:tcBorders>
              <w:top w:val="single" w:sz="4" w:space="0" w:color="auto"/>
              <w:bottom w:val="single" w:sz="4" w:space="0" w:color="auto"/>
            </w:tcBorders>
            <w:shd w:val="clear" w:color="auto" w:fill="auto"/>
          </w:tcPr>
          <w:p w14:paraId="27226DB4" w14:textId="77777777" w:rsidR="00F16CFE" w:rsidRPr="0029012B" w:rsidRDefault="00F16CFE" w:rsidP="00F16CFE">
            <w:pPr>
              <w:pStyle w:val="Tabletext"/>
            </w:pPr>
            <w:r w:rsidRPr="00AF40DE">
              <w:t>Administration and Delivery of Services for the National Diabetes Service</w:t>
            </w:r>
            <w:r>
              <w:t>s</w:t>
            </w:r>
            <w:r w:rsidRPr="00AF40DE">
              <w:t xml:space="preserve"> Scheme</w:t>
            </w:r>
          </w:p>
        </w:tc>
        <w:tc>
          <w:tcPr>
            <w:tcW w:w="3006" w:type="pct"/>
            <w:tcBorders>
              <w:top w:val="single" w:sz="4" w:space="0" w:color="auto"/>
              <w:bottom w:val="single" w:sz="4" w:space="0" w:color="auto"/>
            </w:tcBorders>
            <w:shd w:val="clear" w:color="auto" w:fill="auto"/>
          </w:tcPr>
          <w:p w14:paraId="6ED75A3F" w14:textId="77777777" w:rsidR="00F16CFE" w:rsidRPr="00AF40DE" w:rsidRDefault="00F16CFE" w:rsidP="00F16CFE">
            <w:pPr>
              <w:pStyle w:val="Tabletext"/>
            </w:pPr>
            <w:r w:rsidRPr="00AF40DE">
              <w:t>To assist in the administration and delivery of services for the National Diabetes Services Scheme, including by:</w:t>
            </w:r>
          </w:p>
          <w:p w14:paraId="56AE0425" w14:textId="77777777" w:rsidR="00F16CFE" w:rsidRPr="00AF40DE" w:rsidRDefault="00F16CFE" w:rsidP="00F16CFE">
            <w:pPr>
              <w:pStyle w:val="Tablea"/>
            </w:pPr>
            <w:r w:rsidRPr="00AF40DE">
              <w:t>(a) ensuring access to products required by people with diabetes; and</w:t>
            </w:r>
          </w:p>
          <w:p w14:paraId="6CE1D096" w14:textId="77777777" w:rsidR="00F16CFE" w:rsidRPr="00AF40DE" w:rsidRDefault="00F16CFE" w:rsidP="00F16CFE">
            <w:pPr>
              <w:pStyle w:val="Tablea"/>
            </w:pPr>
            <w:r w:rsidRPr="00AF40DE">
              <w:t>(b) facilitating support, training and outreach for health professionals working with people with diabetes; and</w:t>
            </w:r>
          </w:p>
          <w:p w14:paraId="2E0BFFD5" w14:textId="77777777" w:rsidR="00F16CFE" w:rsidRPr="00AF40DE" w:rsidRDefault="00F16CFE" w:rsidP="00F16CFE">
            <w:pPr>
              <w:pStyle w:val="Tablea"/>
            </w:pPr>
            <w:r w:rsidRPr="00AF40DE">
              <w:t>(c) providing advice in relation to diabetes and the operation of the National Diabetes Services Scheme; and</w:t>
            </w:r>
          </w:p>
          <w:p w14:paraId="1D62533E" w14:textId="33EF111B" w:rsidR="00F16CFE" w:rsidRPr="00AF40DE" w:rsidRDefault="00F16CFE" w:rsidP="00F16CFE">
            <w:pPr>
              <w:pStyle w:val="Tablea"/>
            </w:pPr>
            <w:r w:rsidRPr="00AF40DE">
              <w:t>(d) providing other supports to people with diabetes</w:t>
            </w:r>
            <w:r w:rsidR="00EC3B69">
              <w:t>,</w:t>
            </w:r>
            <w:r w:rsidRPr="00AF40DE">
              <w:t xml:space="preserve"> including educational activities and general information on diabetes management.</w:t>
            </w:r>
          </w:p>
          <w:p w14:paraId="6020223A" w14:textId="77777777" w:rsidR="00F16CFE" w:rsidRPr="00AF40DE" w:rsidRDefault="00F16CFE" w:rsidP="00F16CFE">
            <w:pPr>
              <w:pStyle w:val="Tabletext"/>
            </w:pPr>
            <w:r w:rsidRPr="00AF40DE">
              <w:t>This objective has the effect it would have if it were limited to measures:</w:t>
            </w:r>
          </w:p>
          <w:p w14:paraId="4BCDE775" w14:textId="78101F67" w:rsidR="00F16CFE" w:rsidRPr="00AF40DE" w:rsidRDefault="00F16CFE" w:rsidP="00F16CFE">
            <w:pPr>
              <w:pStyle w:val="Tablea"/>
            </w:pPr>
            <w:r w:rsidRPr="00AF40DE">
              <w:t xml:space="preserve">(a) for the provision of, or incidental to the provision of, sickness benefits (within the meaning of </w:t>
            </w:r>
            <w:r w:rsidR="003A6B97">
              <w:lastRenderedPageBreak/>
              <w:t>paragraph 5</w:t>
            </w:r>
            <w:r w:rsidRPr="00AF40DE">
              <w:t>1(</w:t>
            </w:r>
            <w:proofErr w:type="spellStart"/>
            <w:r w:rsidRPr="00AF40DE">
              <w:t>xxiiiA</w:t>
            </w:r>
            <w:proofErr w:type="spellEnd"/>
            <w:r w:rsidRPr="00AF40DE">
              <w:t>) of the Constitution); or</w:t>
            </w:r>
          </w:p>
          <w:p w14:paraId="35354BEC" w14:textId="6775149A" w:rsidR="00F16CFE" w:rsidRPr="00AF40DE" w:rsidRDefault="00F16CFE" w:rsidP="00F16CFE">
            <w:pPr>
              <w:pStyle w:val="Tablea"/>
            </w:pPr>
            <w:r w:rsidRPr="00AF40DE">
              <w:t xml:space="preserve">(b) </w:t>
            </w:r>
            <w:r w:rsidR="00526263" w:rsidRPr="00526263">
              <w:t xml:space="preserve">to give effect to, or incidental to the giving of effect to, Australia’s obligations under </w:t>
            </w:r>
            <w:r w:rsidRPr="00AF40DE">
              <w:t>the International Covenant on Economic, Social and Cultural Rights, particularly Articles 2 and 12; or</w:t>
            </w:r>
          </w:p>
          <w:p w14:paraId="58AE5D19" w14:textId="77777777" w:rsidR="00F16CFE" w:rsidRPr="0029012B" w:rsidRDefault="00F16CFE" w:rsidP="00F16CFE">
            <w:pPr>
              <w:pStyle w:val="Tablea"/>
            </w:pPr>
            <w:r w:rsidRPr="00AF40DE">
              <w:t>(c) undertaken in the exercise of the executive power of the Commonwealth.</w:t>
            </w:r>
          </w:p>
        </w:tc>
      </w:tr>
      <w:tr w:rsidR="00F16CFE" w:rsidRPr="0029012B" w14:paraId="4350CD91" w14:textId="77777777" w:rsidTr="00F7627F">
        <w:tc>
          <w:tcPr>
            <w:tcW w:w="515" w:type="pct"/>
            <w:tcBorders>
              <w:top w:val="single" w:sz="4" w:space="0" w:color="auto"/>
              <w:bottom w:val="single" w:sz="4" w:space="0" w:color="auto"/>
            </w:tcBorders>
            <w:shd w:val="clear" w:color="auto" w:fill="auto"/>
          </w:tcPr>
          <w:p w14:paraId="5C03D816" w14:textId="43E91E5F" w:rsidR="00F16CFE" w:rsidRDefault="00DF35A1" w:rsidP="00F16CFE">
            <w:pPr>
              <w:pStyle w:val="Tabletext"/>
            </w:pPr>
            <w:r>
              <w:lastRenderedPageBreak/>
              <w:t>734</w:t>
            </w:r>
          </w:p>
        </w:tc>
        <w:tc>
          <w:tcPr>
            <w:tcW w:w="1479" w:type="pct"/>
            <w:tcBorders>
              <w:top w:val="single" w:sz="4" w:space="0" w:color="auto"/>
              <w:bottom w:val="single" w:sz="4" w:space="0" w:color="auto"/>
            </w:tcBorders>
            <w:shd w:val="clear" w:color="auto" w:fill="auto"/>
          </w:tcPr>
          <w:p w14:paraId="1A859A9D" w14:textId="77777777" w:rsidR="00F16CFE" w:rsidRPr="00AF40DE" w:rsidRDefault="00F16CFE" w:rsidP="00F16CFE">
            <w:pPr>
              <w:pStyle w:val="Tabletext"/>
            </w:pPr>
            <w:bookmarkStart w:id="12" w:name="_Hlk203472042"/>
            <w:r w:rsidRPr="00EC1099">
              <w:t>Rural and Remote Pharmacy Workforce Program</w:t>
            </w:r>
            <w:bookmarkEnd w:id="12"/>
          </w:p>
        </w:tc>
        <w:tc>
          <w:tcPr>
            <w:tcW w:w="3006" w:type="pct"/>
            <w:tcBorders>
              <w:top w:val="single" w:sz="4" w:space="0" w:color="auto"/>
              <w:bottom w:val="single" w:sz="4" w:space="0" w:color="auto"/>
            </w:tcBorders>
            <w:shd w:val="clear" w:color="auto" w:fill="auto"/>
          </w:tcPr>
          <w:p w14:paraId="12892B9D" w14:textId="77777777" w:rsidR="00F16CFE" w:rsidRPr="00EC1099" w:rsidRDefault="00F16CFE" w:rsidP="00F16CFE">
            <w:pPr>
              <w:pStyle w:val="Tabletext"/>
            </w:pPr>
            <w:r w:rsidRPr="00EC1099">
              <w:t>To support, improve and expand the pharmacy workforce in rural and remote areas by funding the following:</w:t>
            </w:r>
          </w:p>
          <w:p w14:paraId="335AF0D1" w14:textId="21B86E2F" w:rsidR="00F16CFE" w:rsidRPr="00EC1099" w:rsidRDefault="00F16CFE" w:rsidP="00F16CFE">
            <w:pPr>
              <w:pStyle w:val="Tablea"/>
            </w:pPr>
            <w:r>
              <w:t xml:space="preserve">(a) </w:t>
            </w:r>
            <w:r w:rsidRPr="00EC1099">
              <w:t xml:space="preserve">financial support for pharmacists in rural and remote areas to access </w:t>
            </w:r>
            <w:r>
              <w:t>c</w:t>
            </w:r>
            <w:r w:rsidRPr="00EC1099">
              <w:t xml:space="preserve">ontinuing </w:t>
            </w:r>
            <w:r>
              <w:t>p</w:t>
            </w:r>
            <w:r w:rsidRPr="00EC1099">
              <w:t xml:space="preserve">rofessional </w:t>
            </w:r>
            <w:r>
              <w:t>d</w:t>
            </w:r>
            <w:r w:rsidRPr="00EC1099">
              <w:t>evelopment, including assistance with travel and accommodation costs;</w:t>
            </w:r>
          </w:p>
          <w:p w14:paraId="42D5400B" w14:textId="3B67CC9A" w:rsidR="00F16CFE" w:rsidRPr="00EC1099" w:rsidRDefault="00F16CFE" w:rsidP="00F16CFE">
            <w:pPr>
              <w:pStyle w:val="Tablea"/>
            </w:pPr>
            <w:r>
              <w:t xml:space="preserve">(b) </w:t>
            </w:r>
            <w:bookmarkStart w:id="13" w:name="_Hlk203472138"/>
            <w:r w:rsidRPr="00EC1099">
              <w:t xml:space="preserve">incentives for pharmacy owners or eligible hospital authorities to offer intern year placements for pharmacy graduates in rural </w:t>
            </w:r>
            <w:r w:rsidR="00EC3B69">
              <w:t>and</w:t>
            </w:r>
            <w:r w:rsidRPr="00EC1099">
              <w:t xml:space="preserve"> remote pharmacies;</w:t>
            </w:r>
            <w:bookmarkEnd w:id="13"/>
          </w:p>
          <w:p w14:paraId="0A06AFBB" w14:textId="2B4D317C" w:rsidR="00F16CFE" w:rsidRPr="00EC1099" w:rsidRDefault="00F16CFE" w:rsidP="00F16CFE">
            <w:pPr>
              <w:pStyle w:val="Tablea"/>
            </w:pPr>
            <w:r>
              <w:t xml:space="preserve">(c) </w:t>
            </w:r>
            <w:r w:rsidRPr="00EC1099">
              <w:t>financial support to enable community pharmacies in rural</w:t>
            </w:r>
            <w:r w:rsidR="00983B05">
              <w:t xml:space="preserve"> and remote</w:t>
            </w:r>
            <w:r w:rsidRPr="00EC1099">
              <w:t xml:space="preserve"> areas to retain newly registered pharmacists beyond their initial intern period;</w:t>
            </w:r>
          </w:p>
          <w:p w14:paraId="3D904238" w14:textId="18210D62" w:rsidR="00F16CFE" w:rsidRPr="00EC1099" w:rsidRDefault="00F16CFE" w:rsidP="00F16CFE">
            <w:pPr>
              <w:pStyle w:val="Tablea"/>
            </w:pPr>
            <w:bookmarkStart w:id="14" w:name="_Hlk203472256"/>
            <w:r>
              <w:t xml:space="preserve">(d) </w:t>
            </w:r>
            <w:r w:rsidRPr="00EC1099">
              <w:t>training allowances for pharmacy interns</w:t>
            </w:r>
            <w:r w:rsidR="00D7664D">
              <w:t xml:space="preserve"> in rural and remote areas</w:t>
            </w:r>
            <w:r w:rsidRPr="00EC1099">
              <w:t>;</w:t>
            </w:r>
          </w:p>
          <w:p w14:paraId="62493B67" w14:textId="470B2F7C" w:rsidR="00F16CFE" w:rsidRPr="00EC1099" w:rsidRDefault="00F16CFE" w:rsidP="00F16CFE">
            <w:pPr>
              <w:pStyle w:val="Tablea"/>
            </w:pPr>
            <w:bookmarkStart w:id="15" w:name="_Hlk203472377"/>
            <w:bookmarkEnd w:id="14"/>
            <w:r>
              <w:t xml:space="preserve">(e) </w:t>
            </w:r>
            <w:r w:rsidRPr="00EC1099">
              <w:t>direct access to emergency locum pharmacist services for pharmacies in rural and remote areas;</w:t>
            </w:r>
          </w:p>
          <w:bookmarkEnd w:id="15"/>
          <w:p w14:paraId="2E78CF30" w14:textId="77777777" w:rsidR="00F16CFE" w:rsidRPr="00EC1099" w:rsidRDefault="00F16CFE" w:rsidP="00F16CFE">
            <w:pPr>
              <w:pStyle w:val="Tablea"/>
            </w:pPr>
            <w:r>
              <w:t xml:space="preserve">(f) </w:t>
            </w:r>
            <w:r w:rsidRPr="00EC1099">
              <w:t>financial support to students from rural and remote communities undertaking undergraduate or postgraduate studies in pharmacy;</w:t>
            </w:r>
          </w:p>
          <w:p w14:paraId="6BB12613" w14:textId="13297B72" w:rsidR="00F16CFE" w:rsidRPr="00EC1099" w:rsidRDefault="00F16CFE" w:rsidP="00F16CFE">
            <w:pPr>
              <w:pStyle w:val="Tablea"/>
            </w:pPr>
            <w:r>
              <w:t xml:space="preserve">(g) </w:t>
            </w:r>
            <w:r w:rsidRPr="00EC1099">
              <w:t xml:space="preserve">provision of rural pharmacist mentors to </w:t>
            </w:r>
            <w:r>
              <w:t>Indigenous</w:t>
            </w:r>
            <w:r w:rsidRPr="00EC1099">
              <w:t xml:space="preserve"> students, or students from rural and remote locations, in order to encourage the pursuit of studies in pharmacy, and to provide guidance and support during each year of their studies;</w:t>
            </w:r>
          </w:p>
          <w:p w14:paraId="060E853E" w14:textId="39717E42" w:rsidR="00F16CFE" w:rsidRPr="00EC1099" w:rsidRDefault="00F16CFE" w:rsidP="00F16CFE">
            <w:pPr>
              <w:pStyle w:val="Tablea"/>
            </w:pPr>
            <w:r>
              <w:t xml:space="preserve">(h) </w:t>
            </w:r>
            <w:r w:rsidRPr="00EC1099">
              <w:t>financial support to Australian universities to facilitate pharmacy student placements in rural and remote communities, including assistance with travel and accommodation costs;</w:t>
            </w:r>
          </w:p>
          <w:p w14:paraId="761A4302" w14:textId="4D90750A" w:rsidR="00F16CFE" w:rsidRPr="00EC1099" w:rsidRDefault="00F16CFE" w:rsidP="00F16CFE">
            <w:pPr>
              <w:pStyle w:val="Tablea"/>
            </w:pPr>
            <w:r>
              <w:t>(</w:t>
            </w:r>
            <w:proofErr w:type="spellStart"/>
            <w:r>
              <w:t>i</w:t>
            </w:r>
            <w:proofErr w:type="spellEnd"/>
            <w:r>
              <w:t xml:space="preserve">) </w:t>
            </w:r>
            <w:r w:rsidRPr="00EC1099">
              <w:t>administrative support for pharmacy schools to administer rural and remote placement programs</w:t>
            </w:r>
            <w:r w:rsidR="00EC3B69">
              <w:t>;</w:t>
            </w:r>
          </w:p>
          <w:p w14:paraId="6889995D" w14:textId="1D6220CC" w:rsidR="00F16CFE" w:rsidRPr="00EC1099" w:rsidRDefault="00F16CFE" w:rsidP="00F16CFE">
            <w:pPr>
              <w:pStyle w:val="Tablea"/>
            </w:pPr>
            <w:r>
              <w:t xml:space="preserve">(j) </w:t>
            </w:r>
            <w:r w:rsidRPr="00EC1099">
              <w:t>support for pharmacists and pharmacy students practising and working in rural and remote areas, including programs to support clinical placements and promote intra</w:t>
            </w:r>
            <w:r w:rsidR="005A4C9A">
              <w:noBreakHyphen/>
            </w:r>
            <w:r w:rsidRPr="00EC1099">
              <w:t>professional collaboration;</w:t>
            </w:r>
          </w:p>
          <w:p w14:paraId="01CD6586" w14:textId="77777777" w:rsidR="00F16CFE" w:rsidRPr="00EC1099" w:rsidRDefault="00F16CFE" w:rsidP="00F16CFE">
            <w:pPr>
              <w:pStyle w:val="Tabletext"/>
            </w:pPr>
            <w:r w:rsidRPr="00EC1099">
              <w:t>as a measure to give effect to Australia’s obligations under the International Covenant on Economic, Social and Cultural Rights, particularly Articles 2 and 12.</w:t>
            </w:r>
          </w:p>
          <w:p w14:paraId="3FBC65E6" w14:textId="77777777" w:rsidR="00F16CFE" w:rsidRPr="00EC1099" w:rsidRDefault="00F16CFE" w:rsidP="00F16CFE">
            <w:pPr>
              <w:pStyle w:val="Tabletext"/>
            </w:pPr>
            <w:r w:rsidRPr="00EC1099">
              <w:t>This objective also has the effect it would have if it were limited to measures:</w:t>
            </w:r>
          </w:p>
          <w:p w14:paraId="399E0671" w14:textId="7AE2BF78" w:rsidR="00F16CFE" w:rsidRPr="00EC1099" w:rsidRDefault="00F16CFE" w:rsidP="00F16CFE">
            <w:pPr>
              <w:pStyle w:val="Tablea"/>
            </w:pPr>
            <w:r>
              <w:t>(a) f</w:t>
            </w:r>
            <w:r w:rsidRPr="00EC1099">
              <w:t>or the provision of, or incidental to the provision of</w:t>
            </w:r>
            <w:r>
              <w:t>,</w:t>
            </w:r>
            <w:r w:rsidRPr="00EC1099">
              <w:t xml:space="preserve"> medical services</w:t>
            </w:r>
            <w:r>
              <w:t xml:space="preserve">, </w:t>
            </w:r>
            <w:r w:rsidRPr="00EC1099">
              <w:t xml:space="preserve">pharmaceutical benefits or benefits to students (within the meaning of </w:t>
            </w:r>
            <w:r w:rsidR="003A6B97">
              <w:t>paragraph 5</w:t>
            </w:r>
            <w:r w:rsidRPr="00EC1099">
              <w:t>1(</w:t>
            </w:r>
            <w:proofErr w:type="spellStart"/>
            <w:r w:rsidRPr="00EC1099">
              <w:t>xxiiiA</w:t>
            </w:r>
            <w:proofErr w:type="spellEnd"/>
            <w:r w:rsidRPr="00EC1099">
              <w:t>) of the Constitution); or</w:t>
            </w:r>
          </w:p>
          <w:p w14:paraId="7E69FE61" w14:textId="77777777" w:rsidR="00F16CFE" w:rsidRPr="00AF40DE" w:rsidRDefault="00F16CFE" w:rsidP="00F16CFE">
            <w:pPr>
              <w:pStyle w:val="Tablea"/>
            </w:pPr>
            <w:r>
              <w:t>(b) w</w:t>
            </w:r>
            <w:r w:rsidRPr="00EC1099">
              <w:t xml:space="preserve">ith respect to </w:t>
            </w:r>
            <w:r>
              <w:t>Indigenous Australians</w:t>
            </w:r>
            <w:r w:rsidRPr="00EC1099">
              <w:t xml:space="preserve"> and particular groups of </w:t>
            </w:r>
            <w:r>
              <w:t>Indigenous Australians</w:t>
            </w:r>
            <w:r w:rsidRPr="00EC1099">
              <w:t>.</w:t>
            </w:r>
          </w:p>
        </w:tc>
      </w:tr>
      <w:tr w:rsidR="00F16CFE" w:rsidRPr="0029012B" w14:paraId="4C1A3693" w14:textId="77777777" w:rsidTr="00F7627F">
        <w:tc>
          <w:tcPr>
            <w:tcW w:w="515" w:type="pct"/>
            <w:tcBorders>
              <w:top w:val="single" w:sz="4" w:space="0" w:color="auto"/>
              <w:bottom w:val="single" w:sz="4" w:space="0" w:color="auto"/>
            </w:tcBorders>
            <w:shd w:val="clear" w:color="auto" w:fill="auto"/>
          </w:tcPr>
          <w:p w14:paraId="0DEB171C" w14:textId="1CEAE1C4" w:rsidR="00F16CFE" w:rsidRDefault="00DF35A1" w:rsidP="00F16CFE">
            <w:pPr>
              <w:pStyle w:val="Tabletext"/>
            </w:pPr>
            <w:r>
              <w:t>735</w:t>
            </w:r>
          </w:p>
        </w:tc>
        <w:tc>
          <w:tcPr>
            <w:tcW w:w="1479" w:type="pct"/>
            <w:tcBorders>
              <w:top w:val="single" w:sz="4" w:space="0" w:color="auto"/>
              <w:bottom w:val="single" w:sz="4" w:space="0" w:color="auto"/>
            </w:tcBorders>
            <w:shd w:val="clear" w:color="auto" w:fill="auto"/>
          </w:tcPr>
          <w:p w14:paraId="0EE24213" w14:textId="77777777" w:rsidR="00F16CFE" w:rsidRPr="00EC1099" w:rsidRDefault="00F16CFE" w:rsidP="00F16CFE">
            <w:pPr>
              <w:pStyle w:val="Tabletext"/>
            </w:pPr>
            <w:r w:rsidRPr="00682290">
              <w:t xml:space="preserve">Medication Management </w:t>
            </w:r>
            <w:r w:rsidRPr="00682290">
              <w:lastRenderedPageBreak/>
              <w:t>Reviews and Quality Use of Medicines Program</w:t>
            </w:r>
          </w:p>
        </w:tc>
        <w:tc>
          <w:tcPr>
            <w:tcW w:w="3006" w:type="pct"/>
            <w:tcBorders>
              <w:top w:val="single" w:sz="4" w:space="0" w:color="auto"/>
              <w:bottom w:val="single" w:sz="4" w:space="0" w:color="auto"/>
            </w:tcBorders>
            <w:shd w:val="clear" w:color="auto" w:fill="auto"/>
          </w:tcPr>
          <w:p w14:paraId="190D8F86" w14:textId="77777777" w:rsidR="00F16CFE" w:rsidRPr="00682290" w:rsidRDefault="00F16CFE" w:rsidP="00F16CFE">
            <w:pPr>
              <w:pStyle w:val="Tabletext"/>
            </w:pPr>
            <w:r w:rsidRPr="00682290">
              <w:lastRenderedPageBreak/>
              <w:t xml:space="preserve">To support the quality use of medicines and the minimisation </w:t>
            </w:r>
            <w:r w:rsidRPr="00682290">
              <w:lastRenderedPageBreak/>
              <w:t>of adverse medicine events by:</w:t>
            </w:r>
          </w:p>
          <w:p w14:paraId="3847B922" w14:textId="77777777" w:rsidR="00F16CFE" w:rsidRPr="00682290" w:rsidRDefault="00F16CFE" w:rsidP="00F16CFE">
            <w:pPr>
              <w:pStyle w:val="Tablea"/>
            </w:pPr>
            <w:r>
              <w:t xml:space="preserve">(a) </w:t>
            </w:r>
            <w:r w:rsidRPr="00682290">
              <w:t>assisting people to understand and manage their medicines through medication reviews conducted by credentialed pharmacists:</w:t>
            </w:r>
          </w:p>
          <w:p w14:paraId="329622B2" w14:textId="77777777" w:rsidR="00F16CFE" w:rsidRPr="00682290" w:rsidRDefault="00F16CFE" w:rsidP="00F16CFE">
            <w:pPr>
              <w:pStyle w:val="Tablei"/>
            </w:pPr>
            <w:r>
              <w:t>(</w:t>
            </w:r>
            <w:proofErr w:type="spellStart"/>
            <w:r>
              <w:t>i</w:t>
            </w:r>
            <w:proofErr w:type="spellEnd"/>
            <w:r>
              <w:t xml:space="preserve">) </w:t>
            </w:r>
            <w:r w:rsidRPr="00682290">
              <w:t>in the home, including through initiatives to provide access to medication reviews in rural and remote areas; and</w:t>
            </w:r>
          </w:p>
          <w:p w14:paraId="44BDDC3B" w14:textId="77777777" w:rsidR="00F16CFE" w:rsidRPr="00682290" w:rsidRDefault="00F16CFE" w:rsidP="00F16CFE">
            <w:pPr>
              <w:pStyle w:val="Tablei"/>
            </w:pPr>
            <w:r>
              <w:t xml:space="preserve">(ii) </w:t>
            </w:r>
            <w:r w:rsidRPr="00682290">
              <w:tab/>
              <w:t>in residential aged care facilities; and</w:t>
            </w:r>
          </w:p>
          <w:p w14:paraId="42B6ADE8" w14:textId="77777777" w:rsidR="00F16CFE" w:rsidRPr="00682290" w:rsidRDefault="00F16CFE" w:rsidP="00F16CFE">
            <w:pPr>
              <w:pStyle w:val="Tablea"/>
            </w:pPr>
            <w:r>
              <w:t xml:space="preserve">(b) </w:t>
            </w:r>
            <w:r w:rsidRPr="00682290">
              <w:t>supporting services and activities of pharmacists that facilitate the quality use of medicines in residential aged care facilities; and</w:t>
            </w:r>
          </w:p>
          <w:p w14:paraId="753A7B63" w14:textId="77777777" w:rsidR="00F16CFE" w:rsidRPr="00682290" w:rsidRDefault="00F16CFE" w:rsidP="00F16CFE">
            <w:pPr>
              <w:pStyle w:val="Tablea"/>
            </w:pPr>
            <w:r>
              <w:t xml:space="preserve">(c) </w:t>
            </w:r>
            <w:r w:rsidRPr="00682290">
              <w:t>supporting the quality use of medicines in relation to services provided by Indigenous Health Services and associated service providers.</w:t>
            </w:r>
          </w:p>
          <w:p w14:paraId="5F9C8A8F" w14:textId="77777777" w:rsidR="00F16CFE" w:rsidRPr="00682290" w:rsidRDefault="00F16CFE" w:rsidP="00F16CFE">
            <w:pPr>
              <w:pStyle w:val="Tabletext"/>
            </w:pPr>
            <w:r w:rsidRPr="00682290">
              <w:t xml:space="preserve">This objective has the effect it would have </w:t>
            </w:r>
            <w:r>
              <w:t xml:space="preserve">if </w:t>
            </w:r>
            <w:r w:rsidRPr="00682290">
              <w:t>it were limited to measures</w:t>
            </w:r>
            <w:r>
              <w:t>:</w:t>
            </w:r>
          </w:p>
          <w:p w14:paraId="137C8B0F" w14:textId="77777777" w:rsidR="00F16CFE" w:rsidRPr="00682290" w:rsidRDefault="00F16CFE" w:rsidP="00F16CFE">
            <w:pPr>
              <w:pStyle w:val="Tablea"/>
            </w:pPr>
            <w:r>
              <w:t xml:space="preserve">(a) </w:t>
            </w:r>
            <w:r w:rsidRPr="00682290">
              <w:t>to give effect to Australia’s obligations under the Internation Covenant on Economic, Social and Cultural Rights, particularly Articles 2 and 12; or</w:t>
            </w:r>
          </w:p>
          <w:p w14:paraId="2BEF82A3" w14:textId="71DC33E3" w:rsidR="00F16CFE" w:rsidRPr="00682290" w:rsidRDefault="00F16CFE" w:rsidP="00F16CFE">
            <w:pPr>
              <w:pStyle w:val="Tablea"/>
            </w:pPr>
            <w:r>
              <w:t xml:space="preserve">(b) </w:t>
            </w:r>
            <w:r w:rsidRPr="00682290">
              <w:t xml:space="preserve">for the provision of, or incidental to the provision of, medical services or pharmaceutical benefits (within the meaning of </w:t>
            </w:r>
            <w:r w:rsidR="003A6B97">
              <w:t>paragraph 5</w:t>
            </w:r>
            <w:r w:rsidRPr="00682290">
              <w:t>1(</w:t>
            </w:r>
            <w:proofErr w:type="spellStart"/>
            <w:r w:rsidRPr="00682290">
              <w:t>xxiiiA</w:t>
            </w:r>
            <w:proofErr w:type="spellEnd"/>
            <w:r w:rsidRPr="00682290">
              <w:t>) of the Constitution); or</w:t>
            </w:r>
          </w:p>
          <w:p w14:paraId="1E7365EF" w14:textId="77777777" w:rsidR="00F16CFE" w:rsidRPr="00EC1099" w:rsidRDefault="00F16CFE" w:rsidP="00F16CFE">
            <w:pPr>
              <w:pStyle w:val="Tablea"/>
            </w:pPr>
            <w:r>
              <w:t xml:space="preserve">(c) </w:t>
            </w:r>
            <w:r w:rsidRPr="00682290">
              <w:t xml:space="preserve">with respect to </w:t>
            </w:r>
            <w:r>
              <w:t>Indigenous Australians</w:t>
            </w:r>
            <w:r w:rsidRPr="00682290">
              <w:t xml:space="preserve"> and particular groups of </w:t>
            </w:r>
            <w:r>
              <w:t>Indigenous Australians</w:t>
            </w:r>
            <w:r w:rsidRPr="00682290">
              <w:t>.</w:t>
            </w:r>
          </w:p>
        </w:tc>
      </w:tr>
      <w:tr w:rsidR="00F16CFE" w:rsidRPr="0029012B" w14:paraId="1F128F65" w14:textId="77777777" w:rsidTr="00F7627F">
        <w:tc>
          <w:tcPr>
            <w:tcW w:w="515" w:type="pct"/>
            <w:tcBorders>
              <w:top w:val="single" w:sz="4" w:space="0" w:color="auto"/>
            </w:tcBorders>
            <w:shd w:val="clear" w:color="auto" w:fill="auto"/>
          </w:tcPr>
          <w:p w14:paraId="24AC7A73" w14:textId="42535194" w:rsidR="00F16CFE" w:rsidRDefault="000D2C1F" w:rsidP="00F16CFE">
            <w:pPr>
              <w:pStyle w:val="Tabletext"/>
            </w:pPr>
            <w:r>
              <w:lastRenderedPageBreak/>
              <w:t>736</w:t>
            </w:r>
          </w:p>
        </w:tc>
        <w:tc>
          <w:tcPr>
            <w:tcW w:w="1479" w:type="pct"/>
            <w:tcBorders>
              <w:top w:val="single" w:sz="4" w:space="0" w:color="auto"/>
            </w:tcBorders>
            <w:shd w:val="clear" w:color="auto" w:fill="auto"/>
          </w:tcPr>
          <w:p w14:paraId="07E2477A" w14:textId="77777777" w:rsidR="00F16CFE" w:rsidRPr="00682290" w:rsidRDefault="00F16CFE" w:rsidP="00F16CFE">
            <w:pPr>
              <w:pStyle w:val="Tabletext"/>
            </w:pPr>
            <w:r w:rsidRPr="00E90F71">
              <w:t>Indigenous Pharmacy Workforce Program</w:t>
            </w:r>
          </w:p>
        </w:tc>
        <w:tc>
          <w:tcPr>
            <w:tcW w:w="3006" w:type="pct"/>
            <w:tcBorders>
              <w:top w:val="single" w:sz="4" w:space="0" w:color="auto"/>
            </w:tcBorders>
            <w:shd w:val="clear" w:color="auto" w:fill="auto"/>
          </w:tcPr>
          <w:p w14:paraId="0EDCC18E" w14:textId="77777777" w:rsidR="00F16CFE" w:rsidRPr="00E90F71" w:rsidRDefault="00F16CFE" w:rsidP="00F16CFE">
            <w:pPr>
              <w:pStyle w:val="Tabletext"/>
            </w:pPr>
            <w:r w:rsidRPr="00E90F71">
              <w:t xml:space="preserve">To encourage and assist participation in the pharmacy workforce by </w:t>
            </w:r>
            <w:r>
              <w:t>Indigenous Australians</w:t>
            </w:r>
            <w:r w:rsidRPr="00E90F71">
              <w:t xml:space="preserve"> by providing:</w:t>
            </w:r>
          </w:p>
          <w:p w14:paraId="45FA1AD6" w14:textId="77777777" w:rsidR="00F16CFE" w:rsidRPr="00E90F71" w:rsidRDefault="00F16CFE" w:rsidP="00F16CFE">
            <w:pPr>
              <w:pStyle w:val="Tablea"/>
            </w:pPr>
            <w:r>
              <w:t>(a) s</w:t>
            </w:r>
            <w:r w:rsidRPr="00E90F71">
              <w:t xml:space="preserve">cholarships to </w:t>
            </w:r>
            <w:r>
              <w:t xml:space="preserve">Indigenous </w:t>
            </w:r>
            <w:r w:rsidRPr="00E90F71">
              <w:t>students for undergraduate or graduate entry studies in pharmacy; and</w:t>
            </w:r>
          </w:p>
          <w:p w14:paraId="26E44AB3" w14:textId="77777777" w:rsidR="00F16CFE" w:rsidRPr="00682290" w:rsidRDefault="00F16CFE" w:rsidP="00F16CFE">
            <w:pPr>
              <w:pStyle w:val="Tablea"/>
            </w:pPr>
            <w:r>
              <w:t xml:space="preserve">(b) </w:t>
            </w:r>
            <w:r w:rsidRPr="00E90F71">
              <w:t xml:space="preserve">funding to eligible pharmacies that employ and support </w:t>
            </w:r>
            <w:r>
              <w:t xml:space="preserve">Indigenous </w:t>
            </w:r>
            <w:r w:rsidRPr="00E90F71">
              <w:t>pharmacy assistants to enable the pharmacy assistants to complete pharmacy assistant training.</w:t>
            </w:r>
          </w:p>
        </w:tc>
      </w:tr>
    </w:tbl>
    <w:p w14:paraId="19907723" w14:textId="64203106" w:rsidR="0026777E" w:rsidRPr="0026777E" w:rsidRDefault="0026777E" w:rsidP="002D35B4">
      <w:pPr>
        <w:pStyle w:val="Tabletext"/>
      </w:pPr>
    </w:p>
    <w:sectPr w:rsidR="0026777E" w:rsidRPr="0026777E" w:rsidSect="002D69C3">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5C44" w14:textId="77777777" w:rsidR="007F2B70" w:rsidRDefault="007F2B70" w:rsidP="0048364F">
      <w:pPr>
        <w:spacing w:line="240" w:lineRule="auto"/>
      </w:pPr>
      <w:r>
        <w:separator/>
      </w:r>
    </w:p>
  </w:endnote>
  <w:endnote w:type="continuationSeparator" w:id="0">
    <w:p w14:paraId="78660FF3" w14:textId="77777777" w:rsidR="007F2B70" w:rsidRDefault="007F2B7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FAF0" w14:textId="48323BC7" w:rsidR="0048364F" w:rsidRPr="002D69C3" w:rsidRDefault="002D69C3" w:rsidP="002D69C3">
    <w:pPr>
      <w:pStyle w:val="Footer"/>
      <w:tabs>
        <w:tab w:val="clear" w:pos="4153"/>
        <w:tab w:val="clear" w:pos="8306"/>
        <w:tab w:val="center" w:pos="4150"/>
        <w:tab w:val="right" w:pos="8307"/>
      </w:tabs>
      <w:spacing w:before="120"/>
      <w:rPr>
        <w:i/>
        <w:sz w:val="18"/>
      </w:rPr>
    </w:pPr>
    <w:r w:rsidRPr="002D69C3">
      <w:rPr>
        <w:i/>
        <w:sz w:val="18"/>
      </w:rPr>
      <w:t>OPC67438 -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AC71" w14:textId="77777777" w:rsidR="0048364F" w:rsidRDefault="0048364F" w:rsidP="00E97334"/>
  <w:p w14:paraId="6C713A09" w14:textId="1E4C0C20" w:rsidR="00E97334" w:rsidRPr="002D69C3" w:rsidRDefault="002D69C3" w:rsidP="002D69C3">
    <w:pPr>
      <w:rPr>
        <w:rFonts w:cs="Times New Roman"/>
        <w:i/>
        <w:sz w:val="18"/>
      </w:rPr>
    </w:pPr>
    <w:r w:rsidRPr="002D69C3">
      <w:rPr>
        <w:rFonts w:cs="Times New Roman"/>
        <w:i/>
        <w:sz w:val="18"/>
      </w:rPr>
      <w:t>OPC67438 -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DBDF" w14:textId="73105AF2" w:rsidR="0048364F" w:rsidRPr="002D69C3" w:rsidRDefault="002D69C3" w:rsidP="002D69C3">
    <w:pPr>
      <w:pStyle w:val="Footer"/>
      <w:tabs>
        <w:tab w:val="clear" w:pos="4153"/>
        <w:tab w:val="clear" w:pos="8306"/>
        <w:tab w:val="center" w:pos="4150"/>
        <w:tab w:val="right" w:pos="8307"/>
      </w:tabs>
      <w:spacing w:before="120"/>
      <w:rPr>
        <w:i/>
        <w:sz w:val="18"/>
      </w:rPr>
    </w:pPr>
    <w:r w:rsidRPr="002D69C3">
      <w:rPr>
        <w:i/>
        <w:sz w:val="18"/>
      </w:rPr>
      <w:t>OPC67438 -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37C5"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2E0897E9" w14:textId="77777777" w:rsidTr="00B75A4B">
      <w:tc>
        <w:tcPr>
          <w:tcW w:w="709" w:type="dxa"/>
          <w:tcBorders>
            <w:top w:val="nil"/>
            <w:left w:val="nil"/>
            <w:bottom w:val="nil"/>
            <w:right w:val="nil"/>
          </w:tcBorders>
        </w:tcPr>
        <w:p w14:paraId="34AD51A4"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7821C895" w14:textId="7A4E864A"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D75BA">
            <w:rPr>
              <w:i/>
              <w:sz w:val="18"/>
            </w:rPr>
            <w:t>Financial Framework (Supplementary Powers) Amendment (Health, Disability and Ageing Measures No. 2) Regulations 2025</w:t>
          </w:r>
          <w:r w:rsidRPr="007A1328">
            <w:rPr>
              <w:i/>
              <w:sz w:val="18"/>
            </w:rPr>
            <w:fldChar w:fldCharType="end"/>
          </w:r>
        </w:p>
      </w:tc>
      <w:tc>
        <w:tcPr>
          <w:tcW w:w="1384" w:type="dxa"/>
          <w:tcBorders>
            <w:top w:val="nil"/>
            <w:left w:val="nil"/>
            <w:bottom w:val="nil"/>
            <w:right w:val="nil"/>
          </w:tcBorders>
        </w:tcPr>
        <w:p w14:paraId="4318EB53" w14:textId="77777777" w:rsidR="00A136F5" w:rsidRDefault="00A136F5" w:rsidP="00830B62">
          <w:pPr>
            <w:spacing w:line="0" w:lineRule="atLeast"/>
            <w:jc w:val="right"/>
            <w:rPr>
              <w:sz w:val="18"/>
            </w:rPr>
          </w:pPr>
        </w:p>
      </w:tc>
    </w:tr>
  </w:tbl>
  <w:p w14:paraId="41C18A55" w14:textId="557DE51B" w:rsidR="00A136F5" w:rsidRPr="002D69C3" w:rsidRDefault="002D69C3" w:rsidP="002D69C3">
    <w:pPr>
      <w:rPr>
        <w:rFonts w:cs="Times New Roman"/>
        <w:i/>
        <w:sz w:val="18"/>
      </w:rPr>
    </w:pPr>
    <w:r w:rsidRPr="002D69C3">
      <w:rPr>
        <w:rFonts w:cs="Times New Roman"/>
        <w:i/>
        <w:sz w:val="18"/>
      </w:rPr>
      <w:t>OPC67438 -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97C"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6C578C4E" w14:textId="77777777" w:rsidTr="00B75A4B">
      <w:tc>
        <w:tcPr>
          <w:tcW w:w="1383" w:type="dxa"/>
          <w:tcBorders>
            <w:top w:val="nil"/>
            <w:left w:val="nil"/>
            <w:bottom w:val="nil"/>
            <w:right w:val="nil"/>
          </w:tcBorders>
        </w:tcPr>
        <w:p w14:paraId="4974C5D5" w14:textId="77777777" w:rsidR="00A136F5" w:rsidRDefault="00A136F5" w:rsidP="00830B62">
          <w:pPr>
            <w:spacing w:line="0" w:lineRule="atLeast"/>
            <w:rPr>
              <w:sz w:val="18"/>
            </w:rPr>
          </w:pPr>
        </w:p>
      </w:tc>
      <w:tc>
        <w:tcPr>
          <w:tcW w:w="6379" w:type="dxa"/>
          <w:tcBorders>
            <w:top w:val="nil"/>
            <w:left w:val="nil"/>
            <w:bottom w:val="nil"/>
            <w:right w:val="nil"/>
          </w:tcBorders>
        </w:tcPr>
        <w:p w14:paraId="1FD669C7" w14:textId="7ECA4604"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D75BA">
            <w:rPr>
              <w:i/>
              <w:sz w:val="18"/>
            </w:rPr>
            <w:t>Financial Framework (Supplementary Powers) Amendment (Health, Disability and Ageing Measures No. 2) Regulations 2025</w:t>
          </w:r>
          <w:r w:rsidRPr="007A1328">
            <w:rPr>
              <w:i/>
              <w:sz w:val="18"/>
            </w:rPr>
            <w:fldChar w:fldCharType="end"/>
          </w:r>
        </w:p>
      </w:tc>
      <w:tc>
        <w:tcPr>
          <w:tcW w:w="710" w:type="dxa"/>
          <w:tcBorders>
            <w:top w:val="nil"/>
            <w:left w:val="nil"/>
            <w:bottom w:val="nil"/>
            <w:right w:val="nil"/>
          </w:tcBorders>
        </w:tcPr>
        <w:p w14:paraId="7FA4B242"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3CFCD128" w14:textId="4A2C21BA" w:rsidR="00A136F5" w:rsidRPr="002D69C3" w:rsidRDefault="002D69C3" w:rsidP="002D69C3">
    <w:pPr>
      <w:rPr>
        <w:rFonts w:cs="Times New Roman"/>
        <w:i/>
        <w:sz w:val="18"/>
      </w:rPr>
    </w:pPr>
    <w:r w:rsidRPr="002D69C3">
      <w:rPr>
        <w:rFonts w:cs="Times New Roman"/>
        <w:i/>
        <w:sz w:val="18"/>
      </w:rPr>
      <w:t>OPC67438 -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27E"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5A904545" w14:textId="77777777" w:rsidTr="00B75A4B">
      <w:tc>
        <w:tcPr>
          <w:tcW w:w="709" w:type="dxa"/>
          <w:tcBorders>
            <w:top w:val="nil"/>
            <w:left w:val="nil"/>
            <w:bottom w:val="nil"/>
            <w:right w:val="nil"/>
          </w:tcBorders>
        </w:tcPr>
        <w:p w14:paraId="3AE16965"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74951790" w14:textId="5EE7A4D9"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D75BA">
            <w:rPr>
              <w:i/>
              <w:sz w:val="18"/>
            </w:rPr>
            <w:t>Financial Framework (Supplementary Powers) Amendment (Health, Disability and Ageing Measures No. 2) Regulations 2025</w:t>
          </w:r>
          <w:r w:rsidRPr="007A1328">
            <w:rPr>
              <w:i/>
              <w:sz w:val="18"/>
            </w:rPr>
            <w:fldChar w:fldCharType="end"/>
          </w:r>
        </w:p>
      </w:tc>
      <w:tc>
        <w:tcPr>
          <w:tcW w:w="1384" w:type="dxa"/>
          <w:tcBorders>
            <w:top w:val="nil"/>
            <w:left w:val="nil"/>
            <w:bottom w:val="nil"/>
            <w:right w:val="nil"/>
          </w:tcBorders>
        </w:tcPr>
        <w:p w14:paraId="16B5E148" w14:textId="77777777" w:rsidR="00A136F5" w:rsidRDefault="00A136F5" w:rsidP="00830B62">
          <w:pPr>
            <w:spacing w:line="0" w:lineRule="atLeast"/>
            <w:jc w:val="right"/>
            <w:rPr>
              <w:sz w:val="18"/>
            </w:rPr>
          </w:pPr>
        </w:p>
      </w:tc>
    </w:tr>
  </w:tbl>
  <w:p w14:paraId="08A76DA3" w14:textId="3FF95C29" w:rsidR="00A136F5" w:rsidRPr="002D69C3" w:rsidRDefault="002D69C3" w:rsidP="002D69C3">
    <w:pPr>
      <w:rPr>
        <w:rFonts w:cs="Times New Roman"/>
        <w:i/>
        <w:sz w:val="18"/>
      </w:rPr>
    </w:pPr>
    <w:r w:rsidRPr="002D69C3">
      <w:rPr>
        <w:rFonts w:cs="Times New Roman"/>
        <w:i/>
        <w:sz w:val="18"/>
      </w:rPr>
      <w:t>OPC67438 -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C9F7"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6108476D" w14:textId="77777777" w:rsidTr="000C45A2">
      <w:tc>
        <w:tcPr>
          <w:tcW w:w="1384" w:type="dxa"/>
          <w:tcBorders>
            <w:top w:val="nil"/>
            <w:left w:val="nil"/>
            <w:bottom w:val="nil"/>
            <w:right w:val="nil"/>
          </w:tcBorders>
        </w:tcPr>
        <w:p w14:paraId="0CACD366" w14:textId="77777777" w:rsidR="007A6863" w:rsidRDefault="007A6863" w:rsidP="000C45A2">
          <w:pPr>
            <w:spacing w:line="0" w:lineRule="atLeast"/>
            <w:rPr>
              <w:sz w:val="18"/>
            </w:rPr>
          </w:pPr>
        </w:p>
      </w:tc>
      <w:tc>
        <w:tcPr>
          <w:tcW w:w="6379" w:type="dxa"/>
          <w:tcBorders>
            <w:top w:val="nil"/>
            <w:left w:val="nil"/>
            <w:bottom w:val="nil"/>
            <w:right w:val="nil"/>
          </w:tcBorders>
        </w:tcPr>
        <w:p w14:paraId="5D36B6E6" w14:textId="1B023CBA"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D75BA">
            <w:rPr>
              <w:i/>
              <w:sz w:val="18"/>
            </w:rPr>
            <w:t>Financial Framework (Supplementary Powers) Amendment (Health, Disability and Ageing Measures No. 2) Regulations 2025</w:t>
          </w:r>
          <w:r w:rsidRPr="007A1328">
            <w:rPr>
              <w:i/>
              <w:sz w:val="18"/>
            </w:rPr>
            <w:fldChar w:fldCharType="end"/>
          </w:r>
        </w:p>
      </w:tc>
      <w:tc>
        <w:tcPr>
          <w:tcW w:w="709" w:type="dxa"/>
          <w:tcBorders>
            <w:top w:val="nil"/>
            <w:left w:val="nil"/>
            <w:bottom w:val="nil"/>
            <w:right w:val="nil"/>
          </w:tcBorders>
        </w:tcPr>
        <w:p w14:paraId="171378A6"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5461F154" w14:textId="59CB2BED" w:rsidR="007A6863" w:rsidRPr="002D69C3" w:rsidRDefault="002D69C3" w:rsidP="002D69C3">
    <w:pPr>
      <w:rPr>
        <w:rFonts w:cs="Times New Roman"/>
        <w:i/>
        <w:sz w:val="18"/>
      </w:rPr>
    </w:pPr>
    <w:r w:rsidRPr="002D69C3">
      <w:rPr>
        <w:rFonts w:cs="Times New Roman"/>
        <w:i/>
        <w:sz w:val="18"/>
      </w:rPr>
      <w:t>OPC67438 -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D6F"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1A9AF555" w14:textId="77777777" w:rsidTr="007A6863">
      <w:tc>
        <w:tcPr>
          <w:tcW w:w="1384" w:type="dxa"/>
          <w:tcBorders>
            <w:top w:val="nil"/>
            <w:left w:val="nil"/>
            <w:bottom w:val="nil"/>
            <w:right w:val="nil"/>
          </w:tcBorders>
        </w:tcPr>
        <w:p w14:paraId="678E489A" w14:textId="77777777" w:rsidR="00A136F5" w:rsidRDefault="00A136F5" w:rsidP="00830B62">
          <w:pPr>
            <w:spacing w:line="0" w:lineRule="atLeast"/>
            <w:rPr>
              <w:sz w:val="18"/>
            </w:rPr>
          </w:pPr>
        </w:p>
      </w:tc>
      <w:tc>
        <w:tcPr>
          <w:tcW w:w="6379" w:type="dxa"/>
          <w:tcBorders>
            <w:top w:val="nil"/>
            <w:left w:val="nil"/>
            <w:bottom w:val="nil"/>
            <w:right w:val="nil"/>
          </w:tcBorders>
        </w:tcPr>
        <w:p w14:paraId="588430C2" w14:textId="2068817A"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D75BA">
            <w:rPr>
              <w:i/>
              <w:sz w:val="18"/>
            </w:rPr>
            <w:t>Financial Framework (Supplementary Powers) Amendment (Health, Disability and Ageing Measures No. 2) Regulations 2025</w:t>
          </w:r>
          <w:r w:rsidRPr="007A1328">
            <w:rPr>
              <w:i/>
              <w:sz w:val="18"/>
            </w:rPr>
            <w:fldChar w:fldCharType="end"/>
          </w:r>
        </w:p>
      </w:tc>
      <w:tc>
        <w:tcPr>
          <w:tcW w:w="709" w:type="dxa"/>
          <w:tcBorders>
            <w:top w:val="nil"/>
            <w:left w:val="nil"/>
            <w:bottom w:val="nil"/>
            <w:right w:val="nil"/>
          </w:tcBorders>
        </w:tcPr>
        <w:p w14:paraId="624F6322"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770FD267" w14:textId="62610B3F" w:rsidR="00A136F5" w:rsidRPr="002D69C3" w:rsidRDefault="002D69C3" w:rsidP="002D69C3">
    <w:pPr>
      <w:rPr>
        <w:rFonts w:cs="Times New Roman"/>
        <w:i/>
        <w:sz w:val="18"/>
      </w:rPr>
    </w:pPr>
    <w:r w:rsidRPr="002D69C3">
      <w:rPr>
        <w:rFonts w:cs="Times New Roman"/>
        <w:i/>
        <w:sz w:val="18"/>
      </w:rPr>
      <w:t>OPC67438 -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60AB" w14:textId="77777777" w:rsidR="007F2B70" w:rsidRDefault="007F2B70" w:rsidP="0048364F">
      <w:pPr>
        <w:spacing w:line="240" w:lineRule="auto"/>
      </w:pPr>
      <w:r>
        <w:separator/>
      </w:r>
    </w:p>
  </w:footnote>
  <w:footnote w:type="continuationSeparator" w:id="0">
    <w:p w14:paraId="571C0C34" w14:textId="77777777" w:rsidR="007F2B70" w:rsidRDefault="007F2B7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0011" w14:textId="6EDD3BA6"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77EF" w14:textId="5F843B21"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6E20"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BF3A" w14:textId="0E454FC2"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E1CA" w14:textId="42C4AD9E"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3DC3"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C0B0" w14:textId="4D5A8BB4"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6E4B15">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6E4B15">
      <w:rPr>
        <w:noProof/>
        <w:sz w:val="20"/>
      </w:rPr>
      <w:t>Amendments</w:t>
    </w:r>
    <w:r>
      <w:rPr>
        <w:sz w:val="20"/>
      </w:rPr>
      <w:fldChar w:fldCharType="end"/>
    </w:r>
  </w:p>
  <w:p w14:paraId="6997EB63" w14:textId="4403FD64"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042E31CD"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6D8E" w14:textId="3D48D4A8"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46A4C451" w14:textId="7CF2B958"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3A0C2833"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CDA4"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70540"/>
    <w:multiLevelType w:val="hybridMultilevel"/>
    <w:tmpl w:val="F648CE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5B621C"/>
    <w:multiLevelType w:val="hybridMultilevel"/>
    <w:tmpl w:val="257450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885F1B"/>
    <w:multiLevelType w:val="hybridMultilevel"/>
    <w:tmpl w:val="9C20FD50"/>
    <w:lvl w:ilvl="0" w:tplc="0C090017">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F57FE2"/>
    <w:multiLevelType w:val="hybridMultilevel"/>
    <w:tmpl w:val="C38422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30B63E4"/>
    <w:multiLevelType w:val="hybridMultilevel"/>
    <w:tmpl w:val="77D21CF4"/>
    <w:lvl w:ilvl="0" w:tplc="0C090017">
      <w:start w:val="1"/>
      <w:numFmt w:val="lowerLetter"/>
      <w:lvlText w:val="%1)"/>
      <w:lvlJc w:val="left"/>
      <w:pPr>
        <w:ind w:left="774" w:hanging="360"/>
      </w:pPr>
      <w:rPr>
        <w:rFonts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3044347"/>
    <w:multiLevelType w:val="hybridMultilevel"/>
    <w:tmpl w:val="720E2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7A5CB4"/>
    <w:multiLevelType w:val="hybridMultilevel"/>
    <w:tmpl w:val="EE2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06787F"/>
    <w:multiLevelType w:val="hybridMultilevel"/>
    <w:tmpl w:val="EB9A1CD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6" w15:restartNumberingAfterBreak="0">
    <w:nsid w:val="6AB85B2C"/>
    <w:multiLevelType w:val="hybridMultilevel"/>
    <w:tmpl w:val="C0C6EA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76A76F6"/>
    <w:multiLevelType w:val="hybridMultilevel"/>
    <w:tmpl w:val="38BE2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20"/>
  </w:num>
  <w:num w:numId="12" w16cid:durableId="1033462624">
    <w:abstractNumId w:val="11"/>
  </w:num>
  <w:num w:numId="13" w16cid:durableId="1370838430">
    <w:abstractNumId w:val="13"/>
  </w:num>
  <w:num w:numId="14" w16cid:durableId="818302223">
    <w:abstractNumId w:val="17"/>
  </w:num>
  <w:num w:numId="15" w16cid:durableId="960771554">
    <w:abstractNumId w:val="15"/>
  </w:num>
  <w:num w:numId="16" w16cid:durableId="1658803668">
    <w:abstractNumId w:val="10"/>
  </w:num>
  <w:num w:numId="17" w16cid:durableId="361974480">
    <w:abstractNumId w:val="22"/>
  </w:num>
  <w:num w:numId="18" w16cid:durableId="1206143016">
    <w:abstractNumId w:val="21"/>
  </w:num>
  <w:num w:numId="19" w16cid:durableId="210043352">
    <w:abstractNumId w:val="27"/>
  </w:num>
  <w:num w:numId="20" w16cid:durableId="1280720588">
    <w:abstractNumId w:val="25"/>
  </w:num>
  <w:num w:numId="21" w16cid:durableId="1147893864">
    <w:abstractNumId w:val="14"/>
  </w:num>
  <w:num w:numId="22" w16cid:durableId="1250655592">
    <w:abstractNumId w:val="16"/>
  </w:num>
  <w:num w:numId="23" w16cid:durableId="1974947082">
    <w:abstractNumId w:val="19"/>
  </w:num>
  <w:num w:numId="24" w16cid:durableId="1978804561">
    <w:abstractNumId w:val="23"/>
  </w:num>
  <w:num w:numId="25" w16cid:durableId="696468695">
    <w:abstractNumId w:val="12"/>
  </w:num>
  <w:num w:numId="26" w16cid:durableId="1987541869">
    <w:abstractNumId w:val="24"/>
  </w:num>
  <w:num w:numId="27" w16cid:durableId="1382290894">
    <w:abstractNumId w:val="18"/>
  </w:num>
  <w:num w:numId="28" w16cid:durableId="871575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A11"/>
    <w:rsid w:val="00000263"/>
    <w:rsid w:val="00006550"/>
    <w:rsid w:val="000113BC"/>
    <w:rsid w:val="000136AF"/>
    <w:rsid w:val="0002043D"/>
    <w:rsid w:val="0002573B"/>
    <w:rsid w:val="00036E24"/>
    <w:rsid w:val="0004044E"/>
    <w:rsid w:val="000413AC"/>
    <w:rsid w:val="00044411"/>
    <w:rsid w:val="00045EC0"/>
    <w:rsid w:val="00045F5D"/>
    <w:rsid w:val="00046F47"/>
    <w:rsid w:val="0005120E"/>
    <w:rsid w:val="00054577"/>
    <w:rsid w:val="00061420"/>
    <w:rsid w:val="000614BF"/>
    <w:rsid w:val="0007169C"/>
    <w:rsid w:val="00077593"/>
    <w:rsid w:val="00083F48"/>
    <w:rsid w:val="000A7DF9"/>
    <w:rsid w:val="000B072B"/>
    <w:rsid w:val="000C4BE8"/>
    <w:rsid w:val="000C673D"/>
    <w:rsid w:val="000D05EF"/>
    <w:rsid w:val="000D06A2"/>
    <w:rsid w:val="000D2C1F"/>
    <w:rsid w:val="000D5485"/>
    <w:rsid w:val="000E2B47"/>
    <w:rsid w:val="000F1124"/>
    <w:rsid w:val="000F21C1"/>
    <w:rsid w:val="00105D72"/>
    <w:rsid w:val="0010745C"/>
    <w:rsid w:val="00117277"/>
    <w:rsid w:val="0012682F"/>
    <w:rsid w:val="001514AC"/>
    <w:rsid w:val="00155873"/>
    <w:rsid w:val="00160AA6"/>
    <w:rsid w:val="00160BD7"/>
    <w:rsid w:val="001643C9"/>
    <w:rsid w:val="00165568"/>
    <w:rsid w:val="00166082"/>
    <w:rsid w:val="00166C2F"/>
    <w:rsid w:val="001716C9"/>
    <w:rsid w:val="001724B2"/>
    <w:rsid w:val="00184261"/>
    <w:rsid w:val="00190BA1"/>
    <w:rsid w:val="00190DF5"/>
    <w:rsid w:val="001927F7"/>
    <w:rsid w:val="00193461"/>
    <w:rsid w:val="001939E1"/>
    <w:rsid w:val="001943A0"/>
    <w:rsid w:val="00195382"/>
    <w:rsid w:val="0019671A"/>
    <w:rsid w:val="001A1BF2"/>
    <w:rsid w:val="001A336E"/>
    <w:rsid w:val="001A3B9F"/>
    <w:rsid w:val="001A4302"/>
    <w:rsid w:val="001A65C0"/>
    <w:rsid w:val="001A7AC8"/>
    <w:rsid w:val="001B6456"/>
    <w:rsid w:val="001B7A5D"/>
    <w:rsid w:val="001C04A2"/>
    <w:rsid w:val="001C69C4"/>
    <w:rsid w:val="001C70D9"/>
    <w:rsid w:val="001C7B5C"/>
    <w:rsid w:val="001D7497"/>
    <w:rsid w:val="001E0A8D"/>
    <w:rsid w:val="001E3590"/>
    <w:rsid w:val="001E7407"/>
    <w:rsid w:val="001F369B"/>
    <w:rsid w:val="0020086F"/>
    <w:rsid w:val="00201D27"/>
    <w:rsid w:val="0020300C"/>
    <w:rsid w:val="00204322"/>
    <w:rsid w:val="00205D5B"/>
    <w:rsid w:val="002060EE"/>
    <w:rsid w:val="00220A0C"/>
    <w:rsid w:val="00223E4A"/>
    <w:rsid w:val="002302EA"/>
    <w:rsid w:val="00240749"/>
    <w:rsid w:val="00246675"/>
    <w:rsid w:val="002468D7"/>
    <w:rsid w:val="00263886"/>
    <w:rsid w:val="0026777E"/>
    <w:rsid w:val="00271436"/>
    <w:rsid w:val="00274F15"/>
    <w:rsid w:val="00285CDD"/>
    <w:rsid w:val="00291167"/>
    <w:rsid w:val="00297ECB"/>
    <w:rsid w:val="002A1252"/>
    <w:rsid w:val="002A205E"/>
    <w:rsid w:val="002A6685"/>
    <w:rsid w:val="002C152A"/>
    <w:rsid w:val="002D043A"/>
    <w:rsid w:val="002D35B4"/>
    <w:rsid w:val="002D69C3"/>
    <w:rsid w:val="002F10B0"/>
    <w:rsid w:val="002F2A93"/>
    <w:rsid w:val="003010B5"/>
    <w:rsid w:val="0031713F"/>
    <w:rsid w:val="003173B2"/>
    <w:rsid w:val="00321913"/>
    <w:rsid w:val="00324EE6"/>
    <w:rsid w:val="003271F2"/>
    <w:rsid w:val="003316DC"/>
    <w:rsid w:val="00332E0D"/>
    <w:rsid w:val="003415D3"/>
    <w:rsid w:val="00346335"/>
    <w:rsid w:val="00351084"/>
    <w:rsid w:val="00352B0F"/>
    <w:rsid w:val="00353D7A"/>
    <w:rsid w:val="003561B0"/>
    <w:rsid w:val="00367960"/>
    <w:rsid w:val="00372374"/>
    <w:rsid w:val="00384308"/>
    <w:rsid w:val="00393AE6"/>
    <w:rsid w:val="003A15AC"/>
    <w:rsid w:val="003A56EB"/>
    <w:rsid w:val="003A6B97"/>
    <w:rsid w:val="003B0627"/>
    <w:rsid w:val="003B32D3"/>
    <w:rsid w:val="003C2993"/>
    <w:rsid w:val="003C47EF"/>
    <w:rsid w:val="003C488C"/>
    <w:rsid w:val="003C5F2B"/>
    <w:rsid w:val="003C6388"/>
    <w:rsid w:val="003D0368"/>
    <w:rsid w:val="003D0BFE"/>
    <w:rsid w:val="003D5700"/>
    <w:rsid w:val="003D6E26"/>
    <w:rsid w:val="003F0F5A"/>
    <w:rsid w:val="003F795B"/>
    <w:rsid w:val="003F7F9D"/>
    <w:rsid w:val="00400A30"/>
    <w:rsid w:val="004022CA"/>
    <w:rsid w:val="00407238"/>
    <w:rsid w:val="004116CD"/>
    <w:rsid w:val="00414ADE"/>
    <w:rsid w:val="00424CA9"/>
    <w:rsid w:val="004257BB"/>
    <w:rsid w:val="004261D9"/>
    <w:rsid w:val="004360C8"/>
    <w:rsid w:val="0044291A"/>
    <w:rsid w:val="0045218F"/>
    <w:rsid w:val="00460499"/>
    <w:rsid w:val="004623E3"/>
    <w:rsid w:val="004639E2"/>
    <w:rsid w:val="00474835"/>
    <w:rsid w:val="00477986"/>
    <w:rsid w:val="004819C7"/>
    <w:rsid w:val="0048364F"/>
    <w:rsid w:val="00490F2E"/>
    <w:rsid w:val="00492FDE"/>
    <w:rsid w:val="00496DB3"/>
    <w:rsid w:val="00496F97"/>
    <w:rsid w:val="004A53EA"/>
    <w:rsid w:val="004B2DEF"/>
    <w:rsid w:val="004E3529"/>
    <w:rsid w:val="004F1FAC"/>
    <w:rsid w:val="004F676E"/>
    <w:rsid w:val="00516B8D"/>
    <w:rsid w:val="00523D8D"/>
    <w:rsid w:val="00525D8A"/>
    <w:rsid w:val="00526263"/>
    <w:rsid w:val="0052686F"/>
    <w:rsid w:val="0052756C"/>
    <w:rsid w:val="00530230"/>
    <w:rsid w:val="00530BB7"/>
    <w:rsid w:val="00530CC9"/>
    <w:rsid w:val="00531A76"/>
    <w:rsid w:val="00537FBC"/>
    <w:rsid w:val="00541D73"/>
    <w:rsid w:val="00543469"/>
    <w:rsid w:val="005452CC"/>
    <w:rsid w:val="00546FA3"/>
    <w:rsid w:val="00554243"/>
    <w:rsid w:val="00557C7A"/>
    <w:rsid w:val="00562A58"/>
    <w:rsid w:val="00581211"/>
    <w:rsid w:val="00584811"/>
    <w:rsid w:val="00593AA6"/>
    <w:rsid w:val="00594161"/>
    <w:rsid w:val="00594512"/>
    <w:rsid w:val="00594749"/>
    <w:rsid w:val="005A482B"/>
    <w:rsid w:val="005A4C9A"/>
    <w:rsid w:val="005A5A94"/>
    <w:rsid w:val="005B2ADA"/>
    <w:rsid w:val="005B4067"/>
    <w:rsid w:val="005C1E2C"/>
    <w:rsid w:val="005C36E0"/>
    <w:rsid w:val="005C3F41"/>
    <w:rsid w:val="005C6EE3"/>
    <w:rsid w:val="005D168D"/>
    <w:rsid w:val="005D5EA1"/>
    <w:rsid w:val="005E61D3"/>
    <w:rsid w:val="005E77C4"/>
    <w:rsid w:val="005F4840"/>
    <w:rsid w:val="005F7738"/>
    <w:rsid w:val="00600219"/>
    <w:rsid w:val="00613EAD"/>
    <w:rsid w:val="006158AC"/>
    <w:rsid w:val="006210E5"/>
    <w:rsid w:val="0064028D"/>
    <w:rsid w:val="00640402"/>
    <w:rsid w:val="00640F78"/>
    <w:rsid w:val="00641EFD"/>
    <w:rsid w:val="0064311F"/>
    <w:rsid w:val="00646E7B"/>
    <w:rsid w:val="0065235A"/>
    <w:rsid w:val="00655D6A"/>
    <w:rsid w:val="00656DE9"/>
    <w:rsid w:val="00674769"/>
    <w:rsid w:val="00677CC2"/>
    <w:rsid w:val="00682290"/>
    <w:rsid w:val="00685F42"/>
    <w:rsid w:val="006866A1"/>
    <w:rsid w:val="0069207B"/>
    <w:rsid w:val="006A4309"/>
    <w:rsid w:val="006B0E55"/>
    <w:rsid w:val="006B7006"/>
    <w:rsid w:val="006C7F8C"/>
    <w:rsid w:val="006D317B"/>
    <w:rsid w:val="006D7AB9"/>
    <w:rsid w:val="006E4B15"/>
    <w:rsid w:val="006F585D"/>
    <w:rsid w:val="00700B2C"/>
    <w:rsid w:val="00705EB7"/>
    <w:rsid w:val="00706FFE"/>
    <w:rsid w:val="00713084"/>
    <w:rsid w:val="00720FC2"/>
    <w:rsid w:val="00724929"/>
    <w:rsid w:val="00731E00"/>
    <w:rsid w:val="007327CD"/>
    <w:rsid w:val="00732E9D"/>
    <w:rsid w:val="0073491A"/>
    <w:rsid w:val="007440B7"/>
    <w:rsid w:val="007444BB"/>
    <w:rsid w:val="007473C5"/>
    <w:rsid w:val="00747993"/>
    <w:rsid w:val="007634AD"/>
    <w:rsid w:val="007715C9"/>
    <w:rsid w:val="00774EDD"/>
    <w:rsid w:val="007757EC"/>
    <w:rsid w:val="007A0332"/>
    <w:rsid w:val="007A115D"/>
    <w:rsid w:val="007A35E6"/>
    <w:rsid w:val="007A4E70"/>
    <w:rsid w:val="007A6863"/>
    <w:rsid w:val="007C25CA"/>
    <w:rsid w:val="007C2E0C"/>
    <w:rsid w:val="007D45C1"/>
    <w:rsid w:val="007E3B0B"/>
    <w:rsid w:val="007E7D4A"/>
    <w:rsid w:val="007F2B70"/>
    <w:rsid w:val="007F48ED"/>
    <w:rsid w:val="007F7947"/>
    <w:rsid w:val="00803997"/>
    <w:rsid w:val="008073F6"/>
    <w:rsid w:val="00812F45"/>
    <w:rsid w:val="00821246"/>
    <w:rsid w:val="00823429"/>
    <w:rsid w:val="00823B55"/>
    <w:rsid w:val="0084172C"/>
    <w:rsid w:val="00856A31"/>
    <w:rsid w:val="00866A11"/>
    <w:rsid w:val="0087160E"/>
    <w:rsid w:val="008754D0"/>
    <w:rsid w:val="00877D48"/>
    <w:rsid w:val="008816F0"/>
    <w:rsid w:val="0088345B"/>
    <w:rsid w:val="00893109"/>
    <w:rsid w:val="008A16A5"/>
    <w:rsid w:val="008A1986"/>
    <w:rsid w:val="008A6024"/>
    <w:rsid w:val="008B01D4"/>
    <w:rsid w:val="008B5D42"/>
    <w:rsid w:val="008B7626"/>
    <w:rsid w:val="008C2B5D"/>
    <w:rsid w:val="008D0EE0"/>
    <w:rsid w:val="008D5113"/>
    <w:rsid w:val="008D5B99"/>
    <w:rsid w:val="008D7A27"/>
    <w:rsid w:val="008E4702"/>
    <w:rsid w:val="008E69AA"/>
    <w:rsid w:val="008F46F1"/>
    <w:rsid w:val="008F4F1C"/>
    <w:rsid w:val="00900CD7"/>
    <w:rsid w:val="00911310"/>
    <w:rsid w:val="00915101"/>
    <w:rsid w:val="00922764"/>
    <w:rsid w:val="00925627"/>
    <w:rsid w:val="00932377"/>
    <w:rsid w:val="009408EA"/>
    <w:rsid w:val="00943102"/>
    <w:rsid w:val="00944307"/>
    <w:rsid w:val="0094523D"/>
    <w:rsid w:val="009559E6"/>
    <w:rsid w:val="00970D1E"/>
    <w:rsid w:val="00976A63"/>
    <w:rsid w:val="00983419"/>
    <w:rsid w:val="00983B05"/>
    <w:rsid w:val="00985D55"/>
    <w:rsid w:val="00994821"/>
    <w:rsid w:val="009C3431"/>
    <w:rsid w:val="009C4C35"/>
    <w:rsid w:val="009C5989"/>
    <w:rsid w:val="009D08DA"/>
    <w:rsid w:val="009F2C0E"/>
    <w:rsid w:val="00A00F9C"/>
    <w:rsid w:val="00A06860"/>
    <w:rsid w:val="00A07DE4"/>
    <w:rsid w:val="00A136F5"/>
    <w:rsid w:val="00A231E2"/>
    <w:rsid w:val="00A2550D"/>
    <w:rsid w:val="00A33AEC"/>
    <w:rsid w:val="00A3789F"/>
    <w:rsid w:val="00A4169B"/>
    <w:rsid w:val="00A445F2"/>
    <w:rsid w:val="00A50D55"/>
    <w:rsid w:val="00A5165B"/>
    <w:rsid w:val="00A52FDA"/>
    <w:rsid w:val="00A57A47"/>
    <w:rsid w:val="00A6108E"/>
    <w:rsid w:val="00A64912"/>
    <w:rsid w:val="00A70A74"/>
    <w:rsid w:val="00A80CC6"/>
    <w:rsid w:val="00A90EA8"/>
    <w:rsid w:val="00A95A6D"/>
    <w:rsid w:val="00AA0343"/>
    <w:rsid w:val="00AA2A5C"/>
    <w:rsid w:val="00AB75A5"/>
    <w:rsid w:val="00AB78E9"/>
    <w:rsid w:val="00AD2E09"/>
    <w:rsid w:val="00AD3467"/>
    <w:rsid w:val="00AD5641"/>
    <w:rsid w:val="00AD7252"/>
    <w:rsid w:val="00AE06EF"/>
    <w:rsid w:val="00AE0F9B"/>
    <w:rsid w:val="00AF40DE"/>
    <w:rsid w:val="00AF4117"/>
    <w:rsid w:val="00AF55FF"/>
    <w:rsid w:val="00B032D8"/>
    <w:rsid w:val="00B10546"/>
    <w:rsid w:val="00B12365"/>
    <w:rsid w:val="00B1360D"/>
    <w:rsid w:val="00B3140B"/>
    <w:rsid w:val="00B33B3C"/>
    <w:rsid w:val="00B40D74"/>
    <w:rsid w:val="00B43769"/>
    <w:rsid w:val="00B52663"/>
    <w:rsid w:val="00B56DCB"/>
    <w:rsid w:val="00B75A4B"/>
    <w:rsid w:val="00B770D2"/>
    <w:rsid w:val="00B8575B"/>
    <w:rsid w:val="00B94F68"/>
    <w:rsid w:val="00BA47A3"/>
    <w:rsid w:val="00BA5026"/>
    <w:rsid w:val="00BB646F"/>
    <w:rsid w:val="00BB6E79"/>
    <w:rsid w:val="00BE3B31"/>
    <w:rsid w:val="00BE719A"/>
    <w:rsid w:val="00BE720A"/>
    <w:rsid w:val="00BF6650"/>
    <w:rsid w:val="00C040AA"/>
    <w:rsid w:val="00C067E5"/>
    <w:rsid w:val="00C13030"/>
    <w:rsid w:val="00C164CA"/>
    <w:rsid w:val="00C42BF8"/>
    <w:rsid w:val="00C460AE"/>
    <w:rsid w:val="00C50043"/>
    <w:rsid w:val="00C50A0F"/>
    <w:rsid w:val="00C5407F"/>
    <w:rsid w:val="00C6507A"/>
    <w:rsid w:val="00C7573B"/>
    <w:rsid w:val="00C76CF3"/>
    <w:rsid w:val="00CA3BC3"/>
    <w:rsid w:val="00CA7844"/>
    <w:rsid w:val="00CB5499"/>
    <w:rsid w:val="00CB58EF"/>
    <w:rsid w:val="00CE7D64"/>
    <w:rsid w:val="00CF0BB2"/>
    <w:rsid w:val="00CF5B86"/>
    <w:rsid w:val="00D10B02"/>
    <w:rsid w:val="00D13441"/>
    <w:rsid w:val="00D20665"/>
    <w:rsid w:val="00D21D8B"/>
    <w:rsid w:val="00D23DC4"/>
    <w:rsid w:val="00D243A3"/>
    <w:rsid w:val="00D3200B"/>
    <w:rsid w:val="00D33440"/>
    <w:rsid w:val="00D416CA"/>
    <w:rsid w:val="00D52EFE"/>
    <w:rsid w:val="00D56A0D"/>
    <w:rsid w:val="00D5767F"/>
    <w:rsid w:val="00D63EF6"/>
    <w:rsid w:val="00D66518"/>
    <w:rsid w:val="00D70CCF"/>
    <w:rsid w:val="00D70DFB"/>
    <w:rsid w:val="00D71EEA"/>
    <w:rsid w:val="00D735CD"/>
    <w:rsid w:val="00D73D71"/>
    <w:rsid w:val="00D73EB7"/>
    <w:rsid w:val="00D7664D"/>
    <w:rsid w:val="00D766DF"/>
    <w:rsid w:val="00D81BEC"/>
    <w:rsid w:val="00D95891"/>
    <w:rsid w:val="00DB5CB4"/>
    <w:rsid w:val="00DC00F8"/>
    <w:rsid w:val="00DC2A1B"/>
    <w:rsid w:val="00DC4E8C"/>
    <w:rsid w:val="00DD014A"/>
    <w:rsid w:val="00DD5A9E"/>
    <w:rsid w:val="00DD75BA"/>
    <w:rsid w:val="00DE149E"/>
    <w:rsid w:val="00DF35A1"/>
    <w:rsid w:val="00E05704"/>
    <w:rsid w:val="00E07E49"/>
    <w:rsid w:val="00E12F1A"/>
    <w:rsid w:val="00E15561"/>
    <w:rsid w:val="00E21CFB"/>
    <w:rsid w:val="00E22935"/>
    <w:rsid w:val="00E22EB3"/>
    <w:rsid w:val="00E344A6"/>
    <w:rsid w:val="00E45C91"/>
    <w:rsid w:val="00E47E15"/>
    <w:rsid w:val="00E50780"/>
    <w:rsid w:val="00E54292"/>
    <w:rsid w:val="00E60191"/>
    <w:rsid w:val="00E74DC7"/>
    <w:rsid w:val="00E87699"/>
    <w:rsid w:val="00E90F71"/>
    <w:rsid w:val="00E92E27"/>
    <w:rsid w:val="00E9586B"/>
    <w:rsid w:val="00E97334"/>
    <w:rsid w:val="00EA0D36"/>
    <w:rsid w:val="00EC1099"/>
    <w:rsid w:val="00EC3B69"/>
    <w:rsid w:val="00ED4928"/>
    <w:rsid w:val="00EE3749"/>
    <w:rsid w:val="00EE6190"/>
    <w:rsid w:val="00EF1922"/>
    <w:rsid w:val="00EF2E3A"/>
    <w:rsid w:val="00EF6402"/>
    <w:rsid w:val="00EF678C"/>
    <w:rsid w:val="00F025DF"/>
    <w:rsid w:val="00F040F7"/>
    <w:rsid w:val="00F047E2"/>
    <w:rsid w:val="00F04D57"/>
    <w:rsid w:val="00F078DC"/>
    <w:rsid w:val="00F11427"/>
    <w:rsid w:val="00F13E86"/>
    <w:rsid w:val="00F16CFE"/>
    <w:rsid w:val="00F32FCB"/>
    <w:rsid w:val="00F351DA"/>
    <w:rsid w:val="00F40DAC"/>
    <w:rsid w:val="00F6709F"/>
    <w:rsid w:val="00F677A9"/>
    <w:rsid w:val="00F723BD"/>
    <w:rsid w:val="00F732EA"/>
    <w:rsid w:val="00F82D89"/>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4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4C9A"/>
    <w:pPr>
      <w:spacing w:line="260" w:lineRule="atLeast"/>
    </w:pPr>
    <w:rPr>
      <w:sz w:val="22"/>
    </w:rPr>
  </w:style>
  <w:style w:type="paragraph" w:styleId="Heading1">
    <w:name w:val="heading 1"/>
    <w:basedOn w:val="Normal"/>
    <w:next w:val="Normal"/>
    <w:link w:val="Heading1Char"/>
    <w:uiPriority w:val="9"/>
    <w:qFormat/>
    <w:rsid w:val="005A4C9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4C9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4C9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4C9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A4C9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A4C9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A4C9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A4C9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A4C9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4C9A"/>
  </w:style>
  <w:style w:type="paragraph" w:customStyle="1" w:styleId="OPCParaBase">
    <w:name w:val="OPCParaBase"/>
    <w:qFormat/>
    <w:rsid w:val="005A4C9A"/>
    <w:pPr>
      <w:spacing w:line="260" w:lineRule="atLeast"/>
    </w:pPr>
    <w:rPr>
      <w:rFonts w:eastAsia="Times New Roman" w:cs="Times New Roman"/>
      <w:sz w:val="22"/>
      <w:lang w:eastAsia="en-AU"/>
    </w:rPr>
  </w:style>
  <w:style w:type="paragraph" w:customStyle="1" w:styleId="ShortT">
    <w:name w:val="ShortT"/>
    <w:basedOn w:val="OPCParaBase"/>
    <w:next w:val="Normal"/>
    <w:qFormat/>
    <w:rsid w:val="005A4C9A"/>
    <w:pPr>
      <w:spacing w:line="240" w:lineRule="auto"/>
    </w:pPr>
    <w:rPr>
      <w:b/>
      <w:sz w:val="40"/>
    </w:rPr>
  </w:style>
  <w:style w:type="paragraph" w:customStyle="1" w:styleId="ActHead1">
    <w:name w:val="ActHead 1"/>
    <w:aliases w:val="c"/>
    <w:basedOn w:val="OPCParaBase"/>
    <w:next w:val="Normal"/>
    <w:qFormat/>
    <w:rsid w:val="005A4C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4C9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4C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4C9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A4C9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4C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4C9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4C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4C9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4C9A"/>
  </w:style>
  <w:style w:type="paragraph" w:customStyle="1" w:styleId="Blocks">
    <w:name w:val="Blocks"/>
    <w:aliases w:val="bb"/>
    <w:basedOn w:val="OPCParaBase"/>
    <w:qFormat/>
    <w:rsid w:val="005A4C9A"/>
    <w:pPr>
      <w:spacing w:line="240" w:lineRule="auto"/>
    </w:pPr>
    <w:rPr>
      <w:sz w:val="24"/>
    </w:rPr>
  </w:style>
  <w:style w:type="paragraph" w:customStyle="1" w:styleId="BoxText">
    <w:name w:val="BoxText"/>
    <w:aliases w:val="bt"/>
    <w:basedOn w:val="OPCParaBase"/>
    <w:qFormat/>
    <w:rsid w:val="005A4C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4C9A"/>
    <w:rPr>
      <w:b/>
    </w:rPr>
  </w:style>
  <w:style w:type="paragraph" w:customStyle="1" w:styleId="BoxHeadItalic">
    <w:name w:val="BoxHeadItalic"/>
    <w:aliases w:val="bhi"/>
    <w:basedOn w:val="BoxText"/>
    <w:next w:val="BoxStep"/>
    <w:qFormat/>
    <w:rsid w:val="005A4C9A"/>
    <w:rPr>
      <w:i/>
    </w:rPr>
  </w:style>
  <w:style w:type="paragraph" w:customStyle="1" w:styleId="BoxList">
    <w:name w:val="BoxList"/>
    <w:aliases w:val="bl"/>
    <w:basedOn w:val="BoxText"/>
    <w:qFormat/>
    <w:rsid w:val="005A4C9A"/>
    <w:pPr>
      <w:ind w:left="1559" w:hanging="425"/>
    </w:pPr>
  </w:style>
  <w:style w:type="paragraph" w:customStyle="1" w:styleId="BoxNote">
    <w:name w:val="BoxNote"/>
    <w:aliases w:val="bn"/>
    <w:basedOn w:val="BoxText"/>
    <w:qFormat/>
    <w:rsid w:val="005A4C9A"/>
    <w:pPr>
      <w:tabs>
        <w:tab w:val="left" w:pos="1985"/>
      </w:tabs>
      <w:spacing w:before="122" w:line="198" w:lineRule="exact"/>
      <w:ind w:left="2948" w:hanging="1814"/>
    </w:pPr>
    <w:rPr>
      <w:sz w:val="18"/>
    </w:rPr>
  </w:style>
  <w:style w:type="paragraph" w:customStyle="1" w:styleId="BoxPara">
    <w:name w:val="BoxPara"/>
    <w:aliases w:val="bp"/>
    <w:basedOn w:val="BoxText"/>
    <w:qFormat/>
    <w:rsid w:val="005A4C9A"/>
    <w:pPr>
      <w:tabs>
        <w:tab w:val="right" w:pos="2268"/>
      </w:tabs>
      <w:ind w:left="2552" w:hanging="1418"/>
    </w:pPr>
  </w:style>
  <w:style w:type="paragraph" w:customStyle="1" w:styleId="BoxStep">
    <w:name w:val="BoxStep"/>
    <w:aliases w:val="bs"/>
    <w:basedOn w:val="BoxText"/>
    <w:qFormat/>
    <w:rsid w:val="005A4C9A"/>
    <w:pPr>
      <w:ind w:left="1985" w:hanging="851"/>
    </w:pPr>
  </w:style>
  <w:style w:type="character" w:customStyle="1" w:styleId="CharAmPartNo">
    <w:name w:val="CharAmPartNo"/>
    <w:basedOn w:val="OPCCharBase"/>
    <w:qFormat/>
    <w:rsid w:val="005A4C9A"/>
  </w:style>
  <w:style w:type="character" w:customStyle="1" w:styleId="CharAmPartText">
    <w:name w:val="CharAmPartText"/>
    <w:basedOn w:val="OPCCharBase"/>
    <w:qFormat/>
    <w:rsid w:val="005A4C9A"/>
  </w:style>
  <w:style w:type="character" w:customStyle="1" w:styleId="CharAmSchNo">
    <w:name w:val="CharAmSchNo"/>
    <w:basedOn w:val="OPCCharBase"/>
    <w:qFormat/>
    <w:rsid w:val="005A4C9A"/>
  </w:style>
  <w:style w:type="character" w:customStyle="1" w:styleId="CharAmSchText">
    <w:name w:val="CharAmSchText"/>
    <w:basedOn w:val="OPCCharBase"/>
    <w:qFormat/>
    <w:rsid w:val="005A4C9A"/>
  </w:style>
  <w:style w:type="character" w:customStyle="1" w:styleId="CharBoldItalic">
    <w:name w:val="CharBoldItalic"/>
    <w:basedOn w:val="OPCCharBase"/>
    <w:uiPriority w:val="1"/>
    <w:qFormat/>
    <w:rsid w:val="005A4C9A"/>
    <w:rPr>
      <w:b/>
      <w:i/>
    </w:rPr>
  </w:style>
  <w:style w:type="character" w:customStyle="1" w:styleId="CharChapNo">
    <w:name w:val="CharChapNo"/>
    <w:basedOn w:val="OPCCharBase"/>
    <w:uiPriority w:val="1"/>
    <w:qFormat/>
    <w:rsid w:val="005A4C9A"/>
  </w:style>
  <w:style w:type="character" w:customStyle="1" w:styleId="CharChapText">
    <w:name w:val="CharChapText"/>
    <w:basedOn w:val="OPCCharBase"/>
    <w:uiPriority w:val="1"/>
    <w:qFormat/>
    <w:rsid w:val="005A4C9A"/>
  </w:style>
  <w:style w:type="character" w:customStyle="1" w:styleId="CharDivNo">
    <w:name w:val="CharDivNo"/>
    <w:basedOn w:val="OPCCharBase"/>
    <w:uiPriority w:val="1"/>
    <w:qFormat/>
    <w:rsid w:val="005A4C9A"/>
  </w:style>
  <w:style w:type="character" w:customStyle="1" w:styleId="CharDivText">
    <w:name w:val="CharDivText"/>
    <w:basedOn w:val="OPCCharBase"/>
    <w:uiPriority w:val="1"/>
    <w:qFormat/>
    <w:rsid w:val="005A4C9A"/>
  </w:style>
  <w:style w:type="character" w:customStyle="1" w:styleId="CharItalic">
    <w:name w:val="CharItalic"/>
    <w:basedOn w:val="OPCCharBase"/>
    <w:uiPriority w:val="1"/>
    <w:qFormat/>
    <w:rsid w:val="005A4C9A"/>
    <w:rPr>
      <w:i/>
    </w:rPr>
  </w:style>
  <w:style w:type="character" w:customStyle="1" w:styleId="CharPartNo">
    <w:name w:val="CharPartNo"/>
    <w:basedOn w:val="OPCCharBase"/>
    <w:uiPriority w:val="1"/>
    <w:qFormat/>
    <w:rsid w:val="005A4C9A"/>
  </w:style>
  <w:style w:type="character" w:customStyle="1" w:styleId="CharPartText">
    <w:name w:val="CharPartText"/>
    <w:basedOn w:val="OPCCharBase"/>
    <w:uiPriority w:val="1"/>
    <w:qFormat/>
    <w:rsid w:val="005A4C9A"/>
  </w:style>
  <w:style w:type="character" w:customStyle="1" w:styleId="CharSectno">
    <w:name w:val="CharSectno"/>
    <w:basedOn w:val="OPCCharBase"/>
    <w:qFormat/>
    <w:rsid w:val="005A4C9A"/>
  </w:style>
  <w:style w:type="character" w:customStyle="1" w:styleId="CharSubdNo">
    <w:name w:val="CharSubdNo"/>
    <w:basedOn w:val="OPCCharBase"/>
    <w:uiPriority w:val="1"/>
    <w:qFormat/>
    <w:rsid w:val="005A4C9A"/>
  </w:style>
  <w:style w:type="character" w:customStyle="1" w:styleId="CharSubdText">
    <w:name w:val="CharSubdText"/>
    <w:basedOn w:val="OPCCharBase"/>
    <w:uiPriority w:val="1"/>
    <w:qFormat/>
    <w:rsid w:val="005A4C9A"/>
  </w:style>
  <w:style w:type="paragraph" w:customStyle="1" w:styleId="CTA--">
    <w:name w:val="CTA --"/>
    <w:basedOn w:val="OPCParaBase"/>
    <w:next w:val="Normal"/>
    <w:rsid w:val="005A4C9A"/>
    <w:pPr>
      <w:spacing w:before="60" w:line="240" w:lineRule="atLeast"/>
      <w:ind w:left="142" w:hanging="142"/>
    </w:pPr>
    <w:rPr>
      <w:sz w:val="20"/>
    </w:rPr>
  </w:style>
  <w:style w:type="paragraph" w:customStyle="1" w:styleId="CTA-">
    <w:name w:val="CTA -"/>
    <w:basedOn w:val="OPCParaBase"/>
    <w:rsid w:val="005A4C9A"/>
    <w:pPr>
      <w:spacing w:before="60" w:line="240" w:lineRule="atLeast"/>
      <w:ind w:left="85" w:hanging="85"/>
    </w:pPr>
    <w:rPr>
      <w:sz w:val="20"/>
    </w:rPr>
  </w:style>
  <w:style w:type="paragraph" w:customStyle="1" w:styleId="CTA---">
    <w:name w:val="CTA ---"/>
    <w:basedOn w:val="OPCParaBase"/>
    <w:next w:val="Normal"/>
    <w:rsid w:val="005A4C9A"/>
    <w:pPr>
      <w:spacing w:before="60" w:line="240" w:lineRule="atLeast"/>
      <w:ind w:left="198" w:hanging="198"/>
    </w:pPr>
    <w:rPr>
      <w:sz w:val="20"/>
    </w:rPr>
  </w:style>
  <w:style w:type="paragraph" w:customStyle="1" w:styleId="CTA----">
    <w:name w:val="CTA ----"/>
    <w:basedOn w:val="OPCParaBase"/>
    <w:next w:val="Normal"/>
    <w:rsid w:val="005A4C9A"/>
    <w:pPr>
      <w:spacing w:before="60" w:line="240" w:lineRule="atLeast"/>
      <w:ind w:left="255" w:hanging="255"/>
    </w:pPr>
    <w:rPr>
      <w:sz w:val="20"/>
    </w:rPr>
  </w:style>
  <w:style w:type="paragraph" w:customStyle="1" w:styleId="CTA1a">
    <w:name w:val="CTA 1(a)"/>
    <w:basedOn w:val="OPCParaBase"/>
    <w:rsid w:val="005A4C9A"/>
    <w:pPr>
      <w:tabs>
        <w:tab w:val="right" w:pos="414"/>
      </w:tabs>
      <w:spacing w:before="40" w:line="240" w:lineRule="atLeast"/>
      <w:ind w:left="675" w:hanging="675"/>
    </w:pPr>
    <w:rPr>
      <w:sz w:val="20"/>
    </w:rPr>
  </w:style>
  <w:style w:type="paragraph" w:customStyle="1" w:styleId="CTA1ai">
    <w:name w:val="CTA 1(a)(i)"/>
    <w:basedOn w:val="OPCParaBase"/>
    <w:rsid w:val="005A4C9A"/>
    <w:pPr>
      <w:tabs>
        <w:tab w:val="right" w:pos="1004"/>
      </w:tabs>
      <w:spacing w:before="40" w:line="240" w:lineRule="atLeast"/>
      <w:ind w:left="1253" w:hanging="1253"/>
    </w:pPr>
    <w:rPr>
      <w:sz w:val="20"/>
    </w:rPr>
  </w:style>
  <w:style w:type="paragraph" w:customStyle="1" w:styleId="CTA2a">
    <w:name w:val="CTA 2(a)"/>
    <w:basedOn w:val="OPCParaBase"/>
    <w:rsid w:val="005A4C9A"/>
    <w:pPr>
      <w:tabs>
        <w:tab w:val="right" w:pos="482"/>
      </w:tabs>
      <w:spacing w:before="40" w:line="240" w:lineRule="atLeast"/>
      <w:ind w:left="748" w:hanging="748"/>
    </w:pPr>
    <w:rPr>
      <w:sz w:val="20"/>
    </w:rPr>
  </w:style>
  <w:style w:type="paragraph" w:customStyle="1" w:styleId="CTA2ai">
    <w:name w:val="CTA 2(a)(i)"/>
    <w:basedOn w:val="OPCParaBase"/>
    <w:rsid w:val="005A4C9A"/>
    <w:pPr>
      <w:tabs>
        <w:tab w:val="right" w:pos="1089"/>
      </w:tabs>
      <w:spacing w:before="40" w:line="240" w:lineRule="atLeast"/>
      <w:ind w:left="1327" w:hanging="1327"/>
    </w:pPr>
    <w:rPr>
      <w:sz w:val="20"/>
    </w:rPr>
  </w:style>
  <w:style w:type="paragraph" w:customStyle="1" w:styleId="CTA3a">
    <w:name w:val="CTA 3(a)"/>
    <w:basedOn w:val="OPCParaBase"/>
    <w:rsid w:val="005A4C9A"/>
    <w:pPr>
      <w:tabs>
        <w:tab w:val="right" w:pos="556"/>
      </w:tabs>
      <w:spacing w:before="40" w:line="240" w:lineRule="atLeast"/>
      <w:ind w:left="805" w:hanging="805"/>
    </w:pPr>
    <w:rPr>
      <w:sz w:val="20"/>
    </w:rPr>
  </w:style>
  <w:style w:type="paragraph" w:customStyle="1" w:styleId="CTA3ai">
    <w:name w:val="CTA 3(a)(i)"/>
    <w:basedOn w:val="OPCParaBase"/>
    <w:rsid w:val="005A4C9A"/>
    <w:pPr>
      <w:tabs>
        <w:tab w:val="right" w:pos="1140"/>
      </w:tabs>
      <w:spacing w:before="40" w:line="240" w:lineRule="atLeast"/>
      <w:ind w:left="1361" w:hanging="1361"/>
    </w:pPr>
    <w:rPr>
      <w:sz w:val="20"/>
    </w:rPr>
  </w:style>
  <w:style w:type="paragraph" w:customStyle="1" w:styleId="CTA4a">
    <w:name w:val="CTA 4(a)"/>
    <w:basedOn w:val="OPCParaBase"/>
    <w:rsid w:val="005A4C9A"/>
    <w:pPr>
      <w:tabs>
        <w:tab w:val="right" w:pos="624"/>
      </w:tabs>
      <w:spacing w:before="40" w:line="240" w:lineRule="atLeast"/>
      <w:ind w:left="873" w:hanging="873"/>
    </w:pPr>
    <w:rPr>
      <w:sz w:val="20"/>
    </w:rPr>
  </w:style>
  <w:style w:type="paragraph" w:customStyle="1" w:styleId="CTA4ai">
    <w:name w:val="CTA 4(a)(i)"/>
    <w:basedOn w:val="OPCParaBase"/>
    <w:rsid w:val="005A4C9A"/>
    <w:pPr>
      <w:tabs>
        <w:tab w:val="right" w:pos="1213"/>
      </w:tabs>
      <w:spacing w:before="40" w:line="240" w:lineRule="atLeast"/>
      <w:ind w:left="1452" w:hanging="1452"/>
    </w:pPr>
    <w:rPr>
      <w:sz w:val="20"/>
    </w:rPr>
  </w:style>
  <w:style w:type="paragraph" w:customStyle="1" w:styleId="CTACAPS">
    <w:name w:val="CTA CAPS"/>
    <w:basedOn w:val="OPCParaBase"/>
    <w:rsid w:val="005A4C9A"/>
    <w:pPr>
      <w:spacing w:before="60" w:line="240" w:lineRule="atLeast"/>
    </w:pPr>
    <w:rPr>
      <w:sz w:val="20"/>
    </w:rPr>
  </w:style>
  <w:style w:type="paragraph" w:customStyle="1" w:styleId="CTAright">
    <w:name w:val="CTA right"/>
    <w:basedOn w:val="OPCParaBase"/>
    <w:rsid w:val="005A4C9A"/>
    <w:pPr>
      <w:spacing w:before="60" w:line="240" w:lineRule="auto"/>
      <w:jc w:val="right"/>
    </w:pPr>
    <w:rPr>
      <w:sz w:val="20"/>
    </w:rPr>
  </w:style>
  <w:style w:type="paragraph" w:customStyle="1" w:styleId="subsection">
    <w:name w:val="subsection"/>
    <w:aliases w:val="ss"/>
    <w:basedOn w:val="OPCParaBase"/>
    <w:link w:val="subsectionChar"/>
    <w:rsid w:val="005A4C9A"/>
    <w:pPr>
      <w:tabs>
        <w:tab w:val="right" w:pos="1021"/>
      </w:tabs>
      <w:spacing w:before="180" w:line="240" w:lineRule="auto"/>
      <w:ind w:left="1134" w:hanging="1134"/>
    </w:pPr>
  </w:style>
  <w:style w:type="paragraph" w:customStyle="1" w:styleId="Definition">
    <w:name w:val="Definition"/>
    <w:aliases w:val="dd"/>
    <w:basedOn w:val="OPCParaBase"/>
    <w:rsid w:val="005A4C9A"/>
    <w:pPr>
      <w:spacing w:before="180" w:line="240" w:lineRule="auto"/>
      <w:ind w:left="1134"/>
    </w:pPr>
  </w:style>
  <w:style w:type="paragraph" w:customStyle="1" w:styleId="ETAsubitem">
    <w:name w:val="ETA(subitem)"/>
    <w:basedOn w:val="OPCParaBase"/>
    <w:rsid w:val="005A4C9A"/>
    <w:pPr>
      <w:tabs>
        <w:tab w:val="right" w:pos="340"/>
      </w:tabs>
      <w:spacing w:before="60" w:line="240" w:lineRule="auto"/>
      <w:ind w:left="454" w:hanging="454"/>
    </w:pPr>
    <w:rPr>
      <w:sz w:val="20"/>
    </w:rPr>
  </w:style>
  <w:style w:type="paragraph" w:customStyle="1" w:styleId="ETApara">
    <w:name w:val="ETA(para)"/>
    <w:basedOn w:val="OPCParaBase"/>
    <w:rsid w:val="005A4C9A"/>
    <w:pPr>
      <w:tabs>
        <w:tab w:val="right" w:pos="754"/>
      </w:tabs>
      <w:spacing w:before="60" w:line="240" w:lineRule="auto"/>
      <w:ind w:left="828" w:hanging="828"/>
    </w:pPr>
    <w:rPr>
      <w:sz w:val="20"/>
    </w:rPr>
  </w:style>
  <w:style w:type="paragraph" w:customStyle="1" w:styleId="ETAsubpara">
    <w:name w:val="ETA(subpara)"/>
    <w:basedOn w:val="OPCParaBase"/>
    <w:rsid w:val="005A4C9A"/>
    <w:pPr>
      <w:tabs>
        <w:tab w:val="right" w:pos="1083"/>
      </w:tabs>
      <w:spacing w:before="60" w:line="240" w:lineRule="auto"/>
      <w:ind w:left="1191" w:hanging="1191"/>
    </w:pPr>
    <w:rPr>
      <w:sz w:val="20"/>
    </w:rPr>
  </w:style>
  <w:style w:type="paragraph" w:customStyle="1" w:styleId="ETAsub-subpara">
    <w:name w:val="ETA(sub-subpara)"/>
    <w:basedOn w:val="OPCParaBase"/>
    <w:rsid w:val="005A4C9A"/>
    <w:pPr>
      <w:tabs>
        <w:tab w:val="right" w:pos="1412"/>
      </w:tabs>
      <w:spacing w:before="60" w:line="240" w:lineRule="auto"/>
      <w:ind w:left="1525" w:hanging="1525"/>
    </w:pPr>
    <w:rPr>
      <w:sz w:val="20"/>
    </w:rPr>
  </w:style>
  <w:style w:type="paragraph" w:customStyle="1" w:styleId="Formula">
    <w:name w:val="Formula"/>
    <w:basedOn w:val="OPCParaBase"/>
    <w:rsid w:val="005A4C9A"/>
    <w:pPr>
      <w:spacing w:line="240" w:lineRule="auto"/>
      <w:ind w:left="1134"/>
    </w:pPr>
    <w:rPr>
      <w:sz w:val="20"/>
    </w:rPr>
  </w:style>
  <w:style w:type="paragraph" w:styleId="Header">
    <w:name w:val="header"/>
    <w:basedOn w:val="OPCParaBase"/>
    <w:link w:val="HeaderChar"/>
    <w:unhideWhenUsed/>
    <w:rsid w:val="005A4C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4C9A"/>
    <w:rPr>
      <w:rFonts w:eastAsia="Times New Roman" w:cs="Times New Roman"/>
      <w:sz w:val="16"/>
      <w:lang w:eastAsia="en-AU"/>
    </w:rPr>
  </w:style>
  <w:style w:type="paragraph" w:customStyle="1" w:styleId="House">
    <w:name w:val="House"/>
    <w:basedOn w:val="OPCParaBase"/>
    <w:rsid w:val="005A4C9A"/>
    <w:pPr>
      <w:spacing w:line="240" w:lineRule="auto"/>
    </w:pPr>
    <w:rPr>
      <w:sz w:val="28"/>
    </w:rPr>
  </w:style>
  <w:style w:type="paragraph" w:customStyle="1" w:styleId="Item">
    <w:name w:val="Item"/>
    <w:aliases w:val="i"/>
    <w:basedOn w:val="OPCParaBase"/>
    <w:next w:val="ItemHead"/>
    <w:rsid w:val="005A4C9A"/>
    <w:pPr>
      <w:keepLines/>
      <w:spacing w:before="80" w:line="240" w:lineRule="auto"/>
      <w:ind w:left="709"/>
    </w:pPr>
  </w:style>
  <w:style w:type="paragraph" w:customStyle="1" w:styleId="ItemHead">
    <w:name w:val="ItemHead"/>
    <w:aliases w:val="ih"/>
    <w:basedOn w:val="OPCParaBase"/>
    <w:next w:val="Item"/>
    <w:rsid w:val="005A4C9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4C9A"/>
    <w:pPr>
      <w:spacing w:line="240" w:lineRule="auto"/>
    </w:pPr>
    <w:rPr>
      <w:b/>
      <w:sz w:val="32"/>
    </w:rPr>
  </w:style>
  <w:style w:type="paragraph" w:customStyle="1" w:styleId="notedraft">
    <w:name w:val="note(draft)"/>
    <w:aliases w:val="nd"/>
    <w:basedOn w:val="OPCParaBase"/>
    <w:rsid w:val="005A4C9A"/>
    <w:pPr>
      <w:spacing w:before="240" w:line="240" w:lineRule="auto"/>
      <w:ind w:left="284" w:hanging="284"/>
    </w:pPr>
    <w:rPr>
      <w:i/>
      <w:sz w:val="24"/>
    </w:rPr>
  </w:style>
  <w:style w:type="paragraph" w:customStyle="1" w:styleId="notemargin">
    <w:name w:val="note(margin)"/>
    <w:aliases w:val="nm"/>
    <w:basedOn w:val="OPCParaBase"/>
    <w:rsid w:val="005A4C9A"/>
    <w:pPr>
      <w:tabs>
        <w:tab w:val="left" w:pos="709"/>
      </w:tabs>
      <w:spacing w:before="122" w:line="198" w:lineRule="exact"/>
      <w:ind w:left="709" w:hanging="709"/>
    </w:pPr>
    <w:rPr>
      <w:sz w:val="18"/>
    </w:rPr>
  </w:style>
  <w:style w:type="paragraph" w:customStyle="1" w:styleId="noteToPara">
    <w:name w:val="noteToPara"/>
    <w:aliases w:val="ntp"/>
    <w:basedOn w:val="OPCParaBase"/>
    <w:rsid w:val="005A4C9A"/>
    <w:pPr>
      <w:spacing w:before="122" w:line="198" w:lineRule="exact"/>
      <w:ind w:left="2353" w:hanging="709"/>
    </w:pPr>
    <w:rPr>
      <w:sz w:val="18"/>
    </w:rPr>
  </w:style>
  <w:style w:type="paragraph" w:customStyle="1" w:styleId="noteParlAmend">
    <w:name w:val="note(ParlAmend)"/>
    <w:aliases w:val="npp"/>
    <w:basedOn w:val="OPCParaBase"/>
    <w:next w:val="ParlAmend"/>
    <w:rsid w:val="005A4C9A"/>
    <w:pPr>
      <w:spacing w:line="240" w:lineRule="auto"/>
      <w:jc w:val="right"/>
    </w:pPr>
    <w:rPr>
      <w:rFonts w:ascii="Arial" w:hAnsi="Arial"/>
      <w:b/>
      <w:i/>
    </w:rPr>
  </w:style>
  <w:style w:type="paragraph" w:customStyle="1" w:styleId="Page1">
    <w:name w:val="Page1"/>
    <w:basedOn w:val="OPCParaBase"/>
    <w:rsid w:val="005A4C9A"/>
    <w:pPr>
      <w:spacing w:before="5600" w:line="240" w:lineRule="auto"/>
    </w:pPr>
    <w:rPr>
      <w:b/>
      <w:sz w:val="32"/>
    </w:rPr>
  </w:style>
  <w:style w:type="paragraph" w:customStyle="1" w:styleId="PageBreak">
    <w:name w:val="PageBreak"/>
    <w:aliases w:val="pb"/>
    <w:basedOn w:val="OPCParaBase"/>
    <w:rsid w:val="005A4C9A"/>
    <w:pPr>
      <w:spacing w:line="240" w:lineRule="auto"/>
    </w:pPr>
    <w:rPr>
      <w:sz w:val="20"/>
    </w:rPr>
  </w:style>
  <w:style w:type="paragraph" w:customStyle="1" w:styleId="paragraphsub">
    <w:name w:val="paragraph(sub)"/>
    <w:aliases w:val="aa"/>
    <w:basedOn w:val="OPCParaBase"/>
    <w:rsid w:val="005A4C9A"/>
    <w:pPr>
      <w:tabs>
        <w:tab w:val="right" w:pos="1985"/>
      </w:tabs>
      <w:spacing w:before="40" w:line="240" w:lineRule="auto"/>
      <w:ind w:left="2098" w:hanging="2098"/>
    </w:pPr>
  </w:style>
  <w:style w:type="paragraph" w:customStyle="1" w:styleId="paragraphsub-sub">
    <w:name w:val="paragraph(sub-sub)"/>
    <w:aliases w:val="aaa"/>
    <w:basedOn w:val="OPCParaBase"/>
    <w:rsid w:val="005A4C9A"/>
    <w:pPr>
      <w:tabs>
        <w:tab w:val="right" w:pos="2722"/>
      </w:tabs>
      <w:spacing w:before="40" w:line="240" w:lineRule="auto"/>
      <w:ind w:left="2835" w:hanging="2835"/>
    </w:pPr>
  </w:style>
  <w:style w:type="paragraph" w:customStyle="1" w:styleId="paragraph">
    <w:name w:val="paragraph"/>
    <w:aliases w:val="a"/>
    <w:basedOn w:val="OPCParaBase"/>
    <w:rsid w:val="005A4C9A"/>
    <w:pPr>
      <w:tabs>
        <w:tab w:val="right" w:pos="1531"/>
      </w:tabs>
      <w:spacing w:before="40" w:line="240" w:lineRule="auto"/>
      <w:ind w:left="1644" w:hanging="1644"/>
    </w:pPr>
  </w:style>
  <w:style w:type="paragraph" w:customStyle="1" w:styleId="ParlAmend">
    <w:name w:val="ParlAmend"/>
    <w:aliases w:val="pp"/>
    <w:basedOn w:val="OPCParaBase"/>
    <w:rsid w:val="005A4C9A"/>
    <w:pPr>
      <w:spacing w:before="240" w:line="240" w:lineRule="atLeast"/>
      <w:ind w:hanging="567"/>
    </w:pPr>
    <w:rPr>
      <w:sz w:val="24"/>
    </w:rPr>
  </w:style>
  <w:style w:type="paragraph" w:customStyle="1" w:styleId="Penalty">
    <w:name w:val="Penalty"/>
    <w:basedOn w:val="OPCParaBase"/>
    <w:rsid w:val="005A4C9A"/>
    <w:pPr>
      <w:tabs>
        <w:tab w:val="left" w:pos="2977"/>
      </w:tabs>
      <w:spacing w:before="180" w:line="240" w:lineRule="auto"/>
      <w:ind w:left="1985" w:hanging="851"/>
    </w:pPr>
  </w:style>
  <w:style w:type="paragraph" w:customStyle="1" w:styleId="Portfolio">
    <w:name w:val="Portfolio"/>
    <w:basedOn w:val="OPCParaBase"/>
    <w:rsid w:val="005A4C9A"/>
    <w:pPr>
      <w:spacing w:line="240" w:lineRule="auto"/>
    </w:pPr>
    <w:rPr>
      <w:i/>
      <w:sz w:val="20"/>
    </w:rPr>
  </w:style>
  <w:style w:type="paragraph" w:customStyle="1" w:styleId="Preamble">
    <w:name w:val="Preamble"/>
    <w:basedOn w:val="OPCParaBase"/>
    <w:next w:val="Normal"/>
    <w:rsid w:val="005A4C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4C9A"/>
    <w:pPr>
      <w:spacing w:line="240" w:lineRule="auto"/>
    </w:pPr>
    <w:rPr>
      <w:i/>
      <w:sz w:val="20"/>
    </w:rPr>
  </w:style>
  <w:style w:type="paragraph" w:customStyle="1" w:styleId="Session">
    <w:name w:val="Session"/>
    <w:basedOn w:val="OPCParaBase"/>
    <w:rsid w:val="005A4C9A"/>
    <w:pPr>
      <w:spacing w:line="240" w:lineRule="auto"/>
    </w:pPr>
    <w:rPr>
      <w:sz w:val="28"/>
    </w:rPr>
  </w:style>
  <w:style w:type="paragraph" w:customStyle="1" w:styleId="Sponsor">
    <w:name w:val="Sponsor"/>
    <w:basedOn w:val="OPCParaBase"/>
    <w:rsid w:val="005A4C9A"/>
    <w:pPr>
      <w:spacing w:line="240" w:lineRule="auto"/>
    </w:pPr>
    <w:rPr>
      <w:i/>
    </w:rPr>
  </w:style>
  <w:style w:type="paragraph" w:customStyle="1" w:styleId="Subitem">
    <w:name w:val="Subitem"/>
    <w:aliases w:val="iss"/>
    <w:basedOn w:val="OPCParaBase"/>
    <w:rsid w:val="005A4C9A"/>
    <w:pPr>
      <w:spacing w:before="180" w:line="240" w:lineRule="auto"/>
      <w:ind w:left="709" w:hanging="709"/>
    </w:pPr>
  </w:style>
  <w:style w:type="paragraph" w:customStyle="1" w:styleId="SubitemHead">
    <w:name w:val="SubitemHead"/>
    <w:aliases w:val="issh"/>
    <w:basedOn w:val="OPCParaBase"/>
    <w:rsid w:val="005A4C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4C9A"/>
    <w:pPr>
      <w:spacing w:before="40" w:line="240" w:lineRule="auto"/>
      <w:ind w:left="1134"/>
    </w:pPr>
  </w:style>
  <w:style w:type="paragraph" w:customStyle="1" w:styleId="SubsectionHead">
    <w:name w:val="SubsectionHead"/>
    <w:aliases w:val="ssh"/>
    <w:basedOn w:val="OPCParaBase"/>
    <w:next w:val="subsection"/>
    <w:rsid w:val="005A4C9A"/>
    <w:pPr>
      <w:keepNext/>
      <w:keepLines/>
      <w:spacing w:before="240" w:line="240" w:lineRule="auto"/>
      <w:ind w:left="1134"/>
    </w:pPr>
    <w:rPr>
      <w:i/>
    </w:rPr>
  </w:style>
  <w:style w:type="paragraph" w:customStyle="1" w:styleId="Tablea">
    <w:name w:val="Table(a)"/>
    <w:aliases w:val="ta"/>
    <w:basedOn w:val="OPCParaBase"/>
    <w:rsid w:val="005A4C9A"/>
    <w:pPr>
      <w:spacing w:before="60" w:line="240" w:lineRule="auto"/>
      <w:ind w:left="284" w:hanging="284"/>
    </w:pPr>
    <w:rPr>
      <w:sz w:val="20"/>
    </w:rPr>
  </w:style>
  <w:style w:type="paragraph" w:customStyle="1" w:styleId="TableAA">
    <w:name w:val="Table(AA)"/>
    <w:aliases w:val="taaa"/>
    <w:basedOn w:val="OPCParaBase"/>
    <w:rsid w:val="005A4C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4C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4C9A"/>
    <w:pPr>
      <w:spacing w:before="60" w:line="240" w:lineRule="atLeast"/>
    </w:pPr>
    <w:rPr>
      <w:sz w:val="20"/>
    </w:rPr>
  </w:style>
  <w:style w:type="paragraph" w:customStyle="1" w:styleId="TLPBoxTextnote">
    <w:name w:val="TLPBoxText(note"/>
    <w:aliases w:val="right)"/>
    <w:basedOn w:val="OPCParaBase"/>
    <w:rsid w:val="005A4C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4C9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4C9A"/>
    <w:pPr>
      <w:spacing w:before="122" w:line="198" w:lineRule="exact"/>
      <w:ind w:left="1985" w:hanging="851"/>
      <w:jc w:val="right"/>
    </w:pPr>
    <w:rPr>
      <w:sz w:val="18"/>
    </w:rPr>
  </w:style>
  <w:style w:type="paragraph" w:customStyle="1" w:styleId="TLPTableBullet">
    <w:name w:val="TLPTableBullet"/>
    <w:aliases w:val="ttb"/>
    <w:basedOn w:val="OPCParaBase"/>
    <w:rsid w:val="005A4C9A"/>
    <w:pPr>
      <w:spacing w:line="240" w:lineRule="exact"/>
      <w:ind w:left="284" w:hanging="284"/>
    </w:pPr>
    <w:rPr>
      <w:sz w:val="20"/>
    </w:rPr>
  </w:style>
  <w:style w:type="paragraph" w:styleId="TOC1">
    <w:name w:val="toc 1"/>
    <w:basedOn w:val="Normal"/>
    <w:next w:val="Normal"/>
    <w:uiPriority w:val="39"/>
    <w:unhideWhenUsed/>
    <w:rsid w:val="005A4C9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A4C9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A4C9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A4C9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A4C9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A4C9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A4C9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A4C9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A4C9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A4C9A"/>
    <w:pPr>
      <w:keepLines/>
      <w:spacing w:before="240" w:after="120" w:line="240" w:lineRule="auto"/>
      <w:ind w:left="794"/>
    </w:pPr>
    <w:rPr>
      <w:b/>
      <w:kern w:val="28"/>
      <w:sz w:val="20"/>
    </w:rPr>
  </w:style>
  <w:style w:type="paragraph" w:customStyle="1" w:styleId="TofSectsHeading">
    <w:name w:val="TofSects(Heading)"/>
    <w:basedOn w:val="OPCParaBase"/>
    <w:rsid w:val="005A4C9A"/>
    <w:pPr>
      <w:spacing w:before="240" w:after="120" w:line="240" w:lineRule="auto"/>
    </w:pPr>
    <w:rPr>
      <w:b/>
      <w:sz w:val="24"/>
    </w:rPr>
  </w:style>
  <w:style w:type="paragraph" w:customStyle="1" w:styleId="TofSectsSection">
    <w:name w:val="TofSects(Section)"/>
    <w:basedOn w:val="OPCParaBase"/>
    <w:rsid w:val="005A4C9A"/>
    <w:pPr>
      <w:keepLines/>
      <w:spacing w:before="40" w:line="240" w:lineRule="auto"/>
      <w:ind w:left="1588" w:hanging="794"/>
    </w:pPr>
    <w:rPr>
      <w:kern w:val="28"/>
      <w:sz w:val="18"/>
    </w:rPr>
  </w:style>
  <w:style w:type="paragraph" w:customStyle="1" w:styleId="TofSectsSubdiv">
    <w:name w:val="TofSects(Subdiv)"/>
    <w:basedOn w:val="OPCParaBase"/>
    <w:rsid w:val="005A4C9A"/>
    <w:pPr>
      <w:keepLines/>
      <w:spacing w:before="80" w:line="240" w:lineRule="auto"/>
      <w:ind w:left="1588" w:hanging="794"/>
    </w:pPr>
    <w:rPr>
      <w:kern w:val="28"/>
    </w:rPr>
  </w:style>
  <w:style w:type="paragraph" w:customStyle="1" w:styleId="WRStyle">
    <w:name w:val="WR Style"/>
    <w:aliases w:val="WR"/>
    <w:basedOn w:val="OPCParaBase"/>
    <w:rsid w:val="005A4C9A"/>
    <w:pPr>
      <w:spacing w:before="240" w:line="240" w:lineRule="auto"/>
      <w:ind w:left="284" w:hanging="284"/>
    </w:pPr>
    <w:rPr>
      <w:b/>
      <w:i/>
      <w:kern w:val="28"/>
      <w:sz w:val="24"/>
    </w:rPr>
  </w:style>
  <w:style w:type="paragraph" w:customStyle="1" w:styleId="notepara">
    <w:name w:val="note(para)"/>
    <w:aliases w:val="na"/>
    <w:basedOn w:val="OPCParaBase"/>
    <w:rsid w:val="005A4C9A"/>
    <w:pPr>
      <w:spacing w:before="40" w:line="198" w:lineRule="exact"/>
      <w:ind w:left="2354" w:hanging="369"/>
    </w:pPr>
    <w:rPr>
      <w:sz w:val="18"/>
    </w:rPr>
  </w:style>
  <w:style w:type="paragraph" w:styleId="Footer">
    <w:name w:val="footer"/>
    <w:link w:val="FooterChar"/>
    <w:rsid w:val="005A4C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4C9A"/>
    <w:rPr>
      <w:rFonts w:eastAsia="Times New Roman" w:cs="Times New Roman"/>
      <w:sz w:val="22"/>
      <w:szCs w:val="24"/>
      <w:lang w:eastAsia="en-AU"/>
    </w:rPr>
  </w:style>
  <w:style w:type="character" w:styleId="LineNumber">
    <w:name w:val="line number"/>
    <w:basedOn w:val="OPCCharBase"/>
    <w:uiPriority w:val="99"/>
    <w:unhideWhenUsed/>
    <w:rsid w:val="005A4C9A"/>
    <w:rPr>
      <w:sz w:val="16"/>
    </w:rPr>
  </w:style>
  <w:style w:type="table" w:customStyle="1" w:styleId="CFlag">
    <w:name w:val="CFlag"/>
    <w:basedOn w:val="TableNormal"/>
    <w:uiPriority w:val="99"/>
    <w:rsid w:val="005A4C9A"/>
    <w:rPr>
      <w:rFonts w:eastAsia="Times New Roman" w:cs="Times New Roman"/>
      <w:lang w:eastAsia="en-AU"/>
    </w:rPr>
    <w:tblPr/>
  </w:style>
  <w:style w:type="paragraph" w:styleId="BalloonText">
    <w:name w:val="Balloon Text"/>
    <w:basedOn w:val="Normal"/>
    <w:link w:val="BalloonTextChar"/>
    <w:uiPriority w:val="99"/>
    <w:unhideWhenUsed/>
    <w:rsid w:val="005A4C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A4C9A"/>
    <w:rPr>
      <w:rFonts w:ascii="Tahoma" w:hAnsi="Tahoma" w:cs="Tahoma"/>
      <w:sz w:val="16"/>
      <w:szCs w:val="16"/>
    </w:rPr>
  </w:style>
  <w:style w:type="table" w:styleId="TableGrid">
    <w:name w:val="Table Grid"/>
    <w:basedOn w:val="TableNormal"/>
    <w:uiPriority w:val="59"/>
    <w:rsid w:val="005A4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A4C9A"/>
    <w:rPr>
      <w:b/>
      <w:sz w:val="28"/>
      <w:szCs w:val="32"/>
    </w:rPr>
  </w:style>
  <w:style w:type="paragraph" w:customStyle="1" w:styleId="LegislationMadeUnder">
    <w:name w:val="LegislationMadeUnder"/>
    <w:basedOn w:val="OPCParaBase"/>
    <w:next w:val="Normal"/>
    <w:rsid w:val="005A4C9A"/>
    <w:rPr>
      <w:i/>
      <w:sz w:val="32"/>
      <w:szCs w:val="32"/>
    </w:rPr>
  </w:style>
  <w:style w:type="paragraph" w:customStyle="1" w:styleId="SignCoverPageEnd">
    <w:name w:val="SignCoverPageEnd"/>
    <w:basedOn w:val="OPCParaBase"/>
    <w:next w:val="Normal"/>
    <w:rsid w:val="005A4C9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4C9A"/>
    <w:pPr>
      <w:pBdr>
        <w:top w:val="single" w:sz="4" w:space="1" w:color="auto"/>
      </w:pBdr>
      <w:spacing w:before="360"/>
      <w:ind w:right="397"/>
      <w:jc w:val="both"/>
    </w:pPr>
  </w:style>
  <w:style w:type="paragraph" w:customStyle="1" w:styleId="NotesHeading1">
    <w:name w:val="NotesHeading 1"/>
    <w:basedOn w:val="OPCParaBase"/>
    <w:next w:val="Normal"/>
    <w:rsid w:val="005A4C9A"/>
    <w:rPr>
      <w:b/>
      <w:sz w:val="28"/>
      <w:szCs w:val="28"/>
    </w:rPr>
  </w:style>
  <w:style w:type="paragraph" w:customStyle="1" w:styleId="NotesHeading2">
    <w:name w:val="NotesHeading 2"/>
    <w:basedOn w:val="OPCParaBase"/>
    <w:next w:val="Normal"/>
    <w:rsid w:val="005A4C9A"/>
    <w:rPr>
      <w:b/>
      <w:sz w:val="28"/>
      <w:szCs w:val="28"/>
    </w:rPr>
  </w:style>
  <w:style w:type="paragraph" w:customStyle="1" w:styleId="ENotesText">
    <w:name w:val="ENotesText"/>
    <w:aliases w:val="Ent"/>
    <w:basedOn w:val="OPCParaBase"/>
    <w:next w:val="Normal"/>
    <w:rsid w:val="005A4C9A"/>
    <w:pPr>
      <w:spacing w:before="120"/>
    </w:pPr>
  </w:style>
  <w:style w:type="paragraph" w:customStyle="1" w:styleId="CompiledActNo">
    <w:name w:val="CompiledActNo"/>
    <w:basedOn w:val="OPCParaBase"/>
    <w:next w:val="Normal"/>
    <w:rsid w:val="005A4C9A"/>
    <w:rPr>
      <w:b/>
      <w:sz w:val="24"/>
      <w:szCs w:val="24"/>
    </w:rPr>
  </w:style>
  <w:style w:type="paragraph" w:customStyle="1" w:styleId="CompiledMadeUnder">
    <w:name w:val="CompiledMadeUnder"/>
    <w:basedOn w:val="OPCParaBase"/>
    <w:next w:val="Normal"/>
    <w:rsid w:val="005A4C9A"/>
    <w:rPr>
      <w:i/>
      <w:sz w:val="24"/>
      <w:szCs w:val="24"/>
    </w:rPr>
  </w:style>
  <w:style w:type="paragraph" w:customStyle="1" w:styleId="Paragraphsub-sub-sub">
    <w:name w:val="Paragraph(sub-sub-sub)"/>
    <w:aliases w:val="aaaa"/>
    <w:basedOn w:val="OPCParaBase"/>
    <w:rsid w:val="005A4C9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4C9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4C9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4C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4C9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4C9A"/>
    <w:pPr>
      <w:spacing w:before="60" w:line="240" w:lineRule="auto"/>
    </w:pPr>
    <w:rPr>
      <w:rFonts w:cs="Arial"/>
      <w:sz w:val="20"/>
      <w:szCs w:val="22"/>
    </w:rPr>
  </w:style>
  <w:style w:type="paragraph" w:customStyle="1" w:styleId="NoteToSubpara">
    <w:name w:val="NoteToSubpara"/>
    <w:aliases w:val="nts"/>
    <w:basedOn w:val="OPCParaBase"/>
    <w:rsid w:val="005A4C9A"/>
    <w:pPr>
      <w:spacing w:before="40" w:line="198" w:lineRule="exact"/>
      <w:ind w:left="2835" w:hanging="709"/>
    </w:pPr>
    <w:rPr>
      <w:sz w:val="18"/>
    </w:rPr>
  </w:style>
  <w:style w:type="paragraph" w:customStyle="1" w:styleId="ENoteTableHeading">
    <w:name w:val="ENoteTableHeading"/>
    <w:aliases w:val="enth"/>
    <w:basedOn w:val="OPCParaBase"/>
    <w:rsid w:val="005A4C9A"/>
    <w:pPr>
      <w:keepNext/>
      <w:spacing w:before="60" w:line="240" w:lineRule="atLeast"/>
    </w:pPr>
    <w:rPr>
      <w:rFonts w:ascii="Arial" w:hAnsi="Arial"/>
      <w:b/>
      <w:sz w:val="16"/>
    </w:rPr>
  </w:style>
  <w:style w:type="paragraph" w:customStyle="1" w:styleId="ENoteTTi">
    <w:name w:val="ENoteTTi"/>
    <w:aliases w:val="entti"/>
    <w:basedOn w:val="OPCParaBase"/>
    <w:rsid w:val="005A4C9A"/>
    <w:pPr>
      <w:keepNext/>
      <w:spacing w:before="60" w:line="240" w:lineRule="atLeast"/>
      <w:ind w:left="170"/>
    </w:pPr>
    <w:rPr>
      <w:sz w:val="16"/>
    </w:rPr>
  </w:style>
  <w:style w:type="paragraph" w:customStyle="1" w:styleId="ENotesHeading1">
    <w:name w:val="ENotesHeading 1"/>
    <w:aliases w:val="Enh1"/>
    <w:basedOn w:val="OPCParaBase"/>
    <w:next w:val="Normal"/>
    <w:rsid w:val="005A4C9A"/>
    <w:pPr>
      <w:spacing w:before="120"/>
      <w:outlineLvl w:val="0"/>
    </w:pPr>
    <w:rPr>
      <w:b/>
      <w:sz w:val="28"/>
      <w:szCs w:val="28"/>
    </w:rPr>
  </w:style>
  <w:style w:type="paragraph" w:customStyle="1" w:styleId="ENotesHeading2">
    <w:name w:val="ENotesHeading 2"/>
    <w:aliases w:val="Enh2"/>
    <w:basedOn w:val="OPCParaBase"/>
    <w:next w:val="Normal"/>
    <w:rsid w:val="005A4C9A"/>
    <w:pPr>
      <w:spacing w:before="120" w:after="120"/>
      <w:outlineLvl w:val="1"/>
    </w:pPr>
    <w:rPr>
      <w:b/>
      <w:sz w:val="24"/>
      <w:szCs w:val="28"/>
    </w:rPr>
  </w:style>
  <w:style w:type="paragraph" w:customStyle="1" w:styleId="ENoteTTIndentHeading">
    <w:name w:val="ENoteTTIndentHeading"/>
    <w:aliases w:val="enTTHi"/>
    <w:basedOn w:val="OPCParaBase"/>
    <w:rsid w:val="005A4C9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4C9A"/>
    <w:pPr>
      <w:spacing w:before="60" w:line="240" w:lineRule="atLeast"/>
    </w:pPr>
    <w:rPr>
      <w:sz w:val="16"/>
    </w:rPr>
  </w:style>
  <w:style w:type="paragraph" w:customStyle="1" w:styleId="MadeunderText">
    <w:name w:val="MadeunderText"/>
    <w:basedOn w:val="OPCParaBase"/>
    <w:next w:val="Normal"/>
    <w:rsid w:val="005A4C9A"/>
    <w:pPr>
      <w:spacing w:before="240"/>
    </w:pPr>
    <w:rPr>
      <w:sz w:val="24"/>
      <w:szCs w:val="24"/>
    </w:rPr>
  </w:style>
  <w:style w:type="paragraph" w:customStyle="1" w:styleId="ENotesHeading3">
    <w:name w:val="ENotesHeading 3"/>
    <w:aliases w:val="Enh3"/>
    <w:basedOn w:val="OPCParaBase"/>
    <w:next w:val="Normal"/>
    <w:rsid w:val="005A4C9A"/>
    <w:pPr>
      <w:keepNext/>
      <w:spacing w:before="120" w:line="240" w:lineRule="auto"/>
      <w:outlineLvl w:val="4"/>
    </w:pPr>
    <w:rPr>
      <w:b/>
      <w:szCs w:val="24"/>
    </w:rPr>
  </w:style>
  <w:style w:type="character" w:customStyle="1" w:styleId="CharSubPartTextCASA">
    <w:name w:val="CharSubPartText(CASA)"/>
    <w:basedOn w:val="OPCCharBase"/>
    <w:uiPriority w:val="1"/>
    <w:rsid w:val="005A4C9A"/>
  </w:style>
  <w:style w:type="character" w:customStyle="1" w:styleId="CharSubPartNoCASA">
    <w:name w:val="CharSubPartNo(CASA)"/>
    <w:basedOn w:val="OPCCharBase"/>
    <w:uiPriority w:val="1"/>
    <w:rsid w:val="005A4C9A"/>
  </w:style>
  <w:style w:type="paragraph" w:customStyle="1" w:styleId="ENoteTTIndentHeadingSub">
    <w:name w:val="ENoteTTIndentHeadingSub"/>
    <w:aliases w:val="enTTHis"/>
    <w:basedOn w:val="OPCParaBase"/>
    <w:rsid w:val="005A4C9A"/>
    <w:pPr>
      <w:keepNext/>
      <w:spacing w:before="60" w:line="240" w:lineRule="atLeast"/>
      <w:ind w:left="340"/>
    </w:pPr>
    <w:rPr>
      <w:b/>
      <w:sz w:val="16"/>
    </w:rPr>
  </w:style>
  <w:style w:type="paragraph" w:customStyle="1" w:styleId="ENoteTTiSub">
    <w:name w:val="ENoteTTiSub"/>
    <w:aliases w:val="enttis"/>
    <w:basedOn w:val="OPCParaBase"/>
    <w:rsid w:val="005A4C9A"/>
    <w:pPr>
      <w:keepNext/>
      <w:spacing w:before="60" w:line="240" w:lineRule="atLeast"/>
      <w:ind w:left="340"/>
    </w:pPr>
    <w:rPr>
      <w:sz w:val="16"/>
    </w:rPr>
  </w:style>
  <w:style w:type="paragraph" w:customStyle="1" w:styleId="SubDivisionMigration">
    <w:name w:val="SubDivisionMigration"/>
    <w:aliases w:val="sdm"/>
    <w:basedOn w:val="OPCParaBase"/>
    <w:rsid w:val="005A4C9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4C9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A4C9A"/>
    <w:pPr>
      <w:spacing w:before="122" w:line="240" w:lineRule="auto"/>
      <w:ind w:left="1985" w:hanging="851"/>
    </w:pPr>
    <w:rPr>
      <w:sz w:val="18"/>
    </w:rPr>
  </w:style>
  <w:style w:type="paragraph" w:customStyle="1" w:styleId="FreeForm">
    <w:name w:val="FreeForm"/>
    <w:rsid w:val="005A4C9A"/>
    <w:rPr>
      <w:rFonts w:ascii="Arial" w:hAnsi="Arial"/>
      <w:sz w:val="22"/>
    </w:rPr>
  </w:style>
  <w:style w:type="paragraph" w:customStyle="1" w:styleId="SOText">
    <w:name w:val="SO Text"/>
    <w:aliases w:val="sot"/>
    <w:link w:val="SOTextChar"/>
    <w:rsid w:val="005A4C9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4C9A"/>
    <w:rPr>
      <w:sz w:val="22"/>
    </w:rPr>
  </w:style>
  <w:style w:type="paragraph" w:customStyle="1" w:styleId="SOTextNote">
    <w:name w:val="SO TextNote"/>
    <w:aliases w:val="sont"/>
    <w:basedOn w:val="SOText"/>
    <w:qFormat/>
    <w:rsid w:val="005A4C9A"/>
    <w:pPr>
      <w:spacing w:before="122" w:line="198" w:lineRule="exact"/>
      <w:ind w:left="1843" w:hanging="709"/>
    </w:pPr>
    <w:rPr>
      <w:sz w:val="18"/>
    </w:rPr>
  </w:style>
  <w:style w:type="paragraph" w:customStyle="1" w:styleId="SOPara">
    <w:name w:val="SO Para"/>
    <w:aliases w:val="soa"/>
    <w:basedOn w:val="SOText"/>
    <w:link w:val="SOParaChar"/>
    <w:qFormat/>
    <w:rsid w:val="005A4C9A"/>
    <w:pPr>
      <w:tabs>
        <w:tab w:val="right" w:pos="1786"/>
      </w:tabs>
      <w:spacing w:before="40"/>
      <w:ind w:left="2070" w:hanging="936"/>
    </w:pPr>
  </w:style>
  <w:style w:type="character" w:customStyle="1" w:styleId="SOParaChar">
    <w:name w:val="SO Para Char"/>
    <w:aliases w:val="soa Char"/>
    <w:basedOn w:val="DefaultParagraphFont"/>
    <w:link w:val="SOPara"/>
    <w:rsid w:val="005A4C9A"/>
    <w:rPr>
      <w:sz w:val="22"/>
    </w:rPr>
  </w:style>
  <w:style w:type="paragraph" w:customStyle="1" w:styleId="FileName">
    <w:name w:val="FileName"/>
    <w:basedOn w:val="Normal"/>
    <w:rsid w:val="005A4C9A"/>
  </w:style>
  <w:style w:type="paragraph" w:customStyle="1" w:styleId="TableHeading">
    <w:name w:val="TableHeading"/>
    <w:aliases w:val="th"/>
    <w:basedOn w:val="OPCParaBase"/>
    <w:next w:val="Tabletext"/>
    <w:rsid w:val="005A4C9A"/>
    <w:pPr>
      <w:keepNext/>
      <w:spacing w:before="60" w:line="240" w:lineRule="atLeast"/>
    </w:pPr>
    <w:rPr>
      <w:b/>
      <w:sz w:val="20"/>
    </w:rPr>
  </w:style>
  <w:style w:type="paragraph" w:customStyle="1" w:styleId="SOHeadBold">
    <w:name w:val="SO HeadBold"/>
    <w:aliases w:val="sohb"/>
    <w:basedOn w:val="SOText"/>
    <w:next w:val="SOText"/>
    <w:link w:val="SOHeadBoldChar"/>
    <w:qFormat/>
    <w:rsid w:val="005A4C9A"/>
    <w:rPr>
      <w:b/>
    </w:rPr>
  </w:style>
  <w:style w:type="character" w:customStyle="1" w:styleId="SOHeadBoldChar">
    <w:name w:val="SO HeadBold Char"/>
    <w:aliases w:val="sohb Char"/>
    <w:basedOn w:val="DefaultParagraphFont"/>
    <w:link w:val="SOHeadBold"/>
    <w:rsid w:val="005A4C9A"/>
    <w:rPr>
      <w:b/>
      <w:sz w:val="22"/>
    </w:rPr>
  </w:style>
  <w:style w:type="paragraph" w:customStyle="1" w:styleId="SOHeadItalic">
    <w:name w:val="SO HeadItalic"/>
    <w:aliases w:val="sohi"/>
    <w:basedOn w:val="SOText"/>
    <w:next w:val="SOText"/>
    <w:link w:val="SOHeadItalicChar"/>
    <w:qFormat/>
    <w:rsid w:val="005A4C9A"/>
    <w:rPr>
      <w:i/>
    </w:rPr>
  </w:style>
  <w:style w:type="character" w:customStyle="1" w:styleId="SOHeadItalicChar">
    <w:name w:val="SO HeadItalic Char"/>
    <w:aliases w:val="sohi Char"/>
    <w:basedOn w:val="DefaultParagraphFont"/>
    <w:link w:val="SOHeadItalic"/>
    <w:rsid w:val="005A4C9A"/>
    <w:rPr>
      <w:i/>
      <w:sz w:val="22"/>
    </w:rPr>
  </w:style>
  <w:style w:type="paragraph" w:customStyle="1" w:styleId="SOBullet">
    <w:name w:val="SO Bullet"/>
    <w:aliases w:val="sotb"/>
    <w:basedOn w:val="SOText"/>
    <w:link w:val="SOBulletChar"/>
    <w:qFormat/>
    <w:rsid w:val="005A4C9A"/>
    <w:pPr>
      <w:ind w:left="1559" w:hanging="425"/>
    </w:pPr>
  </w:style>
  <w:style w:type="character" w:customStyle="1" w:styleId="SOBulletChar">
    <w:name w:val="SO Bullet Char"/>
    <w:aliases w:val="sotb Char"/>
    <w:basedOn w:val="DefaultParagraphFont"/>
    <w:link w:val="SOBullet"/>
    <w:rsid w:val="005A4C9A"/>
    <w:rPr>
      <w:sz w:val="22"/>
    </w:rPr>
  </w:style>
  <w:style w:type="paragraph" w:customStyle="1" w:styleId="SOBulletNote">
    <w:name w:val="SO BulletNote"/>
    <w:aliases w:val="sonb"/>
    <w:basedOn w:val="SOTextNote"/>
    <w:link w:val="SOBulletNoteChar"/>
    <w:qFormat/>
    <w:rsid w:val="005A4C9A"/>
    <w:pPr>
      <w:tabs>
        <w:tab w:val="left" w:pos="1560"/>
      </w:tabs>
      <w:ind w:left="2268" w:hanging="1134"/>
    </w:pPr>
  </w:style>
  <w:style w:type="character" w:customStyle="1" w:styleId="SOBulletNoteChar">
    <w:name w:val="SO BulletNote Char"/>
    <w:aliases w:val="sonb Char"/>
    <w:basedOn w:val="DefaultParagraphFont"/>
    <w:link w:val="SOBulletNote"/>
    <w:rsid w:val="005A4C9A"/>
    <w:rPr>
      <w:sz w:val="18"/>
    </w:rPr>
  </w:style>
  <w:style w:type="paragraph" w:customStyle="1" w:styleId="SOText2">
    <w:name w:val="SO Text2"/>
    <w:aliases w:val="sot2"/>
    <w:basedOn w:val="Normal"/>
    <w:next w:val="SOText"/>
    <w:link w:val="SOText2Char"/>
    <w:rsid w:val="005A4C9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4C9A"/>
    <w:rPr>
      <w:sz w:val="22"/>
    </w:rPr>
  </w:style>
  <w:style w:type="paragraph" w:customStyle="1" w:styleId="SubPartCASA">
    <w:name w:val="SubPart(CASA)"/>
    <w:aliases w:val="csp"/>
    <w:basedOn w:val="OPCParaBase"/>
    <w:next w:val="ActHead3"/>
    <w:rsid w:val="005A4C9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A4C9A"/>
    <w:rPr>
      <w:rFonts w:eastAsia="Times New Roman" w:cs="Times New Roman"/>
      <w:sz w:val="22"/>
      <w:lang w:eastAsia="en-AU"/>
    </w:rPr>
  </w:style>
  <w:style w:type="character" w:customStyle="1" w:styleId="notetextChar">
    <w:name w:val="note(text) Char"/>
    <w:aliases w:val="n Char"/>
    <w:basedOn w:val="DefaultParagraphFont"/>
    <w:link w:val="notetext"/>
    <w:rsid w:val="005A4C9A"/>
    <w:rPr>
      <w:rFonts w:eastAsia="Times New Roman" w:cs="Times New Roman"/>
      <w:sz w:val="18"/>
      <w:lang w:eastAsia="en-AU"/>
    </w:rPr>
  </w:style>
  <w:style w:type="character" w:customStyle="1" w:styleId="Heading1Char">
    <w:name w:val="Heading 1 Char"/>
    <w:basedOn w:val="DefaultParagraphFont"/>
    <w:link w:val="Heading1"/>
    <w:uiPriority w:val="9"/>
    <w:rsid w:val="005A4C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4C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4C9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A4C9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A4C9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A4C9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A4C9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A4C9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A4C9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A4C9A"/>
  </w:style>
  <w:style w:type="character" w:customStyle="1" w:styleId="charlegsubtitle1">
    <w:name w:val="charlegsubtitle1"/>
    <w:basedOn w:val="DefaultParagraphFont"/>
    <w:rsid w:val="005A4C9A"/>
    <w:rPr>
      <w:rFonts w:ascii="Arial" w:hAnsi="Arial" w:cs="Arial" w:hint="default"/>
      <w:b/>
      <w:bCs/>
      <w:sz w:val="28"/>
      <w:szCs w:val="28"/>
    </w:rPr>
  </w:style>
  <w:style w:type="paragraph" w:styleId="Index1">
    <w:name w:val="index 1"/>
    <w:basedOn w:val="Normal"/>
    <w:next w:val="Normal"/>
    <w:autoRedefine/>
    <w:rsid w:val="005A4C9A"/>
    <w:pPr>
      <w:ind w:left="240" w:hanging="240"/>
    </w:pPr>
  </w:style>
  <w:style w:type="paragraph" w:styleId="Index2">
    <w:name w:val="index 2"/>
    <w:basedOn w:val="Normal"/>
    <w:next w:val="Normal"/>
    <w:autoRedefine/>
    <w:rsid w:val="005A4C9A"/>
    <w:pPr>
      <w:ind w:left="480" w:hanging="240"/>
    </w:pPr>
  </w:style>
  <w:style w:type="paragraph" w:styleId="Index3">
    <w:name w:val="index 3"/>
    <w:basedOn w:val="Normal"/>
    <w:next w:val="Normal"/>
    <w:autoRedefine/>
    <w:rsid w:val="005A4C9A"/>
    <w:pPr>
      <w:ind w:left="720" w:hanging="240"/>
    </w:pPr>
  </w:style>
  <w:style w:type="paragraph" w:styleId="Index4">
    <w:name w:val="index 4"/>
    <w:basedOn w:val="Normal"/>
    <w:next w:val="Normal"/>
    <w:autoRedefine/>
    <w:rsid w:val="005A4C9A"/>
    <w:pPr>
      <w:ind w:left="960" w:hanging="240"/>
    </w:pPr>
  </w:style>
  <w:style w:type="paragraph" w:styleId="Index5">
    <w:name w:val="index 5"/>
    <w:basedOn w:val="Normal"/>
    <w:next w:val="Normal"/>
    <w:autoRedefine/>
    <w:rsid w:val="005A4C9A"/>
    <w:pPr>
      <w:ind w:left="1200" w:hanging="240"/>
    </w:pPr>
  </w:style>
  <w:style w:type="paragraph" w:styleId="Index6">
    <w:name w:val="index 6"/>
    <w:basedOn w:val="Normal"/>
    <w:next w:val="Normal"/>
    <w:autoRedefine/>
    <w:rsid w:val="005A4C9A"/>
    <w:pPr>
      <w:ind w:left="1440" w:hanging="240"/>
    </w:pPr>
  </w:style>
  <w:style w:type="paragraph" w:styleId="Index7">
    <w:name w:val="index 7"/>
    <w:basedOn w:val="Normal"/>
    <w:next w:val="Normal"/>
    <w:autoRedefine/>
    <w:rsid w:val="005A4C9A"/>
    <w:pPr>
      <w:ind w:left="1680" w:hanging="240"/>
    </w:pPr>
  </w:style>
  <w:style w:type="paragraph" w:styleId="Index8">
    <w:name w:val="index 8"/>
    <w:basedOn w:val="Normal"/>
    <w:next w:val="Normal"/>
    <w:autoRedefine/>
    <w:rsid w:val="005A4C9A"/>
    <w:pPr>
      <w:ind w:left="1920" w:hanging="240"/>
    </w:pPr>
  </w:style>
  <w:style w:type="paragraph" w:styleId="Index9">
    <w:name w:val="index 9"/>
    <w:basedOn w:val="Normal"/>
    <w:next w:val="Normal"/>
    <w:autoRedefine/>
    <w:rsid w:val="005A4C9A"/>
    <w:pPr>
      <w:ind w:left="2160" w:hanging="240"/>
    </w:pPr>
  </w:style>
  <w:style w:type="paragraph" w:styleId="NormalIndent">
    <w:name w:val="Normal Indent"/>
    <w:basedOn w:val="Normal"/>
    <w:rsid w:val="005A4C9A"/>
    <w:pPr>
      <w:ind w:left="720"/>
    </w:pPr>
  </w:style>
  <w:style w:type="paragraph" w:styleId="FootnoteText">
    <w:name w:val="footnote text"/>
    <w:basedOn w:val="Normal"/>
    <w:link w:val="FootnoteTextChar"/>
    <w:rsid w:val="005A4C9A"/>
    <w:rPr>
      <w:sz w:val="20"/>
    </w:rPr>
  </w:style>
  <w:style w:type="character" w:customStyle="1" w:styleId="FootnoteTextChar">
    <w:name w:val="Footnote Text Char"/>
    <w:basedOn w:val="DefaultParagraphFont"/>
    <w:link w:val="FootnoteText"/>
    <w:rsid w:val="005A4C9A"/>
  </w:style>
  <w:style w:type="paragraph" w:styleId="CommentText">
    <w:name w:val="annotation text"/>
    <w:basedOn w:val="Normal"/>
    <w:link w:val="CommentTextChar"/>
    <w:rsid w:val="005A4C9A"/>
    <w:rPr>
      <w:sz w:val="20"/>
    </w:rPr>
  </w:style>
  <w:style w:type="character" w:customStyle="1" w:styleId="CommentTextChar">
    <w:name w:val="Comment Text Char"/>
    <w:basedOn w:val="DefaultParagraphFont"/>
    <w:link w:val="CommentText"/>
    <w:rsid w:val="005A4C9A"/>
  </w:style>
  <w:style w:type="paragraph" w:styleId="IndexHeading">
    <w:name w:val="index heading"/>
    <w:basedOn w:val="Normal"/>
    <w:next w:val="Index1"/>
    <w:rsid w:val="005A4C9A"/>
    <w:rPr>
      <w:rFonts w:ascii="Arial" w:hAnsi="Arial" w:cs="Arial"/>
      <w:b/>
      <w:bCs/>
    </w:rPr>
  </w:style>
  <w:style w:type="paragraph" w:styleId="Caption">
    <w:name w:val="caption"/>
    <w:basedOn w:val="Normal"/>
    <w:next w:val="Normal"/>
    <w:qFormat/>
    <w:rsid w:val="005A4C9A"/>
    <w:pPr>
      <w:spacing w:before="120" w:after="120"/>
    </w:pPr>
    <w:rPr>
      <w:b/>
      <w:bCs/>
      <w:sz w:val="20"/>
    </w:rPr>
  </w:style>
  <w:style w:type="paragraph" w:styleId="TableofFigures">
    <w:name w:val="table of figures"/>
    <w:basedOn w:val="Normal"/>
    <w:next w:val="Normal"/>
    <w:rsid w:val="005A4C9A"/>
    <w:pPr>
      <w:ind w:left="480" w:hanging="480"/>
    </w:pPr>
  </w:style>
  <w:style w:type="paragraph" w:styleId="EnvelopeAddress">
    <w:name w:val="envelope address"/>
    <w:basedOn w:val="Normal"/>
    <w:rsid w:val="005A4C9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A4C9A"/>
    <w:rPr>
      <w:rFonts w:ascii="Arial" w:hAnsi="Arial" w:cs="Arial"/>
      <w:sz w:val="20"/>
    </w:rPr>
  </w:style>
  <w:style w:type="character" w:styleId="FootnoteReference">
    <w:name w:val="footnote reference"/>
    <w:basedOn w:val="DefaultParagraphFont"/>
    <w:rsid w:val="005A4C9A"/>
    <w:rPr>
      <w:rFonts w:ascii="Times New Roman" w:hAnsi="Times New Roman"/>
      <w:sz w:val="20"/>
      <w:vertAlign w:val="superscript"/>
    </w:rPr>
  </w:style>
  <w:style w:type="character" w:styleId="CommentReference">
    <w:name w:val="annotation reference"/>
    <w:basedOn w:val="DefaultParagraphFont"/>
    <w:rsid w:val="005A4C9A"/>
    <w:rPr>
      <w:sz w:val="16"/>
      <w:szCs w:val="16"/>
    </w:rPr>
  </w:style>
  <w:style w:type="character" w:styleId="PageNumber">
    <w:name w:val="page number"/>
    <w:basedOn w:val="DefaultParagraphFont"/>
    <w:rsid w:val="005A4C9A"/>
  </w:style>
  <w:style w:type="character" w:styleId="EndnoteReference">
    <w:name w:val="endnote reference"/>
    <w:basedOn w:val="DefaultParagraphFont"/>
    <w:rsid w:val="005A4C9A"/>
    <w:rPr>
      <w:vertAlign w:val="superscript"/>
    </w:rPr>
  </w:style>
  <w:style w:type="paragraph" w:styleId="EndnoteText">
    <w:name w:val="endnote text"/>
    <w:basedOn w:val="Normal"/>
    <w:link w:val="EndnoteTextChar"/>
    <w:rsid w:val="005A4C9A"/>
    <w:rPr>
      <w:sz w:val="20"/>
    </w:rPr>
  </w:style>
  <w:style w:type="character" w:customStyle="1" w:styleId="EndnoteTextChar">
    <w:name w:val="Endnote Text Char"/>
    <w:basedOn w:val="DefaultParagraphFont"/>
    <w:link w:val="EndnoteText"/>
    <w:rsid w:val="005A4C9A"/>
  </w:style>
  <w:style w:type="paragraph" w:styleId="TableofAuthorities">
    <w:name w:val="table of authorities"/>
    <w:basedOn w:val="Normal"/>
    <w:next w:val="Normal"/>
    <w:rsid w:val="005A4C9A"/>
    <w:pPr>
      <w:ind w:left="240" w:hanging="240"/>
    </w:pPr>
  </w:style>
  <w:style w:type="paragraph" w:styleId="MacroText">
    <w:name w:val="macro"/>
    <w:link w:val="MacroTextChar"/>
    <w:rsid w:val="005A4C9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A4C9A"/>
    <w:rPr>
      <w:rFonts w:ascii="Courier New" w:eastAsia="Times New Roman" w:hAnsi="Courier New" w:cs="Courier New"/>
      <w:lang w:eastAsia="en-AU"/>
    </w:rPr>
  </w:style>
  <w:style w:type="paragraph" w:styleId="TOAHeading">
    <w:name w:val="toa heading"/>
    <w:basedOn w:val="Normal"/>
    <w:next w:val="Normal"/>
    <w:rsid w:val="005A4C9A"/>
    <w:pPr>
      <w:spacing w:before="120"/>
    </w:pPr>
    <w:rPr>
      <w:rFonts w:ascii="Arial" w:hAnsi="Arial" w:cs="Arial"/>
      <w:b/>
      <w:bCs/>
    </w:rPr>
  </w:style>
  <w:style w:type="paragraph" w:styleId="List">
    <w:name w:val="List"/>
    <w:basedOn w:val="Normal"/>
    <w:rsid w:val="005A4C9A"/>
    <w:pPr>
      <w:ind w:left="283" w:hanging="283"/>
    </w:pPr>
  </w:style>
  <w:style w:type="paragraph" w:styleId="ListBullet">
    <w:name w:val="List Bullet"/>
    <w:basedOn w:val="Normal"/>
    <w:autoRedefine/>
    <w:rsid w:val="005A4C9A"/>
    <w:pPr>
      <w:tabs>
        <w:tab w:val="num" w:pos="360"/>
      </w:tabs>
      <w:ind w:left="360" w:hanging="360"/>
    </w:pPr>
  </w:style>
  <w:style w:type="paragraph" w:styleId="ListNumber">
    <w:name w:val="List Number"/>
    <w:basedOn w:val="Normal"/>
    <w:rsid w:val="005A4C9A"/>
    <w:pPr>
      <w:tabs>
        <w:tab w:val="num" w:pos="360"/>
      </w:tabs>
      <w:ind w:left="360" w:hanging="360"/>
    </w:pPr>
  </w:style>
  <w:style w:type="paragraph" w:styleId="List2">
    <w:name w:val="List 2"/>
    <w:basedOn w:val="Normal"/>
    <w:rsid w:val="005A4C9A"/>
    <w:pPr>
      <w:ind w:left="566" w:hanging="283"/>
    </w:pPr>
  </w:style>
  <w:style w:type="paragraph" w:styleId="List3">
    <w:name w:val="List 3"/>
    <w:basedOn w:val="Normal"/>
    <w:rsid w:val="005A4C9A"/>
    <w:pPr>
      <w:ind w:left="849" w:hanging="283"/>
    </w:pPr>
  </w:style>
  <w:style w:type="paragraph" w:styleId="List4">
    <w:name w:val="List 4"/>
    <w:basedOn w:val="Normal"/>
    <w:rsid w:val="005A4C9A"/>
    <w:pPr>
      <w:ind w:left="1132" w:hanging="283"/>
    </w:pPr>
  </w:style>
  <w:style w:type="paragraph" w:styleId="List5">
    <w:name w:val="List 5"/>
    <w:basedOn w:val="Normal"/>
    <w:rsid w:val="005A4C9A"/>
    <w:pPr>
      <w:ind w:left="1415" w:hanging="283"/>
    </w:pPr>
  </w:style>
  <w:style w:type="paragraph" w:styleId="ListBullet2">
    <w:name w:val="List Bullet 2"/>
    <w:basedOn w:val="Normal"/>
    <w:autoRedefine/>
    <w:rsid w:val="005A4C9A"/>
    <w:pPr>
      <w:tabs>
        <w:tab w:val="num" w:pos="360"/>
      </w:tabs>
    </w:pPr>
  </w:style>
  <w:style w:type="paragraph" w:styleId="ListBullet3">
    <w:name w:val="List Bullet 3"/>
    <w:basedOn w:val="Normal"/>
    <w:autoRedefine/>
    <w:rsid w:val="005A4C9A"/>
    <w:pPr>
      <w:tabs>
        <w:tab w:val="num" w:pos="926"/>
      </w:tabs>
      <w:ind w:left="926" w:hanging="360"/>
    </w:pPr>
  </w:style>
  <w:style w:type="paragraph" w:styleId="ListBullet4">
    <w:name w:val="List Bullet 4"/>
    <w:basedOn w:val="Normal"/>
    <w:autoRedefine/>
    <w:rsid w:val="005A4C9A"/>
    <w:pPr>
      <w:tabs>
        <w:tab w:val="num" w:pos="1209"/>
      </w:tabs>
      <w:ind w:left="1209" w:hanging="360"/>
    </w:pPr>
  </w:style>
  <w:style w:type="paragraph" w:styleId="ListBullet5">
    <w:name w:val="List Bullet 5"/>
    <w:basedOn w:val="Normal"/>
    <w:autoRedefine/>
    <w:rsid w:val="005A4C9A"/>
    <w:pPr>
      <w:tabs>
        <w:tab w:val="num" w:pos="1492"/>
      </w:tabs>
      <w:ind w:left="1492" w:hanging="360"/>
    </w:pPr>
  </w:style>
  <w:style w:type="paragraph" w:styleId="ListNumber2">
    <w:name w:val="List Number 2"/>
    <w:basedOn w:val="Normal"/>
    <w:rsid w:val="005A4C9A"/>
    <w:pPr>
      <w:tabs>
        <w:tab w:val="num" w:pos="643"/>
      </w:tabs>
      <w:ind w:left="643" w:hanging="360"/>
    </w:pPr>
  </w:style>
  <w:style w:type="paragraph" w:styleId="ListNumber3">
    <w:name w:val="List Number 3"/>
    <w:basedOn w:val="Normal"/>
    <w:rsid w:val="005A4C9A"/>
    <w:pPr>
      <w:tabs>
        <w:tab w:val="num" w:pos="926"/>
      </w:tabs>
      <w:ind w:left="926" w:hanging="360"/>
    </w:pPr>
  </w:style>
  <w:style w:type="paragraph" w:styleId="ListNumber4">
    <w:name w:val="List Number 4"/>
    <w:basedOn w:val="Normal"/>
    <w:rsid w:val="005A4C9A"/>
    <w:pPr>
      <w:tabs>
        <w:tab w:val="num" w:pos="1209"/>
      </w:tabs>
      <w:ind w:left="1209" w:hanging="360"/>
    </w:pPr>
  </w:style>
  <w:style w:type="paragraph" w:styleId="ListNumber5">
    <w:name w:val="List Number 5"/>
    <w:basedOn w:val="Normal"/>
    <w:rsid w:val="005A4C9A"/>
    <w:pPr>
      <w:tabs>
        <w:tab w:val="num" w:pos="1492"/>
      </w:tabs>
      <w:ind w:left="1492" w:hanging="360"/>
    </w:pPr>
  </w:style>
  <w:style w:type="paragraph" w:styleId="Title">
    <w:name w:val="Title"/>
    <w:basedOn w:val="Normal"/>
    <w:link w:val="TitleChar"/>
    <w:qFormat/>
    <w:rsid w:val="005A4C9A"/>
    <w:pPr>
      <w:spacing w:before="240" w:after="60"/>
    </w:pPr>
    <w:rPr>
      <w:rFonts w:ascii="Arial" w:hAnsi="Arial" w:cs="Arial"/>
      <w:b/>
      <w:bCs/>
      <w:sz w:val="40"/>
      <w:szCs w:val="40"/>
    </w:rPr>
  </w:style>
  <w:style w:type="character" w:customStyle="1" w:styleId="TitleChar">
    <w:name w:val="Title Char"/>
    <w:basedOn w:val="DefaultParagraphFont"/>
    <w:link w:val="Title"/>
    <w:rsid w:val="005A4C9A"/>
    <w:rPr>
      <w:rFonts w:ascii="Arial" w:hAnsi="Arial" w:cs="Arial"/>
      <w:b/>
      <w:bCs/>
      <w:sz w:val="40"/>
      <w:szCs w:val="40"/>
    </w:rPr>
  </w:style>
  <w:style w:type="paragraph" w:styleId="Closing">
    <w:name w:val="Closing"/>
    <w:basedOn w:val="Normal"/>
    <w:link w:val="ClosingChar"/>
    <w:rsid w:val="005A4C9A"/>
    <w:pPr>
      <w:ind w:left="4252"/>
    </w:pPr>
  </w:style>
  <w:style w:type="character" w:customStyle="1" w:styleId="ClosingChar">
    <w:name w:val="Closing Char"/>
    <w:basedOn w:val="DefaultParagraphFont"/>
    <w:link w:val="Closing"/>
    <w:rsid w:val="005A4C9A"/>
    <w:rPr>
      <w:sz w:val="22"/>
    </w:rPr>
  </w:style>
  <w:style w:type="paragraph" w:styleId="Signature">
    <w:name w:val="Signature"/>
    <w:basedOn w:val="Normal"/>
    <w:link w:val="SignatureChar"/>
    <w:rsid w:val="005A4C9A"/>
    <w:pPr>
      <w:ind w:left="4252"/>
    </w:pPr>
  </w:style>
  <w:style w:type="character" w:customStyle="1" w:styleId="SignatureChar">
    <w:name w:val="Signature Char"/>
    <w:basedOn w:val="DefaultParagraphFont"/>
    <w:link w:val="Signature"/>
    <w:rsid w:val="005A4C9A"/>
    <w:rPr>
      <w:sz w:val="22"/>
    </w:rPr>
  </w:style>
  <w:style w:type="paragraph" w:styleId="BodyText">
    <w:name w:val="Body Text"/>
    <w:basedOn w:val="Normal"/>
    <w:link w:val="BodyTextChar"/>
    <w:rsid w:val="005A4C9A"/>
    <w:pPr>
      <w:spacing w:after="120"/>
    </w:pPr>
  </w:style>
  <w:style w:type="character" w:customStyle="1" w:styleId="BodyTextChar">
    <w:name w:val="Body Text Char"/>
    <w:basedOn w:val="DefaultParagraphFont"/>
    <w:link w:val="BodyText"/>
    <w:rsid w:val="005A4C9A"/>
    <w:rPr>
      <w:sz w:val="22"/>
    </w:rPr>
  </w:style>
  <w:style w:type="paragraph" w:styleId="BodyTextIndent">
    <w:name w:val="Body Text Indent"/>
    <w:basedOn w:val="Normal"/>
    <w:link w:val="BodyTextIndentChar"/>
    <w:rsid w:val="005A4C9A"/>
    <w:pPr>
      <w:spacing w:after="120"/>
      <w:ind w:left="283"/>
    </w:pPr>
  </w:style>
  <w:style w:type="character" w:customStyle="1" w:styleId="BodyTextIndentChar">
    <w:name w:val="Body Text Indent Char"/>
    <w:basedOn w:val="DefaultParagraphFont"/>
    <w:link w:val="BodyTextIndent"/>
    <w:rsid w:val="005A4C9A"/>
    <w:rPr>
      <w:sz w:val="22"/>
    </w:rPr>
  </w:style>
  <w:style w:type="paragraph" w:styleId="ListContinue">
    <w:name w:val="List Continue"/>
    <w:basedOn w:val="Normal"/>
    <w:rsid w:val="005A4C9A"/>
    <w:pPr>
      <w:spacing w:after="120"/>
      <w:ind w:left="283"/>
    </w:pPr>
  </w:style>
  <w:style w:type="paragraph" w:styleId="ListContinue2">
    <w:name w:val="List Continue 2"/>
    <w:basedOn w:val="Normal"/>
    <w:rsid w:val="005A4C9A"/>
    <w:pPr>
      <w:spacing w:after="120"/>
      <w:ind w:left="566"/>
    </w:pPr>
  </w:style>
  <w:style w:type="paragraph" w:styleId="ListContinue3">
    <w:name w:val="List Continue 3"/>
    <w:basedOn w:val="Normal"/>
    <w:rsid w:val="005A4C9A"/>
    <w:pPr>
      <w:spacing w:after="120"/>
      <w:ind w:left="849"/>
    </w:pPr>
  </w:style>
  <w:style w:type="paragraph" w:styleId="ListContinue4">
    <w:name w:val="List Continue 4"/>
    <w:basedOn w:val="Normal"/>
    <w:rsid w:val="005A4C9A"/>
    <w:pPr>
      <w:spacing w:after="120"/>
      <w:ind w:left="1132"/>
    </w:pPr>
  </w:style>
  <w:style w:type="paragraph" w:styleId="ListContinue5">
    <w:name w:val="List Continue 5"/>
    <w:basedOn w:val="Normal"/>
    <w:rsid w:val="005A4C9A"/>
    <w:pPr>
      <w:spacing w:after="120"/>
      <w:ind w:left="1415"/>
    </w:pPr>
  </w:style>
  <w:style w:type="paragraph" w:styleId="MessageHeader">
    <w:name w:val="Message Header"/>
    <w:basedOn w:val="Normal"/>
    <w:link w:val="MessageHeaderChar"/>
    <w:rsid w:val="005A4C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A4C9A"/>
    <w:rPr>
      <w:rFonts w:ascii="Arial" w:hAnsi="Arial" w:cs="Arial"/>
      <w:sz w:val="22"/>
      <w:shd w:val="pct20" w:color="auto" w:fill="auto"/>
    </w:rPr>
  </w:style>
  <w:style w:type="paragraph" w:styleId="Subtitle">
    <w:name w:val="Subtitle"/>
    <w:basedOn w:val="Normal"/>
    <w:link w:val="SubtitleChar"/>
    <w:qFormat/>
    <w:rsid w:val="005A4C9A"/>
    <w:pPr>
      <w:spacing w:after="60"/>
      <w:jc w:val="center"/>
      <w:outlineLvl w:val="1"/>
    </w:pPr>
    <w:rPr>
      <w:rFonts w:ascii="Arial" w:hAnsi="Arial" w:cs="Arial"/>
    </w:rPr>
  </w:style>
  <w:style w:type="character" w:customStyle="1" w:styleId="SubtitleChar">
    <w:name w:val="Subtitle Char"/>
    <w:basedOn w:val="DefaultParagraphFont"/>
    <w:link w:val="Subtitle"/>
    <w:rsid w:val="005A4C9A"/>
    <w:rPr>
      <w:rFonts w:ascii="Arial" w:hAnsi="Arial" w:cs="Arial"/>
      <w:sz w:val="22"/>
    </w:rPr>
  </w:style>
  <w:style w:type="paragraph" w:styleId="Salutation">
    <w:name w:val="Salutation"/>
    <w:basedOn w:val="Normal"/>
    <w:next w:val="Normal"/>
    <w:link w:val="SalutationChar"/>
    <w:rsid w:val="005A4C9A"/>
  </w:style>
  <w:style w:type="character" w:customStyle="1" w:styleId="SalutationChar">
    <w:name w:val="Salutation Char"/>
    <w:basedOn w:val="DefaultParagraphFont"/>
    <w:link w:val="Salutation"/>
    <w:rsid w:val="005A4C9A"/>
    <w:rPr>
      <w:sz w:val="22"/>
    </w:rPr>
  </w:style>
  <w:style w:type="paragraph" w:styleId="Date">
    <w:name w:val="Date"/>
    <w:basedOn w:val="Normal"/>
    <w:next w:val="Normal"/>
    <w:link w:val="DateChar"/>
    <w:rsid w:val="005A4C9A"/>
  </w:style>
  <w:style w:type="character" w:customStyle="1" w:styleId="DateChar">
    <w:name w:val="Date Char"/>
    <w:basedOn w:val="DefaultParagraphFont"/>
    <w:link w:val="Date"/>
    <w:rsid w:val="005A4C9A"/>
    <w:rPr>
      <w:sz w:val="22"/>
    </w:rPr>
  </w:style>
  <w:style w:type="paragraph" w:styleId="BodyTextFirstIndent">
    <w:name w:val="Body Text First Indent"/>
    <w:basedOn w:val="BodyText"/>
    <w:link w:val="BodyTextFirstIndentChar"/>
    <w:rsid w:val="005A4C9A"/>
    <w:pPr>
      <w:ind w:firstLine="210"/>
    </w:pPr>
  </w:style>
  <w:style w:type="character" w:customStyle="1" w:styleId="BodyTextFirstIndentChar">
    <w:name w:val="Body Text First Indent Char"/>
    <w:basedOn w:val="BodyTextChar"/>
    <w:link w:val="BodyTextFirstIndent"/>
    <w:rsid w:val="005A4C9A"/>
    <w:rPr>
      <w:sz w:val="22"/>
    </w:rPr>
  </w:style>
  <w:style w:type="paragraph" w:styleId="BodyTextFirstIndent2">
    <w:name w:val="Body Text First Indent 2"/>
    <w:basedOn w:val="BodyTextIndent"/>
    <w:link w:val="BodyTextFirstIndent2Char"/>
    <w:rsid w:val="005A4C9A"/>
    <w:pPr>
      <w:ind w:firstLine="210"/>
    </w:pPr>
  </w:style>
  <w:style w:type="character" w:customStyle="1" w:styleId="BodyTextFirstIndent2Char">
    <w:name w:val="Body Text First Indent 2 Char"/>
    <w:basedOn w:val="BodyTextIndentChar"/>
    <w:link w:val="BodyTextFirstIndent2"/>
    <w:rsid w:val="005A4C9A"/>
    <w:rPr>
      <w:sz w:val="22"/>
    </w:rPr>
  </w:style>
  <w:style w:type="paragraph" w:styleId="BodyText2">
    <w:name w:val="Body Text 2"/>
    <w:basedOn w:val="Normal"/>
    <w:link w:val="BodyText2Char"/>
    <w:rsid w:val="005A4C9A"/>
    <w:pPr>
      <w:spacing w:after="120" w:line="480" w:lineRule="auto"/>
    </w:pPr>
  </w:style>
  <w:style w:type="character" w:customStyle="1" w:styleId="BodyText2Char">
    <w:name w:val="Body Text 2 Char"/>
    <w:basedOn w:val="DefaultParagraphFont"/>
    <w:link w:val="BodyText2"/>
    <w:rsid w:val="005A4C9A"/>
    <w:rPr>
      <w:sz w:val="22"/>
    </w:rPr>
  </w:style>
  <w:style w:type="paragraph" w:styleId="BodyText3">
    <w:name w:val="Body Text 3"/>
    <w:basedOn w:val="Normal"/>
    <w:link w:val="BodyText3Char"/>
    <w:rsid w:val="005A4C9A"/>
    <w:pPr>
      <w:spacing w:after="120"/>
    </w:pPr>
    <w:rPr>
      <w:sz w:val="16"/>
      <w:szCs w:val="16"/>
    </w:rPr>
  </w:style>
  <w:style w:type="character" w:customStyle="1" w:styleId="BodyText3Char">
    <w:name w:val="Body Text 3 Char"/>
    <w:basedOn w:val="DefaultParagraphFont"/>
    <w:link w:val="BodyText3"/>
    <w:rsid w:val="005A4C9A"/>
    <w:rPr>
      <w:sz w:val="16"/>
      <w:szCs w:val="16"/>
    </w:rPr>
  </w:style>
  <w:style w:type="paragraph" w:styleId="BodyTextIndent2">
    <w:name w:val="Body Text Indent 2"/>
    <w:basedOn w:val="Normal"/>
    <w:link w:val="BodyTextIndent2Char"/>
    <w:rsid w:val="005A4C9A"/>
    <w:pPr>
      <w:spacing w:after="120" w:line="480" w:lineRule="auto"/>
      <w:ind w:left="283"/>
    </w:pPr>
  </w:style>
  <w:style w:type="character" w:customStyle="1" w:styleId="BodyTextIndent2Char">
    <w:name w:val="Body Text Indent 2 Char"/>
    <w:basedOn w:val="DefaultParagraphFont"/>
    <w:link w:val="BodyTextIndent2"/>
    <w:rsid w:val="005A4C9A"/>
    <w:rPr>
      <w:sz w:val="22"/>
    </w:rPr>
  </w:style>
  <w:style w:type="paragraph" w:styleId="BodyTextIndent3">
    <w:name w:val="Body Text Indent 3"/>
    <w:basedOn w:val="Normal"/>
    <w:link w:val="BodyTextIndent3Char"/>
    <w:rsid w:val="005A4C9A"/>
    <w:pPr>
      <w:spacing w:after="120"/>
      <w:ind w:left="283"/>
    </w:pPr>
    <w:rPr>
      <w:sz w:val="16"/>
      <w:szCs w:val="16"/>
    </w:rPr>
  </w:style>
  <w:style w:type="character" w:customStyle="1" w:styleId="BodyTextIndent3Char">
    <w:name w:val="Body Text Indent 3 Char"/>
    <w:basedOn w:val="DefaultParagraphFont"/>
    <w:link w:val="BodyTextIndent3"/>
    <w:rsid w:val="005A4C9A"/>
    <w:rPr>
      <w:sz w:val="16"/>
      <w:szCs w:val="16"/>
    </w:rPr>
  </w:style>
  <w:style w:type="paragraph" w:styleId="BlockText">
    <w:name w:val="Block Text"/>
    <w:basedOn w:val="Normal"/>
    <w:rsid w:val="005A4C9A"/>
    <w:pPr>
      <w:spacing w:after="120"/>
      <w:ind w:left="1440" w:right="1440"/>
    </w:pPr>
  </w:style>
  <w:style w:type="character" w:styleId="Hyperlink">
    <w:name w:val="Hyperlink"/>
    <w:basedOn w:val="DefaultParagraphFont"/>
    <w:rsid w:val="005A4C9A"/>
    <w:rPr>
      <w:color w:val="0000FF"/>
      <w:u w:val="single"/>
    </w:rPr>
  </w:style>
  <w:style w:type="character" w:styleId="FollowedHyperlink">
    <w:name w:val="FollowedHyperlink"/>
    <w:basedOn w:val="DefaultParagraphFont"/>
    <w:rsid w:val="005A4C9A"/>
    <w:rPr>
      <w:color w:val="800080"/>
      <w:u w:val="single"/>
    </w:rPr>
  </w:style>
  <w:style w:type="character" w:styleId="Strong">
    <w:name w:val="Strong"/>
    <w:basedOn w:val="DefaultParagraphFont"/>
    <w:qFormat/>
    <w:rsid w:val="005A4C9A"/>
    <w:rPr>
      <w:b/>
      <w:bCs/>
    </w:rPr>
  </w:style>
  <w:style w:type="character" w:styleId="Emphasis">
    <w:name w:val="Emphasis"/>
    <w:basedOn w:val="DefaultParagraphFont"/>
    <w:qFormat/>
    <w:rsid w:val="005A4C9A"/>
    <w:rPr>
      <w:i/>
      <w:iCs/>
    </w:rPr>
  </w:style>
  <w:style w:type="paragraph" w:styleId="DocumentMap">
    <w:name w:val="Document Map"/>
    <w:basedOn w:val="Normal"/>
    <w:link w:val="DocumentMapChar"/>
    <w:rsid w:val="005A4C9A"/>
    <w:pPr>
      <w:shd w:val="clear" w:color="auto" w:fill="000080"/>
    </w:pPr>
    <w:rPr>
      <w:rFonts w:ascii="Tahoma" w:hAnsi="Tahoma" w:cs="Tahoma"/>
    </w:rPr>
  </w:style>
  <w:style w:type="character" w:customStyle="1" w:styleId="DocumentMapChar">
    <w:name w:val="Document Map Char"/>
    <w:basedOn w:val="DefaultParagraphFont"/>
    <w:link w:val="DocumentMap"/>
    <w:rsid w:val="005A4C9A"/>
    <w:rPr>
      <w:rFonts w:ascii="Tahoma" w:hAnsi="Tahoma" w:cs="Tahoma"/>
      <w:sz w:val="22"/>
      <w:shd w:val="clear" w:color="auto" w:fill="000080"/>
    </w:rPr>
  </w:style>
  <w:style w:type="paragraph" w:styleId="PlainText">
    <w:name w:val="Plain Text"/>
    <w:basedOn w:val="Normal"/>
    <w:link w:val="PlainTextChar"/>
    <w:rsid w:val="005A4C9A"/>
    <w:rPr>
      <w:rFonts w:ascii="Courier New" w:hAnsi="Courier New" w:cs="Courier New"/>
      <w:sz w:val="20"/>
    </w:rPr>
  </w:style>
  <w:style w:type="character" w:customStyle="1" w:styleId="PlainTextChar">
    <w:name w:val="Plain Text Char"/>
    <w:basedOn w:val="DefaultParagraphFont"/>
    <w:link w:val="PlainText"/>
    <w:rsid w:val="005A4C9A"/>
    <w:rPr>
      <w:rFonts w:ascii="Courier New" w:hAnsi="Courier New" w:cs="Courier New"/>
    </w:rPr>
  </w:style>
  <w:style w:type="paragraph" w:styleId="EmailSignature">
    <w:name w:val="E-mail Signature"/>
    <w:basedOn w:val="Normal"/>
    <w:link w:val="EmailSignatureChar"/>
    <w:rsid w:val="005A4C9A"/>
  </w:style>
  <w:style w:type="character" w:customStyle="1" w:styleId="EmailSignatureChar">
    <w:name w:val="Email Signature Char"/>
    <w:basedOn w:val="DefaultParagraphFont"/>
    <w:link w:val="EmailSignature"/>
    <w:rsid w:val="005A4C9A"/>
    <w:rPr>
      <w:sz w:val="22"/>
    </w:rPr>
  </w:style>
  <w:style w:type="paragraph" w:styleId="NormalWeb">
    <w:name w:val="Normal (Web)"/>
    <w:basedOn w:val="Normal"/>
    <w:rsid w:val="005A4C9A"/>
  </w:style>
  <w:style w:type="character" w:styleId="HTMLAcronym">
    <w:name w:val="HTML Acronym"/>
    <w:basedOn w:val="DefaultParagraphFont"/>
    <w:rsid w:val="005A4C9A"/>
  </w:style>
  <w:style w:type="paragraph" w:styleId="HTMLAddress">
    <w:name w:val="HTML Address"/>
    <w:basedOn w:val="Normal"/>
    <w:link w:val="HTMLAddressChar"/>
    <w:rsid w:val="005A4C9A"/>
    <w:rPr>
      <w:i/>
      <w:iCs/>
    </w:rPr>
  </w:style>
  <w:style w:type="character" w:customStyle="1" w:styleId="HTMLAddressChar">
    <w:name w:val="HTML Address Char"/>
    <w:basedOn w:val="DefaultParagraphFont"/>
    <w:link w:val="HTMLAddress"/>
    <w:rsid w:val="005A4C9A"/>
    <w:rPr>
      <w:i/>
      <w:iCs/>
      <w:sz w:val="22"/>
    </w:rPr>
  </w:style>
  <w:style w:type="character" w:styleId="HTMLCite">
    <w:name w:val="HTML Cite"/>
    <w:basedOn w:val="DefaultParagraphFont"/>
    <w:rsid w:val="005A4C9A"/>
    <w:rPr>
      <w:i/>
      <w:iCs/>
    </w:rPr>
  </w:style>
  <w:style w:type="character" w:styleId="HTMLCode">
    <w:name w:val="HTML Code"/>
    <w:basedOn w:val="DefaultParagraphFont"/>
    <w:rsid w:val="005A4C9A"/>
    <w:rPr>
      <w:rFonts w:ascii="Courier New" w:hAnsi="Courier New" w:cs="Courier New"/>
      <w:sz w:val="20"/>
      <w:szCs w:val="20"/>
    </w:rPr>
  </w:style>
  <w:style w:type="character" w:styleId="HTMLDefinition">
    <w:name w:val="HTML Definition"/>
    <w:basedOn w:val="DefaultParagraphFont"/>
    <w:rsid w:val="005A4C9A"/>
    <w:rPr>
      <w:i/>
      <w:iCs/>
    </w:rPr>
  </w:style>
  <w:style w:type="character" w:styleId="HTMLKeyboard">
    <w:name w:val="HTML Keyboard"/>
    <w:basedOn w:val="DefaultParagraphFont"/>
    <w:rsid w:val="005A4C9A"/>
    <w:rPr>
      <w:rFonts w:ascii="Courier New" w:hAnsi="Courier New" w:cs="Courier New"/>
      <w:sz w:val="20"/>
      <w:szCs w:val="20"/>
    </w:rPr>
  </w:style>
  <w:style w:type="paragraph" w:styleId="HTMLPreformatted">
    <w:name w:val="HTML Preformatted"/>
    <w:basedOn w:val="Normal"/>
    <w:link w:val="HTMLPreformattedChar"/>
    <w:rsid w:val="005A4C9A"/>
    <w:rPr>
      <w:rFonts w:ascii="Courier New" w:hAnsi="Courier New" w:cs="Courier New"/>
      <w:sz w:val="20"/>
    </w:rPr>
  </w:style>
  <w:style w:type="character" w:customStyle="1" w:styleId="HTMLPreformattedChar">
    <w:name w:val="HTML Preformatted Char"/>
    <w:basedOn w:val="DefaultParagraphFont"/>
    <w:link w:val="HTMLPreformatted"/>
    <w:rsid w:val="005A4C9A"/>
    <w:rPr>
      <w:rFonts w:ascii="Courier New" w:hAnsi="Courier New" w:cs="Courier New"/>
    </w:rPr>
  </w:style>
  <w:style w:type="character" w:styleId="HTMLSample">
    <w:name w:val="HTML Sample"/>
    <w:basedOn w:val="DefaultParagraphFont"/>
    <w:rsid w:val="005A4C9A"/>
    <w:rPr>
      <w:rFonts w:ascii="Courier New" w:hAnsi="Courier New" w:cs="Courier New"/>
    </w:rPr>
  </w:style>
  <w:style w:type="character" w:styleId="HTMLTypewriter">
    <w:name w:val="HTML Typewriter"/>
    <w:basedOn w:val="DefaultParagraphFont"/>
    <w:rsid w:val="005A4C9A"/>
    <w:rPr>
      <w:rFonts w:ascii="Courier New" w:hAnsi="Courier New" w:cs="Courier New"/>
      <w:sz w:val="20"/>
      <w:szCs w:val="20"/>
    </w:rPr>
  </w:style>
  <w:style w:type="character" w:styleId="HTMLVariable">
    <w:name w:val="HTML Variable"/>
    <w:basedOn w:val="DefaultParagraphFont"/>
    <w:rsid w:val="005A4C9A"/>
    <w:rPr>
      <w:i/>
      <w:iCs/>
    </w:rPr>
  </w:style>
  <w:style w:type="paragraph" w:styleId="CommentSubject">
    <w:name w:val="annotation subject"/>
    <w:basedOn w:val="CommentText"/>
    <w:next w:val="CommentText"/>
    <w:link w:val="CommentSubjectChar"/>
    <w:rsid w:val="005A4C9A"/>
    <w:rPr>
      <w:b/>
      <w:bCs/>
    </w:rPr>
  </w:style>
  <w:style w:type="character" w:customStyle="1" w:styleId="CommentSubjectChar">
    <w:name w:val="Comment Subject Char"/>
    <w:basedOn w:val="CommentTextChar"/>
    <w:link w:val="CommentSubject"/>
    <w:rsid w:val="005A4C9A"/>
    <w:rPr>
      <w:b/>
      <w:bCs/>
    </w:rPr>
  </w:style>
  <w:style w:type="numbering" w:styleId="1ai">
    <w:name w:val="Outline List 1"/>
    <w:basedOn w:val="NoList"/>
    <w:rsid w:val="005A4C9A"/>
    <w:pPr>
      <w:numPr>
        <w:numId w:val="14"/>
      </w:numPr>
    </w:pPr>
  </w:style>
  <w:style w:type="numbering" w:styleId="111111">
    <w:name w:val="Outline List 2"/>
    <w:basedOn w:val="NoList"/>
    <w:rsid w:val="005A4C9A"/>
    <w:pPr>
      <w:numPr>
        <w:numId w:val="15"/>
      </w:numPr>
    </w:pPr>
  </w:style>
  <w:style w:type="numbering" w:styleId="ArticleSection">
    <w:name w:val="Outline List 3"/>
    <w:basedOn w:val="NoList"/>
    <w:rsid w:val="005A4C9A"/>
    <w:pPr>
      <w:numPr>
        <w:numId w:val="17"/>
      </w:numPr>
    </w:pPr>
  </w:style>
  <w:style w:type="table" w:styleId="TableSimple1">
    <w:name w:val="Table Simple 1"/>
    <w:basedOn w:val="TableNormal"/>
    <w:rsid w:val="005A4C9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4C9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4C9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A4C9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4C9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4C9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4C9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5A4C9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5A4C9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5A4C9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4C9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4C9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4C9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4C9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4C9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A4C9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4C9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4C9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4C9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4C9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4C9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4C9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4C9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4C9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4C9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4C9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4C9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4C9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4C9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4C9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4C9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A4C9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4C9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4C9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A4C9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4C9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A4C9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4C9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4C9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A4C9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A4C9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4C9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A4C9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A4C9A"/>
    <w:rPr>
      <w:rFonts w:eastAsia="Times New Roman" w:cs="Times New Roman"/>
      <w:b/>
      <w:kern w:val="28"/>
      <w:sz w:val="24"/>
      <w:lang w:eastAsia="en-AU"/>
    </w:rPr>
  </w:style>
  <w:style w:type="paragraph" w:styleId="Bibliography">
    <w:name w:val="Bibliography"/>
    <w:basedOn w:val="Normal"/>
    <w:next w:val="Normal"/>
    <w:uiPriority w:val="37"/>
    <w:semiHidden/>
    <w:unhideWhenUsed/>
    <w:rsid w:val="005A4C9A"/>
  </w:style>
  <w:style w:type="character" w:styleId="BookTitle">
    <w:name w:val="Book Title"/>
    <w:basedOn w:val="DefaultParagraphFont"/>
    <w:uiPriority w:val="33"/>
    <w:qFormat/>
    <w:rsid w:val="005A4C9A"/>
    <w:rPr>
      <w:b/>
      <w:bCs/>
      <w:i/>
      <w:iCs/>
      <w:spacing w:val="5"/>
    </w:rPr>
  </w:style>
  <w:style w:type="table" w:styleId="ColourfulGrid">
    <w:name w:val="Colorful Grid"/>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5A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5A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A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5A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5A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5A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5A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5A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5A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A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A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A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5A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A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A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A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A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A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A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A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A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5A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A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A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A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A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A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A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A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A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A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A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A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A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A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A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A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A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A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A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5A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A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5A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5A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5A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5A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5A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5A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A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5A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5A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5A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5A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5A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A4C9A"/>
    <w:rPr>
      <w:color w:val="2B579A"/>
      <w:shd w:val="clear" w:color="auto" w:fill="E1DFDD"/>
    </w:rPr>
  </w:style>
  <w:style w:type="character" w:styleId="IntenseEmphasis">
    <w:name w:val="Intense Emphasis"/>
    <w:basedOn w:val="DefaultParagraphFont"/>
    <w:uiPriority w:val="21"/>
    <w:qFormat/>
    <w:rsid w:val="005A4C9A"/>
    <w:rPr>
      <w:i/>
      <w:iCs/>
      <w:color w:val="4F81BD" w:themeColor="accent1"/>
    </w:rPr>
  </w:style>
  <w:style w:type="paragraph" w:styleId="IntenseQuote">
    <w:name w:val="Intense Quote"/>
    <w:basedOn w:val="Normal"/>
    <w:next w:val="Normal"/>
    <w:link w:val="IntenseQuoteChar"/>
    <w:uiPriority w:val="30"/>
    <w:qFormat/>
    <w:rsid w:val="005A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4C9A"/>
    <w:rPr>
      <w:i/>
      <w:iCs/>
      <w:color w:val="4F81BD" w:themeColor="accent1"/>
      <w:sz w:val="22"/>
    </w:rPr>
  </w:style>
  <w:style w:type="character" w:styleId="IntenseReference">
    <w:name w:val="Intense Reference"/>
    <w:basedOn w:val="DefaultParagraphFont"/>
    <w:uiPriority w:val="32"/>
    <w:qFormat/>
    <w:rsid w:val="005A4C9A"/>
    <w:rPr>
      <w:b/>
      <w:bCs/>
      <w:smallCaps/>
      <w:color w:val="4F81BD" w:themeColor="accent1"/>
      <w:spacing w:val="5"/>
    </w:rPr>
  </w:style>
  <w:style w:type="table" w:styleId="LightGrid">
    <w:name w:val="Light Grid"/>
    <w:basedOn w:val="TableNormal"/>
    <w:uiPriority w:val="62"/>
    <w:semiHidden/>
    <w:unhideWhenUsed/>
    <w:rsid w:val="005A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A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A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A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A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A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A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A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A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A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A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A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A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A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A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A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A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A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A4C9A"/>
    <w:pPr>
      <w:ind w:left="720"/>
      <w:contextualSpacing/>
    </w:pPr>
  </w:style>
  <w:style w:type="table" w:styleId="ListTable1Light">
    <w:name w:val="List Table 1 Light"/>
    <w:basedOn w:val="TableNormal"/>
    <w:uiPriority w:val="46"/>
    <w:rsid w:val="005A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A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A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A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A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A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A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A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A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A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A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A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A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A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A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A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A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A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A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A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A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A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A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A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A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A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A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5A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5A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5A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5A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5A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5A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A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A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A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A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A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A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A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A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A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A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A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A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A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A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A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A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A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A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A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A4C9A"/>
    <w:rPr>
      <w:color w:val="2B579A"/>
      <w:shd w:val="clear" w:color="auto" w:fill="E1DFDD"/>
    </w:rPr>
  </w:style>
  <w:style w:type="paragraph" w:styleId="NoSpacing">
    <w:name w:val="No Spacing"/>
    <w:uiPriority w:val="1"/>
    <w:qFormat/>
    <w:rsid w:val="005A4C9A"/>
    <w:rPr>
      <w:sz w:val="22"/>
    </w:rPr>
  </w:style>
  <w:style w:type="paragraph" w:styleId="NoteHeading">
    <w:name w:val="Note Heading"/>
    <w:basedOn w:val="Normal"/>
    <w:next w:val="Normal"/>
    <w:link w:val="NoteHeadingChar"/>
    <w:uiPriority w:val="99"/>
    <w:semiHidden/>
    <w:unhideWhenUsed/>
    <w:rsid w:val="005A4C9A"/>
    <w:pPr>
      <w:spacing w:line="240" w:lineRule="auto"/>
    </w:pPr>
  </w:style>
  <w:style w:type="character" w:customStyle="1" w:styleId="NoteHeadingChar">
    <w:name w:val="Note Heading Char"/>
    <w:basedOn w:val="DefaultParagraphFont"/>
    <w:link w:val="NoteHeading"/>
    <w:uiPriority w:val="99"/>
    <w:semiHidden/>
    <w:rsid w:val="005A4C9A"/>
    <w:rPr>
      <w:sz w:val="22"/>
    </w:rPr>
  </w:style>
  <w:style w:type="character" w:styleId="PlaceholderText">
    <w:name w:val="Placeholder Text"/>
    <w:basedOn w:val="DefaultParagraphFont"/>
    <w:uiPriority w:val="99"/>
    <w:semiHidden/>
    <w:rsid w:val="005A4C9A"/>
    <w:rPr>
      <w:color w:val="808080"/>
    </w:rPr>
  </w:style>
  <w:style w:type="table" w:styleId="PlainTable1">
    <w:name w:val="Plain Table 1"/>
    <w:basedOn w:val="TableNormal"/>
    <w:uiPriority w:val="41"/>
    <w:rsid w:val="005A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A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4C9A"/>
    <w:rPr>
      <w:i/>
      <w:iCs/>
      <w:color w:val="404040" w:themeColor="text1" w:themeTint="BF"/>
      <w:sz w:val="22"/>
    </w:rPr>
  </w:style>
  <w:style w:type="character" w:styleId="SmartHyperlink">
    <w:name w:val="Smart Hyperlink"/>
    <w:basedOn w:val="DefaultParagraphFont"/>
    <w:uiPriority w:val="99"/>
    <w:semiHidden/>
    <w:unhideWhenUsed/>
    <w:rsid w:val="005A4C9A"/>
    <w:rPr>
      <w:u w:val="dotted"/>
    </w:rPr>
  </w:style>
  <w:style w:type="character" w:styleId="SubtleEmphasis">
    <w:name w:val="Subtle Emphasis"/>
    <w:basedOn w:val="DefaultParagraphFont"/>
    <w:uiPriority w:val="19"/>
    <w:qFormat/>
    <w:rsid w:val="005A4C9A"/>
    <w:rPr>
      <w:i/>
      <w:iCs/>
      <w:color w:val="404040" w:themeColor="text1" w:themeTint="BF"/>
    </w:rPr>
  </w:style>
  <w:style w:type="character" w:styleId="SubtleReference">
    <w:name w:val="Subtle Reference"/>
    <w:basedOn w:val="DefaultParagraphFont"/>
    <w:uiPriority w:val="31"/>
    <w:qFormat/>
    <w:rsid w:val="005A4C9A"/>
    <w:rPr>
      <w:smallCaps/>
      <w:color w:val="5A5A5A" w:themeColor="text1" w:themeTint="A5"/>
    </w:rPr>
  </w:style>
  <w:style w:type="table" w:styleId="TableGridLight">
    <w:name w:val="Grid Table Light"/>
    <w:basedOn w:val="TableNormal"/>
    <w:uiPriority w:val="40"/>
    <w:rsid w:val="005A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A4C9A"/>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5A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54046">
      <w:bodyDiv w:val="1"/>
      <w:marLeft w:val="0"/>
      <w:marRight w:val="0"/>
      <w:marTop w:val="0"/>
      <w:marBottom w:val="0"/>
      <w:divBdr>
        <w:top w:val="none" w:sz="0" w:space="0" w:color="auto"/>
        <w:left w:val="none" w:sz="0" w:space="0" w:color="auto"/>
        <w:bottom w:val="none" w:sz="0" w:space="0" w:color="auto"/>
        <w:right w:val="none" w:sz="0" w:space="0" w:color="auto"/>
      </w:divBdr>
    </w:div>
    <w:div w:id="1134366748">
      <w:bodyDiv w:val="1"/>
      <w:marLeft w:val="0"/>
      <w:marRight w:val="0"/>
      <w:marTop w:val="0"/>
      <w:marBottom w:val="0"/>
      <w:divBdr>
        <w:top w:val="none" w:sz="0" w:space="0" w:color="auto"/>
        <w:left w:val="none" w:sz="0" w:space="0" w:color="auto"/>
        <w:bottom w:val="none" w:sz="0" w:space="0" w:color="auto"/>
        <w:right w:val="none" w:sz="0" w:space="0" w:color="auto"/>
      </w:divBdr>
    </w:div>
    <w:div w:id="1504782159">
      <w:bodyDiv w:val="1"/>
      <w:marLeft w:val="0"/>
      <w:marRight w:val="0"/>
      <w:marTop w:val="0"/>
      <w:marBottom w:val="0"/>
      <w:divBdr>
        <w:top w:val="none" w:sz="0" w:space="0" w:color="auto"/>
        <w:left w:val="none" w:sz="0" w:space="0" w:color="auto"/>
        <w:bottom w:val="none" w:sz="0" w:space="0" w:color="auto"/>
        <w:right w:val="none" w:sz="0" w:space="0" w:color="auto"/>
      </w:divBdr>
    </w:div>
    <w:div w:id="17509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FIN34055-1565050583-66917</_dlc_DocId>
    <_dlc_DocIdUrl xmlns="6a7e9632-768a-49bf-85ac-c69233ab2a52">
      <Url>https://financegovau.sharepoint.com/sites/M365_DoF_50034055/_layouts/15/DocIdRedir.aspx?ID=FIN34055-1565050583-66917</Url>
      <Description>FIN34055-1565050583-66917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0372DF-9A84-4860-B491-C37661A5D349}">
  <ds:schemaRefs>
    <ds:schemaRef ds:uri="http://schemas.openxmlformats.org/officeDocument/2006/bibliography"/>
  </ds:schemaRefs>
</ds:datastoreItem>
</file>

<file path=customXml/itemProps2.xml><?xml version="1.0" encoding="utf-8"?>
<ds:datastoreItem xmlns:ds="http://schemas.openxmlformats.org/officeDocument/2006/customXml" ds:itemID="{087CB69E-0983-434C-A763-5C02C1EDC8AF}">
  <ds:schemaRefs>
    <ds:schemaRef ds:uri="Microsoft.SharePoint.Taxonomy.ContentTypeSync"/>
  </ds:schemaRefs>
</ds:datastoreItem>
</file>

<file path=customXml/itemProps3.xml><?xml version="1.0" encoding="utf-8"?>
<ds:datastoreItem xmlns:ds="http://schemas.openxmlformats.org/officeDocument/2006/customXml" ds:itemID="{E7E6D0F7-69E7-4189-B284-3995455BEE3D}">
  <ds:schemaRefs>
    <ds:schemaRef ds:uri="http://schemas.microsoft.com/office/2006/metadata/properties"/>
    <ds:schemaRef ds:uri="http://schemas.microsoft.com/office/infopath/2007/PartnerControls"/>
    <ds:schemaRef ds:uri="http://schemas.microsoft.com/sharepoint/v3"/>
    <ds:schemaRef ds:uri="a334ba3b-e131-42d3-95f3-2728f5a41884"/>
    <ds:schemaRef ds:uri="8abf5d54-4bdc-4565-aaac-ea38afe0c75a"/>
    <ds:schemaRef ds:uri="6a7e9632-768a-49bf-85ac-c69233ab2a52"/>
  </ds:schemaRefs>
</ds:datastoreItem>
</file>

<file path=customXml/itemProps4.xml><?xml version="1.0" encoding="utf-8"?>
<ds:datastoreItem xmlns:ds="http://schemas.openxmlformats.org/officeDocument/2006/customXml" ds:itemID="{1F2E3CEF-25F0-40E8-9CDC-12377D36B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A9F3F1-052B-4DBE-837E-CF257B903D7C}">
  <ds:schemaRefs>
    <ds:schemaRef ds:uri="http://schemas.microsoft.com/sharepoint/v3/contenttype/forms"/>
  </ds:schemaRefs>
</ds:datastoreItem>
</file>

<file path=customXml/itemProps6.xml><?xml version="1.0" encoding="utf-8"?>
<ds:datastoreItem xmlns:ds="http://schemas.openxmlformats.org/officeDocument/2006/customXml" ds:itemID="{14C4034A-22D3-4435-9FC1-609097BBC0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2482</Words>
  <Characters>14154</Characters>
  <Application>Microsoft Office Word</Application>
  <DocSecurity>0</DocSecurity>
  <PresentationFormat/>
  <Lines>117</Lines>
  <Paragraphs>33</Paragraphs>
  <ScaleCrop>false</ScaleCrop>
  <HeadingPairs>
    <vt:vector size="2" baseType="variant">
      <vt:variant>
        <vt:lpstr>Title</vt:lpstr>
      </vt:variant>
      <vt:variant>
        <vt:i4>1</vt:i4>
      </vt:variant>
    </vt:vector>
  </HeadingPairs>
  <TitlesOfParts>
    <vt:vector size="1" baseType="lpstr">
      <vt:lpstr>Financial Framework (Supplementary Powers) Amendment (Health, Disability and Ageing Measures No. 2) Regulations 2025</vt:lpstr>
    </vt:vector>
  </TitlesOfParts>
  <Manager/>
  <Company/>
  <LinksUpToDate>false</LinksUpToDate>
  <CharactersWithSpaces>16603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2017-04-26T01:27:00Z</cp:lastPrinted>
  <dcterms:created xsi:type="dcterms:W3CDTF">2025-07-18T02:09:00Z</dcterms:created>
  <dcterms:modified xsi:type="dcterms:W3CDTF">2025-08-22T00:44:00Z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(Health, Disability and Ageing Measures No. 2)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OPC67438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0x010100B7B479F47583304BA8B631462CC772D70002F43F407794FC478C48E13B67456D59</vt:lpwstr>
  </property>
  <property fmtid="{D5CDD505-2E9C-101B-9397-08002B2CF9AE}" pid="18" name="_dlc_DocIdItemGuid">
    <vt:lpwstr>10d953f6-7a31-4462-9e50-0ba0c8bed36d</vt:lpwstr>
  </property>
  <property fmtid="{D5CDD505-2E9C-101B-9397-08002B2CF9AE}" pid="19" name="About Entity">
    <vt:lpwstr>2;#Department of Finance|fd660e8f-8f31-49bd-92a3-d31d4da31afe</vt:lpwstr>
  </property>
  <property fmtid="{D5CDD505-2E9C-101B-9397-08002B2CF9AE}" pid="20" name="Initiating Entity">
    <vt:lpwstr>2;#Department of Finance|fd660e8f-8f31-49bd-92a3-d31d4da31afe</vt:lpwstr>
  </property>
  <property fmtid="{D5CDD505-2E9C-101B-9397-08002B2CF9AE}" pid="21" name="Organisation Unit">
    <vt:lpwstr>1;#Financial Framework Supplementary Powers|379d9d29-c01c-4de9-a4ea-4a1c8eabf1a8</vt:lpwstr>
  </property>
  <property fmtid="{D5CDD505-2E9C-101B-9397-08002B2CF9AE}" pid="22" name="PM_Namespace">
    <vt:lpwstr>gov.au</vt:lpwstr>
  </property>
  <property fmtid="{D5CDD505-2E9C-101B-9397-08002B2CF9AE}" pid="23" name="MSIP_Label_6af89f2f-9671-4583-84ec-9b406935fc32_SetDate">
    <vt:lpwstr>2025-07-18T04:07:45Z</vt:lpwstr>
  </property>
  <property fmtid="{D5CDD505-2E9C-101B-9397-08002B2CF9AE}" pid="24" name="PM_Caveats_Count">
    <vt:lpwstr>0</vt:lpwstr>
  </property>
  <property fmtid="{D5CDD505-2E9C-101B-9397-08002B2CF9AE}" pid="25" name="MSIP_Label_6af89f2f-9671-4583-84ec-9b406935fc32_Name">
    <vt:lpwstr>UNOFFICIAL</vt:lpwstr>
  </property>
  <property fmtid="{D5CDD505-2E9C-101B-9397-08002B2CF9AE}" pid="26" name="PM_Version">
    <vt:lpwstr>2018.4</vt:lpwstr>
  </property>
  <property fmtid="{D5CDD505-2E9C-101B-9397-08002B2CF9AE}" pid="27" name="PM_Note">
    <vt:lpwstr/>
  </property>
  <property fmtid="{D5CDD505-2E9C-101B-9397-08002B2CF9AE}" pid="28" name="PMHMAC">
    <vt:lpwstr>v=2022.1;a=SHA256;h=620B478C3BCCB3FBAF90E380DF67E748B1C0638FD664EA1CCE846EDF7053ECEE</vt:lpwstr>
  </property>
  <property fmtid="{D5CDD505-2E9C-101B-9397-08002B2CF9AE}" pid="29" name="MSIP_Label_6af89f2f-9671-4583-84ec-9b406935fc32_Enabled">
    <vt:lpwstr>true</vt:lpwstr>
  </property>
  <property fmtid="{D5CDD505-2E9C-101B-9397-08002B2CF9AE}" pid="30" name="PM_Qualifier">
    <vt:lpwstr/>
  </property>
  <property fmtid="{D5CDD505-2E9C-101B-9397-08002B2CF9AE}" pid="31" name="PM_SecurityClassification">
    <vt:lpwstr>UNOFFICIAL</vt:lpwstr>
  </property>
  <property fmtid="{D5CDD505-2E9C-101B-9397-08002B2CF9AE}" pid="32" name="PM_ProtectiveMarkingValue_Header">
    <vt:lpwstr>UNOFFICIAL</vt:lpwstr>
  </property>
  <property fmtid="{D5CDD505-2E9C-101B-9397-08002B2CF9AE}" pid="33" name="PM_OriginationTimeStamp">
    <vt:lpwstr>2025-07-18T04:07:45Z</vt:lpwstr>
  </property>
  <property fmtid="{D5CDD505-2E9C-101B-9397-08002B2CF9AE}" pid="34" name="PM_Markers">
    <vt:lpwstr/>
  </property>
  <property fmtid="{D5CDD505-2E9C-101B-9397-08002B2CF9AE}" pid="35" name="MSIP_Label_6af89f2f-9671-4583-84ec-9b406935fc32_SiteId">
    <vt:lpwstr>08954cee-4782-4ff6-9ad5-1997dccef4b0</vt:lpwstr>
  </property>
  <property fmtid="{D5CDD505-2E9C-101B-9397-08002B2CF9AE}" pid="36" name="PM_Display">
    <vt:lpwstr>UNOFFICIAL</vt:lpwstr>
  </property>
  <property fmtid="{D5CDD505-2E9C-101B-9397-08002B2CF9AE}" pid="37" name="MSIP_Label_6af89f2f-9671-4583-84ec-9b406935fc32_Method">
    <vt:lpwstr>Privileged</vt:lpwstr>
  </property>
  <property fmtid="{D5CDD505-2E9C-101B-9397-08002B2CF9AE}" pid="38" name="MSIP_Label_6af89f2f-9671-4583-84ec-9b406935fc32_ContentBits">
    <vt:lpwstr>0</vt:lpwstr>
  </property>
  <property fmtid="{D5CDD505-2E9C-101B-9397-08002B2CF9AE}" pid="39" name="MSIP_Label_6af89f2f-9671-4583-84ec-9b406935fc32_ActionId">
    <vt:lpwstr>c828be2174284785b3c664753f130bbf</vt:lpwstr>
  </property>
  <property fmtid="{D5CDD505-2E9C-101B-9397-08002B2CF9AE}" pid="40" name="PM_InsertionValue">
    <vt:lpwstr>UNOFFICIAL</vt:lpwstr>
  </property>
  <property fmtid="{D5CDD505-2E9C-101B-9397-08002B2CF9AE}" pid="41" name="PM_Originator_Hash_SHA1">
    <vt:lpwstr>6254534B86D482F89041DA6C66661ECEBF4B16CA</vt:lpwstr>
  </property>
  <property fmtid="{D5CDD505-2E9C-101B-9397-08002B2CF9AE}" pid="42" name="PM_DisplayValueSecClassificationWithQualifier">
    <vt:lpwstr>UNOFFICIAL</vt:lpwstr>
  </property>
  <property fmtid="{D5CDD505-2E9C-101B-9397-08002B2CF9AE}" pid="43" name="PM_Originating_FileId">
    <vt:lpwstr>D169C398D254463DB8D08EB120EB66B7</vt:lpwstr>
  </property>
  <property fmtid="{D5CDD505-2E9C-101B-9397-08002B2CF9AE}" pid="44" name="PM_ProtectiveMarkingValue_Footer">
    <vt:lpwstr>UNOFFICIAL</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PM_OriginatorUserAccountName_SHA256">
    <vt:lpwstr>771ACE089611C26C39FCC8BBE364AAAE993767C76A3F71C5B2B1A5ACE6126D5B</vt:lpwstr>
  </property>
  <property fmtid="{D5CDD505-2E9C-101B-9397-08002B2CF9AE}" pid="48" name="PM_OriginatorDomainName_SHA256">
    <vt:lpwstr>325440F6CA31C4C3BCE4433552DC42928CAAD3E2731ABE35FDE729ECEB763AF0</vt:lpwstr>
  </property>
  <property fmtid="{D5CDD505-2E9C-101B-9397-08002B2CF9AE}" pid="49" name="PMUuid">
    <vt:lpwstr>v=2022.2;d=gov.au;g=65417EFE-F3B9-5E66-BD91-1E689FEC2EA6</vt:lpwstr>
  </property>
  <property fmtid="{D5CDD505-2E9C-101B-9397-08002B2CF9AE}" pid="50" name="PM_Hash_Version">
    <vt:lpwstr>2022.1</vt:lpwstr>
  </property>
  <property fmtid="{D5CDD505-2E9C-101B-9397-08002B2CF9AE}" pid="51" name="PM_Hash_Salt_Prev">
    <vt:lpwstr>5B4A43B9DC1C6CA508F754D454997C66</vt:lpwstr>
  </property>
  <property fmtid="{D5CDD505-2E9C-101B-9397-08002B2CF9AE}" pid="52" name="PM_Hash_Salt">
    <vt:lpwstr>AFE0C46385BA3D190D80AE593F3C10A1</vt:lpwstr>
  </property>
  <property fmtid="{D5CDD505-2E9C-101B-9397-08002B2CF9AE}" pid="53" name="PM_Hash_SHA1">
    <vt:lpwstr>080472623CE06D97486EEADB72873C075AD9D4CF</vt:lpwstr>
  </property>
  <property fmtid="{D5CDD505-2E9C-101B-9397-08002B2CF9AE}" pid="54" name="TaxKeyword">
    <vt:lpwstr>35;#[SEC=UNOFFICIAL]|c5095c15-4234-4e92-adf8-afe43cfbe4c5</vt:lpwstr>
  </property>
  <property fmtid="{D5CDD505-2E9C-101B-9397-08002B2CF9AE}" pid="55" name="Organisation_x0020_Unit">
    <vt:lpwstr>1;#Financial Framework Supplementary Powers|379d9d29-c01c-4de9-a4ea-4a1c8eabf1a8</vt:lpwstr>
  </property>
  <property fmtid="{D5CDD505-2E9C-101B-9397-08002B2CF9AE}" pid="56" name="MediaServiceImageTags">
    <vt:lpwstr/>
  </property>
  <property fmtid="{D5CDD505-2E9C-101B-9397-08002B2CF9AE}" pid="57" name="About_x0020_Entity">
    <vt:lpwstr>2;#Department of Finance|fd660e8f-8f31-49bd-92a3-d31d4da31afe</vt:lpwstr>
  </property>
  <property fmtid="{D5CDD505-2E9C-101B-9397-08002B2CF9AE}" pid="58" name="Function_x0020_and_x0020_Activity">
    <vt:lpwstr/>
  </property>
  <property fmtid="{D5CDD505-2E9C-101B-9397-08002B2CF9AE}" pid="59" name="Initiating_x0020_Entity">
    <vt:lpwstr>2;#Department of Finance|fd660e8f-8f31-49bd-92a3-d31d4da31afe</vt:lpwstr>
  </property>
  <property fmtid="{D5CDD505-2E9C-101B-9397-08002B2CF9AE}" pid="60" name="Function and Activity">
    <vt:lpwstr/>
  </property>
  <property fmtid="{D5CDD505-2E9C-101B-9397-08002B2CF9AE}" pid="61" name="PM_SecurityClassification_Prev">
    <vt:lpwstr>UNOFFICIAL</vt:lpwstr>
  </property>
  <property fmtid="{D5CDD505-2E9C-101B-9397-08002B2CF9AE}" pid="62" name="PM_Qualifier_Prev">
    <vt:lpwstr/>
  </property>
</Properties>
</file>