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69BD" w14:textId="77777777" w:rsidR="004618D4" w:rsidRPr="000E651D" w:rsidRDefault="004618D4">
      <w:pPr>
        <w:jc w:val="center"/>
        <w:rPr>
          <w:b/>
          <w:bCs/>
          <w:sz w:val="22"/>
          <w:szCs w:val="22"/>
          <w:u w:val="single"/>
        </w:rPr>
      </w:pPr>
      <w:r w:rsidRPr="000E651D">
        <w:rPr>
          <w:b/>
          <w:bCs/>
          <w:sz w:val="22"/>
          <w:szCs w:val="22"/>
          <w:u w:val="single"/>
        </w:rPr>
        <w:t>EXPLANATORY STATEMENT</w:t>
      </w:r>
    </w:p>
    <w:p w14:paraId="56735C96" w14:textId="77777777" w:rsidR="004618D4" w:rsidRPr="000E651D" w:rsidRDefault="004618D4">
      <w:pPr>
        <w:jc w:val="center"/>
        <w:rPr>
          <w:b/>
          <w:bCs/>
          <w:sz w:val="22"/>
          <w:szCs w:val="22"/>
          <w:u w:val="single"/>
        </w:rPr>
      </w:pPr>
    </w:p>
    <w:p w14:paraId="22B3DA09" w14:textId="77777777" w:rsidR="004618D4" w:rsidRPr="000E651D" w:rsidRDefault="004618D4">
      <w:pPr>
        <w:jc w:val="center"/>
        <w:rPr>
          <w:bCs/>
          <w:i/>
          <w:iCs/>
          <w:sz w:val="22"/>
          <w:szCs w:val="22"/>
        </w:rPr>
      </w:pPr>
      <w:r w:rsidRPr="000E651D">
        <w:rPr>
          <w:bCs/>
          <w:i/>
          <w:iCs/>
          <w:sz w:val="22"/>
          <w:szCs w:val="22"/>
        </w:rPr>
        <w:t>Therapeutic Goods Act 1989</w:t>
      </w:r>
    </w:p>
    <w:p w14:paraId="68C04231" w14:textId="77777777" w:rsidR="004618D4" w:rsidRPr="000E651D" w:rsidRDefault="004618D4">
      <w:pPr>
        <w:jc w:val="center"/>
        <w:rPr>
          <w:bCs/>
          <w:i/>
          <w:sz w:val="22"/>
          <w:szCs w:val="22"/>
          <w:u w:val="single"/>
        </w:rPr>
      </w:pPr>
    </w:p>
    <w:p w14:paraId="32B8311C" w14:textId="2EEFFCBE" w:rsidR="004618D4" w:rsidRPr="000E651D" w:rsidRDefault="004618D4">
      <w:pPr>
        <w:jc w:val="center"/>
        <w:rPr>
          <w:i/>
          <w:sz w:val="22"/>
          <w:szCs w:val="22"/>
        </w:rPr>
      </w:pPr>
      <w:bookmarkStart w:id="0" w:name="_Hlk205389724"/>
      <w:r w:rsidRPr="000E651D">
        <w:rPr>
          <w:i/>
          <w:sz w:val="22"/>
          <w:szCs w:val="22"/>
        </w:rPr>
        <w:t xml:space="preserve">Therapeutic Goods </w:t>
      </w:r>
      <w:r w:rsidR="005F4371" w:rsidRPr="000E651D">
        <w:rPr>
          <w:i/>
          <w:sz w:val="22"/>
          <w:szCs w:val="22"/>
        </w:rPr>
        <w:t>(Standard for Disinfectants</w:t>
      </w:r>
      <w:r w:rsidR="00914EB4" w:rsidRPr="000E651D">
        <w:rPr>
          <w:i/>
          <w:sz w:val="22"/>
          <w:szCs w:val="22"/>
        </w:rPr>
        <w:t xml:space="preserve"> </w:t>
      </w:r>
      <w:r w:rsidR="00827734" w:rsidRPr="000E651D">
        <w:rPr>
          <w:i/>
          <w:sz w:val="22"/>
          <w:szCs w:val="22"/>
        </w:rPr>
        <w:t>and Sanitary Products</w:t>
      </w:r>
      <w:r w:rsidR="005F4371" w:rsidRPr="000E651D">
        <w:rPr>
          <w:i/>
          <w:sz w:val="22"/>
          <w:szCs w:val="22"/>
        </w:rPr>
        <w:t xml:space="preserve">) </w:t>
      </w:r>
      <w:r w:rsidR="007B6787" w:rsidRPr="000E651D">
        <w:rPr>
          <w:i/>
          <w:sz w:val="22"/>
          <w:szCs w:val="22"/>
        </w:rPr>
        <w:t xml:space="preserve">(TGO 104) </w:t>
      </w:r>
      <w:r w:rsidR="00B11B72" w:rsidRPr="000E651D">
        <w:rPr>
          <w:i/>
          <w:sz w:val="22"/>
          <w:szCs w:val="22"/>
        </w:rPr>
        <w:t xml:space="preserve">Amendment </w:t>
      </w:r>
      <w:r w:rsidRPr="000E651D">
        <w:rPr>
          <w:i/>
          <w:sz w:val="22"/>
          <w:szCs w:val="22"/>
        </w:rPr>
        <w:t>Order</w:t>
      </w:r>
      <w:r w:rsidR="000C62A3" w:rsidRPr="000E651D">
        <w:rPr>
          <w:i/>
          <w:sz w:val="22"/>
          <w:szCs w:val="22"/>
        </w:rPr>
        <w:t> </w:t>
      </w:r>
      <w:r w:rsidR="00E7605D" w:rsidRPr="000E651D">
        <w:rPr>
          <w:i/>
          <w:sz w:val="22"/>
          <w:szCs w:val="22"/>
        </w:rPr>
        <w:t>20</w:t>
      </w:r>
      <w:r w:rsidR="00411971" w:rsidRPr="000E651D">
        <w:rPr>
          <w:i/>
          <w:sz w:val="22"/>
          <w:szCs w:val="22"/>
        </w:rPr>
        <w:t>2</w:t>
      </w:r>
      <w:r w:rsidR="00FB0F93" w:rsidRPr="000E651D">
        <w:rPr>
          <w:i/>
          <w:sz w:val="22"/>
          <w:szCs w:val="22"/>
        </w:rPr>
        <w:t>5</w:t>
      </w:r>
    </w:p>
    <w:bookmarkEnd w:id="0"/>
    <w:p w14:paraId="1C83F98B" w14:textId="77777777" w:rsidR="0071744C" w:rsidRPr="000E651D" w:rsidRDefault="0071744C">
      <w:pPr>
        <w:jc w:val="center"/>
        <w:rPr>
          <w:sz w:val="22"/>
          <w:szCs w:val="22"/>
        </w:rPr>
      </w:pPr>
    </w:p>
    <w:p w14:paraId="5F40DACF" w14:textId="1C732FEC" w:rsidR="008E7B96" w:rsidRPr="000E651D" w:rsidRDefault="0085091A" w:rsidP="00001418">
      <w:pPr>
        <w:shd w:val="clear" w:color="auto" w:fill="FFFFFF"/>
        <w:rPr>
          <w:sz w:val="22"/>
          <w:szCs w:val="22"/>
        </w:rPr>
      </w:pPr>
      <w:r w:rsidRPr="000E651D">
        <w:rPr>
          <w:sz w:val="22"/>
          <w:szCs w:val="22"/>
        </w:rPr>
        <w:t>T</w:t>
      </w:r>
      <w:r w:rsidR="00F90BC1" w:rsidRPr="000E651D">
        <w:rPr>
          <w:sz w:val="22"/>
          <w:szCs w:val="22"/>
        </w:rPr>
        <w:t xml:space="preserve">he </w:t>
      </w:r>
      <w:r w:rsidR="00F90BC1" w:rsidRPr="000E651D">
        <w:rPr>
          <w:i/>
          <w:sz w:val="22"/>
          <w:szCs w:val="22"/>
        </w:rPr>
        <w:t>Therapeutic Goods Act 1989</w:t>
      </w:r>
      <w:r w:rsidR="00F90BC1" w:rsidRPr="000E651D">
        <w:rPr>
          <w:sz w:val="22"/>
          <w:szCs w:val="22"/>
        </w:rPr>
        <w:t xml:space="preserve"> (</w:t>
      </w:r>
      <w:r w:rsidR="008F5895" w:rsidRPr="000E651D">
        <w:rPr>
          <w:sz w:val="22"/>
          <w:szCs w:val="22"/>
        </w:rPr>
        <w:t>“</w:t>
      </w:r>
      <w:r w:rsidR="00F90BC1" w:rsidRPr="000E651D">
        <w:rPr>
          <w:sz w:val="22"/>
          <w:szCs w:val="22"/>
        </w:rPr>
        <w:t>the Act</w:t>
      </w:r>
      <w:r w:rsidR="008F5895" w:rsidRPr="000E651D">
        <w:rPr>
          <w:sz w:val="22"/>
          <w:szCs w:val="22"/>
        </w:rPr>
        <w:t>”</w:t>
      </w:r>
      <w:r w:rsidR="00F90BC1" w:rsidRPr="000E651D">
        <w:rPr>
          <w:sz w:val="22"/>
          <w:szCs w:val="22"/>
        </w:rPr>
        <w:t xml:space="preserve">) provides for the establishment and maintenance of a national system of controls for the quality, safety, efficacy </w:t>
      </w:r>
      <w:r w:rsidR="006916CD" w:rsidRPr="000E651D">
        <w:rPr>
          <w:sz w:val="22"/>
          <w:szCs w:val="22"/>
        </w:rPr>
        <w:t xml:space="preserve">or performance, </w:t>
      </w:r>
      <w:r w:rsidR="00F90BC1" w:rsidRPr="000E651D">
        <w:rPr>
          <w:sz w:val="22"/>
          <w:szCs w:val="22"/>
        </w:rPr>
        <w:t>and timely availability of therapeutic goods that are used</w:t>
      </w:r>
      <w:r w:rsidR="00BC7AF4" w:rsidRPr="000E651D">
        <w:rPr>
          <w:sz w:val="22"/>
          <w:szCs w:val="22"/>
        </w:rPr>
        <w:t xml:space="preserve"> in</w:t>
      </w:r>
      <w:r w:rsidR="00F90BC1" w:rsidRPr="000E651D">
        <w:rPr>
          <w:sz w:val="22"/>
          <w:szCs w:val="22"/>
        </w:rPr>
        <w:t>, or exported from, Australia.</w:t>
      </w:r>
      <w:r w:rsidR="005A3A17" w:rsidRPr="000E651D">
        <w:rPr>
          <w:sz w:val="22"/>
          <w:szCs w:val="22"/>
        </w:rPr>
        <w:t xml:space="preserve"> </w:t>
      </w:r>
      <w:r w:rsidR="008E7B96" w:rsidRPr="000E651D">
        <w:rPr>
          <w:sz w:val="22"/>
          <w:szCs w:val="22"/>
        </w:rPr>
        <w:t xml:space="preserve">The </w:t>
      </w:r>
      <w:r w:rsidR="00914EB4" w:rsidRPr="000E651D">
        <w:rPr>
          <w:sz w:val="22"/>
          <w:szCs w:val="22"/>
        </w:rPr>
        <w:t xml:space="preserve">Act is administered by the </w:t>
      </w:r>
      <w:r w:rsidR="008E7B96" w:rsidRPr="000E651D">
        <w:rPr>
          <w:sz w:val="22"/>
          <w:szCs w:val="22"/>
        </w:rPr>
        <w:t>Therapeutic Goods Administration (</w:t>
      </w:r>
      <w:r w:rsidR="000D404A" w:rsidRPr="000E651D">
        <w:rPr>
          <w:sz w:val="22"/>
          <w:szCs w:val="22"/>
        </w:rPr>
        <w:t>“</w:t>
      </w:r>
      <w:r w:rsidR="007B358B" w:rsidRPr="000E651D">
        <w:rPr>
          <w:sz w:val="22"/>
          <w:szCs w:val="22"/>
        </w:rPr>
        <w:t>the</w:t>
      </w:r>
      <w:r w:rsidR="000D404A" w:rsidRPr="000E651D">
        <w:rPr>
          <w:b/>
          <w:bCs/>
          <w:sz w:val="22"/>
          <w:szCs w:val="22"/>
        </w:rPr>
        <w:t xml:space="preserve"> </w:t>
      </w:r>
      <w:r w:rsidR="008E7B96" w:rsidRPr="000E651D">
        <w:rPr>
          <w:sz w:val="22"/>
          <w:szCs w:val="22"/>
        </w:rPr>
        <w:t>TGA</w:t>
      </w:r>
      <w:r w:rsidR="000D404A" w:rsidRPr="000E651D">
        <w:rPr>
          <w:sz w:val="22"/>
          <w:szCs w:val="22"/>
        </w:rPr>
        <w:t>”</w:t>
      </w:r>
      <w:r w:rsidR="008E7B96" w:rsidRPr="000E651D">
        <w:rPr>
          <w:sz w:val="22"/>
          <w:szCs w:val="22"/>
        </w:rPr>
        <w:t xml:space="preserve">), </w:t>
      </w:r>
      <w:r w:rsidR="00914EB4" w:rsidRPr="000E651D">
        <w:rPr>
          <w:sz w:val="22"/>
          <w:szCs w:val="22"/>
        </w:rPr>
        <w:t>within</w:t>
      </w:r>
      <w:r w:rsidR="008E7B96" w:rsidRPr="000E651D">
        <w:rPr>
          <w:sz w:val="22"/>
          <w:szCs w:val="22"/>
        </w:rPr>
        <w:t xml:space="preserve"> the </w:t>
      </w:r>
      <w:r w:rsidR="005627BF" w:rsidRPr="000E651D">
        <w:rPr>
          <w:sz w:val="22"/>
          <w:szCs w:val="22"/>
        </w:rPr>
        <w:t xml:space="preserve">Australian Government </w:t>
      </w:r>
      <w:r w:rsidR="008E7B96" w:rsidRPr="000E651D">
        <w:rPr>
          <w:sz w:val="22"/>
          <w:szCs w:val="22"/>
        </w:rPr>
        <w:t>Department of Health</w:t>
      </w:r>
      <w:r w:rsidR="004E79A0" w:rsidRPr="000E651D">
        <w:rPr>
          <w:sz w:val="22"/>
          <w:szCs w:val="22"/>
        </w:rPr>
        <w:t>, Disability and Ageing</w:t>
      </w:r>
      <w:r w:rsidR="009800D1" w:rsidRPr="000E651D">
        <w:rPr>
          <w:sz w:val="22"/>
          <w:szCs w:val="22"/>
        </w:rPr>
        <w:t xml:space="preserve"> </w:t>
      </w:r>
      <w:r w:rsidR="008A3C47" w:rsidRPr="000E651D">
        <w:rPr>
          <w:sz w:val="22"/>
          <w:szCs w:val="22"/>
        </w:rPr>
        <w:t>(</w:t>
      </w:r>
      <w:r w:rsidR="008F5895" w:rsidRPr="000E651D">
        <w:rPr>
          <w:sz w:val="22"/>
          <w:szCs w:val="22"/>
        </w:rPr>
        <w:t>“</w:t>
      </w:r>
      <w:r w:rsidR="008A3C47" w:rsidRPr="000E651D">
        <w:rPr>
          <w:sz w:val="22"/>
          <w:szCs w:val="22"/>
        </w:rPr>
        <w:t>the Department</w:t>
      </w:r>
      <w:r w:rsidR="008F5895" w:rsidRPr="000E651D">
        <w:rPr>
          <w:sz w:val="22"/>
          <w:szCs w:val="22"/>
        </w:rPr>
        <w:t>”</w:t>
      </w:r>
      <w:r w:rsidR="008A3C47" w:rsidRPr="000E651D">
        <w:rPr>
          <w:sz w:val="22"/>
          <w:szCs w:val="22"/>
        </w:rPr>
        <w:t>)</w:t>
      </w:r>
      <w:r w:rsidR="008E7B96" w:rsidRPr="000E651D">
        <w:rPr>
          <w:sz w:val="22"/>
          <w:szCs w:val="22"/>
        </w:rPr>
        <w:t>.</w:t>
      </w:r>
    </w:p>
    <w:p w14:paraId="1249ACA9" w14:textId="77777777" w:rsidR="00001418" w:rsidRPr="000E651D" w:rsidRDefault="00001418" w:rsidP="00001418">
      <w:pPr>
        <w:shd w:val="clear" w:color="auto" w:fill="FFFFFF"/>
        <w:rPr>
          <w:sz w:val="22"/>
          <w:szCs w:val="22"/>
          <w:lang w:val="en-US"/>
        </w:rPr>
      </w:pPr>
    </w:p>
    <w:p w14:paraId="4ECD149B" w14:textId="6B043046" w:rsidR="00F90BC1" w:rsidRPr="000E651D" w:rsidRDefault="008E7B96" w:rsidP="00BF657A">
      <w:pPr>
        <w:shd w:val="clear" w:color="auto" w:fill="FFFFFF"/>
        <w:rPr>
          <w:sz w:val="22"/>
          <w:szCs w:val="22"/>
        </w:rPr>
      </w:pPr>
      <w:r w:rsidRPr="000E651D">
        <w:rPr>
          <w:sz w:val="22"/>
          <w:szCs w:val="22"/>
        </w:rPr>
        <w:t xml:space="preserve">Subsection 10(1) of the Act provides that the Minister may, by legislative instrument, make an order determining that matters specified in the order constitute a standard for therapeutic goods or a class of therapeutic goods identified in the order. </w:t>
      </w:r>
      <w:r w:rsidR="00BF657A" w:rsidRPr="000E651D">
        <w:rPr>
          <w:sz w:val="22"/>
          <w:szCs w:val="22"/>
        </w:rPr>
        <w:t>S</w:t>
      </w:r>
      <w:r w:rsidRPr="000E651D">
        <w:rPr>
          <w:sz w:val="22"/>
          <w:szCs w:val="22"/>
        </w:rPr>
        <w:t>ubsection 10(2)</w:t>
      </w:r>
      <w:r w:rsidR="000C17AA" w:rsidRPr="000E651D">
        <w:rPr>
          <w:sz w:val="22"/>
          <w:szCs w:val="22"/>
        </w:rPr>
        <w:t xml:space="preserve"> of the Act</w:t>
      </w:r>
      <w:r w:rsidRPr="000E651D">
        <w:rPr>
          <w:sz w:val="22"/>
          <w:szCs w:val="22"/>
        </w:rPr>
        <w:t xml:space="preserve"> provides that an order establishing a standard for therapeutic goods may be specified by reference to the quality of the goods</w:t>
      </w:r>
      <w:r w:rsidR="00BF657A" w:rsidRPr="000E651D">
        <w:rPr>
          <w:sz w:val="22"/>
          <w:szCs w:val="22"/>
        </w:rPr>
        <w:t>, or</w:t>
      </w:r>
      <w:r w:rsidRPr="000E651D">
        <w:rPr>
          <w:sz w:val="22"/>
          <w:szCs w:val="22"/>
        </w:rPr>
        <w:t xml:space="preserve"> the procedures to be </w:t>
      </w:r>
      <w:r w:rsidR="00BF657A" w:rsidRPr="000E651D">
        <w:rPr>
          <w:sz w:val="22"/>
          <w:szCs w:val="22"/>
        </w:rPr>
        <w:t>carried out</w:t>
      </w:r>
      <w:r w:rsidRPr="000E651D">
        <w:rPr>
          <w:sz w:val="22"/>
          <w:szCs w:val="22"/>
        </w:rPr>
        <w:t xml:space="preserve"> in the manufacture of the goods</w:t>
      </w:r>
      <w:r w:rsidR="00BF657A" w:rsidRPr="000E651D">
        <w:rPr>
          <w:sz w:val="22"/>
          <w:szCs w:val="22"/>
        </w:rPr>
        <w:t>, among other matters</w:t>
      </w:r>
      <w:r w:rsidRPr="000E651D">
        <w:rPr>
          <w:sz w:val="22"/>
          <w:szCs w:val="22"/>
        </w:rPr>
        <w:t>.</w:t>
      </w:r>
      <w:r w:rsidR="005A3A17" w:rsidRPr="000E651D">
        <w:rPr>
          <w:sz w:val="22"/>
          <w:szCs w:val="22"/>
        </w:rPr>
        <w:t xml:space="preserve"> </w:t>
      </w:r>
      <w:r w:rsidR="00BF657A" w:rsidRPr="000E651D">
        <w:rPr>
          <w:sz w:val="22"/>
          <w:szCs w:val="22"/>
        </w:rPr>
        <w:t>A</w:t>
      </w:r>
      <w:r w:rsidRPr="000E651D">
        <w:rPr>
          <w:sz w:val="22"/>
          <w:szCs w:val="22"/>
        </w:rPr>
        <w:t xml:space="preserve">n order may </w:t>
      </w:r>
      <w:r w:rsidR="00BF657A" w:rsidRPr="000E651D">
        <w:rPr>
          <w:sz w:val="22"/>
          <w:szCs w:val="22"/>
        </w:rPr>
        <w:t xml:space="preserve">also </w:t>
      </w:r>
      <w:r w:rsidRPr="000E651D">
        <w:rPr>
          <w:sz w:val="22"/>
          <w:szCs w:val="22"/>
        </w:rPr>
        <w:t xml:space="preserve">require </w:t>
      </w:r>
      <w:r w:rsidR="00BF657A" w:rsidRPr="000E651D">
        <w:rPr>
          <w:sz w:val="22"/>
          <w:szCs w:val="22"/>
        </w:rPr>
        <w:t xml:space="preserve">that a </w:t>
      </w:r>
      <w:r w:rsidRPr="000E651D">
        <w:rPr>
          <w:sz w:val="22"/>
          <w:szCs w:val="22"/>
        </w:rPr>
        <w:t xml:space="preserve">matter relating to the standard be determined in accordance with a particular </w:t>
      </w:r>
      <w:proofErr w:type="gramStart"/>
      <w:r w:rsidRPr="000E651D">
        <w:rPr>
          <w:sz w:val="22"/>
          <w:szCs w:val="22"/>
        </w:rPr>
        <w:t>test</w:t>
      </w:r>
      <w:r w:rsidR="00BF657A" w:rsidRPr="000E651D">
        <w:rPr>
          <w:sz w:val="22"/>
          <w:szCs w:val="22"/>
        </w:rPr>
        <w:t>, or</w:t>
      </w:r>
      <w:proofErr w:type="gramEnd"/>
      <w:r w:rsidR="00BF657A" w:rsidRPr="000E651D">
        <w:rPr>
          <w:sz w:val="22"/>
          <w:szCs w:val="22"/>
        </w:rPr>
        <w:t xml:space="preserve"> require that goods be labelled or packaged in a manner, or kept in containers that comply with requirements, specified in the order</w:t>
      </w:r>
      <w:r w:rsidRPr="000E651D">
        <w:rPr>
          <w:sz w:val="22"/>
          <w:szCs w:val="22"/>
        </w:rPr>
        <w:t>.</w:t>
      </w:r>
    </w:p>
    <w:p w14:paraId="38F0048B" w14:textId="6AEB2C73" w:rsidR="00BF657A" w:rsidRPr="000E651D" w:rsidRDefault="00BF657A" w:rsidP="00BF657A">
      <w:pPr>
        <w:shd w:val="clear" w:color="auto" w:fill="FFFFFF"/>
        <w:rPr>
          <w:sz w:val="22"/>
          <w:szCs w:val="22"/>
        </w:rPr>
      </w:pPr>
    </w:p>
    <w:p w14:paraId="5B151D74" w14:textId="7C5E5290" w:rsidR="00BF657A" w:rsidRPr="000E651D" w:rsidRDefault="00BF657A" w:rsidP="00BF657A">
      <w:pPr>
        <w:shd w:val="clear" w:color="auto" w:fill="FFFFFF"/>
        <w:rPr>
          <w:sz w:val="22"/>
          <w:szCs w:val="22"/>
        </w:rPr>
      </w:pPr>
      <w:r w:rsidRPr="000E651D">
        <w:rPr>
          <w:sz w:val="22"/>
          <w:szCs w:val="22"/>
        </w:rPr>
        <w:t>Importantly, a person who imports, exports or supplies therapeutic goods that do not conform to an applicable standard may be subject to offence and civil penalty provisions in sections 14 and 14A of the Act. The Secretary may, however, give consent in writing in relation to the importation, exportation or supply of therapeutic goods that do not conform to an applicable standard, in accordance with those sections.</w:t>
      </w:r>
    </w:p>
    <w:p w14:paraId="226F890A" w14:textId="77777777" w:rsidR="00001418" w:rsidRPr="000E651D" w:rsidRDefault="00001418" w:rsidP="00001418">
      <w:pPr>
        <w:rPr>
          <w:sz w:val="22"/>
          <w:szCs w:val="22"/>
        </w:rPr>
      </w:pPr>
    </w:p>
    <w:p w14:paraId="2C9C5587" w14:textId="1B28A8C2" w:rsidR="00D013D6" w:rsidRPr="000E651D" w:rsidRDefault="008E7B96" w:rsidP="00001418">
      <w:pPr>
        <w:rPr>
          <w:sz w:val="22"/>
          <w:szCs w:val="22"/>
        </w:rPr>
      </w:pPr>
      <w:r w:rsidRPr="000E651D">
        <w:rPr>
          <w:sz w:val="22"/>
          <w:szCs w:val="22"/>
        </w:rPr>
        <w:t xml:space="preserve">The </w:t>
      </w:r>
      <w:r w:rsidR="009B2F5F" w:rsidRPr="000E651D">
        <w:rPr>
          <w:i/>
          <w:sz w:val="22"/>
          <w:szCs w:val="22"/>
        </w:rPr>
        <w:t>Therapeutic</w:t>
      </w:r>
      <w:r w:rsidR="00914EB4" w:rsidRPr="000E651D">
        <w:rPr>
          <w:i/>
          <w:sz w:val="22"/>
          <w:szCs w:val="22"/>
        </w:rPr>
        <w:t xml:space="preserve"> Goods</w:t>
      </w:r>
      <w:r w:rsidR="009A5F97" w:rsidRPr="000E651D">
        <w:rPr>
          <w:i/>
          <w:sz w:val="22"/>
          <w:szCs w:val="22"/>
        </w:rPr>
        <w:t xml:space="preserve"> </w:t>
      </w:r>
      <w:r w:rsidRPr="000E651D">
        <w:rPr>
          <w:i/>
          <w:sz w:val="22"/>
          <w:szCs w:val="22"/>
        </w:rPr>
        <w:t>(</w:t>
      </w:r>
      <w:r w:rsidR="00097051" w:rsidRPr="000E651D">
        <w:rPr>
          <w:i/>
          <w:sz w:val="22"/>
          <w:szCs w:val="22"/>
        </w:rPr>
        <w:t>Standard for Disinfectant</w:t>
      </w:r>
      <w:r w:rsidRPr="000E651D">
        <w:rPr>
          <w:i/>
          <w:sz w:val="22"/>
          <w:szCs w:val="22"/>
        </w:rPr>
        <w:t>s</w:t>
      </w:r>
      <w:r w:rsidR="00914EB4" w:rsidRPr="000E651D">
        <w:rPr>
          <w:i/>
          <w:sz w:val="22"/>
          <w:szCs w:val="22"/>
        </w:rPr>
        <w:t xml:space="preserve"> and Sanitary Products</w:t>
      </w:r>
      <w:r w:rsidRPr="000E651D">
        <w:rPr>
          <w:i/>
          <w:sz w:val="22"/>
          <w:szCs w:val="22"/>
        </w:rPr>
        <w:t xml:space="preserve">) </w:t>
      </w:r>
      <w:r w:rsidR="009A5F97" w:rsidRPr="000E651D">
        <w:rPr>
          <w:i/>
          <w:sz w:val="22"/>
          <w:szCs w:val="22"/>
        </w:rPr>
        <w:t xml:space="preserve">(TGO 104) </w:t>
      </w:r>
      <w:r w:rsidRPr="000E651D">
        <w:rPr>
          <w:i/>
          <w:sz w:val="22"/>
          <w:szCs w:val="22"/>
        </w:rPr>
        <w:t>Order 2019</w:t>
      </w:r>
      <w:r w:rsidR="00097051" w:rsidRPr="000E651D">
        <w:rPr>
          <w:sz w:val="22"/>
          <w:szCs w:val="22"/>
        </w:rPr>
        <w:t xml:space="preserve"> </w:t>
      </w:r>
      <w:r w:rsidR="00B216AF" w:rsidRPr="000E651D">
        <w:rPr>
          <w:sz w:val="22"/>
          <w:szCs w:val="22"/>
        </w:rPr>
        <w:t>(</w:t>
      </w:r>
      <w:r w:rsidR="008F5895" w:rsidRPr="000E651D">
        <w:rPr>
          <w:sz w:val="22"/>
          <w:szCs w:val="22"/>
        </w:rPr>
        <w:t>“</w:t>
      </w:r>
      <w:r w:rsidRPr="000E651D">
        <w:rPr>
          <w:sz w:val="22"/>
          <w:szCs w:val="22"/>
        </w:rPr>
        <w:t>the</w:t>
      </w:r>
      <w:r w:rsidR="009A5F97" w:rsidRPr="000E651D">
        <w:rPr>
          <w:sz w:val="22"/>
          <w:szCs w:val="22"/>
        </w:rPr>
        <w:t xml:space="preserve"> Principal</w:t>
      </w:r>
      <w:r w:rsidRPr="000E651D">
        <w:rPr>
          <w:sz w:val="22"/>
          <w:szCs w:val="22"/>
        </w:rPr>
        <w:t xml:space="preserve"> Order”</w:t>
      </w:r>
      <w:r w:rsidR="00B216AF" w:rsidRPr="000E651D">
        <w:rPr>
          <w:sz w:val="22"/>
          <w:szCs w:val="22"/>
        </w:rPr>
        <w:t xml:space="preserve">) </w:t>
      </w:r>
      <w:r w:rsidR="009B2F5F" w:rsidRPr="000E651D">
        <w:rPr>
          <w:sz w:val="22"/>
          <w:szCs w:val="22"/>
        </w:rPr>
        <w:t>is</w:t>
      </w:r>
      <w:r w:rsidR="00914EB4" w:rsidRPr="000E651D">
        <w:rPr>
          <w:sz w:val="22"/>
          <w:szCs w:val="22"/>
        </w:rPr>
        <w:t xml:space="preserve"> </w:t>
      </w:r>
      <w:r w:rsidR="009B2F5F" w:rsidRPr="000E651D">
        <w:rPr>
          <w:sz w:val="22"/>
          <w:szCs w:val="22"/>
        </w:rPr>
        <w:t>made under section 10 of the Act</w:t>
      </w:r>
      <w:r w:rsidR="00A76196" w:rsidRPr="000E651D">
        <w:rPr>
          <w:sz w:val="22"/>
          <w:szCs w:val="22"/>
        </w:rPr>
        <w:t xml:space="preserve"> and </w:t>
      </w:r>
      <w:r w:rsidR="006A661D" w:rsidRPr="000E651D">
        <w:rPr>
          <w:sz w:val="22"/>
          <w:szCs w:val="22"/>
        </w:rPr>
        <w:t>e</w:t>
      </w:r>
      <w:r w:rsidR="00D013D6" w:rsidRPr="000E651D">
        <w:rPr>
          <w:sz w:val="22"/>
          <w:szCs w:val="22"/>
        </w:rPr>
        <w:t>stablish</w:t>
      </w:r>
      <w:r w:rsidR="006A661D" w:rsidRPr="000E651D">
        <w:rPr>
          <w:sz w:val="22"/>
          <w:szCs w:val="22"/>
        </w:rPr>
        <w:t>es</w:t>
      </w:r>
      <w:r w:rsidR="00D013D6" w:rsidRPr="000E651D">
        <w:rPr>
          <w:sz w:val="22"/>
          <w:szCs w:val="22"/>
        </w:rPr>
        <w:t xml:space="preserve"> a ministerial standard </w:t>
      </w:r>
      <w:r w:rsidR="006B1630" w:rsidRPr="000E651D">
        <w:rPr>
          <w:sz w:val="22"/>
          <w:szCs w:val="22"/>
        </w:rPr>
        <w:t>for therapeutic goods that are disinfectants, sanitisers and sanitary fluids and powders</w:t>
      </w:r>
      <w:r w:rsidR="006916CD" w:rsidRPr="000E651D">
        <w:rPr>
          <w:sz w:val="22"/>
          <w:szCs w:val="22"/>
        </w:rPr>
        <w:t>. The Principal Order</w:t>
      </w:r>
      <w:r w:rsidR="006B1630" w:rsidRPr="000E651D">
        <w:rPr>
          <w:sz w:val="22"/>
          <w:szCs w:val="22"/>
        </w:rPr>
        <w:t xml:space="preserve"> </w:t>
      </w:r>
      <w:r w:rsidR="006A661D" w:rsidRPr="000E651D">
        <w:rPr>
          <w:sz w:val="22"/>
          <w:szCs w:val="22"/>
        </w:rPr>
        <w:t>specif</w:t>
      </w:r>
      <w:r w:rsidR="006916CD" w:rsidRPr="000E651D">
        <w:rPr>
          <w:sz w:val="22"/>
          <w:szCs w:val="22"/>
        </w:rPr>
        <w:t>ies</w:t>
      </w:r>
      <w:r w:rsidR="006A661D" w:rsidRPr="000E651D">
        <w:rPr>
          <w:sz w:val="22"/>
          <w:szCs w:val="22"/>
        </w:rPr>
        <w:t xml:space="preserve"> minimum </w:t>
      </w:r>
      <w:r w:rsidR="006B1630" w:rsidRPr="000E651D">
        <w:rPr>
          <w:sz w:val="22"/>
          <w:szCs w:val="22"/>
        </w:rPr>
        <w:t xml:space="preserve">requirements for the quality and </w:t>
      </w:r>
      <w:r w:rsidR="006A661D" w:rsidRPr="000E651D">
        <w:rPr>
          <w:sz w:val="22"/>
          <w:szCs w:val="22"/>
        </w:rPr>
        <w:t xml:space="preserve">safety </w:t>
      </w:r>
      <w:r w:rsidR="00A34B3C" w:rsidRPr="000E651D">
        <w:rPr>
          <w:sz w:val="22"/>
          <w:szCs w:val="22"/>
        </w:rPr>
        <w:t>of </w:t>
      </w:r>
      <w:r w:rsidR="006B1630" w:rsidRPr="000E651D">
        <w:rPr>
          <w:sz w:val="22"/>
          <w:szCs w:val="22"/>
        </w:rPr>
        <w:t>such products</w:t>
      </w:r>
      <w:r w:rsidR="006A661D" w:rsidRPr="000E651D">
        <w:rPr>
          <w:sz w:val="22"/>
          <w:szCs w:val="22"/>
        </w:rPr>
        <w:t xml:space="preserve">. </w:t>
      </w:r>
    </w:p>
    <w:p w14:paraId="131D96DF" w14:textId="77777777" w:rsidR="00001418" w:rsidRPr="000E651D" w:rsidRDefault="00001418" w:rsidP="00001418">
      <w:pPr>
        <w:rPr>
          <w:sz w:val="22"/>
          <w:szCs w:val="22"/>
        </w:rPr>
      </w:pPr>
    </w:p>
    <w:p w14:paraId="0489E002" w14:textId="4289D60D" w:rsidR="00445D20" w:rsidRPr="000E651D" w:rsidRDefault="00445D20" w:rsidP="00001418">
      <w:pPr>
        <w:rPr>
          <w:sz w:val="22"/>
          <w:szCs w:val="22"/>
        </w:rPr>
      </w:pPr>
      <w:r w:rsidRPr="000E651D">
        <w:rPr>
          <w:sz w:val="22"/>
          <w:szCs w:val="22"/>
        </w:rPr>
        <w:t xml:space="preserve">Subsection 10(3A) of the Act provides that the Minister may, by legislative instrument, vary or revoke an order made under subsection 10(1) of the Act. The </w:t>
      </w:r>
      <w:r w:rsidRPr="000E651D">
        <w:rPr>
          <w:i/>
          <w:sz w:val="22"/>
          <w:szCs w:val="22"/>
        </w:rPr>
        <w:t>Therapeutic Goods (Standard for Disinfectants and Sanitary Products)</w:t>
      </w:r>
      <w:r w:rsidR="006B0935" w:rsidRPr="000E651D">
        <w:rPr>
          <w:i/>
          <w:sz w:val="22"/>
          <w:szCs w:val="22"/>
        </w:rPr>
        <w:t xml:space="preserve"> </w:t>
      </w:r>
      <w:r w:rsidR="00D85308" w:rsidRPr="000E651D">
        <w:rPr>
          <w:i/>
          <w:sz w:val="22"/>
          <w:szCs w:val="22"/>
        </w:rPr>
        <w:t>(TGO 104)</w:t>
      </w:r>
      <w:r w:rsidRPr="000E651D">
        <w:rPr>
          <w:i/>
          <w:sz w:val="22"/>
          <w:szCs w:val="22"/>
        </w:rPr>
        <w:t xml:space="preserve"> </w:t>
      </w:r>
      <w:r w:rsidR="00B11B72" w:rsidRPr="000E651D">
        <w:rPr>
          <w:i/>
          <w:sz w:val="22"/>
          <w:szCs w:val="22"/>
        </w:rPr>
        <w:t>Amendment</w:t>
      </w:r>
      <w:r w:rsidR="001A6375" w:rsidRPr="000E651D">
        <w:rPr>
          <w:i/>
          <w:sz w:val="22"/>
          <w:szCs w:val="22"/>
        </w:rPr>
        <w:t xml:space="preserve"> </w:t>
      </w:r>
      <w:r w:rsidRPr="000E651D">
        <w:rPr>
          <w:i/>
          <w:sz w:val="22"/>
          <w:szCs w:val="22"/>
        </w:rPr>
        <w:t>Order </w:t>
      </w:r>
      <w:r w:rsidR="00411971" w:rsidRPr="000E651D">
        <w:rPr>
          <w:i/>
          <w:sz w:val="22"/>
          <w:szCs w:val="22"/>
        </w:rPr>
        <w:t>202</w:t>
      </w:r>
      <w:r w:rsidR="00C2373C" w:rsidRPr="000E651D">
        <w:rPr>
          <w:i/>
          <w:sz w:val="22"/>
          <w:szCs w:val="22"/>
        </w:rPr>
        <w:t>5</w:t>
      </w:r>
      <w:r w:rsidRPr="000E651D">
        <w:rPr>
          <w:sz w:val="22"/>
          <w:szCs w:val="22"/>
        </w:rPr>
        <w:t xml:space="preserve"> (“the Amendment Order”) is made by a delegate of the Minister under </w:t>
      </w:r>
      <w:r w:rsidR="0096747A" w:rsidRPr="000E651D">
        <w:rPr>
          <w:sz w:val="22"/>
          <w:szCs w:val="22"/>
        </w:rPr>
        <w:t>that subsection</w:t>
      </w:r>
      <w:r w:rsidRPr="000E651D">
        <w:rPr>
          <w:sz w:val="22"/>
          <w:szCs w:val="22"/>
        </w:rPr>
        <w:t>.</w:t>
      </w:r>
    </w:p>
    <w:p w14:paraId="0C3153C1" w14:textId="77777777" w:rsidR="00001418" w:rsidRPr="000E651D" w:rsidRDefault="00001418" w:rsidP="00001418">
      <w:pPr>
        <w:rPr>
          <w:sz w:val="22"/>
          <w:szCs w:val="22"/>
        </w:rPr>
      </w:pPr>
    </w:p>
    <w:p w14:paraId="3863568A" w14:textId="17124042" w:rsidR="00445D20" w:rsidRPr="000E651D" w:rsidRDefault="00445D20" w:rsidP="00001418">
      <w:pPr>
        <w:rPr>
          <w:sz w:val="22"/>
          <w:szCs w:val="22"/>
        </w:rPr>
      </w:pPr>
      <w:r w:rsidRPr="000E651D">
        <w:rPr>
          <w:sz w:val="22"/>
          <w:szCs w:val="22"/>
        </w:rPr>
        <w:t xml:space="preserve">The purpose of the Amendment Order is to </w:t>
      </w:r>
      <w:r w:rsidR="005437B0" w:rsidRPr="000E651D">
        <w:rPr>
          <w:sz w:val="22"/>
          <w:szCs w:val="22"/>
        </w:rPr>
        <w:t>amend</w:t>
      </w:r>
      <w:r w:rsidR="00411971" w:rsidRPr="000E651D">
        <w:rPr>
          <w:sz w:val="22"/>
          <w:szCs w:val="22"/>
        </w:rPr>
        <w:t xml:space="preserve"> the Principal Order</w:t>
      </w:r>
      <w:r w:rsidR="001F6937" w:rsidRPr="000E651D">
        <w:rPr>
          <w:sz w:val="22"/>
          <w:szCs w:val="22"/>
        </w:rPr>
        <w:t xml:space="preserve"> to incorporate the most recent version of the </w:t>
      </w:r>
      <w:r w:rsidR="001F6937" w:rsidRPr="000E651D">
        <w:rPr>
          <w:i/>
          <w:iCs/>
          <w:sz w:val="22"/>
          <w:szCs w:val="22"/>
        </w:rPr>
        <w:t xml:space="preserve">TGA </w:t>
      </w:r>
      <w:r w:rsidR="008E7157" w:rsidRPr="000E651D">
        <w:rPr>
          <w:i/>
          <w:iCs/>
          <w:sz w:val="22"/>
          <w:szCs w:val="22"/>
        </w:rPr>
        <w:t>i</w:t>
      </w:r>
      <w:r w:rsidR="001F6937" w:rsidRPr="000E651D">
        <w:rPr>
          <w:i/>
          <w:iCs/>
          <w:sz w:val="22"/>
          <w:szCs w:val="22"/>
        </w:rPr>
        <w:t xml:space="preserve">nstructions for </w:t>
      </w:r>
      <w:r w:rsidR="008E7157" w:rsidRPr="000E651D">
        <w:rPr>
          <w:i/>
          <w:iCs/>
          <w:sz w:val="22"/>
          <w:szCs w:val="22"/>
        </w:rPr>
        <w:t>d</w:t>
      </w:r>
      <w:r w:rsidR="001F6937" w:rsidRPr="000E651D">
        <w:rPr>
          <w:i/>
          <w:iCs/>
          <w:sz w:val="22"/>
          <w:szCs w:val="22"/>
        </w:rPr>
        <w:t xml:space="preserve">isinfectant </w:t>
      </w:r>
      <w:r w:rsidR="008E7157" w:rsidRPr="000E651D">
        <w:rPr>
          <w:i/>
          <w:iCs/>
          <w:sz w:val="22"/>
          <w:szCs w:val="22"/>
        </w:rPr>
        <w:t>t</w:t>
      </w:r>
      <w:r w:rsidR="001F6937" w:rsidRPr="000E651D">
        <w:rPr>
          <w:i/>
          <w:iCs/>
          <w:sz w:val="22"/>
          <w:szCs w:val="22"/>
        </w:rPr>
        <w:t xml:space="preserve">esting </w:t>
      </w:r>
      <w:r w:rsidR="001F6937" w:rsidRPr="000E651D">
        <w:rPr>
          <w:sz w:val="22"/>
          <w:szCs w:val="22"/>
        </w:rPr>
        <w:t>(“the Instructions”)</w:t>
      </w:r>
      <w:r w:rsidR="001F49F8" w:rsidRPr="000E651D">
        <w:rPr>
          <w:sz w:val="22"/>
          <w:szCs w:val="22"/>
        </w:rPr>
        <w:t>. The Amendment Order also amends the t</w:t>
      </w:r>
      <w:r w:rsidR="001044B7" w:rsidRPr="000E651D">
        <w:rPr>
          <w:sz w:val="22"/>
          <w:szCs w:val="22"/>
        </w:rPr>
        <w:t xml:space="preserve">ests that </w:t>
      </w:r>
      <w:r w:rsidR="00851364" w:rsidRPr="000E651D">
        <w:rPr>
          <w:sz w:val="22"/>
          <w:szCs w:val="22"/>
        </w:rPr>
        <w:t xml:space="preserve">hospital grade disinfectant wipes or sponges for single use </w:t>
      </w:r>
      <w:r w:rsidR="001044B7" w:rsidRPr="000E651D">
        <w:rPr>
          <w:sz w:val="22"/>
          <w:szCs w:val="22"/>
        </w:rPr>
        <w:t xml:space="preserve">must pass </w:t>
      </w:r>
      <w:r w:rsidR="00A73A78" w:rsidRPr="000E651D">
        <w:rPr>
          <w:sz w:val="22"/>
          <w:szCs w:val="22"/>
        </w:rPr>
        <w:t>to meet minimum performance requirements</w:t>
      </w:r>
      <w:r w:rsidR="00C2472D" w:rsidRPr="000E651D">
        <w:rPr>
          <w:sz w:val="22"/>
          <w:szCs w:val="22"/>
        </w:rPr>
        <w:t xml:space="preserve"> in the Principal Order</w:t>
      </w:r>
      <w:r w:rsidR="003B7244" w:rsidRPr="000E651D">
        <w:rPr>
          <w:sz w:val="22"/>
          <w:szCs w:val="22"/>
        </w:rPr>
        <w:t>,</w:t>
      </w:r>
      <w:r w:rsidR="008E54E1" w:rsidRPr="000E651D">
        <w:rPr>
          <w:sz w:val="22"/>
          <w:szCs w:val="22"/>
        </w:rPr>
        <w:t xml:space="preserve"> </w:t>
      </w:r>
      <w:r w:rsidR="007A704D" w:rsidRPr="000E651D">
        <w:rPr>
          <w:sz w:val="22"/>
          <w:szCs w:val="22"/>
        </w:rPr>
        <w:t>to</w:t>
      </w:r>
      <w:r w:rsidR="008E54E1" w:rsidRPr="000E651D">
        <w:rPr>
          <w:sz w:val="22"/>
          <w:szCs w:val="22"/>
        </w:rPr>
        <w:t xml:space="preserve"> </w:t>
      </w:r>
      <w:r w:rsidR="00420CD4" w:rsidRPr="000E651D">
        <w:rPr>
          <w:sz w:val="22"/>
          <w:szCs w:val="22"/>
        </w:rPr>
        <w:t xml:space="preserve">align with the </w:t>
      </w:r>
      <w:r w:rsidR="000F51F5" w:rsidRPr="000E651D">
        <w:rPr>
          <w:sz w:val="22"/>
          <w:szCs w:val="22"/>
        </w:rPr>
        <w:t>most recent version of the</w:t>
      </w:r>
      <w:r w:rsidR="00420CD4" w:rsidRPr="000E651D">
        <w:rPr>
          <w:sz w:val="22"/>
          <w:szCs w:val="22"/>
        </w:rPr>
        <w:t xml:space="preserve"> Instructions</w:t>
      </w:r>
      <w:r w:rsidR="004556D8" w:rsidRPr="000E651D">
        <w:rPr>
          <w:sz w:val="22"/>
          <w:szCs w:val="22"/>
        </w:rPr>
        <w:t>.</w:t>
      </w:r>
    </w:p>
    <w:p w14:paraId="0F1FFD47" w14:textId="77777777" w:rsidR="00EF6C06" w:rsidRPr="000E651D" w:rsidRDefault="00EF6C06" w:rsidP="00A76196">
      <w:pPr>
        <w:keepNext/>
        <w:rPr>
          <w:b/>
          <w:sz w:val="22"/>
          <w:szCs w:val="22"/>
        </w:rPr>
      </w:pPr>
    </w:p>
    <w:p w14:paraId="55FBAD3F" w14:textId="491020FF" w:rsidR="00F90BC1" w:rsidRPr="000E651D" w:rsidRDefault="00812AFC" w:rsidP="00A76196">
      <w:pPr>
        <w:keepNext/>
        <w:rPr>
          <w:b/>
          <w:sz w:val="22"/>
          <w:szCs w:val="22"/>
        </w:rPr>
      </w:pPr>
      <w:r w:rsidRPr="000E651D">
        <w:rPr>
          <w:b/>
          <w:sz w:val="22"/>
          <w:szCs w:val="22"/>
        </w:rPr>
        <w:t>B</w:t>
      </w:r>
      <w:r w:rsidR="00D013D6" w:rsidRPr="000E651D">
        <w:rPr>
          <w:b/>
          <w:sz w:val="22"/>
          <w:szCs w:val="22"/>
        </w:rPr>
        <w:t>ackground</w:t>
      </w:r>
    </w:p>
    <w:p w14:paraId="14391710" w14:textId="77777777" w:rsidR="00001418" w:rsidRPr="000E651D" w:rsidRDefault="00001418" w:rsidP="00B241BB">
      <w:pPr>
        <w:keepNext/>
        <w:rPr>
          <w:sz w:val="22"/>
          <w:szCs w:val="22"/>
        </w:rPr>
      </w:pPr>
    </w:p>
    <w:p w14:paraId="33321DCF" w14:textId="39EC7798" w:rsidR="00F90BC1" w:rsidRPr="000E651D" w:rsidRDefault="00D8495C" w:rsidP="00001418">
      <w:pPr>
        <w:rPr>
          <w:sz w:val="22"/>
          <w:szCs w:val="22"/>
        </w:rPr>
      </w:pPr>
      <w:r w:rsidRPr="000E651D">
        <w:rPr>
          <w:sz w:val="22"/>
          <w:szCs w:val="22"/>
        </w:rPr>
        <w:t xml:space="preserve">The </w:t>
      </w:r>
      <w:r w:rsidR="008A3C47" w:rsidRPr="000E651D">
        <w:rPr>
          <w:sz w:val="22"/>
          <w:szCs w:val="22"/>
        </w:rPr>
        <w:t>Department</w:t>
      </w:r>
      <w:r w:rsidR="005627BF" w:rsidRPr="000E651D">
        <w:rPr>
          <w:sz w:val="22"/>
          <w:szCs w:val="22"/>
        </w:rPr>
        <w:t xml:space="preserve"> </w:t>
      </w:r>
      <w:r w:rsidRPr="000E651D">
        <w:rPr>
          <w:sz w:val="22"/>
          <w:szCs w:val="22"/>
        </w:rPr>
        <w:t>is responsible for regulating the quality</w:t>
      </w:r>
      <w:r w:rsidR="00FF2011" w:rsidRPr="000E651D">
        <w:rPr>
          <w:sz w:val="22"/>
          <w:szCs w:val="22"/>
        </w:rPr>
        <w:t>, safety and efficacy</w:t>
      </w:r>
      <w:r w:rsidRPr="000E651D">
        <w:rPr>
          <w:sz w:val="22"/>
          <w:szCs w:val="22"/>
        </w:rPr>
        <w:t xml:space="preserve"> </w:t>
      </w:r>
      <w:r w:rsidR="008A3C47" w:rsidRPr="000E651D">
        <w:rPr>
          <w:sz w:val="22"/>
          <w:szCs w:val="22"/>
        </w:rPr>
        <w:t xml:space="preserve">or performance </w:t>
      </w:r>
      <w:r w:rsidRPr="000E651D">
        <w:rPr>
          <w:sz w:val="22"/>
          <w:szCs w:val="22"/>
        </w:rPr>
        <w:t xml:space="preserve">of therapeutic goods. </w:t>
      </w:r>
      <w:r w:rsidR="00FF2011" w:rsidRPr="000E651D">
        <w:rPr>
          <w:sz w:val="22"/>
          <w:szCs w:val="22"/>
        </w:rPr>
        <w:t>T</w:t>
      </w:r>
      <w:r w:rsidRPr="000E651D">
        <w:rPr>
          <w:sz w:val="22"/>
          <w:szCs w:val="22"/>
        </w:rPr>
        <w:t xml:space="preserve">his is achieved </w:t>
      </w:r>
      <w:r w:rsidR="006A661D" w:rsidRPr="000E651D">
        <w:rPr>
          <w:sz w:val="22"/>
          <w:szCs w:val="22"/>
        </w:rPr>
        <w:t xml:space="preserve">in part </w:t>
      </w:r>
      <w:r w:rsidRPr="000E651D">
        <w:rPr>
          <w:sz w:val="22"/>
          <w:szCs w:val="22"/>
        </w:rPr>
        <w:t xml:space="preserve">by specifying ministerial standards for </w:t>
      </w:r>
      <w:r w:rsidR="006A661D" w:rsidRPr="000E651D">
        <w:rPr>
          <w:sz w:val="22"/>
          <w:szCs w:val="22"/>
        </w:rPr>
        <w:t xml:space="preserve">therapeutic </w:t>
      </w:r>
      <w:r w:rsidRPr="000E651D">
        <w:rPr>
          <w:sz w:val="22"/>
          <w:szCs w:val="22"/>
        </w:rPr>
        <w:t xml:space="preserve">goods which may relate to a range of matters </w:t>
      </w:r>
      <w:r w:rsidR="00FF2011" w:rsidRPr="000E651D">
        <w:rPr>
          <w:sz w:val="22"/>
          <w:szCs w:val="22"/>
        </w:rPr>
        <w:t>including, for example, the manufacture, testing</w:t>
      </w:r>
      <w:r w:rsidR="00827734" w:rsidRPr="000E651D">
        <w:rPr>
          <w:sz w:val="22"/>
          <w:szCs w:val="22"/>
        </w:rPr>
        <w:t xml:space="preserve">, </w:t>
      </w:r>
      <w:r w:rsidR="00FF2011" w:rsidRPr="000E651D">
        <w:rPr>
          <w:sz w:val="22"/>
          <w:szCs w:val="22"/>
        </w:rPr>
        <w:t>labelling and packaging</w:t>
      </w:r>
      <w:r w:rsidR="00582752" w:rsidRPr="000E651D">
        <w:rPr>
          <w:sz w:val="22"/>
          <w:szCs w:val="22"/>
        </w:rPr>
        <w:t xml:space="preserve"> of the goods</w:t>
      </w:r>
      <w:r w:rsidRPr="000E651D">
        <w:rPr>
          <w:sz w:val="22"/>
          <w:szCs w:val="22"/>
        </w:rPr>
        <w:t xml:space="preserve">, and </w:t>
      </w:r>
      <w:r w:rsidR="00FF2011" w:rsidRPr="000E651D">
        <w:rPr>
          <w:sz w:val="22"/>
          <w:szCs w:val="22"/>
        </w:rPr>
        <w:t xml:space="preserve">by </w:t>
      </w:r>
      <w:r w:rsidRPr="000E651D">
        <w:rPr>
          <w:sz w:val="22"/>
          <w:szCs w:val="22"/>
        </w:rPr>
        <w:t>otherwise applying default standards</w:t>
      </w:r>
      <w:r w:rsidR="00582752" w:rsidRPr="000E651D">
        <w:rPr>
          <w:sz w:val="22"/>
          <w:szCs w:val="22"/>
        </w:rPr>
        <w:t xml:space="preserve"> that are constituted by statements in th</w:t>
      </w:r>
      <w:r w:rsidR="00A76196" w:rsidRPr="000E651D">
        <w:rPr>
          <w:sz w:val="22"/>
          <w:szCs w:val="22"/>
        </w:rPr>
        <w:t>e</w:t>
      </w:r>
      <w:r w:rsidR="009452FC" w:rsidRPr="000E651D">
        <w:rPr>
          <w:sz w:val="22"/>
          <w:szCs w:val="22"/>
        </w:rPr>
        <w:t xml:space="preserve"> </w:t>
      </w:r>
      <w:r w:rsidRPr="000E651D">
        <w:rPr>
          <w:sz w:val="22"/>
          <w:szCs w:val="22"/>
        </w:rPr>
        <w:t>international pharmacopoeias defined in the Act.</w:t>
      </w:r>
    </w:p>
    <w:p w14:paraId="47DD0918" w14:textId="77777777" w:rsidR="00001418" w:rsidRPr="000E651D" w:rsidRDefault="00001418" w:rsidP="00001418">
      <w:pPr>
        <w:rPr>
          <w:sz w:val="22"/>
          <w:szCs w:val="22"/>
        </w:rPr>
      </w:pPr>
    </w:p>
    <w:p w14:paraId="24AE5276" w14:textId="0F682484" w:rsidR="00144697" w:rsidRPr="000E651D" w:rsidRDefault="0079242C" w:rsidP="00001418">
      <w:pPr>
        <w:rPr>
          <w:sz w:val="22"/>
          <w:szCs w:val="22"/>
        </w:rPr>
      </w:pPr>
      <w:r w:rsidRPr="000E651D">
        <w:rPr>
          <w:sz w:val="22"/>
          <w:szCs w:val="22"/>
        </w:rPr>
        <w:t xml:space="preserve">The </w:t>
      </w:r>
      <w:r w:rsidR="002652D3" w:rsidRPr="000E651D">
        <w:rPr>
          <w:sz w:val="22"/>
          <w:szCs w:val="22"/>
        </w:rPr>
        <w:t xml:space="preserve">Principal </w:t>
      </w:r>
      <w:r w:rsidRPr="000E651D">
        <w:rPr>
          <w:sz w:val="22"/>
          <w:szCs w:val="22"/>
        </w:rPr>
        <w:t>Order applies to therapeutic goods that are disinfectants, s</w:t>
      </w:r>
      <w:r w:rsidR="00FF2011" w:rsidRPr="000E651D">
        <w:rPr>
          <w:sz w:val="22"/>
          <w:szCs w:val="22"/>
        </w:rPr>
        <w:t>anitisers</w:t>
      </w:r>
      <w:r w:rsidRPr="000E651D">
        <w:rPr>
          <w:sz w:val="22"/>
          <w:szCs w:val="22"/>
        </w:rPr>
        <w:t xml:space="preserve"> and sanitary fluids and powders</w:t>
      </w:r>
      <w:r w:rsidR="005627BF" w:rsidRPr="000E651D">
        <w:rPr>
          <w:sz w:val="22"/>
          <w:szCs w:val="22"/>
        </w:rPr>
        <w:t>,</w:t>
      </w:r>
      <w:r w:rsidR="00B157EC" w:rsidRPr="000E651D">
        <w:rPr>
          <w:sz w:val="22"/>
          <w:szCs w:val="22"/>
        </w:rPr>
        <w:t xml:space="preserve"> other than the therapeutic goods identified under subsection 6(2) (including, for example, antiseptics and skin disinfectants). The Principal Order</w:t>
      </w:r>
      <w:r w:rsidR="002B2D00" w:rsidRPr="000E651D">
        <w:rPr>
          <w:sz w:val="22"/>
          <w:szCs w:val="22"/>
        </w:rPr>
        <w:t xml:space="preserve"> </w:t>
      </w:r>
      <w:r w:rsidR="00BE4BDC" w:rsidRPr="000E651D">
        <w:rPr>
          <w:sz w:val="22"/>
          <w:szCs w:val="22"/>
        </w:rPr>
        <w:t>specif</w:t>
      </w:r>
      <w:r w:rsidR="002B2D00" w:rsidRPr="000E651D">
        <w:rPr>
          <w:sz w:val="22"/>
          <w:szCs w:val="22"/>
        </w:rPr>
        <w:t>ies</w:t>
      </w:r>
      <w:r w:rsidR="00BE4BDC" w:rsidRPr="000E651D">
        <w:rPr>
          <w:sz w:val="22"/>
          <w:szCs w:val="22"/>
        </w:rPr>
        <w:t xml:space="preserve"> </w:t>
      </w:r>
      <w:r w:rsidR="00164FD7" w:rsidRPr="000E651D">
        <w:rPr>
          <w:sz w:val="22"/>
          <w:szCs w:val="22"/>
        </w:rPr>
        <w:t xml:space="preserve">labelling requirements </w:t>
      </w:r>
      <w:r w:rsidR="00164FD7" w:rsidRPr="000E651D">
        <w:rPr>
          <w:sz w:val="22"/>
          <w:szCs w:val="22"/>
        </w:rPr>
        <w:lastRenderedPageBreak/>
        <w:t>designed specifically to address the risks that may be associated with the handling and use</w:t>
      </w:r>
      <w:r w:rsidR="00827734" w:rsidRPr="000E651D">
        <w:rPr>
          <w:sz w:val="22"/>
          <w:szCs w:val="22"/>
        </w:rPr>
        <w:t xml:space="preserve"> of </w:t>
      </w:r>
      <w:r w:rsidR="00BE0581" w:rsidRPr="000E651D">
        <w:rPr>
          <w:sz w:val="22"/>
          <w:szCs w:val="22"/>
        </w:rPr>
        <w:t>such products</w:t>
      </w:r>
      <w:r w:rsidR="00C169BF" w:rsidRPr="000E651D">
        <w:rPr>
          <w:sz w:val="22"/>
          <w:szCs w:val="22"/>
        </w:rPr>
        <w:t xml:space="preserve">, as well as </w:t>
      </w:r>
      <w:r w:rsidR="00EF57A9" w:rsidRPr="000E651D">
        <w:rPr>
          <w:sz w:val="22"/>
          <w:szCs w:val="22"/>
        </w:rPr>
        <w:t xml:space="preserve">packaging requirements, </w:t>
      </w:r>
      <w:r w:rsidR="00144697" w:rsidRPr="000E651D">
        <w:rPr>
          <w:sz w:val="22"/>
          <w:szCs w:val="22"/>
        </w:rPr>
        <w:t xml:space="preserve">performance </w:t>
      </w:r>
      <w:r w:rsidR="00C169BF" w:rsidRPr="000E651D">
        <w:rPr>
          <w:sz w:val="22"/>
          <w:szCs w:val="22"/>
        </w:rPr>
        <w:t>requirements</w:t>
      </w:r>
      <w:r w:rsidR="00144697" w:rsidRPr="000E651D">
        <w:rPr>
          <w:sz w:val="22"/>
          <w:szCs w:val="22"/>
        </w:rPr>
        <w:t xml:space="preserve"> and </w:t>
      </w:r>
      <w:r w:rsidR="006C4202" w:rsidRPr="000E651D">
        <w:rPr>
          <w:sz w:val="22"/>
          <w:szCs w:val="22"/>
        </w:rPr>
        <w:t xml:space="preserve">more general </w:t>
      </w:r>
      <w:r w:rsidRPr="000E651D">
        <w:rPr>
          <w:sz w:val="22"/>
          <w:szCs w:val="22"/>
        </w:rPr>
        <w:t xml:space="preserve">requirements relating to stability data, </w:t>
      </w:r>
      <w:r w:rsidR="00BE4203" w:rsidRPr="000E651D">
        <w:rPr>
          <w:sz w:val="22"/>
          <w:szCs w:val="22"/>
        </w:rPr>
        <w:t>shelf life and toxicity data</w:t>
      </w:r>
      <w:r w:rsidR="00BE0581" w:rsidRPr="000E651D">
        <w:rPr>
          <w:sz w:val="22"/>
          <w:szCs w:val="22"/>
        </w:rPr>
        <w:t xml:space="preserve"> in relation to such products</w:t>
      </w:r>
      <w:r w:rsidR="00144697" w:rsidRPr="000E651D">
        <w:rPr>
          <w:sz w:val="22"/>
          <w:szCs w:val="22"/>
        </w:rPr>
        <w:t>.</w:t>
      </w:r>
    </w:p>
    <w:p w14:paraId="345FA133" w14:textId="77777777" w:rsidR="00001418" w:rsidRPr="000E651D" w:rsidRDefault="00001418" w:rsidP="00001418">
      <w:pPr>
        <w:rPr>
          <w:sz w:val="22"/>
          <w:szCs w:val="22"/>
        </w:rPr>
      </w:pPr>
    </w:p>
    <w:p w14:paraId="620CE322" w14:textId="1F36B58F" w:rsidR="00E56BA0" w:rsidRPr="000E651D" w:rsidRDefault="00E56BA0" w:rsidP="00001418">
      <w:pPr>
        <w:rPr>
          <w:sz w:val="22"/>
          <w:szCs w:val="22"/>
        </w:rPr>
      </w:pPr>
      <w:r w:rsidRPr="000E651D">
        <w:rPr>
          <w:sz w:val="22"/>
          <w:szCs w:val="22"/>
        </w:rPr>
        <w:t>The</w:t>
      </w:r>
      <w:r w:rsidR="00001418" w:rsidRPr="000E651D">
        <w:rPr>
          <w:sz w:val="22"/>
          <w:szCs w:val="22"/>
        </w:rPr>
        <w:t xml:space="preserve"> </w:t>
      </w:r>
      <w:r w:rsidRPr="000E651D">
        <w:rPr>
          <w:sz w:val="22"/>
          <w:szCs w:val="22"/>
        </w:rPr>
        <w:t>performance requirements</w:t>
      </w:r>
      <w:r w:rsidR="00001418" w:rsidRPr="000E651D">
        <w:rPr>
          <w:sz w:val="22"/>
          <w:szCs w:val="22"/>
        </w:rPr>
        <w:t xml:space="preserve"> </w:t>
      </w:r>
      <w:r w:rsidR="00C169BF" w:rsidRPr="000E651D">
        <w:rPr>
          <w:sz w:val="22"/>
          <w:szCs w:val="22"/>
        </w:rPr>
        <w:t xml:space="preserve">in the Principal Order relate </w:t>
      </w:r>
      <w:proofErr w:type="gramStart"/>
      <w:r w:rsidR="00C169BF" w:rsidRPr="000E651D">
        <w:rPr>
          <w:sz w:val="22"/>
          <w:szCs w:val="22"/>
        </w:rPr>
        <w:t>in particular to</w:t>
      </w:r>
      <w:proofErr w:type="gramEnd"/>
      <w:r w:rsidRPr="000E651D">
        <w:rPr>
          <w:sz w:val="22"/>
          <w:szCs w:val="22"/>
        </w:rPr>
        <w:t xml:space="preserve"> compl</w:t>
      </w:r>
      <w:r w:rsidR="00C169BF" w:rsidRPr="000E651D">
        <w:rPr>
          <w:sz w:val="22"/>
          <w:szCs w:val="22"/>
        </w:rPr>
        <w:t>iance</w:t>
      </w:r>
      <w:r w:rsidRPr="000E651D">
        <w:rPr>
          <w:sz w:val="22"/>
          <w:szCs w:val="22"/>
        </w:rPr>
        <w:t xml:space="preserve"> with specified microbiological tests, </w:t>
      </w:r>
      <w:r w:rsidR="00C169BF" w:rsidRPr="000E651D">
        <w:rPr>
          <w:sz w:val="22"/>
          <w:szCs w:val="22"/>
        </w:rPr>
        <w:t>including tests</w:t>
      </w:r>
      <w:r w:rsidRPr="000E651D">
        <w:rPr>
          <w:sz w:val="22"/>
          <w:szCs w:val="22"/>
        </w:rPr>
        <w:t xml:space="preserve"> </w:t>
      </w:r>
      <w:r w:rsidR="000C17AA" w:rsidRPr="000E651D">
        <w:rPr>
          <w:sz w:val="22"/>
          <w:szCs w:val="22"/>
        </w:rPr>
        <w:t xml:space="preserve">set out </w:t>
      </w:r>
      <w:r w:rsidR="005F275E" w:rsidRPr="000E651D">
        <w:rPr>
          <w:sz w:val="22"/>
          <w:szCs w:val="22"/>
        </w:rPr>
        <w:t>in</w:t>
      </w:r>
      <w:r w:rsidRPr="000E651D">
        <w:rPr>
          <w:sz w:val="22"/>
          <w:szCs w:val="22"/>
        </w:rPr>
        <w:t xml:space="preserve"> </w:t>
      </w:r>
      <w:r w:rsidR="00001418" w:rsidRPr="000E651D">
        <w:rPr>
          <w:sz w:val="22"/>
          <w:szCs w:val="22"/>
        </w:rPr>
        <w:t xml:space="preserve">the </w:t>
      </w:r>
      <w:r w:rsidR="00BB1ECC" w:rsidRPr="000E651D">
        <w:rPr>
          <w:sz w:val="22"/>
          <w:szCs w:val="22"/>
        </w:rPr>
        <w:t>Instructions</w:t>
      </w:r>
      <w:r w:rsidR="00001418" w:rsidRPr="000E651D">
        <w:rPr>
          <w:sz w:val="22"/>
          <w:szCs w:val="22"/>
        </w:rPr>
        <w:t>.</w:t>
      </w:r>
      <w:r w:rsidR="005A3A17" w:rsidRPr="000E651D">
        <w:rPr>
          <w:sz w:val="22"/>
          <w:szCs w:val="22"/>
        </w:rPr>
        <w:t xml:space="preserve"> </w:t>
      </w:r>
      <w:r w:rsidR="00001418" w:rsidRPr="000E651D">
        <w:rPr>
          <w:sz w:val="22"/>
          <w:szCs w:val="22"/>
        </w:rPr>
        <w:t>Additional testing is required where a claim is made for a disinfectant in</w:t>
      </w:r>
      <w:r w:rsidR="005627BF" w:rsidRPr="000E651D">
        <w:rPr>
          <w:sz w:val="22"/>
          <w:szCs w:val="22"/>
        </w:rPr>
        <w:t> </w:t>
      </w:r>
      <w:r w:rsidR="00001418" w:rsidRPr="000E651D">
        <w:rPr>
          <w:sz w:val="22"/>
          <w:szCs w:val="22"/>
        </w:rPr>
        <w:t xml:space="preserve">relation to sporicidal, fungicidal, tuberculocidal, virucidal or other biocidal use. The performance testing requirements specified in the </w:t>
      </w:r>
      <w:r w:rsidR="00470F97" w:rsidRPr="000E651D">
        <w:rPr>
          <w:sz w:val="22"/>
          <w:szCs w:val="22"/>
        </w:rPr>
        <w:t xml:space="preserve">Principal </w:t>
      </w:r>
      <w:r w:rsidR="00001418" w:rsidRPr="000E651D">
        <w:rPr>
          <w:sz w:val="22"/>
          <w:szCs w:val="22"/>
        </w:rPr>
        <w:t>Order for disinfectants apply depending on whether a disinfectant is a hospital grade disinfectant or a household grade disinfectant</w:t>
      </w:r>
      <w:r w:rsidR="00AF5B02" w:rsidRPr="000E651D">
        <w:rPr>
          <w:sz w:val="22"/>
          <w:szCs w:val="22"/>
        </w:rPr>
        <w:t>.</w:t>
      </w:r>
    </w:p>
    <w:p w14:paraId="5A13CECC" w14:textId="77777777" w:rsidR="00DA2882" w:rsidRPr="000E651D" w:rsidRDefault="00DA2882" w:rsidP="00001418">
      <w:pPr>
        <w:rPr>
          <w:sz w:val="22"/>
          <w:szCs w:val="22"/>
        </w:rPr>
      </w:pPr>
    </w:p>
    <w:p w14:paraId="3C070C68" w14:textId="6411682F" w:rsidR="00DA2882" w:rsidRPr="000E651D" w:rsidRDefault="00DA2882" w:rsidP="00001418">
      <w:pPr>
        <w:rPr>
          <w:sz w:val="22"/>
          <w:szCs w:val="22"/>
        </w:rPr>
      </w:pPr>
      <w:r w:rsidRPr="000E651D">
        <w:rPr>
          <w:sz w:val="22"/>
          <w:szCs w:val="22"/>
        </w:rPr>
        <w:t xml:space="preserve">Relevantly, subsection 13(4) of the Principal Order provides that if a disinfectant wipe or sponge that is for single use is tested in accordance with the test conditions on the label (if any), the disinfectant must pass </w:t>
      </w:r>
      <w:r w:rsidR="00CD7210" w:rsidRPr="000E651D">
        <w:rPr>
          <w:b/>
          <w:bCs/>
          <w:sz w:val="22"/>
          <w:szCs w:val="22"/>
        </w:rPr>
        <w:t>two</w:t>
      </w:r>
      <w:r w:rsidRPr="000E651D">
        <w:rPr>
          <w:sz w:val="22"/>
          <w:szCs w:val="22"/>
        </w:rPr>
        <w:t xml:space="preserve"> tests, being:</w:t>
      </w:r>
    </w:p>
    <w:p w14:paraId="4101BE67" w14:textId="6DC660AE" w:rsidR="00DA2882" w:rsidRPr="000E651D" w:rsidRDefault="00CD7210" w:rsidP="00DA2882">
      <w:pPr>
        <w:pStyle w:val="ListParagraph"/>
        <w:numPr>
          <w:ilvl w:val="0"/>
          <w:numId w:val="32"/>
        </w:numPr>
        <w:rPr>
          <w:sz w:val="22"/>
          <w:szCs w:val="22"/>
        </w:rPr>
      </w:pPr>
      <w:r w:rsidRPr="000E651D">
        <w:rPr>
          <w:sz w:val="22"/>
          <w:szCs w:val="22"/>
        </w:rPr>
        <w:t>e</w:t>
      </w:r>
      <w:r w:rsidR="00DA2882" w:rsidRPr="000E651D">
        <w:rPr>
          <w:sz w:val="22"/>
          <w:szCs w:val="22"/>
        </w:rPr>
        <w:t>ither:</w:t>
      </w:r>
    </w:p>
    <w:p w14:paraId="4357FDC4" w14:textId="470F8B42" w:rsidR="00DA2882" w:rsidRPr="000E651D" w:rsidRDefault="00CD7210" w:rsidP="00DA2882">
      <w:pPr>
        <w:pStyle w:val="ListParagraph"/>
        <w:numPr>
          <w:ilvl w:val="1"/>
          <w:numId w:val="32"/>
        </w:numPr>
        <w:rPr>
          <w:sz w:val="22"/>
          <w:szCs w:val="22"/>
        </w:rPr>
      </w:pPr>
      <w:r w:rsidRPr="000E651D">
        <w:rPr>
          <w:sz w:val="22"/>
          <w:szCs w:val="22"/>
        </w:rPr>
        <w:t>t</w:t>
      </w:r>
      <w:r w:rsidR="00DA2882" w:rsidRPr="000E651D">
        <w:rPr>
          <w:sz w:val="22"/>
          <w:szCs w:val="22"/>
        </w:rPr>
        <w:t xml:space="preserve">he TGA Disinfectant Test under the conditions specified in Option A or B of that test; or </w:t>
      </w:r>
    </w:p>
    <w:p w14:paraId="0B065041" w14:textId="1D737226" w:rsidR="00DA2882" w:rsidRPr="000E651D" w:rsidRDefault="00CD7210" w:rsidP="00807905">
      <w:pPr>
        <w:pStyle w:val="ListParagraph"/>
        <w:numPr>
          <w:ilvl w:val="1"/>
          <w:numId w:val="32"/>
        </w:numPr>
        <w:rPr>
          <w:sz w:val="22"/>
          <w:szCs w:val="22"/>
        </w:rPr>
      </w:pPr>
      <w:r w:rsidRPr="000E651D">
        <w:rPr>
          <w:sz w:val="22"/>
          <w:szCs w:val="22"/>
        </w:rPr>
        <w:t>a</w:t>
      </w:r>
      <w:r w:rsidR="00DA2882" w:rsidRPr="000E651D">
        <w:rPr>
          <w:sz w:val="22"/>
          <w:szCs w:val="22"/>
        </w:rPr>
        <w:t>n appropriate test equivalent to the TGA Disinfectant Test as specified in Division 2 of Part 2 of the Instructions; and</w:t>
      </w:r>
    </w:p>
    <w:p w14:paraId="13916048" w14:textId="197C7B9E" w:rsidR="00DA2882" w:rsidRPr="000E651D" w:rsidRDefault="006F38A3" w:rsidP="00807905">
      <w:pPr>
        <w:pStyle w:val="ListParagraph"/>
        <w:numPr>
          <w:ilvl w:val="0"/>
          <w:numId w:val="32"/>
        </w:numPr>
        <w:rPr>
          <w:sz w:val="22"/>
          <w:szCs w:val="22"/>
        </w:rPr>
      </w:pPr>
      <w:r w:rsidRPr="000E651D">
        <w:rPr>
          <w:sz w:val="22"/>
          <w:szCs w:val="22"/>
        </w:rPr>
        <w:t>a</w:t>
      </w:r>
      <w:r w:rsidR="00DA2882" w:rsidRPr="000E651D">
        <w:rPr>
          <w:sz w:val="22"/>
          <w:szCs w:val="22"/>
        </w:rPr>
        <w:t xml:space="preserve">n appropriate test for single or multiple use as specified in Division 2 of Part 2 of the Instructions. </w:t>
      </w:r>
    </w:p>
    <w:p w14:paraId="0517C22A" w14:textId="77777777" w:rsidR="00001418" w:rsidRPr="000E651D" w:rsidRDefault="00001418" w:rsidP="00001418">
      <w:pPr>
        <w:rPr>
          <w:sz w:val="22"/>
          <w:szCs w:val="22"/>
        </w:rPr>
      </w:pPr>
    </w:p>
    <w:p w14:paraId="26C0E24D" w14:textId="1567445E" w:rsidR="00E6786A" w:rsidRPr="000E651D" w:rsidRDefault="00E6786A" w:rsidP="006B7CAD">
      <w:pPr>
        <w:pStyle w:val="Heading3"/>
        <w:spacing w:before="0" w:after="0" w:line="276" w:lineRule="auto"/>
        <w:rPr>
          <w:rFonts w:ascii="Times New Roman" w:hAnsi="Times New Roman" w:cs="Times New Roman"/>
          <w:sz w:val="22"/>
          <w:szCs w:val="22"/>
        </w:rPr>
      </w:pPr>
      <w:r w:rsidRPr="000E651D">
        <w:rPr>
          <w:rFonts w:ascii="Times New Roman" w:hAnsi="Times New Roman" w:cs="Times New Roman"/>
          <w:sz w:val="22"/>
          <w:szCs w:val="22"/>
        </w:rPr>
        <w:t>Purpose</w:t>
      </w:r>
    </w:p>
    <w:p w14:paraId="777D8293" w14:textId="77777777" w:rsidR="00DA2882" w:rsidRPr="000E651D" w:rsidRDefault="00DA2882" w:rsidP="00DA2882">
      <w:pPr>
        <w:rPr>
          <w:sz w:val="22"/>
          <w:szCs w:val="22"/>
        </w:rPr>
      </w:pPr>
    </w:p>
    <w:p w14:paraId="75CF0B17" w14:textId="1D6CF19B" w:rsidR="00DA2882" w:rsidRPr="000E651D" w:rsidRDefault="00DA2882" w:rsidP="00DA2882">
      <w:pPr>
        <w:rPr>
          <w:sz w:val="22"/>
          <w:szCs w:val="22"/>
        </w:rPr>
      </w:pPr>
      <w:r w:rsidRPr="000E651D">
        <w:rPr>
          <w:sz w:val="22"/>
          <w:szCs w:val="22"/>
        </w:rPr>
        <w:t>The Amendment Order amends the Principal Order to:</w:t>
      </w:r>
    </w:p>
    <w:p w14:paraId="22E961E6" w14:textId="77777777" w:rsidR="00DA2882" w:rsidRPr="000E651D" w:rsidRDefault="00DA2882" w:rsidP="00DA2882">
      <w:pPr>
        <w:pStyle w:val="ListParagraph"/>
        <w:numPr>
          <w:ilvl w:val="0"/>
          <w:numId w:val="29"/>
        </w:numPr>
        <w:autoSpaceDE w:val="0"/>
        <w:autoSpaceDN w:val="0"/>
        <w:adjustRightInd w:val="0"/>
        <w:spacing w:before="120"/>
        <w:ind w:left="567" w:hanging="567"/>
        <w:contextualSpacing w:val="0"/>
        <w:rPr>
          <w:sz w:val="22"/>
          <w:szCs w:val="22"/>
        </w:rPr>
      </w:pPr>
      <w:r w:rsidRPr="000E651D">
        <w:rPr>
          <w:sz w:val="22"/>
          <w:szCs w:val="22"/>
        </w:rPr>
        <w:t>incorporate the most recent version of the Instructions (Version 4.0, August 2025), which is published on the TGA website; and</w:t>
      </w:r>
    </w:p>
    <w:p w14:paraId="6E5D87CC" w14:textId="77777777" w:rsidR="00DA2882" w:rsidRPr="000E651D" w:rsidRDefault="00DA2882" w:rsidP="00DA2882">
      <w:pPr>
        <w:pStyle w:val="ListParagraph"/>
        <w:numPr>
          <w:ilvl w:val="0"/>
          <w:numId w:val="29"/>
        </w:numPr>
        <w:autoSpaceDE w:val="0"/>
        <w:autoSpaceDN w:val="0"/>
        <w:adjustRightInd w:val="0"/>
        <w:spacing w:before="120"/>
        <w:ind w:left="567" w:hanging="567"/>
        <w:contextualSpacing w:val="0"/>
        <w:rPr>
          <w:sz w:val="22"/>
          <w:szCs w:val="22"/>
        </w:rPr>
      </w:pPr>
      <w:r w:rsidRPr="000E651D">
        <w:rPr>
          <w:sz w:val="22"/>
          <w:szCs w:val="22"/>
        </w:rPr>
        <w:t xml:space="preserve">amend subsection 13(4) to require only </w:t>
      </w:r>
      <w:r w:rsidRPr="000E651D">
        <w:rPr>
          <w:b/>
          <w:bCs/>
          <w:sz w:val="22"/>
          <w:szCs w:val="22"/>
        </w:rPr>
        <w:t>one</w:t>
      </w:r>
      <w:r w:rsidRPr="000E651D">
        <w:rPr>
          <w:sz w:val="22"/>
          <w:szCs w:val="22"/>
        </w:rPr>
        <w:t xml:space="preserve"> of the specified three test options for hospital grade disinfectant wipes or sponges for single use be passed to meet minimum performance requirements.</w:t>
      </w:r>
    </w:p>
    <w:p w14:paraId="3BFAC01A" w14:textId="77777777" w:rsidR="00DA2882" w:rsidRPr="000E651D" w:rsidRDefault="00DA2882" w:rsidP="00E6786A">
      <w:pPr>
        <w:rPr>
          <w:sz w:val="22"/>
          <w:szCs w:val="22"/>
        </w:rPr>
      </w:pPr>
    </w:p>
    <w:p w14:paraId="1F80E72E" w14:textId="346C2772" w:rsidR="00DA2882" w:rsidRPr="000E651D" w:rsidRDefault="00DA2882" w:rsidP="00E6786A">
      <w:pPr>
        <w:rPr>
          <w:sz w:val="22"/>
          <w:szCs w:val="22"/>
        </w:rPr>
      </w:pPr>
      <w:r w:rsidRPr="000E651D">
        <w:rPr>
          <w:sz w:val="22"/>
          <w:szCs w:val="22"/>
        </w:rPr>
        <w:t xml:space="preserve">The amendment to refer to the most recent version of the Instructions follow publication of an updated version of the Instructions which </w:t>
      </w:r>
      <w:r w:rsidR="00CD7210" w:rsidRPr="000E651D">
        <w:rPr>
          <w:sz w:val="22"/>
          <w:szCs w:val="22"/>
        </w:rPr>
        <w:t>has updates to</w:t>
      </w:r>
      <w:r w:rsidRPr="000E651D">
        <w:rPr>
          <w:sz w:val="22"/>
          <w:szCs w:val="22"/>
        </w:rPr>
        <w:t xml:space="preserve"> the required tests that hospital grade disinfectant wipes or sponges for single use must pass. </w:t>
      </w:r>
    </w:p>
    <w:p w14:paraId="571A43CC" w14:textId="77777777" w:rsidR="00DA2882" w:rsidRPr="000E651D" w:rsidRDefault="00DA2882" w:rsidP="00E6786A">
      <w:pPr>
        <w:rPr>
          <w:sz w:val="22"/>
          <w:szCs w:val="22"/>
        </w:rPr>
      </w:pPr>
    </w:p>
    <w:p w14:paraId="1A951E79" w14:textId="18A8229F" w:rsidR="00CF029C" w:rsidRPr="000E651D" w:rsidRDefault="00E6786A" w:rsidP="00E6786A">
      <w:pPr>
        <w:rPr>
          <w:sz w:val="22"/>
          <w:szCs w:val="22"/>
        </w:rPr>
      </w:pPr>
      <w:r w:rsidRPr="000E651D">
        <w:rPr>
          <w:sz w:val="22"/>
          <w:szCs w:val="22"/>
        </w:rPr>
        <w:t xml:space="preserve">The Amendment Order </w:t>
      </w:r>
      <w:r w:rsidR="00CD7210" w:rsidRPr="000E651D">
        <w:rPr>
          <w:sz w:val="22"/>
          <w:szCs w:val="22"/>
        </w:rPr>
        <w:t xml:space="preserve">consequently </w:t>
      </w:r>
      <w:r w:rsidR="00DA2882" w:rsidRPr="000E651D">
        <w:rPr>
          <w:sz w:val="22"/>
          <w:szCs w:val="22"/>
        </w:rPr>
        <w:t xml:space="preserve">amends subsection 13(4) to align with the updated Instructions. It </w:t>
      </w:r>
      <w:r w:rsidRPr="000E651D">
        <w:rPr>
          <w:sz w:val="22"/>
          <w:szCs w:val="22"/>
        </w:rPr>
        <w:t>clarifies that</w:t>
      </w:r>
      <w:r w:rsidR="00F34C19" w:rsidRPr="000E651D">
        <w:rPr>
          <w:sz w:val="22"/>
          <w:szCs w:val="22"/>
        </w:rPr>
        <w:t xml:space="preserve"> </w:t>
      </w:r>
      <w:r w:rsidR="00CD7210" w:rsidRPr="000E651D">
        <w:rPr>
          <w:sz w:val="22"/>
          <w:szCs w:val="22"/>
        </w:rPr>
        <w:t>only</w:t>
      </w:r>
      <w:r w:rsidR="00DA2882" w:rsidRPr="000E651D">
        <w:rPr>
          <w:sz w:val="22"/>
          <w:szCs w:val="22"/>
        </w:rPr>
        <w:t xml:space="preserve"> one of the following tests </w:t>
      </w:r>
      <w:r w:rsidR="00CD7210" w:rsidRPr="000E651D">
        <w:rPr>
          <w:sz w:val="22"/>
          <w:szCs w:val="22"/>
        </w:rPr>
        <w:t>is</w:t>
      </w:r>
      <w:r w:rsidR="00DA2882" w:rsidRPr="000E651D">
        <w:rPr>
          <w:sz w:val="22"/>
          <w:szCs w:val="22"/>
        </w:rPr>
        <w:t xml:space="preserve"> </w:t>
      </w:r>
      <w:r w:rsidR="00CD7210" w:rsidRPr="000E651D">
        <w:rPr>
          <w:sz w:val="22"/>
          <w:szCs w:val="22"/>
        </w:rPr>
        <w:t xml:space="preserve">required and is </w:t>
      </w:r>
      <w:r w:rsidR="00DA2882" w:rsidRPr="000E651D">
        <w:rPr>
          <w:sz w:val="22"/>
          <w:szCs w:val="22"/>
        </w:rPr>
        <w:t>considered</w:t>
      </w:r>
      <w:r w:rsidR="00F34C19" w:rsidRPr="000E651D">
        <w:rPr>
          <w:sz w:val="22"/>
          <w:szCs w:val="22"/>
        </w:rPr>
        <w:t xml:space="preserve"> sufficient </w:t>
      </w:r>
      <w:r w:rsidR="00DA2882" w:rsidRPr="000E651D">
        <w:rPr>
          <w:sz w:val="22"/>
          <w:szCs w:val="22"/>
        </w:rPr>
        <w:t xml:space="preserve">evidence of suitable disinfectant efficacy </w:t>
      </w:r>
      <w:r w:rsidR="00F34C19" w:rsidRPr="000E651D">
        <w:rPr>
          <w:sz w:val="22"/>
          <w:szCs w:val="22"/>
        </w:rPr>
        <w:t>for hospital grade disinfectant wipes or sponges for single use:</w:t>
      </w:r>
    </w:p>
    <w:p w14:paraId="1CECA41D" w14:textId="3E2D9E41" w:rsidR="00F34C19" w:rsidRPr="000E651D" w:rsidRDefault="00F34C19" w:rsidP="00F34C19">
      <w:pPr>
        <w:pStyle w:val="ListParagraph"/>
        <w:numPr>
          <w:ilvl w:val="0"/>
          <w:numId w:val="29"/>
        </w:numPr>
        <w:tabs>
          <w:tab w:val="left" w:pos="851"/>
        </w:tabs>
        <w:spacing w:before="240"/>
        <w:outlineLvl w:val="0"/>
        <w:rPr>
          <w:sz w:val="22"/>
          <w:szCs w:val="22"/>
        </w:rPr>
      </w:pPr>
      <w:r w:rsidRPr="000E651D">
        <w:rPr>
          <w:sz w:val="22"/>
          <w:szCs w:val="22"/>
        </w:rPr>
        <w:t>the TGA Disinfectant Test, meaning the test specified in Part 1 of the Instructions, under the conditions specified in Option A or Option B of that test;</w:t>
      </w:r>
    </w:p>
    <w:p w14:paraId="3D60A0D6" w14:textId="579F1112" w:rsidR="00F34C19" w:rsidRPr="000E651D" w:rsidRDefault="00F34C19" w:rsidP="00F34C19">
      <w:pPr>
        <w:pStyle w:val="ListParagraph"/>
        <w:numPr>
          <w:ilvl w:val="0"/>
          <w:numId w:val="29"/>
        </w:numPr>
        <w:tabs>
          <w:tab w:val="left" w:pos="851"/>
        </w:tabs>
        <w:spacing w:before="240"/>
        <w:outlineLvl w:val="0"/>
        <w:rPr>
          <w:sz w:val="22"/>
          <w:szCs w:val="22"/>
        </w:rPr>
      </w:pPr>
      <w:r w:rsidRPr="000E651D">
        <w:rPr>
          <w:sz w:val="22"/>
          <w:szCs w:val="22"/>
        </w:rPr>
        <w:t>an appropriate test equivalent to the TGA Disinfectant Test as specified in Division 2 of Part</w:t>
      </w:r>
      <w:r w:rsidR="006F38A3" w:rsidRPr="000E651D">
        <w:rPr>
          <w:sz w:val="22"/>
          <w:szCs w:val="22"/>
        </w:rPr>
        <w:t> </w:t>
      </w:r>
      <w:r w:rsidRPr="000E651D">
        <w:rPr>
          <w:sz w:val="22"/>
          <w:szCs w:val="22"/>
        </w:rPr>
        <w:t xml:space="preserve">2 of the </w:t>
      </w:r>
      <w:proofErr w:type="gramStart"/>
      <w:r w:rsidRPr="000E651D">
        <w:rPr>
          <w:sz w:val="22"/>
          <w:szCs w:val="22"/>
        </w:rPr>
        <w:t>Instructions;</w:t>
      </w:r>
      <w:proofErr w:type="gramEnd"/>
    </w:p>
    <w:p w14:paraId="3F070357" w14:textId="77777777" w:rsidR="00F34C19" w:rsidRPr="000E651D" w:rsidRDefault="00F34C19" w:rsidP="00F34C19">
      <w:pPr>
        <w:pStyle w:val="ListParagraph"/>
        <w:numPr>
          <w:ilvl w:val="0"/>
          <w:numId w:val="29"/>
        </w:numPr>
        <w:tabs>
          <w:tab w:val="left" w:pos="851"/>
        </w:tabs>
        <w:spacing w:before="240"/>
        <w:outlineLvl w:val="0"/>
        <w:rPr>
          <w:sz w:val="22"/>
          <w:szCs w:val="22"/>
        </w:rPr>
      </w:pPr>
      <w:r w:rsidRPr="000E651D">
        <w:rPr>
          <w:sz w:val="22"/>
          <w:szCs w:val="22"/>
        </w:rPr>
        <w:t>an appropriate test for single or multiple use as specified in Division 2 of Part 2 of the Instructions.</w:t>
      </w:r>
    </w:p>
    <w:p w14:paraId="49C84DB6" w14:textId="77777777" w:rsidR="00E6786A" w:rsidRPr="000E651D" w:rsidRDefault="00E6786A" w:rsidP="006B7CAD">
      <w:pPr>
        <w:pStyle w:val="Heading3"/>
        <w:spacing w:before="0" w:after="0" w:line="276" w:lineRule="auto"/>
        <w:rPr>
          <w:rFonts w:ascii="Times New Roman" w:hAnsi="Times New Roman" w:cs="Times New Roman"/>
          <w:sz w:val="22"/>
          <w:szCs w:val="22"/>
        </w:rPr>
      </w:pPr>
    </w:p>
    <w:p w14:paraId="7AB04B7D" w14:textId="6A012A80" w:rsidR="006B7CAD" w:rsidRPr="000E651D" w:rsidRDefault="006B7CAD" w:rsidP="006B7CAD">
      <w:pPr>
        <w:pStyle w:val="Heading3"/>
        <w:spacing w:before="0" w:after="0" w:line="276" w:lineRule="auto"/>
        <w:rPr>
          <w:rFonts w:ascii="Times New Roman" w:hAnsi="Times New Roman" w:cs="Times New Roman"/>
          <w:sz w:val="22"/>
          <w:szCs w:val="22"/>
        </w:rPr>
      </w:pPr>
      <w:r w:rsidRPr="000E651D">
        <w:rPr>
          <w:rFonts w:ascii="Times New Roman" w:hAnsi="Times New Roman" w:cs="Times New Roman"/>
          <w:sz w:val="22"/>
          <w:szCs w:val="22"/>
        </w:rPr>
        <w:t>Incorporation by reference</w:t>
      </w:r>
    </w:p>
    <w:p w14:paraId="584CFEA8" w14:textId="77777777" w:rsidR="006B7CAD" w:rsidRPr="000E651D" w:rsidRDefault="006B7CAD" w:rsidP="006B7CAD">
      <w:pPr>
        <w:keepNext/>
        <w:rPr>
          <w:sz w:val="22"/>
          <w:szCs w:val="22"/>
        </w:rPr>
      </w:pPr>
    </w:p>
    <w:p w14:paraId="1CD263CD" w14:textId="2CF70200" w:rsidR="006B7CAD" w:rsidRPr="000E651D" w:rsidRDefault="006B7CAD" w:rsidP="006B7CAD">
      <w:pPr>
        <w:rPr>
          <w:sz w:val="22"/>
          <w:szCs w:val="22"/>
        </w:rPr>
      </w:pPr>
      <w:r w:rsidRPr="000E651D">
        <w:rPr>
          <w:sz w:val="22"/>
          <w:szCs w:val="22"/>
        </w:rPr>
        <w:t xml:space="preserve">The Amendment Order incorporates the document </w:t>
      </w:r>
      <w:r w:rsidRPr="000E651D">
        <w:rPr>
          <w:i/>
          <w:sz w:val="22"/>
          <w:szCs w:val="22"/>
        </w:rPr>
        <w:t>TGA instructions for disinfectant testing</w:t>
      </w:r>
      <w:r w:rsidRPr="000E651D">
        <w:rPr>
          <w:sz w:val="22"/>
          <w:szCs w:val="22"/>
        </w:rPr>
        <w:t xml:space="preserve"> (Version</w:t>
      </w:r>
      <w:r w:rsidR="006F38A3" w:rsidRPr="000E651D">
        <w:rPr>
          <w:sz w:val="22"/>
          <w:szCs w:val="22"/>
        </w:rPr>
        <w:t> </w:t>
      </w:r>
      <w:r w:rsidR="004E79A0" w:rsidRPr="000E651D">
        <w:rPr>
          <w:sz w:val="22"/>
          <w:szCs w:val="22"/>
        </w:rPr>
        <w:t>4.0, August 2025</w:t>
      </w:r>
      <w:r w:rsidRPr="000E651D">
        <w:rPr>
          <w:sz w:val="22"/>
          <w:szCs w:val="22"/>
        </w:rPr>
        <w:t xml:space="preserve">), which is published by the TGA and specifies the testing requirements in relation to disinfectants and sanitary products for the purposes of the Principal Order. </w:t>
      </w:r>
      <w:proofErr w:type="gramStart"/>
      <w:r w:rsidRPr="000E651D">
        <w:rPr>
          <w:sz w:val="22"/>
          <w:szCs w:val="22"/>
        </w:rPr>
        <w:t>The most recent version of the Instructions,</w:t>
      </w:r>
      <w:proofErr w:type="gramEnd"/>
      <w:r w:rsidRPr="000E651D">
        <w:rPr>
          <w:sz w:val="22"/>
          <w:szCs w:val="22"/>
        </w:rPr>
        <w:t xml:space="preserve"> includes updates to the required tests that hospital grade disinfectant wipes or sponges for single use must pass. This document is incorporated as it is in force or existing on </w:t>
      </w:r>
      <w:r w:rsidR="00807905" w:rsidRPr="000E651D">
        <w:rPr>
          <w:sz w:val="22"/>
          <w:szCs w:val="22"/>
        </w:rPr>
        <w:t>11</w:t>
      </w:r>
      <w:r w:rsidR="006F38A3" w:rsidRPr="000E651D">
        <w:rPr>
          <w:sz w:val="22"/>
          <w:szCs w:val="22"/>
        </w:rPr>
        <w:t> </w:t>
      </w:r>
      <w:r w:rsidR="004E79A0" w:rsidRPr="000E651D">
        <w:rPr>
          <w:sz w:val="22"/>
          <w:szCs w:val="22"/>
        </w:rPr>
        <w:t>August 2025</w:t>
      </w:r>
      <w:r w:rsidRPr="000E651D">
        <w:rPr>
          <w:sz w:val="22"/>
          <w:szCs w:val="22"/>
        </w:rPr>
        <w:t>. This document is freely available from the TGA website (www.tga.gov.au).</w:t>
      </w:r>
    </w:p>
    <w:p w14:paraId="1D5BC3A7" w14:textId="77777777" w:rsidR="006B7CAD" w:rsidRPr="000E651D" w:rsidRDefault="006B7CAD" w:rsidP="00EF6C06"/>
    <w:p w14:paraId="4A8BCB77" w14:textId="6330F51B" w:rsidR="006348D2" w:rsidRPr="000E651D" w:rsidRDefault="006348D2" w:rsidP="00900D6C">
      <w:pPr>
        <w:pStyle w:val="Heading3"/>
        <w:spacing w:before="0" w:after="0"/>
        <w:rPr>
          <w:rFonts w:ascii="Times New Roman" w:hAnsi="Times New Roman" w:cs="Times New Roman"/>
          <w:sz w:val="22"/>
          <w:szCs w:val="22"/>
        </w:rPr>
      </w:pPr>
      <w:r w:rsidRPr="000E651D">
        <w:rPr>
          <w:rFonts w:ascii="Times New Roman" w:hAnsi="Times New Roman" w:cs="Times New Roman"/>
          <w:sz w:val="22"/>
          <w:szCs w:val="22"/>
        </w:rPr>
        <w:t>C</w:t>
      </w:r>
      <w:r w:rsidR="00390897" w:rsidRPr="000E651D">
        <w:rPr>
          <w:rFonts w:ascii="Times New Roman" w:hAnsi="Times New Roman" w:cs="Times New Roman"/>
          <w:sz w:val="22"/>
          <w:szCs w:val="22"/>
        </w:rPr>
        <w:t>onsultation</w:t>
      </w:r>
    </w:p>
    <w:p w14:paraId="7B47C855" w14:textId="63A3A0C7" w:rsidR="00EF4E41" w:rsidRPr="000E651D" w:rsidRDefault="00EF4E41" w:rsidP="007169A0">
      <w:pPr>
        <w:keepNext/>
        <w:rPr>
          <w:sz w:val="22"/>
          <w:szCs w:val="22"/>
        </w:rPr>
      </w:pPr>
    </w:p>
    <w:p w14:paraId="170BC424" w14:textId="6F35A0DC" w:rsidR="003C712D" w:rsidRPr="000E651D" w:rsidRDefault="003373D6" w:rsidP="00B43C83">
      <w:pPr>
        <w:rPr>
          <w:sz w:val="22"/>
          <w:szCs w:val="22"/>
          <w:lang w:eastAsia="en-US"/>
        </w:rPr>
      </w:pPr>
      <w:r w:rsidRPr="000E651D">
        <w:rPr>
          <w:sz w:val="22"/>
          <w:szCs w:val="22"/>
          <w:lang w:eastAsia="en-US"/>
        </w:rPr>
        <w:t>Betwee</w:t>
      </w:r>
      <w:r w:rsidR="00F27996" w:rsidRPr="000E651D">
        <w:rPr>
          <w:sz w:val="22"/>
          <w:szCs w:val="22"/>
          <w:lang w:eastAsia="en-US"/>
        </w:rPr>
        <w:t xml:space="preserve">n 22 July and 30 August 2024, the TGA undertook a </w:t>
      </w:r>
      <w:r w:rsidR="004E79A0" w:rsidRPr="000E651D">
        <w:rPr>
          <w:sz w:val="22"/>
          <w:szCs w:val="22"/>
          <w:lang w:eastAsia="en-US"/>
        </w:rPr>
        <w:t>public consultation</w:t>
      </w:r>
      <w:r w:rsidR="00F27996" w:rsidRPr="000E651D">
        <w:rPr>
          <w:sz w:val="22"/>
          <w:szCs w:val="22"/>
          <w:lang w:eastAsia="en-US"/>
        </w:rPr>
        <w:t xml:space="preserve"> to obtain stakeholder feedback</w:t>
      </w:r>
      <w:r w:rsidR="00CD7210" w:rsidRPr="000E651D">
        <w:rPr>
          <w:sz w:val="22"/>
          <w:szCs w:val="22"/>
          <w:lang w:eastAsia="en-US"/>
        </w:rPr>
        <w:t xml:space="preserve"> on the proposed amendments to the Instructions</w:t>
      </w:r>
      <w:r w:rsidR="00F27996" w:rsidRPr="000E651D">
        <w:rPr>
          <w:sz w:val="22"/>
          <w:szCs w:val="22"/>
          <w:lang w:eastAsia="en-US"/>
        </w:rPr>
        <w:t>. The TGA received 7 responses</w:t>
      </w:r>
      <w:r w:rsidR="004E79A0" w:rsidRPr="000E651D">
        <w:rPr>
          <w:sz w:val="22"/>
          <w:szCs w:val="22"/>
          <w:lang w:eastAsia="en-US"/>
        </w:rPr>
        <w:t xml:space="preserve">, including </w:t>
      </w:r>
      <w:r w:rsidR="00F27996" w:rsidRPr="000E651D">
        <w:rPr>
          <w:sz w:val="22"/>
          <w:szCs w:val="22"/>
          <w:lang w:eastAsia="en-US"/>
        </w:rPr>
        <w:t xml:space="preserve">responses </w:t>
      </w:r>
      <w:r w:rsidR="004E79A0" w:rsidRPr="000E651D">
        <w:rPr>
          <w:sz w:val="22"/>
          <w:szCs w:val="22"/>
          <w:lang w:eastAsia="en-US"/>
        </w:rPr>
        <w:t>from key industry representatives</w:t>
      </w:r>
      <w:r w:rsidR="00F27996" w:rsidRPr="000E651D">
        <w:rPr>
          <w:sz w:val="22"/>
          <w:szCs w:val="22"/>
          <w:lang w:eastAsia="en-US"/>
        </w:rPr>
        <w:t xml:space="preserve">, </w:t>
      </w:r>
      <w:r w:rsidR="00CD7210" w:rsidRPr="000E651D">
        <w:rPr>
          <w:sz w:val="22"/>
          <w:szCs w:val="22"/>
          <w:lang w:eastAsia="en-US"/>
        </w:rPr>
        <w:t>such as</w:t>
      </w:r>
      <w:r w:rsidR="00F27996" w:rsidRPr="000E651D">
        <w:rPr>
          <w:sz w:val="22"/>
          <w:szCs w:val="22"/>
          <w:lang w:eastAsia="en-US"/>
        </w:rPr>
        <w:t xml:space="preserve"> disinfectant product sponsors and manufacturers, and industry bodies</w:t>
      </w:r>
      <w:r w:rsidR="00A71F66" w:rsidRPr="000E651D">
        <w:rPr>
          <w:sz w:val="22"/>
          <w:szCs w:val="22"/>
          <w:lang w:eastAsia="en-US"/>
        </w:rPr>
        <w:t>.</w:t>
      </w:r>
      <w:r w:rsidR="004E79A0" w:rsidRPr="000E651D">
        <w:rPr>
          <w:sz w:val="22"/>
          <w:szCs w:val="22"/>
          <w:lang w:eastAsia="en-US"/>
        </w:rPr>
        <w:t xml:space="preserve"> </w:t>
      </w:r>
      <w:r w:rsidR="00F27996" w:rsidRPr="000E651D">
        <w:rPr>
          <w:sz w:val="22"/>
          <w:szCs w:val="22"/>
          <w:lang w:eastAsia="en-US"/>
        </w:rPr>
        <w:t>Overall, the</w:t>
      </w:r>
      <w:r w:rsidR="004E79A0" w:rsidRPr="000E651D">
        <w:rPr>
          <w:sz w:val="22"/>
          <w:szCs w:val="22"/>
          <w:lang w:eastAsia="en-US"/>
        </w:rPr>
        <w:t xml:space="preserve"> feedback received </w:t>
      </w:r>
      <w:r w:rsidR="00F27996" w:rsidRPr="000E651D">
        <w:rPr>
          <w:sz w:val="22"/>
          <w:szCs w:val="22"/>
          <w:lang w:eastAsia="en-US"/>
        </w:rPr>
        <w:t xml:space="preserve">was supportive of the proposed changes to the Instructions. The feedback also </w:t>
      </w:r>
      <w:r w:rsidR="004E79A0" w:rsidRPr="000E651D">
        <w:rPr>
          <w:sz w:val="22"/>
          <w:szCs w:val="22"/>
          <w:lang w:eastAsia="en-US"/>
        </w:rPr>
        <w:t xml:space="preserve">included requests for clarification of test requirements, alignment with updated international standards, and </w:t>
      </w:r>
      <w:r w:rsidR="00945A1D" w:rsidRPr="000E651D">
        <w:rPr>
          <w:sz w:val="22"/>
          <w:szCs w:val="22"/>
          <w:lang w:eastAsia="en-US"/>
        </w:rPr>
        <w:t>simplification</w:t>
      </w:r>
      <w:r w:rsidR="004E79A0" w:rsidRPr="000E651D">
        <w:rPr>
          <w:sz w:val="22"/>
          <w:szCs w:val="22"/>
          <w:lang w:eastAsia="en-US"/>
        </w:rPr>
        <w:t xml:space="preserve"> of technical language</w:t>
      </w:r>
      <w:r w:rsidR="00CD7210" w:rsidRPr="000E651D">
        <w:rPr>
          <w:sz w:val="22"/>
          <w:szCs w:val="22"/>
          <w:lang w:eastAsia="en-US"/>
        </w:rPr>
        <w:t xml:space="preserve"> in the Instructions</w:t>
      </w:r>
      <w:r w:rsidR="004E79A0" w:rsidRPr="000E651D">
        <w:rPr>
          <w:sz w:val="22"/>
          <w:szCs w:val="22"/>
          <w:lang w:eastAsia="en-US"/>
        </w:rPr>
        <w:t xml:space="preserve">. </w:t>
      </w:r>
    </w:p>
    <w:p w14:paraId="207A48B1" w14:textId="77777777" w:rsidR="00AB033F" w:rsidRPr="000E651D" w:rsidRDefault="00AB033F" w:rsidP="00B43C83">
      <w:pPr>
        <w:rPr>
          <w:sz w:val="22"/>
          <w:szCs w:val="22"/>
          <w:lang w:eastAsia="en-US"/>
        </w:rPr>
      </w:pPr>
    </w:p>
    <w:p w14:paraId="34516EE7" w14:textId="319F19D8" w:rsidR="001516D9" w:rsidRPr="000E651D" w:rsidRDefault="00F27996" w:rsidP="00881F58">
      <w:pPr>
        <w:rPr>
          <w:sz w:val="22"/>
          <w:szCs w:val="22"/>
          <w:lang w:eastAsia="en-US"/>
        </w:rPr>
      </w:pPr>
      <w:r w:rsidRPr="000E651D">
        <w:rPr>
          <w:sz w:val="22"/>
          <w:szCs w:val="22"/>
          <w:lang w:eastAsia="en-US"/>
        </w:rPr>
        <w:t>All res</w:t>
      </w:r>
      <w:r w:rsidR="00881F58" w:rsidRPr="000E651D">
        <w:rPr>
          <w:sz w:val="22"/>
          <w:szCs w:val="22"/>
          <w:lang w:eastAsia="en-US"/>
        </w:rPr>
        <w:t xml:space="preserve">pondents to the consultation were notified of the overall outcomes of the consultation and were informed that consequential amendments will be made to the Principal Order. The TGA also publicly published the outcome of the consultation and noted that minor </w:t>
      </w:r>
      <w:r w:rsidR="001516D9" w:rsidRPr="000E651D">
        <w:rPr>
          <w:sz w:val="22"/>
          <w:szCs w:val="22"/>
          <w:lang w:eastAsia="en-US"/>
        </w:rPr>
        <w:t xml:space="preserve">amendments </w:t>
      </w:r>
      <w:r w:rsidR="005A7ADE" w:rsidRPr="000E651D">
        <w:rPr>
          <w:sz w:val="22"/>
          <w:szCs w:val="22"/>
          <w:lang w:eastAsia="en-US"/>
        </w:rPr>
        <w:t>will be</w:t>
      </w:r>
      <w:r w:rsidR="00881F58" w:rsidRPr="000E651D">
        <w:rPr>
          <w:sz w:val="22"/>
          <w:szCs w:val="22"/>
          <w:lang w:eastAsia="en-US"/>
        </w:rPr>
        <w:t xml:space="preserve"> made to the Principal Order.</w:t>
      </w:r>
    </w:p>
    <w:p w14:paraId="7420DE23" w14:textId="77777777" w:rsidR="001516D9" w:rsidRPr="000E651D" w:rsidRDefault="001516D9" w:rsidP="00EF6C06"/>
    <w:p w14:paraId="7EB80937" w14:textId="74D68CB2" w:rsidR="00F90BC1" w:rsidRPr="000E651D" w:rsidRDefault="006348D2" w:rsidP="00001418">
      <w:pPr>
        <w:rPr>
          <w:sz w:val="22"/>
          <w:szCs w:val="22"/>
        </w:rPr>
      </w:pPr>
      <w:r w:rsidRPr="000E651D">
        <w:rPr>
          <w:sz w:val="22"/>
          <w:szCs w:val="22"/>
        </w:rPr>
        <w:t xml:space="preserve">Details of </w:t>
      </w:r>
      <w:r w:rsidR="00160E7C" w:rsidRPr="000E651D">
        <w:rPr>
          <w:sz w:val="22"/>
          <w:szCs w:val="22"/>
        </w:rPr>
        <w:t>the</w:t>
      </w:r>
      <w:r w:rsidR="002B2D00" w:rsidRPr="000E651D">
        <w:rPr>
          <w:sz w:val="22"/>
          <w:szCs w:val="22"/>
        </w:rPr>
        <w:t xml:space="preserve"> Amendment</w:t>
      </w:r>
      <w:r w:rsidR="00160E7C" w:rsidRPr="000E651D">
        <w:rPr>
          <w:sz w:val="22"/>
          <w:szCs w:val="22"/>
        </w:rPr>
        <w:t xml:space="preserve"> Order</w:t>
      </w:r>
      <w:r w:rsidR="00761E3C" w:rsidRPr="000E651D">
        <w:rPr>
          <w:sz w:val="22"/>
          <w:szCs w:val="22"/>
        </w:rPr>
        <w:t xml:space="preserve"> </w:t>
      </w:r>
      <w:r w:rsidRPr="000E651D">
        <w:rPr>
          <w:sz w:val="22"/>
          <w:szCs w:val="22"/>
        </w:rPr>
        <w:t xml:space="preserve">are set out in </w:t>
      </w:r>
      <w:r w:rsidRPr="000E651D">
        <w:rPr>
          <w:b/>
          <w:sz w:val="22"/>
          <w:szCs w:val="22"/>
        </w:rPr>
        <w:t>Attachment A</w:t>
      </w:r>
      <w:r w:rsidRPr="000E651D">
        <w:rPr>
          <w:sz w:val="22"/>
          <w:szCs w:val="22"/>
        </w:rPr>
        <w:t>.</w:t>
      </w:r>
    </w:p>
    <w:p w14:paraId="65E06BCB" w14:textId="77777777" w:rsidR="00001418" w:rsidRPr="000E651D" w:rsidRDefault="00001418" w:rsidP="00001418">
      <w:pPr>
        <w:rPr>
          <w:sz w:val="22"/>
          <w:szCs w:val="22"/>
        </w:rPr>
      </w:pPr>
    </w:p>
    <w:p w14:paraId="75468A99" w14:textId="32334C6A" w:rsidR="006348D2" w:rsidRPr="000E651D" w:rsidRDefault="00160E7C" w:rsidP="00001418">
      <w:pPr>
        <w:rPr>
          <w:sz w:val="22"/>
          <w:szCs w:val="22"/>
        </w:rPr>
      </w:pPr>
      <w:r w:rsidRPr="000E651D">
        <w:rPr>
          <w:sz w:val="22"/>
          <w:szCs w:val="22"/>
        </w:rPr>
        <w:t xml:space="preserve">The </w:t>
      </w:r>
      <w:r w:rsidR="002B2D00" w:rsidRPr="000E651D">
        <w:rPr>
          <w:sz w:val="22"/>
          <w:szCs w:val="22"/>
        </w:rPr>
        <w:t xml:space="preserve">Amendment </w:t>
      </w:r>
      <w:r w:rsidRPr="000E651D">
        <w:rPr>
          <w:sz w:val="22"/>
          <w:szCs w:val="22"/>
        </w:rPr>
        <w:t>Order</w:t>
      </w:r>
      <w:r w:rsidR="006348D2" w:rsidRPr="000E651D">
        <w:rPr>
          <w:sz w:val="22"/>
          <w:szCs w:val="22"/>
        </w:rPr>
        <w:t xml:space="preserve"> is compatible with the human rights and freedoms recognised or declared under section 3 of the </w:t>
      </w:r>
      <w:r w:rsidR="006348D2" w:rsidRPr="000E651D">
        <w:rPr>
          <w:i/>
          <w:sz w:val="22"/>
          <w:szCs w:val="22"/>
        </w:rPr>
        <w:t>Human Rights (Parliamentary Scrutiny) Act 2011</w:t>
      </w:r>
      <w:r w:rsidR="006348D2" w:rsidRPr="000E651D">
        <w:rPr>
          <w:sz w:val="22"/>
          <w:szCs w:val="22"/>
        </w:rPr>
        <w:t>.</w:t>
      </w:r>
      <w:r w:rsidR="005A3A17" w:rsidRPr="000E651D">
        <w:rPr>
          <w:sz w:val="22"/>
          <w:szCs w:val="22"/>
        </w:rPr>
        <w:t xml:space="preserve"> </w:t>
      </w:r>
      <w:r w:rsidR="006348D2" w:rsidRPr="000E651D">
        <w:rPr>
          <w:sz w:val="22"/>
          <w:szCs w:val="22"/>
        </w:rPr>
        <w:t xml:space="preserve">A full statement of compatibility is set out in </w:t>
      </w:r>
      <w:r w:rsidR="006348D2" w:rsidRPr="000E651D">
        <w:rPr>
          <w:b/>
          <w:sz w:val="22"/>
          <w:szCs w:val="22"/>
        </w:rPr>
        <w:t>Attachment B</w:t>
      </w:r>
      <w:r w:rsidR="006348D2" w:rsidRPr="000E651D">
        <w:rPr>
          <w:sz w:val="22"/>
          <w:szCs w:val="22"/>
        </w:rPr>
        <w:t>.</w:t>
      </w:r>
    </w:p>
    <w:p w14:paraId="760D5C4D" w14:textId="77777777" w:rsidR="00001418" w:rsidRPr="000E651D" w:rsidRDefault="00001418" w:rsidP="00001418">
      <w:pPr>
        <w:rPr>
          <w:sz w:val="22"/>
          <w:szCs w:val="22"/>
        </w:rPr>
      </w:pPr>
    </w:p>
    <w:p w14:paraId="1651F3E7" w14:textId="418A36FD" w:rsidR="00001418" w:rsidRPr="000E651D" w:rsidRDefault="006348D2" w:rsidP="00001418">
      <w:pPr>
        <w:rPr>
          <w:sz w:val="22"/>
          <w:szCs w:val="22"/>
        </w:rPr>
      </w:pPr>
      <w:r w:rsidRPr="000E651D">
        <w:rPr>
          <w:sz w:val="22"/>
          <w:szCs w:val="22"/>
        </w:rPr>
        <w:t>Th</w:t>
      </w:r>
      <w:r w:rsidR="00AC4EFB" w:rsidRPr="000E651D">
        <w:rPr>
          <w:sz w:val="22"/>
          <w:szCs w:val="22"/>
        </w:rPr>
        <w:t>e</w:t>
      </w:r>
      <w:r w:rsidRPr="000E651D">
        <w:rPr>
          <w:sz w:val="22"/>
          <w:szCs w:val="22"/>
        </w:rPr>
        <w:t xml:space="preserve"> </w:t>
      </w:r>
      <w:r w:rsidR="005A3A17" w:rsidRPr="000E651D">
        <w:rPr>
          <w:sz w:val="22"/>
          <w:szCs w:val="22"/>
        </w:rPr>
        <w:t xml:space="preserve">Amendment </w:t>
      </w:r>
      <w:r w:rsidRPr="000E651D">
        <w:rPr>
          <w:sz w:val="22"/>
          <w:szCs w:val="22"/>
        </w:rPr>
        <w:t xml:space="preserve">Order is a disallowable legislative instrument and commences on </w:t>
      </w:r>
      <w:r w:rsidR="006B1B59" w:rsidRPr="000E651D">
        <w:rPr>
          <w:sz w:val="22"/>
          <w:szCs w:val="22"/>
        </w:rPr>
        <w:t xml:space="preserve">the day after </w:t>
      </w:r>
      <w:r w:rsidR="00413A6D" w:rsidRPr="000E651D">
        <w:rPr>
          <w:sz w:val="22"/>
          <w:szCs w:val="22"/>
        </w:rPr>
        <w:t xml:space="preserve">it </w:t>
      </w:r>
      <w:r w:rsidR="006B1B59" w:rsidRPr="000E651D">
        <w:rPr>
          <w:sz w:val="22"/>
          <w:szCs w:val="22"/>
        </w:rPr>
        <w:t>is registered</w:t>
      </w:r>
      <w:r w:rsidR="00100319" w:rsidRPr="000E651D">
        <w:rPr>
          <w:sz w:val="22"/>
          <w:szCs w:val="22"/>
        </w:rPr>
        <w:t xml:space="preserve"> on the Federal Register of Legislation</w:t>
      </w:r>
      <w:r w:rsidR="00E86392" w:rsidRPr="000E651D">
        <w:rPr>
          <w:sz w:val="22"/>
          <w:szCs w:val="22"/>
        </w:rPr>
        <w:t>.</w:t>
      </w:r>
    </w:p>
    <w:p w14:paraId="695CF2C4" w14:textId="77777777" w:rsidR="004618D4" w:rsidRPr="000E651D" w:rsidRDefault="004618D4" w:rsidP="00DB0E8D">
      <w:pPr>
        <w:pStyle w:val="Heading3"/>
        <w:spacing w:before="120" w:after="240"/>
        <w:jc w:val="right"/>
        <w:rPr>
          <w:rFonts w:ascii="Times New Roman" w:hAnsi="Times New Roman" w:cs="Times New Roman"/>
          <w:sz w:val="22"/>
          <w:szCs w:val="22"/>
        </w:rPr>
      </w:pPr>
      <w:r w:rsidRPr="000E651D">
        <w:rPr>
          <w:rFonts w:ascii="Times New Roman" w:hAnsi="Times New Roman" w:cs="Times New Roman"/>
          <w:sz w:val="22"/>
          <w:szCs w:val="22"/>
        </w:rPr>
        <w:br w:type="page"/>
      </w:r>
      <w:r w:rsidR="00DB0E8D" w:rsidRPr="000E651D">
        <w:rPr>
          <w:rFonts w:ascii="Times New Roman" w:hAnsi="Times New Roman" w:cs="Times New Roman"/>
          <w:sz w:val="22"/>
          <w:szCs w:val="22"/>
        </w:rPr>
        <w:t>A</w:t>
      </w:r>
      <w:r w:rsidR="00137A8B" w:rsidRPr="000E651D">
        <w:rPr>
          <w:rFonts w:ascii="Times New Roman" w:hAnsi="Times New Roman" w:cs="Times New Roman"/>
          <w:sz w:val="22"/>
          <w:szCs w:val="22"/>
        </w:rPr>
        <w:t xml:space="preserve">ttachment </w:t>
      </w:r>
      <w:r w:rsidR="00C26FC5" w:rsidRPr="000E651D">
        <w:rPr>
          <w:rFonts w:ascii="Times New Roman" w:hAnsi="Times New Roman" w:cs="Times New Roman"/>
          <w:sz w:val="22"/>
          <w:szCs w:val="22"/>
        </w:rPr>
        <w:t>A</w:t>
      </w:r>
    </w:p>
    <w:p w14:paraId="281FA4E6" w14:textId="04FA5A96" w:rsidR="00DB0E8D" w:rsidRPr="000E651D" w:rsidRDefault="00DB0E8D" w:rsidP="002707F1">
      <w:pPr>
        <w:rPr>
          <w:b/>
          <w:i/>
          <w:sz w:val="22"/>
          <w:szCs w:val="22"/>
        </w:rPr>
      </w:pPr>
      <w:bookmarkStart w:id="1" w:name="_Toc199566624"/>
      <w:r w:rsidRPr="000E651D">
        <w:rPr>
          <w:b/>
          <w:sz w:val="22"/>
          <w:szCs w:val="22"/>
        </w:rPr>
        <w:t>Details of</w:t>
      </w:r>
      <w:r w:rsidR="00445258" w:rsidRPr="000E651D">
        <w:rPr>
          <w:b/>
          <w:sz w:val="22"/>
          <w:szCs w:val="22"/>
        </w:rPr>
        <w:t xml:space="preserve"> the</w:t>
      </w:r>
      <w:r w:rsidRPr="000E651D">
        <w:rPr>
          <w:b/>
          <w:sz w:val="22"/>
          <w:szCs w:val="22"/>
        </w:rPr>
        <w:t xml:space="preserve"> </w:t>
      </w:r>
      <w:r w:rsidR="009A5F97" w:rsidRPr="000E651D">
        <w:rPr>
          <w:b/>
          <w:i/>
          <w:sz w:val="22"/>
          <w:szCs w:val="22"/>
        </w:rPr>
        <w:t>Therapeutic Goods (Standard for Disinfectants a</w:t>
      </w:r>
      <w:r w:rsidR="00B06A8E" w:rsidRPr="000E651D">
        <w:rPr>
          <w:b/>
          <w:i/>
          <w:sz w:val="22"/>
          <w:szCs w:val="22"/>
        </w:rPr>
        <w:t xml:space="preserve">nd Sanitary Products) </w:t>
      </w:r>
      <w:r w:rsidR="00E86392" w:rsidRPr="000E651D">
        <w:rPr>
          <w:b/>
          <w:i/>
          <w:sz w:val="22"/>
          <w:szCs w:val="22"/>
        </w:rPr>
        <w:t xml:space="preserve">(TGO 104) </w:t>
      </w:r>
      <w:r w:rsidR="00B11B72" w:rsidRPr="000E651D">
        <w:rPr>
          <w:b/>
          <w:i/>
          <w:sz w:val="22"/>
          <w:szCs w:val="22"/>
        </w:rPr>
        <w:t xml:space="preserve">Amendment </w:t>
      </w:r>
      <w:r w:rsidR="00B06A8E" w:rsidRPr="000E651D">
        <w:rPr>
          <w:b/>
          <w:i/>
          <w:sz w:val="22"/>
          <w:szCs w:val="22"/>
        </w:rPr>
        <w:t>Order 202</w:t>
      </w:r>
      <w:r w:rsidR="000D766B" w:rsidRPr="000E651D">
        <w:rPr>
          <w:b/>
          <w:i/>
          <w:sz w:val="22"/>
          <w:szCs w:val="22"/>
        </w:rPr>
        <w:t>5</w:t>
      </w:r>
    </w:p>
    <w:p w14:paraId="6105CA31" w14:textId="77777777" w:rsidR="00D71897" w:rsidRPr="000E651D" w:rsidRDefault="004618D4" w:rsidP="0058797D">
      <w:pPr>
        <w:autoSpaceDE w:val="0"/>
        <w:autoSpaceDN w:val="0"/>
        <w:adjustRightInd w:val="0"/>
        <w:spacing w:before="240"/>
        <w:outlineLvl w:val="1"/>
        <w:rPr>
          <w:sz w:val="22"/>
          <w:szCs w:val="22"/>
        </w:rPr>
      </w:pPr>
      <w:r w:rsidRPr="000E651D">
        <w:rPr>
          <w:b/>
          <w:sz w:val="22"/>
          <w:szCs w:val="22"/>
        </w:rPr>
        <w:t xml:space="preserve">Section </w:t>
      </w:r>
      <w:proofErr w:type="gramStart"/>
      <w:r w:rsidRPr="000E651D">
        <w:rPr>
          <w:b/>
          <w:sz w:val="22"/>
          <w:szCs w:val="22"/>
        </w:rPr>
        <w:t>1</w:t>
      </w:r>
      <w:r w:rsidRPr="000E651D">
        <w:rPr>
          <w:sz w:val="22"/>
          <w:szCs w:val="22"/>
        </w:rPr>
        <w:t xml:space="preserve"> </w:t>
      </w:r>
      <w:r w:rsidR="00445258" w:rsidRPr="000E651D">
        <w:rPr>
          <w:sz w:val="22"/>
          <w:szCs w:val="22"/>
        </w:rPr>
        <w:t xml:space="preserve"> </w:t>
      </w:r>
      <w:r w:rsidR="00D71897" w:rsidRPr="000E651D">
        <w:rPr>
          <w:b/>
          <w:sz w:val="22"/>
          <w:szCs w:val="22"/>
        </w:rPr>
        <w:t>Name</w:t>
      </w:r>
      <w:proofErr w:type="gramEnd"/>
    </w:p>
    <w:p w14:paraId="362AB44F" w14:textId="00D267F1" w:rsidR="002707F1" w:rsidRPr="000E651D" w:rsidRDefault="00D71897" w:rsidP="0058797D">
      <w:pPr>
        <w:spacing w:before="240"/>
        <w:rPr>
          <w:bCs/>
          <w:sz w:val="22"/>
          <w:szCs w:val="22"/>
        </w:rPr>
      </w:pPr>
      <w:r w:rsidRPr="000E651D">
        <w:rPr>
          <w:sz w:val="22"/>
          <w:szCs w:val="22"/>
        </w:rPr>
        <w:t>This section provides</w:t>
      </w:r>
      <w:r w:rsidR="004618D4" w:rsidRPr="000E651D">
        <w:rPr>
          <w:sz w:val="22"/>
          <w:szCs w:val="22"/>
        </w:rPr>
        <w:t xml:space="preserve"> that the name of th</w:t>
      </w:r>
      <w:r w:rsidR="00360C4E" w:rsidRPr="000E651D">
        <w:rPr>
          <w:sz w:val="22"/>
          <w:szCs w:val="22"/>
        </w:rPr>
        <w:t xml:space="preserve">e </w:t>
      </w:r>
      <w:r w:rsidR="00FE1BB2" w:rsidRPr="000E651D">
        <w:rPr>
          <w:sz w:val="22"/>
          <w:szCs w:val="22"/>
        </w:rPr>
        <w:t>instrument</w:t>
      </w:r>
      <w:r w:rsidR="004618D4" w:rsidRPr="000E651D">
        <w:rPr>
          <w:sz w:val="22"/>
          <w:szCs w:val="22"/>
        </w:rPr>
        <w:t xml:space="preserve"> is </w:t>
      </w:r>
      <w:bookmarkEnd w:id="1"/>
      <w:r w:rsidR="00445258" w:rsidRPr="000E651D">
        <w:rPr>
          <w:sz w:val="22"/>
          <w:szCs w:val="22"/>
        </w:rPr>
        <w:t xml:space="preserve">the </w:t>
      </w:r>
      <w:r w:rsidR="009A5F97" w:rsidRPr="000E651D">
        <w:rPr>
          <w:i/>
          <w:sz w:val="22"/>
          <w:szCs w:val="22"/>
        </w:rPr>
        <w:t>Therapeutic Goods (Standard for Disinfectants and Sanitary Products)</w:t>
      </w:r>
      <w:r w:rsidR="00E86392" w:rsidRPr="000E651D">
        <w:rPr>
          <w:i/>
          <w:sz w:val="22"/>
          <w:szCs w:val="22"/>
        </w:rPr>
        <w:t xml:space="preserve"> (TGO 104)</w:t>
      </w:r>
      <w:r w:rsidR="009A5F97" w:rsidRPr="000E651D">
        <w:rPr>
          <w:i/>
          <w:sz w:val="22"/>
          <w:szCs w:val="22"/>
        </w:rPr>
        <w:t xml:space="preserve"> </w:t>
      </w:r>
      <w:r w:rsidR="00B11B72" w:rsidRPr="000E651D">
        <w:rPr>
          <w:i/>
          <w:sz w:val="22"/>
          <w:szCs w:val="22"/>
        </w:rPr>
        <w:t>Amendment</w:t>
      </w:r>
      <w:r w:rsidR="003A3D1C" w:rsidRPr="000E651D">
        <w:rPr>
          <w:i/>
          <w:sz w:val="22"/>
          <w:szCs w:val="22"/>
        </w:rPr>
        <w:t xml:space="preserve"> </w:t>
      </w:r>
      <w:r w:rsidR="009A5F97" w:rsidRPr="000E651D">
        <w:rPr>
          <w:i/>
          <w:sz w:val="22"/>
          <w:szCs w:val="22"/>
        </w:rPr>
        <w:t>Order 20</w:t>
      </w:r>
      <w:r w:rsidR="00B06A8E" w:rsidRPr="000E651D">
        <w:rPr>
          <w:i/>
          <w:sz w:val="22"/>
          <w:szCs w:val="22"/>
        </w:rPr>
        <w:t>2</w:t>
      </w:r>
      <w:r w:rsidR="00FF1FDB" w:rsidRPr="000E651D">
        <w:rPr>
          <w:i/>
          <w:sz w:val="22"/>
          <w:szCs w:val="22"/>
        </w:rPr>
        <w:t>5</w:t>
      </w:r>
      <w:r w:rsidR="00F1557B" w:rsidRPr="000E651D">
        <w:rPr>
          <w:i/>
          <w:sz w:val="22"/>
          <w:szCs w:val="22"/>
        </w:rPr>
        <w:t xml:space="preserve"> </w:t>
      </w:r>
      <w:r w:rsidR="00F1557B" w:rsidRPr="000E651D">
        <w:rPr>
          <w:sz w:val="22"/>
          <w:szCs w:val="22"/>
        </w:rPr>
        <w:t>(the Amendment Order)</w:t>
      </w:r>
      <w:r w:rsidR="00E97F47" w:rsidRPr="000E651D">
        <w:rPr>
          <w:sz w:val="22"/>
          <w:szCs w:val="22"/>
        </w:rPr>
        <w:t>.</w:t>
      </w:r>
    </w:p>
    <w:p w14:paraId="1F5413DE" w14:textId="77777777" w:rsidR="00D71897" w:rsidRPr="000E651D" w:rsidRDefault="004618D4" w:rsidP="0058797D">
      <w:pPr>
        <w:tabs>
          <w:tab w:val="left" w:pos="851"/>
        </w:tabs>
        <w:spacing w:before="240"/>
        <w:outlineLvl w:val="0"/>
        <w:rPr>
          <w:sz w:val="22"/>
          <w:szCs w:val="22"/>
        </w:rPr>
      </w:pPr>
      <w:bookmarkStart w:id="2" w:name="_Toc199566625"/>
      <w:r w:rsidRPr="000E651D">
        <w:rPr>
          <w:b/>
          <w:sz w:val="22"/>
          <w:szCs w:val="22"/>
        </w:rPr>
        <w:t xml:space="preserve">Section </w:t>
      </w:r>
      <w:proofErr w:type="gramStart"/>
      <w:r w:rsidRPr="000E651D">
        <w:rPr>
          <w:b/>
          <w:sz w:val="22"/>
          <w:szCs w:val="22"/>
        </w:rPr>
        <w:t xml:space="preserve">2 </w:t>
      </w:r>
      <w:r w:rsidR="00445258" w:rsidRPr="000E651D">
        <w:rPr>
          <w:b/>
          <w:sz w:val="22"/>
          <w:szCs w:val="22"/>
        </w:rPr>
        <w:t xml:space="preserve"> </w:t>
      </w:r>
      <w:r w:rsidR="00D71897" w:rsidRPr="000E651D">
        <w:rPr>
          <w:b/>
          <w:sz w:val="22"/>
          <w:szCs w:val="22"/>
        </w:rPr>
        <w:t>Commencement</w:t>
      </w:r>
      <w:proofErr w:type="gramEnd"/>
    </w:p>
    <w:p w14:paraId="778AE4F7" w14:textId="032035FD" w:rsidR="004618D4" w:rsidRPr="000E651D" w:rsidRDefault="00D71897" w:rsidP="0058797D">
      <w:pPr>
        <w:tabs>
          <w:tab w:val="left" w:pos="851"/>
        </w:tabs>
        <w:spacing w:before="240"/>
        <w:outlineLvl w:val="0"/>
        <w:rPr>
          <w:sz w:val="22"/>
          <w:szCs w:val="22"/>
        </w:rPr>
      </w:pPr>
      <w:r w:rsidRPr="000E651D">
        <w:rPr>
          <w:sz w:val="22"/>
          <w:szCs w:val="22"/>
        </w:rPr>
        <w:t>This section provides</w:t>
      </w:r>
      <w:r w:rsidR="004618D4" w:rsidRPr="000E651D">
        <w:rPr>
          <w:sz w:val="22"/>
          <w:szCs w:val="22"/>
        </w:rPr>
        <w:t xml:space="preserve"> that</w:t>
      </w:r>
      <w:bookmarkEnd w:id="2"/>
      <w:r w:rsidR="0088424C" w:rsidRPr="000E651D">
        <w:rPr>
          <w:sz w:val="22"/>
          <w:szCs w:val="22"/>
        </w:rPr>
        <w:t xml:space="preserve"> th</w:t>
      </w:r>
      <w:r w:rsidR="00360C4E" w:rsidRPr="000E651D">
        <w:rPr>
          <w:sz w:val="22"/>
          <w:szCs w:val="22"/>
        </w:rPr>
        <w:t>e Amendment</w:t>
      </w:r>
      <w:r w:rsidR="0088424C" w:rsidRPr="000E651D">
        <w:rPr>
          <w:sz w:val="22"/>
          <w:szCs w:val="22"/>
        </w:rPr>
        <w:t xml:space="preserve"> Order commences on</w:t>
      </w:r>
      <w:r w:rsidR="00FF1FDB" w:rsidRPr="000E651D">
        <w:rPr>
          <w:sz w:val="22"/>
          <w:szCs w:val="22"/>
        </w:rPr>
        <w:t xml:space="preserve"> the day after </w:t>
      </w:r>
      <w:r w:rsidR="00413A6D" w:rsidRPr="000E651D">
        <w:rPr>
          <w:sz w:val="22"/>
          <w:szCs w:val="22"/>
        </w:rPr>
        <w:t>it</w:t>
      </w:r>
      <w:r w:rsidR="00FF1FDB" w:rsidRPr="000E651D">
        <w:rPr>
          <w:sz w:val="22"/>
          <w:szCs w:val="22"/>
        </w:rPr>
        <w:t xml:space="preserve"> </w:t>
      </w:r>
      <w:r w:rsidR="00944FE7" w:rsidRPr="000E651D">
        <w:rPr>
          <w:sz w:val="22"/>
          <w:szCs w:val="22"/>
        </w:rPr>
        <w:t>is registered</w:t>
      </w:r>
      <w:r w:rsidR="00100319" w:rsidRPr="000E651D">
        <w:rPr>
          <w:sz w:val="22"/>
          <w:szCs w:val="22"/>
        </w:rPr>
        <w:t xml:space="preserve"> on the F</w:t>
      </w:r>
      <w:r w:rsidR="00413A6D" w:rsidRPr="000E651D">
        <w:rPr>
          <w:sz w:val="22"/>
          <w:szCs w:val="22"/>
        </w:rPr>
        <w:t>ederal Register of Legislation</w:t>
      </w:r>
      <w:r w:rsidR="00E86392" w:rsidRPr="000E651D">
        <w:rPr>
          <w:sz w:val="22"/>
          <w:szCs w:val="22"/>
        </w:rPr>
        <w:t>.</w:t>
      </w:r>
    </w:p>
    <w:p w14:paraId="267ED636" w14:textId="77777777" w:rsidR="004618D4" w:rsidRPr="000E651D" w:rsidRDefault="004618D4" w:rsidP="0058797D">
      <w:pPr>
        <w:tabs>
          <w:tab w:val="left" w:pos="851"/>
        </w:tabs>
        <w:spacing w:before="240"/>
        <w:outlineLvl w:val="0"/>
        <w:rPr>
          <w:b/>
          <w:sz w:val="22"/>
          <w:szCs w:val="22"/>
        </w:rPr>
      </w:pPr>
      <w:bookmarkStart w:id="3" w:name="_Toc199566627"/>
      <w:r w:rsidRPr="000E651D">
        <w:rPr>
          <w:b/>
          <w:sz w:val="22"/>
          <w:szCs w:val="22"/>
        </w:rPr>
        <w:t xml:space="preserve">Section </w:t>
      </w:r>
      <w:proofErr w:type="gramStart"/>
      <w:r w:rsidRPr="000E651D">
        <w:rPr>
          <w:b/>
          <w:sz w:val="22"/>
          <w:szCs w:val="22"/>
        </w:rPr>
        <w:t>3</w:t>
      </w:r>
      <w:bookmarkEnd w:id="3"/>
      <w:r w:rsidR="00D71897" w:rsidRPr="000E651D">
        <w:rPr>
          <w:sz w:val="22"/>
          <w:szCs w:val="22"/>
        </w:rPr>
        <w:t xml:space="preserve"> </w:t>
      </w:r>
      <w:r w:rsidR="00445258" w:rsidRPr="000E651D">
        <w:rPr>
          <w:sz w:val="22"/>
          <w:szCs w:val="22"/>
        </w:rPr>
        <w:t xml:space="preserve"> </w:t>
      </w:r>
      <w:r w:rsidR="00D71897" w:rsidRPr="000E651D">
        <w:rPr>
          <w:b/>
          <w:sz w:val="22"/>
          <w:szCs w:val="22"/>
        </w:rPr>
        <w:t>Authority</w:t>
      </w:r>
      <w:proofErr w:type="gramEnd"/>
    </w:p>
    <w:p w14:paraId="6AECA078" w14:textId="112A11E8" w:rsidR="00D71897" w:rsidRPr="000E651D" w:rsidRDefault="00D71897" w:rsidP="0058797D">
      <w:pPr>
        <w:tabs>
          <w:tab w:val="left" w:pos="851"/>
        </w:tabs>
        <w:spacing w:before="240"/>
        <w:outlineLvl w:val="0"/>
        <w:rPr>
          <w:sz w:val="22"/>
          <w:szCs w:val="22"/>
        </w:rPr>
      </w:pPr>
      <w:r w:rsidRPr="000E651D">
        <w:rPr>
          <w:sz w:val="22"/>
          <w:szCs w:val="22"/>
        </w:rPr>
        <w:t xml:space="preserve">This section provides that the legislative authority for making the </w:t>
      </w:r>
      <w:r w:rsidR="00360C4E" w:rsidRPr="000E651D">
        <w:rPr>
          <w:sz w:val="22"/>
          <w:szCs w:val="22"/>
        </w:rPr>
        <w:t xml:space="preserve">Amendment </w:t>
      </w:r>
      <w:r w:rsidRPr="000E651D">
        <w:rPr>
          <w:sz w:val="22"/>
          <w:szCs w:val="22"/>
        </w:rPr>
        <w:t xml:space="preserve">Order is section 10 of the </w:t>
      </w:r>
      <w:r w:rsidRPr="000E651D">
        <w:rPr>
          <w:i/>
          <w:sz w:val="22"/>
          <w:szCs w:val="22"/>
        </w:rPr>
        <w:t>Therapeutic Goods Act 1989</w:t>
      </w:r>
      <w:r w:rsidR="00FE1BB2" w:rsidRPr="000E651D">
        <w:rPr>
          <w:i/>
          <w:sz w:val="22"/>
          <w:szCs w:val="22"/>
        </w:rPr>
        <w:t xml:space="preserve"> </w:t>
      </w:r>
      <w:r w:rsidR="00FE1BB2" w:rsidRPr="000E651D">
        <w:rPr>
          <w:sz w:val="22"/>
          <w:szCs w:val="22"/>
        </w:rPr>
        <w:t>(the Act)</w:t>
      </w:r>
      <w:r w:rsidRPr="000E651D">
        <w:rPr>
          <w:sz w:val="22"/>
          <w:szCs w:val="22"/>
        </w:rPr>
        <w:t>.</w:t>
      </w:r>
      <w:r w:rsidR="005A3A17" w:rsidRPr="000E651D">
        <w:rPr>
          <w:sz w:val="22"/>
          <w:szCs w:val="22"/>
        </w:rPr>
        <w:t xml:space="preserve"> </w:t>
      </w:r>
      <w:r w:rsidR="00B06A8E" w:rsidRPr="000E651D">
        <w:rPr>
          <w:sz w:val="22"/>
          <w:szCs w:val="22"/>
        </w:rPr>
        <w:t>Specifically, subsection 10(3A) of the Act provides that the Minister may, by legislative instrument, vary or revoke an order made under subsection 10(1) of the Act.</w:t>
      </w:r>
    </w:p>
    <w:p w14:paraId="12D5070B" w14:textId="77777777" w:rsidR="00D71897" w:rsidRPr="000E651D" w:rsidRDefault="004618D4" w:rsidP="0058797D">
      <w:pPr>
        <w:tabs>
          <w:tab w:val="left" w:pos="851"/>
        </w:tabs>
        <w:spacing w:before="240"/>
        <w:outlineLvl w:val="0"/>
        <w:rPr>
          <w:sz w:val="22"/>
          <w:szCs w:val="22"/>
        </w:rPr>
      </w:pPr>
      <w:bookmarkStart w:id="4" w:name="_Toc199566628"/>
      <w:r w:rsidRPr="000E651D">
        <w:rPr>
          <w:b/>
          <w:sz w:val="22"/>
          <w:szCs w:val="22"/>
        </w:rPr>
        <w:t xml:space="preserve">Section </w:t>
      </w:r>
      <w:proofErr w:type="gramStart"/>
      <w:r w:rsidRPr="000E651D">
        <w:rPr>
          <w:b/>
          <w:sz w:val="22"/>
          <w:szCs w:val="22"/>
        </w:rPr>
        <w:t>4</w:t>
      </w:r>
      <w:r w:rsidRPr="000E651D">
        <w:rPr>
          <w:sz w:val="22"/>
          <w:szCs w:val="22"/>
        </w:rPr>
        <w:t xml:space="preserve"> </w:t>
      </w:r>
      <w:r w:rsidR="00445258" w:rsidRPr="000E651D">
        <w:rPr>
          <w:sz w:val="22"/>
          <w:szCs w:val="22"/>
        </w:rPr>
        <w:t xml:space="preserve"> </w:t>
      </w:r>
      <w:r w:rsidR="00360C4E" w:rsidRPr="000E651D">
        <w:rPr>
          <w:b/>
          <w:sz w:val="22"/>
          <w:szCs w:val="22"/>
        </w:rPr>
        <w:t>Schedules</w:t>
      </w:r>
      <w:proofErr w:type="gramEnd"/>
    </w:p>
    <w:p w14:paraId="117BF6C2" w14:textId="750750B4" w:rsidR="00137A8B" w:rsidRPr="000E651D" w:rsidRDefault="00DD29EE" w:rsidP="0058797D">
      <w:pPr>
        <w:pStyle w:val="Definition"/>
        <w:spacing w:before="240"/>
        <w:ind w:left="0"/>
      </w:pPr>
      <w:r w:rsidRPr="000E651D">
        <w:t xml:space="preserve">This section </w:t>
      </w:r>
      <w:r w:rsidR="002D1AFB" w:rsidRPr="000E651D">
        <w:t xml:space="preserve">provides </w:t>
      </w:r>
      <w:r w:rsidR="00360C4E" w:rsidRPr="000E651D">
        <w:t>that each instrument that is specified in a Schedule to the Amendment Order is amended or repealed, as set out in the applicable items in that Schedule. Any other item in a Schedule to the Amendment Order has effect according to its terms</w:t>
      </w:r>
      <w:r w:rsidR="00445258" w:rsidRPr="000E651D">
        <w:t>.</w:t>
      </w:r>
    </w:p>
    <w:p w14:paraId="5BB62812" w14:textId="77777777" w:rsidR="00137A8B" w:rsidRPr="000E651D" w:rsidRDefault="00137A8B" w:rsidP="0058797D">
      <w:pPr>
        <w:pStyle w:val="Definition"/>
        <w:spacing w:before="240"/>
        <w:ind w:left="0"/>
        <w:rPr>
          <w:b/>
        </w:rPr>
      </w:pPr>
      <w:r w:rsidRPr="000E651D">
        <w:rPr>
          <w:b/>
        </w:rPr>
        <w:t>S</w:t>
      </w:r>
      <w:r w:rsidR="00360C4E" w:rsidRPr="000E651D">
        <w:rPr>
          <w:b/>
        </w:rPr>
        <w:t xml:space="preserve">chedule </w:t>
      </w:r>
      <w:proofErr w:type="gramStart"/>
      <w:r w:rsidR="00360C4E" w:rsidRPr="000E651D">
        <w:rPr>
          <w:b/>
        </w:rPr>
        <w:t>1</w:t>
      </w:r>
      <w:r w:rsidRPr="000E651D">
        <w:rPr>
          <w:b/>
        </w:rPr>
        <w:t xml:space="preserve"> </w:t>
      </w:r>
      <w:r w:rsidR="00445258" w:rsidRPr="000E651D">
        <w:rPr>
          <w:b/>
        </w:rPr>
        <w:t xml:space="preserve"> </w:t>
      </w:r>
      <w:r w:rsidR="00360C4E" w:rsidRPr="000E651D">
        <w:rPr>
          <w:b/>
        </w:rPr>
        <w:t>Amendments</w:t>
      </w:r>
      <w:proofErr w:type="gramEnd"/>
    </w:p>
    <w:bookmarkEnd w:id="4"/>
    <w:p w14:paraId="762C3232" w14:textId="69FAA974" w:rsidR="00FD4885" w:rsidRPr="000E651D" w:rsidRDefault="00190496" w:rsidP="0058797D">
      <w:pPr>
        <w:tabs>
          <w:tab w:val="left" w:pos="851"/>
        </w:tabs>
        <w:spacing w:before="240"/>
        <w:outlineLvl w:val="0"/>
        <w:rPr>
          <w:sz w:val="22"/>
          <w:szCs w:val="22"/>
        </w:rPr>
      </w:pPr>
      <w:r w:rsidRPr="000E651D">
        <w:rPr>
          <w:sz w:val="22"/>
          <w:szCs w:val="22"/>
        </w:rPr>
        <w:t>Schedule</w:t>
      </w:r>
      <w:r w:rsidR="0002263C" w:rsidRPr="000E651D">
        <w:rPr>
          <w:sz w:val="22"/>
          <w:szCs w:val="22"/>
        </w:rPr>
        <w:t xml:space="preserve"> 1 to the Amendment Order</w:t>
      </w:r>
      <w:r w:rsidRPr="000E651D">
        <w:rPr>
          <w:sz w:val="22"/>
          <w:szCs w:val="22"/>
        </w:rPr>
        <w:t xml:space="preserve"> </w:t>
      </w:r>
      <w:r w:rsidR="00F1557B" w:rsidRPr="000E651D">
        <w:rPr>
          <w:sz w:val="22"/>
          <w:szCs w:val="22"/>
        </w:rPr>
        <w:t>amends</w:t>
      </w:r>
      <w:r w:rsidRPr="000E651D">
        <w:rPr>
          <w:sz w:val="22"/>
          <w:szCs w:val="22"/>
        </w:rPr>
        <w:t xml:space="preserve"> the </w:t>
      </w:r>
      <w:r w:rsidR="00FD4885" w:rsidRPr="000E651D">
        <w:rPr>
          <w:i/>
          <w:sz w:val="22"/>
          <w:szCs w:val="22"/>
        </w:rPr>
        <w:t>Therapeutic Goods (Standard for Disinfectants and Sanitary Products) (TGO 104) Order 2019</w:t>
      </w:r>
      <w:r w:rsidR="00F1557B" w:rsidRPr="000E651D">
        <w:rPr>
          <w:i/>
          <w:sz w:val="22"/>
          <w:szCs w:val="22"/>
        </w:rPr>
        <w:t xml:space="preserve"> </w:t>
      </w:r>
      <w:r w:rsidR="00F1557B" w:rsidRPr="000E651D">
        <w:rPr>
          <w:sz w:val="22"/>
          <w:szCs w:val="22"/>
        </w:rPr>
        <w:t>(“the Principal Order”)</w:t>
      </w:r>
      <w:r w:rsidR="00FD4885" w:rsidRPr="000E651D">
        <w:rPr>
          <w:sz w:val="22"/>
          <w:szCs w:val="22"/>
        </w:rPr>
        <w:t>.</w:t>
      </w:r>
    </w:p>
    <w:p w14:paraId="5C2C139A" w14:textId="77777777" w:rsidR="007B358B" w:rsidRPr="000E651D" w:rsidRDefault="00B631BF" w:rsidP="0058797D">
      <w:pPr>
        <w:tabs>
          <w:tab w:val="left" w:pos="851"/>
        </w:tabs>
        <w:spacing w:before="240"/>
        <w:outlineLvl w:val="0"/>
        <w:rPr>
          <w:b/>
          <w:bCs/>
          <w:sz w:val="22"/>
          <w:szCs w:val="22"/>
        </w:rPr>
      </w:pPr>
      <w:r w:rsidRPr="000E651D">
        <w:rPr>
          <w:b/>
          <w:bCs/>
          <w:sz w:val="22"/>
          <w:szCs w:val="22"/>
        </w:rPr>
        <w:t xml:space="preserve">Item 1 – Section 4 (definition of </w:t>
      </w:r>
      <w:r w:rsidRPr="000E651D">
        <w:rPr>
          <w:b/>
          <w:bCs/>
          <w:i/>
          <w:iCs/>
          <w:sz w:val="22"/>
          <w:szCs w:val="22"/>
        </w:rPr>
        <w:t>Instructions</w:t>
      </w:r>
      <w:r w:rsidRPr="000E651D">
        <w:rPr>
          <w:b/>
          <w:bCs/>
          <w:sz w:val="22"/>
          <w:szCs w:val="22"/>
        </w:rPr>
        <w:t>)</w:t>
      </w:r>
      <w:r w:rsidR="00945A1D" w:rsidRPr="000E651D">
        <w:rPr>
          <w:b/>
          <w:bCs/>
          <w:sz w:val="22"/>
          <w:szCs w:val="22"/>
        </w:rPr>
        <w:t xml:space="preserve"> </w:t>
      </w:r>
    </w:p>
    <w:p w14:paraId="03F78AF1" w14:textId="1B148E39" w:rsidR="008C555F" w:rsidRPr="000E651D" w:rsidRDefault="00F1557B" w:rsidP="0058797D">
      <w:pPr>
        <w:tabs>
          <w:tab w:val="left" w:pos="851"/>
        </w:tabs>
        <w:spacing w:before="240"/>
        <w:outlineLvl w:val="0"/>
        <w:rPr>
          <w:sz w:val="22"/>
          <w:szCs w:val="22"/>
        </w:rPr>
      </w:pPr>
      <w:r w:rsidRPr="000E651D">
        <w:rPr>
          <w:sz w:val="22"/>
          <w:szCs w:val="22"/>
        </w:rPr>
        <w:t>Item 1</w:t>
      </w:r>
      <w:r w:rsidR="008C555F" w:rsidRPr="000E651D">
        <w:rPr>
          <w:sz w:val="22"/>
          <w:szCs w:val="22"/>
        </w:rPr>
        <w:t xml:space="preserve"> </w:t>
      </w:r>
      <w:r w:rsidRPr="000E651D">
        <w:rPr>
          <w:sz w:val="22"/>
          <w:szCs w:val="22"/>
        </w:rPr>
        <w:t>of Schedule 1 amend</w:t>
      </w:r>
      <w:r w:rsidR="00ED7DAB" w:rsidRPr="000E651D">
        <w:rPr>
          <w:sz w:val="22"/>
          <w:szCs w:val="22"/>
        </w:rPr>
        <w:t>s</w:t>
      </w:r>
      <w:r w:rsidRPr="000E651D">
        <w:rPr>
          <w:sz w:val="22"/>
          <w:szCs w:val="22"/>
        </w:rPr>
        <w:t xml:space="preserve"> section 4 of the </w:t>
      </w:r>
      <w:r w:rsidR="00FE1BB2" w:rsidRPr="000E651D">
        <w:rPr>
          <w:sz w:val="22"/>
          <w:szCs w:val="22"/>
        </w:rPr>
        <w:t xml:space="preserve">Principal Order to introduce a revised definition of ‘Instructions’. The revised definition incorporates the most recent version of the </w:t>
      </w:r>
      <w:r w:rsidR="00FE1BB2" w:rsidRPr="000E651D">
        <w:rPr>
          <w:i/>
          <w:sz w:val="22"/>
          <w:szCs w:val="22"/>
        </w:rPr>
        <w:t>TGA instructions for disinfectant testing</w:t>
      </w:r>
      <w:r w:rsidR="001C134C" w:rsidRPr="000E651D">
        <w:rPr>
          <w:i/>
          <w:sz w:val="22"/>
          <w:szCs w:val="22"/>
        </w:rPr>
        <w:t xml:space="preserve"> </w:t>
      </w:r>
      <w:r w:rsidR="001C134C" w:rsidRPr="000E651D">
        <w:rPr>
          <w:sz w:val="22"/>
          <w:szCs w:val="22"/>
        </w:rPr>
        <w:t>(</w:t>
      </w:r>
      <w:r w:rsidR="00B11B72" w:rsidRPr="000E651D">
        <w:rPr>
          <w:sz w:val="22"/>
          <w:szCs w:val="22"/>
        </w:rPr>
        <w:t>V</w:t>
      </w:r>
      <w:r w:rsidR="001C134C" w:rsidRPr="000E651D">
        <w:rPr>
          <w:sz w:val="22"/>
          <w:szCs w:val="22"/>
        </w:rPr>
        <w:t xml:space="preserve">ersion </w:t>
      </w:r>
      <w:r w:rsidR="00415A7C" w:rsidRPr="000E651D">
        <w:rPr>
          <w:sz w:val="22"/>
          <w:szCs w:val="22"/>
        </w:rPr>
        <w:t>4.0, August 2025</w:t>
      </w:r>
      <w:r w:rsidR="001C134C" w:rsidRPr="000E651D">
        <w:rPr>
          <w:sz w:val="22"/>
          <w:szCs w:val="22"/>
        </w:rPr>
        <w:t>)</w:t>
      </w:r>
      <w:r w:rsidR="00FE1BB2" w:rsidRPr="000E651D">
        <w:rPr>
          <w:sz w:val="22"/>
          <w:szCs w:val="22"/>
        </w:rPr>
        <w:t xml:space="preserve">, which </w:t>
      </w:r>
      <w:r w:rsidR="00034364" w:rsidRPr="000E651D">
        <w:rPr>
          <w:sz w:val="22"/>
          <w:szCs w:val="22"/>
        </w:rPr>
        <w:t xml:space="preserve">is </w:t>
      </w:r>
      <w:r w:rsidR="00FE1BB2" w:rsidRPr="000E651D">
        <w:rPr>
          <w:sz w:val="22"/>
          <w:szCs w:val="22"/>
        </w:rPr>
        <w:t xml:space="preserve">published on the </w:t>
      </w:r>
      <w:r w:rsidR="0002263C" w:rsidRPr="000E651D">
        <w:rPr>
          <w:sz w:val="22"/>
          <w:szCs w:val="22"/>
        </w:rPr>
        <w:t>TGA website.</w:t>
      </w:r>
      <w:r w:rsidR="008C555F" w:rsidRPr="000E651D">
        <w:rPr>
          <w:sz w:val="22"/>
          <w:szCs w:val="22"/>
        </w:rPr>
        <w:t xml:space="preserve"> The revised definition specifies that it refers to the document as in force or existing at</w:t>
      </w:r>
      <w:r w:rsidR="00E54CC8" w:rsidRPr="000E651D">
        <w:rPr>
          <w:sz w:val="22"/>
          <w:szCs w:val="22"/>
        </w:rPr>
        <w:t xml:space="preserve"> 11 </w:t>
      </w:r>
      <w:r w:rsidR="00415A7C" w:rsidRPr="000E651D">
        <w:rPr>
          <w:sz w:val="22"/>
          <w:szCs w:val="22"/>
        </w:rPr>
        <w:t>August 2025</w:t>
      </w:r>
      <w:r w:rsidR="008C555F" w:rsidRPr="000E651D">
        <w:rPr>
          <w:sz w:val="22"/>
          <w:szCs w:val="22"/>
        </w:rPr>
        <w:t>.</w:t>
      </w:r>
    </w:p>
    <w:p w14:paraId="025AB8CC" w14:textId="06849EBD" w:rsidR="00B631BF" w:rsidRPr="000E651D" w:rsidRDefault="00B631BF" w:rsidP="0058797D">
      <w:pPr>
        <w:tabs>
          <w:tab w:val="left" w:pos="851"/>
        </w:tabs>
        <w:spacing w:before="240"/>
        <w:outlineLvl w:val="0"/>
        <w:rPr>
          <w:sz w:val="22"/>
          <w:szCs w:val="22"/>
        </w:rPr>
      </w:pPr>
      <w:r w:rsidRPr="000E651D">
        <w:rPr>
          <w:b/>
          <w:bCs/>
          <w:sz w:val="22"/>
          <w:szCs w:val="22"/>
        </w:rPr>
        <w:t>Item 2 – Paragraphs 13(4)(a) and (b)</w:t>
      </w:r>
    </w:p>
    <w:p w14:paraId="22227DBB" w14:textId="58830C27" w:rsidR="00445B64" w:rsidRPr="000E651D" w:rsidRDefault="0089205E" w:rsidP="0058797D">
      <w:pPr>
        <w:tabs>
          <w:tab w:val="left" w:pos="851"/>
        </w:tabs>
        <w:spacing w:before="240"/>
        <w:outlineLvl w:val="0"/>
        <w:rPr>
          <w:sz w:val="22"/>
          <w:szCs w:val="22"/>
        </w:rPr>
      </w:pPr>
      <w:r w:rsidRPr="000E651D">
        <w:rPr>
          <w:sz w:val="22"/>
          <w:szCs w:val="22"/>
        </w:rPr>
        <w:t xml:space="preserve">Item 2 </w:t>
      </w:r>
      <w:r w:rsidR="00B631BF" w:rsidRPr="000E651D">
        <w:rPr>
          <w:sz w:val="22"/>
          <w:szCs w:val="22"/>
        </w:rPr>
        <w:t xml:space="preserve">repeals and replaces paragraphs 13(4)(a) and (b) with a new paragraph 13(4)(a), which effectively combines the tests in paragraphs 13(4)(a) and (b) and requires compliance with at least one. </w:t>
      </w:r>
    </w:p>
    <w:p w14:paraId="3D3AA590" w14:textId="067CC900" w:rsidR="003961E2" w:rsidRPr="000E651D" w:rsidRDefault="00B631BF" w:rsidP="0058797D">
      <w:pPr>
        <w:tabs>
          <w:tab w:val="left" w:pos="851"/>
        </w:tabs>
        <w:spacing w:before="240"/>
        <w:outlineLvl w:val="0"/>
        <w:rPr>
          <w:sz w:val="22"/>
          <w:szCs w:val="22"/>
        </w:rPr>
      </w:pPr>
      <w:r w:rsidRPr="000E651D">
        <w:rPr>
          <w:sz w:val="22"/>
          <w:szCs w:val="22"/>
        </w:rPr>
        <w:t>Specifically, t</w:t>
      </w:r>
      <w:r w:rsidR="00210712" w:rsidRPr="000E651D">
        <w:rPr>
          <w:sz w:val="22"/>
          <w:szCs w:val="22"/>
        </w:rPr>
        <w:t>h</w:t>
      </w:r>
      <w:r w:rsidR="00445B64" w:rsidRPr="000E651D">
        <w:rPr>
          <w:sz w:val="22"/>
          <w:szCs w:val="22"/>
        </w:rPr>
        <w:t>is</w:t>
      </w:r>
      <w:r w:rsidR="00210712" w:rsidRPr="000E651D">
        <w:rPr>
          <w:sz w:val="22"/>
          <w:szCs w:val="22"/>
        </w:rPr>
        <w:t xml:space="preserve"> </w:t>
      </w:r>
      <w:r w:rsidR="004238F7" w:rsidRPr="000E651D">
        <w:rPr>
          <w:sz w:val="22"/>
          <w:szCs w:val="22"/>
        </w:rPr>
        <w:t>amendment</w:t>
      </w:r>
      <w:r w:rsidR="00223251" w:rsidRPr="000E651D">
        <w:rPr>
          <w:sz w:val="22"/>
          <w:szCs w:val="22"/>
        </w:rPr>
        <w:t xml:space="preserve"> </w:t>
      </w:r>
      <w:r w:rsidR="00761986" w:rsidRPr="000E651D">
        <w:rPr>
          <w:sz w:val="22"/>
          <w:szCs w:val="22"/>
        </w:rPr>
        <w:t>has</w:t>
      </w:r>
      <w:r w:rsidR="001F24FB" w:rsidRPr="000E651D">
        <w:rPr>
          <w:sz w:val="22"/>
          <w:szCs w:val="22"/>
        </w:rPr>
        <w:t xml:space="preserve"> the </w:t>
      </w:r>
      <w:r w:rsidR="008667CF" w:rsidRPr="000E651D">
        <w:rPr>
          <w:sz w:val="22"/>
          <w:szCs w:val="22"/>
        </w:rPr>
        <w:t xml:space="preserve">effect </w:t>
      </w:r>
      <w:r w:rsidR="00761986" w:rsidRPr="000E651D">
        <w:rPr>
          <w:sz w:val="22"/>
          <w:szCs w:val="22"/>
        </w:rPr>
        <w:t xml:space="preserve">of </w:t>
      </w:r>
      <w:r w:rsidRPr="000E651D">
        <w:rPr>
          <w:sz w:val="22"/>
          <w:szCs w:val="22"/>
        </w:rPr>
        <w:t xml:space="preserve">requiring </w:t>
      </w:r>
      <w:r w:rsidR="00CE48D2" w:rsidRPr="000E651D">
        <w:rPr>
          <w:sz w:val="22"/>
          <w:szCs w:val="22"/>
        </w:rPr>
        <w:t xml:space="preserve">hospital grade disinfectants that are for single use only </w:t>
      </w:r>
      <w:r w:rsidR="00761986" w:rsidRPr="000E651D">
        <w:rPr>
          <w:sz w:val="22"/>
          <w:szCs w:val="22"/>
        </w:rPr>
        <w:t>to</w:t>
      </w:r>
      <w:r w:rsidR="00CE48D2" w:rsidRPr="000E651D">
        <w:rPr>
          <w:sz w:val="22"/>
          <w:szCs w:val="22"/>
        </w:rPr>
        <w:t xml:space="preserve"> </w:t>
      </w:r>
      <w:r w:rsidR="003961E2" w:rsidRPr="000E651D">
        <w:rPr>
          <w:sz w:val="22"/>
          <w:szCs w:val="22"/>
        </w:rPr>
        <w:t xml:space="preserve">pass </w:t>
      </w:r>
      <w:r w:rsidRPr="000E651D">
        <w:rPr>
          <w:sz w:val="22"/>
          <w:szCs w:val="22"/>
        </w:rPr>
        <w:t xml:space="preserve">one </w:t>
      </w:r>
      <w:r w:rsidR="003961E2" w:rsidRPr="000E651D">
        <w:rPr>
          <w:sz w:val="22"/>
          <w:szCs w:val="22"/>
        </w:rPr>
        <w:t xml:space="preserve">of the following </w:t>
      </w:r>
      <w:r w:rsidRPr="000E651D">
        <w:rPr>
          <w:sz w:val="22"/>
          <w:szCs w:val="22"/>
        </w:rPr>
        <w:t xml:space="preserve">three </w:t>
      </w:r>
      <w:r w:rsidR="003961E2" w:rsidRPr="000E651D">
        <w:rPr>
          <w:sz w:val="22"/>
          <w:szCs w:val="22"/>
        </w:rPr>
        <w:t xml:space="preserve">tests: </w:t>
      </w:r>
    </w:p>
    <w:p w14:paraId="6C277B99" w14:textId="0BF43EFC" w:rsidR="00141B8A" w:rsidRPr="000E651D" w:rsidRDefault="003961E2" w:rsidP="003961E2">
      <w:pPr>
        <w:pStyle w:val="ListParagraph"/>
        <w:numPr>
          <w:ilvl w:val="0"/>
          <w:numId w:val="29"/>
        </w:numPr>
        <w:tabs>
          <w:tab w:val="left" w:pos="851"/>
        </w:tabs>
        <w:spacing w:before="240"/>
        <w:outlineLvl w:val="0"/>
        <w:rPr>
          <w:sz w:val="22"/>
          <w:szCs w:val="22"/>
        </w:rPr>
      </w:pPr>
      <w:r w:rsidRPr="000E651D">
        <w:rPr>
          <w:sz w:val="22"/>
          <w:szCs w:val="22"/>
        </w:rPr>
        <w:t xml:space="preserve">the TGA Disinfectant Test under the conditions specified in Option A or Option B </w:t>
      </w:r>
      <w:r w:rsidR="00141B8A" w:rsidRPr="000E651D">
        <w:rPr>
          <w:sz w:val="22"/>
          <w:szCs w:val="22"/>
        </w:rPr>
        <w:t>of that test;</w:t>
      </w:r>
    </w:p>
    <w:p w14:paraId="606B4E13" w14:textId="6D6BA595" w:rsidR="00141B8A" w:rsidRPr="000E651D" w:rsidRDefault="00141B8A" w:rsidP="00141B8A">
      <w:pPr>
        <w:pStyle w:val="ListParagraph"/>
        <w:numPr>
          <w:ilvl w:val="0"/>
          <w:numId w:val="29"/>
        </w:numPr>
        <w:tabs>
          <w:tab w:val="left" w:pos="851"/>
        </w:tabs>
        <w:spacing w:before="240"/>
        <w:outlineLvl w:val="0"/>
        <w:rPr>
          <w:sz w:val="22"/>
          <w:szCs w:val="22"/>
        </w:rPr>
      </w:pPr>
      <w:r w:rsidRPr="000E651D">
        <w:rPr>
          <w:sz w:val="22"/>
          <w:szCs w:val="22"/>
        </w:rPr>
        <w:t>an appropriate test equivalent to the TGA Disinfectant Test as specified in Division 2 of Part 2 of the Instructions;</w:t>
      </w:r>
    </w:p>
    <w:p w14:paraId="3B565D38" w14:textId="0437DF07" w:rsidR="00141B8A" w:rsidRPr="000E651D" w:rsidRDefault="00141B8A" w:rsidP="00141B8A">
      <w:pPr>
        <w:pStyle w:val="ListParagraph"/>
        <w:numPr>
          <w:ilvl w:val="0"/>
          <w:numId w:val="29"/>
        </w:numPr>
        <w:tabs>
          <w:tab w:val="left" w:pos="851"/>
        </w:tabs>
        <w:spacing w:before="240"/>
        <w:outlineLvl w:val="0"/>
        <w:rPr>
          <w:sz w:val="22"/>
          <w:szCs w:val="22"/>
        </w:rPr>
      </w:pPr>
      <w:r w:rsidRPr="000E651D">
        <w:rPr>
          <w:sz w:val="22"/>
          <w:szCs w:val="22"/>
        </w:rPr>
        <w:t>an appropriate test for single</w:t>
      </w:r>
      <w:r w:rsidR="00460EEE" w:rsidRPr="000E651D">
        <w:rPr>
          <w:sz w:val="22"/>
          <w:szCs w:val="22"/>
        </w:rPr>
        <w:t xml:space="preserve"> or multiple use as specified in Division 2 of Part 2 of the Instructions.</w:t>
      </w:r>
    </w:p>
    <w:p w14:paraId="62B6C114" w14:textId="0173C811" w:rsidR="00D22CBE" w:rsidRPr="000E651D" w:rsidRDefault="004238F7" w:rsidP="00460EEE">
      <w:pPr>
        <w:tabs>
          <w:tab w:val="left" w:pos="851"/>
        </w:tabs>
        <w:spacing w:before="240"/>
        <w:outlineLvl w:val="0"/>
        <w:rPr>
          <w:sz w:val="22"/>
          <w:szCs w:val="22"/>
        </w:rPr>
      </w:pPr>
      <w:r w:rsidRPr="000E651D">
        <w:rPr>
          <w:sz w:val="22"/>
          <w:szCs w:val="22"/>
        </w:rPr>
        <w:t xml:space="preserve">This amendment ensures that the </w:t>
      </w:r>
      <w:r w:rsidR="00B90D2A" w:rsidRPr="000E651D">
        <w:rPr>
          <w:sz w:val="22"/>
          <w:szCs w:val="22"/>
        </w:rPr>
        <w:t xml:space="preserve">performance </w:t>
      </w:r>
      <w:r w:rsidR="00C36717" w:rsidRPr="000E651D">
        <w:rPr>
          <w:sz w:val="22"/>
          <w:szCs w:val="22"/>
        </w:rPr>
        <w:t xml:space="preserve">testing </w:t>
      </w:r>
      <w:r w:rsidR="00B90D2A" w:rsidRPr="000E651D">
        <w:rPr>
          <w:sz w:val="22"/>
          <w:szCs w:val="22"/>
        </w:rPr>
        <w:t>requirement</w:t>
      </w:r>
      <w:r w:rsidR="00C8088E" w:rsidRPr="000E651D">
        <w:rPr>
          <w:sz w:val="22"/>
          <w:szCs w:val="22"/>
        </w:rPr>
        <w:t>s</w:t>
      </w:r>
      <w:r w:rsidR="00B90D2A" w:rsidRPr="000E651D">
        <w:rPr>
          <w:sz w:val="22"/>
          <w:szCs w:val="22"/>
        </w:rPr>
        <w:t xml:space="preserve"> for hospital grade disinfectant wipes or sponges for single use</w:t>
      </w:r>
      <w:r w:rsidR="00DE3185" w:rsidRPr="000E651D">
        <w:rPr>
          <w:sz w:val="22"/>
          <w:szCs w:val="22"/>
        </w:rPr>
        <w:t xml:space="preserve"> </w:t>
      </w:r>
      <w:r w:rsidR="00563834" w:rsidRPr="000E651D">
        <w:rPr>
          <w:sz w:val="22"/>
          <w:szCs w:val="22"/>
        </w:rPr>
        <w:t>aligns</w:t>
      </w:r>
      <w:r w:rsidR="00DE3185" w:rsidRPr="000E651D">
        <w:rPr>
          <w:sz w:val="22"/>
          <w:szCs w:val="22"/>
        </w:rPr>
        <w:t xml:space="preserve"> with current testing practices.</w:t>
      </w:r>
      <w:r w:rsidR="00415A7C" w:rsidRPr="000E651D">
        <w:rPr>
          <w:sz w:val="22"/>
          <w:szCs w:val="22"/>
        </w:rPr>
        <w:t xml:space="preserve"> The amendment clarifies that the TGA Disinfectant Test (Option A or B), a test equivalent to the TGA Disinfectant Test, or an appropriate bactericidal carrier test are each, </w:t>
      </w:r>
      <w:r w:rsidR="00392518" w:rsidRPr="000E651D">
        <w:rPr>
          <w:sz w:val="22"/>
          <w:szCs w:val="22"/>
        </w:rPr>
        <w:t>on their own</w:t>
      </w:r>
      <w:r w:rsidR="00415A7C" w:rsidRPr="000E651D">
        <w:rPr>
          <w:sz w:val="22"/>
          <w:szCs w:val="22"/>
        </w:rPr>
        <w:t xml:space="preserve">, considered sufficient </w:t>
      </w:r>
      <w:r w:rsidR="00392518" w:rsidRPr="000E651D">
        <w:rPr>
          <w:sz w:val="22"/>
          <w:szCs w:val="22"/>
        </w:rPr>
        <w:t xml:space="preserve">to provide </w:t>
      </w:r>
      <w:r w:rsidR="00415A7C" w:rsidRPr="000E651D">
        <w:rPr>
          <w:sz w:val="22"/>
          <w:szCs w:val="22"/>
        </w:rPr>
        <w:t>evidence of suitable disinfectant efficacy for hospital grade disinfectant wipes or sponges for single use</w:t>
      </w:r>
      <w:r w:rsidR="00392518" w:rsidRPr="000E651D">
        <w:rPr>
          <w:sz w:val="22"/>
          <w:szCs w:val="22"/>
        </w:rPr>
        <w:t xml:space="preserve"> that pass one of these tests</w:t>
      </w:r>
      <w:r w:rsidR="00415A7C" w:rsidRPr="000E651D">
        <w:rPr>
          <w:sz w:val="22"/>
          <w:szCs w:val="22"/>
        </w:rPr>
        <w:t>.</w:t>
      </w:r>
    </w:p>
    <w:p w14:paraId="3AB3DA69" w14:textId="2A415B25" w:rsidR="008B494F" w:rsidRPr="000E651D" w:rsidRDefault="008B494F" w:rsidP="00460EEE">
      <w:pPr>
        <w:tabs>
          <w:tab w:val="left" w:pos="851"/>
        </w:tabs>
        <w:spacing w:before="240"/>
        <w:outlineLvl w:val="0"/>
        <w:rPr>
          <w:b/>
          <w:bCs/>
          <w:sz w:val="22"/>
          <w:szCs w:val="22"/>
        </w:rPr>
      </w:pPr>
      <w:r w:rsidRPr="000E651D">
        <w:rPr>
          <w:b/>
          <w:bCs/>
          <w:sz w:val="22"/>
          <w:szCs w:val="22"/>
        </w:rPr>
        <w:t>Item 3 – Paragraph 13(4)(c)</w:t>
      </w:r>
    </w:p>
    <w:p w14:paraId="364CE740" w14:textId="40B1FF78" w:rsidR="00F54D4F" w:rsidRPr="000E651D" w:rsidRDefault="00F54D4F" w:rsidP="0058797D">
      <w:pPr>
        <w:tabs>
          <w:tab w:val="left" w:pos="851"/>
        </w:tabs>
        <w:spacing w:before="240"/>
        <w:outlineLvl w:val="0"/>
        <w:rPr>
          <w:sz w:val="22"/>
          <w:szCs w:val="22"/>
        </w:rPr>
      </w:pPr>
      <w:r w:rsidRPr="000E651D">
        <w:rPr>
          <w:sz w:val="22"/>
          <w:szCs w:val="22"/>
        </w:rPr>
        <w:t>Item 3</w:t>
      </w:r>
      <w:r w:rsidR="00331FDC" w:rsidRPr="000E651D">
        <w:rPr>
          <w:sz w:val="22"/>
          <w:szCs w:val="22"/>
        </w:rPr>
        <w:t xml:space="preserve"> </w:t>
      </w:r>
      <w:r w:rsidR="008B494F" w:rsidRPr="000E651D">
        <w:rPr>
          <w:sz w:val="22"/>
          <w:szCs w:val="22"/>
        </w:rPr>
        <w:t>renumbers</w:t>
      </w:r>
      <w:r w:rsidR="00EA0001" w:rsidRPr="000E651D">
        <w:rPr>
          <w:sz w:val="22"/>
          <w:szCs w:val="22"/>
        </w:rPr>
        <w:t xml:space="preserve"> paragraph 13(4)(</w:t>
      </w:r>
      <w:r w:rsidR="008B494F" w:rsidRPr="000E651D">
        <w:rPr>
          <w:sz w:val="22"/>
          <w:szCs w:val="22"/>
        </w:rPr>
        <w:t>c</w:t>
      </w:r>
      <w:r w:rsidR="00EA0001" w:rsidRPr="000E651D">
        <w:rPr>
          <w:sz w:val="22"/>
          <w:szCs w:val="22"/>
        </w:rPr>
        <w:t xml:space="preserve">) </w:t>
      </w:r>
      <w:r w:rsidR="008B494F" w:rsidRPr="000E651D">
        <w:rPr>
          <w:sz w:val="22"/>
          <w:szCs w:val="22"/>
        </w:rPr>
        <w:t xml:space="preserve">as </w:t>
      </w:r>
      <w:r w:rsidR="00EA0001" w:rsidRPr="000E651D">
        <w:rPr>
          <w:sz w:val="22"/>
          <w:szCs w:val="22"/>
        </w:rPr>
        <w:t>13(4)(</w:t>
      </w:r>
      <w:r w:rsidR="008B494F" w:rsidRPr="000E651D">
        <w:rPr>
          <w:sz w:val="22"/>
          <w:szCs w:val="22"/>
        </w:rPr>
        <w:t>b</w:t>
      </w:r>
      <w:r w:rsidR="00EA0001" w:rsidRPr="000E651D">
        <w:rPr>
          <w:sz w:val="22"/>
          <w:szCs w:val="22"/>
        </w:rPr>
        <w:t>)</w:t>
      </w:r>
      <w:r w:rsidR="008B494F" w:rsidRPr="000E651D">
        <w:rPr>
          <w:sz w:val="22"/>
          <w:szCs w:val="22"/>
        </w:rPr>
        <w:t xml:space="preserve"> </w:t>
      </w:r>
      <w:proofErr w:type="gramStart"/>
      <w:r w:rsidR="008B494F" w:rsidRPr="000E651D">
        <w:rPr>
          <w:sz w:val="22"/>
          <w:szCs w:val="22"/>
        </w:rPr>
        <w:t>as a consequence of</w:t>
      </w:r>
      <w:proofErr w:type="gramEnd"/>
      <w:r w:rsidR="008B494F" w:rsidRPr="000E651D">
        <w:rPr>
          <w:sz w:val="22"/>
          <w:szCs w:val="22"/>
        </w:rPr>
        <w:t xml:space="preserve"> the amendments made by item 2 above to combine paragraphs (a) and (b) into a single paragraph (a)</w:t>
      </w:r>
      <w:r w:rsidR="00E968E9" w:rsidRPr="000E651D">
        <w:rPr>
          <w:sz w:val="22"/>
          <w:szCs w:val="22"/>
        </w:rPr>
        <w:t xml:space="preserve">. </w:t>
      </w:r>
    </w:p>
    <w:p w14:paraId="0E7C1A12" w14:textId="77777777" w:rsidR="004618D4" w:rsidRPr="000E651D" w:rsidRDefault="002707F1" w:rsidP="00A532F7">
      <w:pPr>
        <w:pStyle w:val="smallpara"/>
        <w:spacing w:before="0" w:beforeAutospacing="0" w:after="0" w:afterAutospacing="0"/>
        <w:jc w:val="right"/>
        <w:rPr>
          <w:rFonts w:ascii="Times New Roman" w:hAnsi="Times New Roman" w:cs="Times New Roman"/>
          <w:b/>
          <w:sz w:val="22"/>
          <w:szCs w:val="22"/>
        </w:rPr>
      </w:pPr>
      <w:bookmarkStart w:id="5" w:name="_Toc518788307"/>
      <w:bookmarkStart w:id="6" w:name="_Toc98919887"/>
      <w:bookmarkStart w:id="7" w:name="_Toc121709903"/>
      <w:r w:rsidRPr="000E651D">
        <w:rPr>
          <w:rFonts w:ascii="Times New Roman" w:hAnsi="Times New Roman" w:cs="Times New Roman"/>
          <w:sz w:val="22"/>
          <w:szCs w:val="22"/>
        </w:rPr>
        <w:br w:type="page"/>
      </w:r>
      <w:r w:rsidR="00CD731C" w:rsidRPr="000E651D">
        <w:rPr>
          <w:rFonts w:ascii="Times New Roman" w:hAnsi="Times New Roman" w:cs="Times New Roman"/>
          <w:b/>
          <w:sz w:val="22"/>
          <w:szCs w:val="22"/>
        </w:rPr>
        <w:t>A</w:t>
      </w:r>
      <w:r w:rsidR="00137A8B" w:rsidRPr="000E651D">
        <w:rPr>
          <w:rFonts w:ascii="Times New Roman" w:hAnsi="Times New Roman" w:cs="Times New Roman"/>
          <w:b/>
          <w:sz w:val="22"/>
          <w:szCs w:val="22"/>
        </w:rPr>
        <w:t xml:space="preserve">ttachment </w:t>
      </w:r>
      <w:r w:rsidR="001A55E4" w:rsidRPr="000E651D">
        <w:rPr>
          <w:rFonts w:ascii="Times New Roman" w:hAnsi="Times New Roman" w:cs="Times New Roman"/>
          <w:b/>
          <w:sz w:val="22"/>
          <w:szCs w:val="22"/>
        </w:rPr>
        <w:t>B</w:t>
      </w:r>
    </w:p>
    <w:bookmarkEnd w:id="5"/>
    <w:bookmarkEnd w:id="6"/>
    <w:bookmarkEnd w:id="7"/>
    <w:p w14:paraId="0CDF9509" w14:textId="77777777" w:rsidR="00A532F7" w:rsidRPr="000E651D" w:rsidRDefault="00A532F7" w:rsidP="00A532F7">
      <w:pPr>
        <w:shd w:val="clear" w:color="auto" w:fill="FFFFFF"/>
        <w:jc w:val="center"/>
        <w:rPr>
          <w:b/>
          <w:bCs/>
          <w:sz w:val="22"/>
          <w:szCs w:val="22"/>
        </w:rPr>
      </w:pPr>
    </w:p>
    <w:p w14:paraId="4A00D4A5" w14:textId="44B27281" w:rsidR="00EA05A0" w:rsidRPr="000E651D" w:rsidRDefault="00EA05A0" w:rsidP="00A532F7">
      <w:pPr>
        <w:shd w:val="clear" w:color="auto" w:fill="FFFFFF"/>
        <w:jc w:val="center"/>
        <w:rPr>
          <w:sz w:val="22"/>
          <w:szCs w:val="22"/>
          <w:lang w:val="en-US"/>
        </w:rPr>
      </w:pPr>
      <w:r w:rsidRPr="000E651D">
        <w:rPr>
          <w:b/>
          <w:bCs/>
          <w:sz w:val="22"/>
          <w:szCs w:val="22"/>
        </w:rPr>
        <w:t>Statement of Compatibility with Human Rights</w:t>
      </w:r>
    </w:p>
    <w:p w14:paraId="209910F7" w14:textId="77777777" w:rsidR="00A532F7" w:rsidRPr="000E651D" w:rsidRDefault="00A532F7" w:rsidP="00A532F7">
      <w:pPr>
        <w:shd w:val="clear" w:color="auto" w:fill="FFFFFF"/>
        <w:jc w:val="center"/>
        <w:rPr>
          <w:i/>
          <w:sz w:val="22"/>
          <w:szCs w:val="22"/>
        </w:rPr>
      </w:pPr>
    </w:p>
    <w:p w14:paraId="1CEA88F2" w14:textId="787AF86B" w:rsidR="00EA05A0" w:rsidRPr="000E651D" w:rsidRDefault="00EA05A0" w:rsidP="00A532F7">
      <w:pPr>
        <w:shd w:val="clear" w:color="auto" w:fill="FFFFFF"/>
        <w:jc w:val="center"/>
        <w:rPr>
          <w:i/>
          <w:sz w:val="22"/>
          <w:szCs w:val="22"/>
        </w:rPr>
      </w:pPr>
      <w:r w:rsidRPr="000E651D">
        <w:rPr>
          <w:i/>
          <w:sz w:val="22"/>
          <w:szCs w:val="22"/>
        </w:rPr>
        <w:t>Prepared in accordance with Part 3 of the</w:t>
      </w:r>
      <w:r w:rsidRPr="000E651D">
        <w:rPr>
          <w:i/>
          <w:iCs/>
          <w:sz w:val="22"/>
          <w:szCs w:val="22"/>
        </w:rPr>
        <w:t xml:space="preserve"> Human Rights (Parliamentary Scrutiny) Act 2011</w:t>
      </w:r>
      <w:r w:rsidRPr="000E651D">
        <w:rPr>
          <w:i/>
          <w:sz w:val="22"/>
          <w:szCs w:val="22"/>
        </w:rPr>
        <w:t>.</w:t>
      </w:r>
    </w:p>
    <w:p w14:paraId="4ADF1158" w14:textId="77777777" w:rsidR="00A532F7" w:rsidRPr="000E651D" w:rsidRDefault="00A532F7" w:rsidP="00A532F7">
      <w:pPr>
        <w:shd w:val="clear" w:color="auto" w:fill="FFFFFF"/>
        <w:jc w:val="center"/>
        <w:rPr>
          <w:b/>
          <w:i/>
          <w:sz w:val="22"/>
          <w:szCs w:val="22"/>
        </w:rPr>
      </w:pPr>
    </w:p>
    <w:p w14:paraId="6C947EEF" w14:textId="00D27017" w:rsidR="001A55E4" w:rsidRPr="000E651D" w:rsidRDefault="009A5F97" w:rsidP="00A532F7">
      <w:pPr>
        <w:shd w:val="clear" w:color="auto" w:fill="FFFFFF"/>
        <w:jc w:val="center"/>
        <w:rPr>
          <w:b/>
          <w:i/>
          <w:sz w:val="22"/>
          <w:szCs w:val="22"/>
        </w:rPr>
      </w:pPr>
      <w:r w:rsidRPr="000E651D">
        <w:rPr>
          <w:b/>
          <w:i/>
          <w:sz w:val="22"/>
          <w:szCs w:val="22"/>
        </w:rPr>
        <w:t xml:space="preserve">Therapeutic Goods (Standard for Disinfectants and Sanitary Products) </w:t>
      </w:r>
      <w:r w:rsidR="00DC642E" w:rsidRPr="000E651D">
        <w:rPr>
          <w:b/>
          <w:i/>
          <w:sz w:val="22"/>
          <w:szCs w:val="22"/>
        </w:rPr>
        <w:t xml:space="preserve">(TGO 104) </w:t>
      </w:r>
      <w:r w:rsidR="00B11B72" w:rsidRPr="000E651D">
        <w:rPr>
          <w:b/>
          <w:i/>
          <w:sz w:val="22"/>
          <w:szCs w:val="22"/>
        </w:rPr>
        <w:t xml:space="preserve">Amendment </w:t>
      </w:r>
      <w:r w:rsidRPr="000E651D">
        <w:rPr>
          <w:b/>
          <w:i/>
          <w:sz w:val="22"/>
          <w:szCs w:val="22"/>
        </w:rPr>
        <w:t>Order </w:t>
      </w:r>
      <w:r w:rsidR="0096747A" w:rsidRPr="000E651D">
        <w:rPr>
          <w:b/>
          <w:i/>
          <w:sz w:val="22"/>
          <w:szCs w:val="22"/>
        </w:rPr>
        <w:t>202</w:t>
      </w:r>
      <w:r w:rsidR="003D1819" w:rsidRPr="000E651D">
        <w:rPr>
          <w:b/>
          <w:i/>
          <w:sz w:val="22"/>
          <w:szCs w:val="22"/>
        </w:rPr>
        <w:t>5</w:t>
      </w:r>
    </w:p>
    <w:p w14:paraId="2C379628" w14:textId="77777777" w:rsidR="00A532F7" w:rsidRPr="000E651D" w:rsidRDefault="00A532F7" w:rsidP="00A532F7">
      <w:pPr>
        <w:shd w:val="clear" w:color="auto" w:fill="FFFFFF"/>
        <w:rPr>
          <w:sz w:val="22"/>
          <w:szCs w:val="22"/>
        </w:rPr>
      </w:pPr>
    </w:p>
    <w:p w14:paraId="17D67A8E" w14:textId="2806E979" w:rsidR="00EA05A0" w:rsidRPr="000E651D" w:rsidRDefault="00EA05A0" w:rsidP="00A532F7">
      <w:pPr>
        <w:shd w:val="clear" w:color="auto" w:fill="FFFFFF"/>
        <w:rPr>
          <w:sz w:val="22"/>
          <w:szCs w:val="22"/>
          <w:lang w:val="en-US"/>
        </w:rPr>
      </w:pPr>
      <w:r w:rsidRPr="000E651D">
        <w:rPr>
          <w:sz w:val="22"/>
          <w:szCs w:val="22"/>
        </w:rPr>
        <w:t xml:space="preserve">This </w:t>
      </w:r>
      <w:r w:rsidR="001A55E4" w:rsidRPr="000E651D">
        <w:rPr>
          <w:sz w:val="22"/>
          <w:szCs w:val="22"/>
        </w:rPr>
        <w:t xml:space="preserve">disallowable </w:t>
      </w:r>
      <w:r w:rsidRPr="000E651D">
        <w:rPr>
          <w:sz w:val="22"/>
          <w:szCs w:val="22"/>
        </w:rPr>
        <w:t xml:space="preserve">legislative instrument is compatible with the human rights and freedoms recognised or declared in the international instruments listed in section 3 of the </w:t>
      </w:r>
      <w:r w:rsidRPr="000E651D">
        <w:rPr>
          <w:i/>
          <w:iCs/>
          <w:sz w:val="22"/>
          <w:szCs w:val="22"/>
        </w:rPr>
        <w:t>Human Rights (Parliamentary Scrutiny) Act 2011</w:t>
      </w:r>
      <w:r w:rsidRPr="000E651D">
        <w:rPr>
          <w:sz w:val="22"/>
          <w:szCs w:val="22"/>
        </w:rPr>
        <w:t>.</w:t>
      </w:r>
    </w:p>
    <w:p w14:paraId="23128415" w14:textId="77777777" w:rsidR="00A532F7" w:rsidRPr="000E651D" w:rsidRDefault="00A532F7" w:rsidP="00A532F7">
      <w:pPr>
        <w:shd w:val="clear" w:color="auto" w:fill="FFFFFF"/>
        <w:rPr>
          <w:b/>
          <w:bCs/>
          <w:sz w:val="22"/>
          <w:szCs w:val="22"/>
        </w:rPr>
      </w:pPr>
    </w:p>
    <w:p w14:paraId="1A286A70" w14:textId="09FBFC81" w:rsidR="00EA05A0" w:rsidRPr="000E651D" w:rsidRDefault="00EA05A0" w:rsidP="00A532F7">
      <w:pPr>
        <w:shd w:val="clear" w:color="auto" w:fill="FFFFFF"/>
        <w:rPr>
          <w:sz w:val="22"/>
          <w:szCs w:val="22"/>
          <w:lang w:val="en-US"/>
        </w:rPr>
      </w:pPr>
      <w:r w:rsidRPr="000E651D">
        <w:rPr>
          <w:b/>
          <w:bCs/>
          <w:sz w:val="22"/>
          <w:szCs w:val="22"/>
        </w:rPr>
        <w:t>Overview of the Legislative Instrument</w:t>
      </w:r>
    </w:p>
    <w:p w14:paraId="25E6C465" w14:textId="77777777" w:rsidR="00A532F7" w:rsidRPr="000E651D" w:rsidRDefault="00A532F7" w:rsidP="00A532F7">
      <w:pPr>
        <w:rPr>
          <w:sz w:val="22"/>
          <w:szCs w:val="22"/>
        </w:rPr>
      </w:pPr>
    </w:p>
    <w:p w14:paraId="006BA1BC" w14:textId="77777777" w:rsidR="000B4404" w:rsidRPr="000E651D" w:rsidRDefault="000B4404" w:rsidP="000B4404">
      <w:pPr>
        <w:shd w:val="clear" w:color="auto" w:fill="FFFFFF"/>
        <w:rPr>
          <w:sz w:val="22"/>
          <w:szCs w:val="22"/>
        </w:rPr>
      </w:pPr>
      <w:r w:rsidRPr="000E651D">
        <w:rPr>
          <w:sz w:val="22"/>
          <w:szCs w:val="22"/>
        </w:rPr>
        <w:t xml:space="preserve">Subsection 10(1) of the Act provides that the Minister may, by legislative instrument, make an order determining that matters specified in the order constitute a standard for therapeutic goods or a class of therapeutic goods identified in the order. Subsection 10(2) of the Act provides that an order establishing a standard for therapeutic goods may be specified by reference to the quality of the goods, or the procedures to be carried out in the manufacture of the goods, among other matters. An order may also require that a matter relating to the standard be determined in accordance with a particular </w:t>
      </w:r>
      <w:proofErr w:type="gramStart"/>
      <w:r w:rsidRPr="000E651D">
        <w:rPr>
          <w:sz w:val="22"/>
          <w:szCs w:val="22"/>
        </w:rPr>
        <w:t>test, or</w:t>
      </w:r>
      <w:proofErr w:type="gramEnd"/>
      <w:r w:rsidRPr="000E651D">
        <w:rPr>
          <w:sz w:val="22"/>
          <w:szCs w:val="22"/>
        </w:rPr>
        <w:t xml:space="preserve"> require that goods be labelled or packaged in a manner, or kept in containers that comply with requirements, specified in the order.</w:t>
      </w:r>
    </w:p>
    <w:p w14:paraId="3C286C35" w14:textId="77777777" w:rsidR="000B4404" w:rsidRPr="000E651D" w:rsidRDefault="000B4404" w:rsidP="000B4404">
      <w:pPr>
        <w:shd w:val="clear" w:color="auto" w:fill="FFFFFF"/>
        <w:rPr>
          <w:sz w:val="22"/>
          <w:szCs w:val="22"/>
        </w:rPr>
      </w:pPr>
    </w:p>
    <w:p w14:paraId="75CC0EF5" w14:textId="77777777" w:rsidR="000B4404" w:rsidRPr="000E651D" w:rsidRDefault="000B4404" w:rsidP="000B4404">
      <w:pPr>
        <w:shd w:val="clear" w:color="auto" w:fill="FFFFFF"/>
        <w:rPr>
          <w:sz w:val="22"/>
          <w:szCs w:val="22"/>
        </w:rPr>
      </w:pPr>
      <w:r w:rsidRPr="000E651D">
        <w:rPr>
          <w:sz w:val="22"/>
          <w:szCs w:val="22"/>
        </w:rPr>
        <w:t>Importantly, a person who imports, exports or supplies therapeutic goods that do not conform to an applicable standard may be subject to offence and civil penalty provisions in sections 14 and 14A of the Act. The Secretary may, however, give consent in writing in relation to the importation, exportation or supply of therapeutic goods that do not conform to an applicable standard, in accordance with those sections.</w:t>
      </w:r>
    </w:p>
    <w:p w14:paraId="3066D347" w14:textId="77777777" w:rsidR="000B4404" w:rsidRPr="000E651D" w:rsidRDefault="000B4404" w:rsidP="000B4404">
      <w:pPr>
        <w:rPr>
          <w:sz w:val="22"/>
          <w:szCs w:val="22"/>
        </w:rPr>
      </w:pPr>
    </w:p>
    <w:p w14:paraId="73C41173" w14:textId="77777777" w:rsidR="000B4404" w:rsidRPr="000E651D" w:rsidRDefault="000B4404" w:rsidP="000B4404">
      <w:pPr>
        <w:rPr>
          <w:sz w:val="22"/>
          <w:szCs w:val="22"/>
        </w:rPr>
      </w:pPr>
      <w:r w:rsidRPr="000E651D">
        <w:rPr>
          <w:sz w:val="22"/>
          <w:szCs w:val="22"/>
        </w:rPr>
        <w:t xml:space="preserve">The </w:t>
      </w:r>
      <w:r w:rsidRPr="000E651D">
        <w:rPr>
          <w:i/>
          <w:sz w:val="22"/>
          <w:szCs w:val="22"/>
        </w:rPr>
        <w:t>Therapeutic Goods (Standard for Disinfectants and Sanitary Products) (TGO 104) Order 2019</w:t>
      </w:r>
      <w:r w:rsidRPr="000E651D">
        <w:rPr>
          <w:sz w:val="22"/>
          <w:szCs w:val="22"/>
        </w:rPr>
        <w:t xml:space="preserve"> (“the Principal Order”) is made under section 10 of the Act and establishes a ministerial standard for therapeutic goods that are disinfectants, sanitisers and sanitary fluids and powders. The Principal Order specifies minimum requirements for the quality and safety of such products. </w:t>
      </w:r>
    </w:p>
    <w:p w14:paraId="43DE4DA2" w14:textId="77777777" w:rsidR="000B4404" w:rsidRPr="000E651D" w:rsidRDefault="000B4404" w:rsidP="000B4404">
      <w:pPr>
        <w:rPr>
          <w:sz w:val="22"/>
          <w:szCs w:val="22"/>
        </w:rPr>
      </w:pPr>
    </w:p>
    <w:p w14:paraId="42550636" w14:textId="77777777" w:rsidR="000B4404" w:rsidRPr="000E651D" w:rsidRDefault="000B4404" w:rsidP="000B4404">
      <w:pPr>
        <w:rPr>
          <w:sz w:val="22"/>
          <w:szCs w:val="22"/>
        </w:rPr>
      </w:pPr>
      <w:r w:rsidRPr="000E651D">
        <w:rPr>
          <w:sz w:val="22"/>
          <w:szCs w:val="22"/>
        </w:rPr>
        <w:t xml:space="preserve">Subsection 10(3A) of the Act provides that the Minister may, by legislative instrument, vary or revoke an order made under subsection 10(1) of the Act. The </w:t>
      </w:r>
      <w:r w:rsidRPr="000E651D">
        <w:rPr>
          <w:i/>
          <w:sz w:val="22"/>
          <w:szCs w:val="22"/>
        </w:rPr>
        <w:t>Therapeutic Goods (Standard for Disinfectants and Sanitary Products) (TGO 104) Amendment Order 2025</w:t>
      </w:r>
      <w:r w:rsidRPr="000E651D">
        <w:rPr>
          <w:sz w:val="22"/>
          <w:szCs w:val="22"/>
        </w:rPr>
        <w:t xml:space="preserve"> (“the Amendment Order”) is made by a delegate of the Minister under that subsection.</w:t>
      </w:r>
    </w:p>
    <w:p w14:paraId="52DC0E99" w14:textId="77777777" w:rsidR="000B4404" w:rsidRPr="000E651D" w:rsidRDefault="000B4404" w:rsidP="000B4404">
      <w:pPr>
        <w:rPr>
          <w:sz w:val="22"/>
          <w:szCs w:val="22"/>
        </w:rPr>
      </w:pPr>
    </w:p>
    <w:p w14:paraId="5F28DA46" w14:textId="77777777" w:rsidR="000B4404" w:rsidRPr="000E651D" w:rsidRDefault="000B4404" w:rsidP="000B4404">
      <w:pPr>
        <w:rPr>
          <w:sz w:val="22"/>
          <w:szCs w:val="22"/>
        </w:rPr>
      </w:pPr>
      <w:r w:rsidRPr="000E651D">
        <w:rPr>
          <w:sz w:val="22"/>
          <w:szCs w:val="22"/>
        </w:rPr>
        <w:t xml:space="preserve">The purpose of the Amendment Order is to amend the Principal Order to incorporate the most recent version of the </w:t>
      </w:r>
      <w:r w:rsidRPr="000E651D">
        <w:rPr>
          <w:i/>
          <w:iCs/>
          <w:sz w:val="22"/>
          <w:szCs w:val="22"/>
        </w:rPr>
        <w:t xml:space="preserve">TGA instructions for disinfectant testing </w:t>
      </w:r>
      <w:r w:rsidRPr="000E651D">
        <w:rPr>
          <w:sz w:val="22"/>
          <w:szCs w:val="22"/>
        </w:rPr>
        <w:t>(“the Instructions”). The Amendment Order also amends the tests that hospital grade disinfectant wipes or sponges for single use must pass to meet minimum performance requirements in the Principal Order, to align with the most recent version of the Instructions.</w:t>
      </w:r>
    </w:p>
    <w:p w14:paraId="3D4A8F57" w14:textId="77777777" w:rsidR="000B4404" w:rsidRPr="000E651D" w:rsidRDefault="000B4404" w:rsidP="000B4404">
      <w:pPr>
        <w:keepNext/>
        <w:rPr>
          <w:b/>
          <w:sz w:val="22"/>
          <w:szCs w:val="22"/>
        </w:rPr>
      </w:pPr>
    </w:p>
    <w:p w14:paraId="7069C343" w14:textId="77777777" w:rsidR="000B4404" w:rsidRPr="000E651D" w:rsidRDefault="000B4404" w:rsidP="000B4404">
      <w:pPr>
        <w:keepNext/>
        <w:rPr>
          <w:b/>
          <w:sz w:val="22"/>
          <w:szCs w:val="22"/>
        </w:rPr>
      </w:pPr>
      <w:r w:rsidRPr="000E651D">
        <w:rPr>
          <w:b/>
          <w:sz w:val="22"/>
          <w:szCs w:val="22"/>
        </w:rPr>
        <w:t>Background</w:t>
      </w:r>
    </w:p>
    <w:p w14:paraId="2474C632" w14:textId="77777777" w:rsidR="000B4404" w:rsidRPr="000E651D" w:rsidRDefault="000B4404" w:rsidP="000B4404">
      <w:pPr>
        <w:keepNext/>
        <w:rPr>
          <w:sz w:val="22"/>
          <w:szCs w:val="22"/>
        </w:rPr>
      </w:pPr>
    </w:p>
    <w:p w14:paraId="2EE43286" w14:textId="77777777" w:rsidR="000B4404" w:rsidRPr="000E651D" w:rsidRDefault="000B4404" w:rsidP="000B4404">
      <w:pPr>
        <w:rPr>
          <w:sz w:val="22"/>
          <w:szCs w:val="22"/>
        </w:rPr>
      </w:pPr>
      <w:r w:rsidRPr="000E651D">
        <w:rPr>
          <w:sz w:val="22"/>
          <w:szCs w:val="22"/>
        </w:rPr>
        <w:t>The Department is responsible for regulating the quality, safety and efficacy or performance of therapeutic goods. This is achieved in part by specifying ministerial standards for therapeutic goods which may relate to a range of matters including, for example, the manufacture, testing, labelling and packaging of the goods, and by otherwise applying default standards that are constituted by statements in the international pharmacopoeias defined in the Act.</w:t>
      </w:r>
    </w:p>
    <w:p w14:paraId="037307AA" w14:textId="77777777" w:rsidR="000B4404" w:rsidRPr="000E651D" w:rsidRDefault="000B4404" w:rsidP="000B4404">
      <w:pPr>
        <w:rPr>
          <w:sz w:val="22"/>
          <w:szCs w:val="22"/>
        </w:rPr>
      </w:pPr>
    </w:p>
    <w:p w14:paraId="6EF9B516" w14:textId="77777777" w:rsidR="000B4404" w:rsidRPr="000E651D" w:rsidRDefault="000B4404" w:rsidP="000B4404">
      <w:pPr>
        <w:rPr>
          <w:sz w:val="22"/>
          <w:szCs w:val="22"/>
        </w:rPr>
      </w:pPr>
      <w:r w:rsidRPr="000E651D">
        <w:rPr>
          <w:sz w:val="22"/>
          <w:szCs w:val="22"/>
        </w:rPr>
        <w:t>The Principal Order applies to therapeutic goods that are disinfectants, sanitisers and sanitary fluids and powders, other than the therapeutic goods identified under subsection 6(2) (including, for example, antiseptics and skin disinfectants). The Principal Order specifies labelling requirements designed specifically to address the risks that may be associated with the handling and use of such products, as well as packaging requirements, performance requirements and more general requirements relating to stability data, shelf life and toxicity data in relation to such products.</w:t>
      </w:r>
    </w:p>
    <w:p w14:paraId="7CA4ECE6" w14:textId="77777777" w:rsidR="000B4404" w:rsidRPr="000E651D" w:rsidRDefault="000B4404" w:rsidP="000B4404">
      <w:pPr>
        <w:rPr>
          <w:sz w:val="22"/>
          <w:szCs w:val="22"/>
        </w:rPr>
      </w:pPr>
    </w:p>
    <w:p w14:paraId="5E212093" w14:textId="77777777" w:rsidR="000B4404" w:rsidRPr="000E651D" w:rsidRDefault="000B4404" w:rsidP="000B4404">
      <w:pPr>
        <w:rPr>
          <w:sz w:val="22"/>
          <w:szCs w:val="22"/>
        </w:rPr>
      </w:pPr>
      <w:r w:rsidRPr="000E651D">
        <w:rPr>
          <w:sz w:val="22"/>
          <w:szCs w:val="22"/>
        </w:rPr>
        <w:t xml:space="preserve">The performance requirements in the Principal Order relate </w:t>
      </w:r>
      <w:proofErr w:type="gramStart"/>
      <w:r w:rsidRPr="000E651D">
        <w:rPr>
          <w:sz w:val="22"/>
          <w:szCs w:val="22"/>
        </w:rPr>
        <w:t>in particular to</w:t>
      </w:r>
      <w:proofErr w:type="gramEnd"/>
      <w:r w:rsidRPr="000E651D">
        <w:rPr>
          <w:sz w:val="22"/>
          <w:szCs w:val="22"/>
        </w:rPr>
        <w:t xml:space="preserve"> compliance with specified microbiological tests, including tests set out in the Instructions. Additional testing is required where a claim is made for a disinfectant in relation to sporicidal, fungicidal, tuberculocidal, virucidal or other biocidal use. The performance testing requirements specified in the Principal Order for disinfectants apply depending on whether a disinfectant is a hospital grade disinfectant or a household grade disinfectant.</w:t>
      </w:r>
    </w:p>
    <w:p w14:paraId="37EB8C55" w14:textId="77777777" w:rsidR="000B4404" w:rsidRPr="000E651D" w:rsidRDefault="000B4404" w:rsidP="000B4404">
      <w:pPr>
        <w:rPr>
          <w:sz w:val="22"/>
          <w:szCs w:val="22"/>
        </w:rPr>
      </w:pPr>
    </w:p>
    <w:p w14:paraId="6273660E" w14:textId="77777777" w:rsidR="000B4404" w:rsidRPr="000E651D" w:rsidRDefault="000B4404" w:rsidP="000B4404">
      <w:pPr>
        <w:rPr>
          <w:sz w:val="22"/>
          <w:szCs w:val="22"/>
        </w:rPr>
      </w:pPr>
      <w:r w:rsidRPr="000E651D">
        <w:rPr>
          <w:sz w:val="22"/>
          <w:szCs w:val="22"/>
        </w:rPr>
        <w:t xml:space="preserve">Relevantly, subsection 13(4) of the Principal Order provides that if a disinfectant wipe or sponge that is for single use is tested in accordance with the test conditions on the label (if any), the disinfectant must pass </w:t>
      </w:r>
      <w:r w:rsidRPr="000E651D">
        <w:rPr>
          <w:b/>
          <w:bCs/>
          <w:sz w:val="22"/>
          <w:szCs w:val="22"/>
        </w:rPr>
        <w:t>two</w:t>
      </w:r>
      <w:r w:rsidRPr="000E651D">
        <w:rPr>
          <w:sz w:val="22"/>
          <w:szCs w:val="22"/>
        </w:rPr>
        <w:t xml:space="preserve"> tests, being:</w:t>
      </w:r>
    </w:p>
    <w:p w14:paraId="001F0460" w14:textId="77777777" w:rsidR="000B4404" w:rsidRPr="000E651D" w:rsidRDefault="000B4404" w:rsidP="000B4404">
      <w:pPr>
        <w:pStyle w:val="ListParagraph"/>
        <w:numPr>
          <w:ilvl w:val="0"/>
          <w:numId w:val="32"/>
        </w:numPr>
        <w:rPr>
          <w:sz w:val="22"/>
          <w:szCs w:val="22"/>
        </w:rPr>
      </w:pPr>
      <w:r w:rsidRPr="000E651D">
        <w:rPr>
          <w:sz w:val="22"/>
          <w:szCs w:val="22"/>
        </w:rPr>
        <w:t>either:</w:t>
      </w:r>
    </w:p>
    <w:p w14:paraId="40F78FD2" w14:textId="77777777" w:rsidR="000B4404" w:rsidRPr="000E651D" w:rsidRDefault="000B4404" w:rsidP="000B4404">
      <w:pPr>
        <w:pStyle w:val="ListParagraph"/>
        <w:numPr>
          <w:ilvl w:val="1"/>
          <w:numId w:val="32"/>
        </w:numPr>
        <w:rPr>
          <w:sz w:val="22"/>
          <w:szCs w:val="22"/>
        </w:rPr>
      </w:pPr>
      <w:r w:rsidRPr="000E651D">
        <w:rPr>
          <w:sz w:val="22"/>
          <w:szCs w:val="22"/>
        </w:rPr>
        <w:t xml:space="preserve">the TGA Disinfectant Test under the conditions specified in Option A or B of that test; or </w:t>
      </w:r>
    </w:p>
    <w:p w14:paraId="745546ED" w14:textId="77777777" w:rsidR="000B4404" w:rsidRPr="000E651D" w:rsidRDefault="000B4404" w:rsidP="000B4404">
      <w:pPr>
        <w:pStyle w:val="ListParagraph"/>
        <w:numPr>
          <w:ilvl w:val="1"/>
          <w:numId w:val="32"/>
        </w:numPr>
        <w:rPr>
          <w:sz w:val="22"/>
          <w:szCs w:val="22"/>
        </w:rPr>
      </w:pPr>
      <w:r w:rsidRPr="000E651D">
        <w:rPr>
          <w:sz w:val="22"/>
          <w:szCs w:val="22"/>
        </w:rPr>
        <w:t>an appropriate test equivalent to the TGA Disinfectant Test as specified in Division 2 of Part 2 of the Instructions; and</w:t>
      </w:r>
    </w:p>
    <w:p w14:paraId="068EDFF2" w14:textId="7EA0DA79" w:rsidR="000B4404" w:rsidRPr="000E651D" w:rsidRDefault="006F38A3" w:rsidP="000B4404">
      <w:pPr>
        <w:pStyle w:val="ListParagraph"/>
        <w:numPr>
          <w:ilvl w:val="0"/>
          <w:numId w:val="32"/>
        </w:numPr>
        <w:rPr>
          <w:sz w:val="22"/>
          <w:szCs w:val="22"/>
        </w:rPr>
      </w:pPr>
      <w:r w:rsidRPr="000E651D">
        <w:rPr>
          <w:sz w:val="22"/>
          <w:szCs w:val="22"/>
        </w:rPr>
        <w:t>a</w:t>
      </w:r>
      <w:r w:rsidR="000B4404" w:rsidRPr="000E651D">
        <w:rPr>
          <w:sz w:val="22"/>
          <w:szCs w:val="22"/>
        </w:rPr>
        <w:t xml:space="preserve">n appropriate test for single or multiple use as specified in Division 2 of Part 2 of the Instructions. </w:t>
      </w:r>
    </w:p>
    <w:p w14:paraId="3232057B" w14:textId="77777777" w:rsidR="000B4404" w:rsidRPr="000E651D" w:rsidRDefault="000B4404" w:rsidP="000B4404">
      <w:pPr>
        <w:rPr>
          <w:sz w:val="22"/>
          <w:szCs w:val="22"/>
        </w:rPr>
      </w:pPr>
    </w:p>
    <w:p w14:paraId="44090CDC" w14:textId="77777777" w:rsidR="000B4404" w:rsidRPr="000E651D" w:rsidRDefault="000B4404" w:rsidP="000B4404">
      <w:pPr>
        <w:pStyle w:val="Heading3"/>
        <w:spacing w:before="0" w:after="0" w:line="276" w:lineRule="auto"/>
        <w:rPr>
          <w:rFonts w:ascii="Times New Roman" w:hAnsi="Times New Roman" w:cs="Times New Roman"/>
          <w:sz w:val="22"/>
          <w:szCs w:val="22"/>
        </w:rPr>
      </w:pPr>
      <w:r w:rsidRPr="000E651D">
        <w:rPr>
          <w:rFonts w:ascii="Times New Roman" w:hAnsi="Times New Roman" w:cs="Times New Roman"/>
          <w:sz w:val="22"/>
          <w:szCs w:val="22"/>
        </w:rPr>
        <w:t>Purpose</w:t>
      </w:r>
    </w:p>
    <w:p w14:paraId="2A3F3136" w14:textId="77777777" w:rsidR="000B4404" w:rsidRPr="000E651D" w:rsidRDefault="000B4404" w:rsidP="000B4404">
      <w:pPr>
        <w:rPr>
          <w:sz w:val="22"/>
          <w:szCs w:val="22"/>
        </w:rPr>
      </w:pPr>
    </w:p>
    <w:p w14:paraId="554F9D90" w14:textId="77777777" w:rsidR="000B4404" w:rsidRPr="000E651D" w:rsidRDefault="000B4404" w:rsidP="000B4404">
      <w:pPr>
        <w:rPr>
          <w:sz w:val="22"/>
          <w:szCs w:val="22"/>
        </w:rPr>
      </w:pPr>
      <w:r w:rsidRPr="000E651D">
        <w:rPr>
          <w:sz w:val="22"/>
          <w:szCs w:val="22"/>
        </w:rPr>
        <w:t>The Amendment Order amends the Principal Order to:</w:t>
      </w:r>
    </w:p>
    <w:p w14:paraId="6A5C78F3" w14:textId="77777777" w:rsidR="000B4404" w:rsidRPr="000E651D" w:rsidRDefault="000B4404" w:rsidP="000B4404">
      <w:pPr>
        <w:pStyle w:val="ListParagraph"/>
        <w:numPr>
          <w:ilvl w:val="0"/>
          <w:numId w:val="29"/>
        </w:numPr>
        <w:autoSpaceDE w:val="0"/>
        <w:autoSpaceDN w:val="0"/>
        <w:adjustRightInd w:val="0"/>
        <w:spacing w:before="120"/>
        <w:ind w:left="567" w:hanging="567"/>
        <w:contextualSpacing w:val="0"/>
        <w:rPr>
          <w:sz w:val="22"/>
          <w:szCs w:val="22"/>
        </w:rPr>
      </w:pPr>
      <w:r w:rsidRPr="000E651D">
        <w:rPr>
          <w:sz w:val="22"/>
          <w:szCs w:val="22"/>
        </w:rPr>
        <w:t>incorporate the most recent version of the Instructions (Version 4.0, August 2025), which is published on the TGA website; and</w:t>
      </w:r>
    </w:p>
    <w:p w14:paraId="7898E1BC" w14:textId="77777777" w:rsidR="000B4404" w:rsidRPr="000E651D" w:rsidRDefault="000B4404" w:rsidP="000B4404">
      <w:pPr>
        <w:pStyle w:val="ListParagraph"/>
        <w:numPr>
          <w:ilvl w:val="0"/>
          <w:numId w:val="29"/>
        </w:numPr>
        <w:autoSpaceDE w:val="0"/>
        <w:autoSpaceDN w:val="0"/>
        <w:adjustRightInd w:val="0"/>
        <w:spacing w:before="120"/>
        <w:ind w:left="567" w:hanging="567"/>
        <w:contextualSpacing w:val="0"/>
        <w:rPr>
          <w:sz w:val="22"/>
          <w:szCs w:val="22"/>
        </w:rPr>
      </w:pPr>
      <w:r w:rsidRPr="000E651D">
        <w:rPr>
          <w:sz w:val="22"/>
          <w:szCs w:val="22"/>
        </w:rPr>
        <w:t xml:space="preserve">amend subsection 13(4) to require only </w:t>
      </w:r>
      <w:r w:rsidRPr="000E651D">
        <w:rPr>
          <w:b/>
          <w:bCs/>
          <w:sz w:val="22"/>
          <w:szCs w:val="22"/>
        </w:rPr>
        <w:t>one</w:t>
      </w:r>
      <w:r w:rsidRPr="000E651D">
        <w:rPr>
          <w:sz w:val="22"/>
          <w:szCs w:val="22"/>
        </w:rPr>
        <w:t xml:space="preserve"> of the specified three test options for hospital grade disinfectant wipes or sponges for single use be passed to meet minimum performance requirements.</w:t>
      </w:r>
    </w:p>
    <w:p w14:paraId="1C18D2E0" w14:textId="77777777" w:rsidR="000B4404" w:rsidRPr="000E651D" w:rsidRDefault="000B4404" w:rsidP="000B4404">
      <w:pPr>
        <w:rPr>
          <w:sz w:val="22"/>
          <w:szCs w:val="22"/>
        </w:rPr>
      </w:pPr>
    </w:p>
    <w:p w14:paraId="7F5E8C4D" w14:textId="77777777" w:rsidR="000B4404" w:rsidRPr="000E651D" w:rsidRDefault="000B4404" w:rsidP="000B4404">
      <w:pPr>
        <w:rPr>
          <w:sz w:val="22"/>
          <w:szCs w:val="22"/>
        </w:rPr>
      </w:pPr>
      <w:r w:rsidRPr="000E651D">
        <w:rPr>
          <w:sz w:val="22"/>
          <w:szCs w:val="22"/>
        </w:rPr>
        <w:t xml:space="preserve">The amendment to refer to the most recent version of the Instructions follow publication of an updated version of the Instructions which has updates to the required tests that hospital grade disinfectant wipes or sponges for single use must pass. </w:t>
      </w:r>
    </w:p>
    <w:p w14:paraId="69395743" w14:textId="77777777" w:rsidR="000B4404" w:rsidRPr="000E651D" w:rsidRDefault="000B4404" w:rsidP="000B4404">
      <w:pPr>
        <w:rPr>
          <w:sz w:val="22"/>
          <w:szCs w:val="22"/>
        </w:rPr>
      </w:pPr>
    </w:p>
    <w:p w14:paraId="57D597C1" w14:textId="77777777" w:rsidR="000B4404" w:rsidRPr="000E651D" w:rsidRDefault="000B4404" w:rsidP="000B4404">
      <w:pPr>
        <w:rPr>
          <w:sz w:val="22"/>
          <w:szCs w:val="22"/>
        </w:rPr>
      </w:pPr>
      <w:r w:rsidRPr="000E651D">
        <w:rPr>
          <w:sz w:val="22"/>
          <w:szCs w:val="22"/>
        </w:rPr>
        <w:t>The Amendment Order consequently amends subsection 13(4) to align with the updated Instructions. It clarifies that only one of the following tests is required and is considered sufficient evidence of suitable disinfectant efficacy for hospital grade disinfectant wipes or sponges for single use:</w:t>
      </w:r>
    </w:p>
    <w:p w14:paraId="382BAEF7" w14:textId="77777777" w:rsidR="000B4404" w:rsidRPr="000E651D" w:rsidRDefault="000B4404" w:rsidP="000B4404">
      <w:pPr>
        <w:pStyle w:val="ListParagraph"/>
        <w:numPr>
          <w:ilvl w:val="0"/>
          <w:numId w:val="29"/>
        </w:numPr>
        <w:tabs>
          <w:tab w:val="left" w:pos="851"/>
        </w:tabs>
        <w:spacing w:before="240"/>
        <w:outlineLvl w:val="0"/>
        <w:rPr>
          <w:sz w:val="22"/>
          <w:szCs w:val="22"/>
        </w:rPr>
      </w:pPr>
      <w:r w:rsidRPr="000E651D">
        <w:rPr>
          <w:sz w:val="22"/>
          <w:szCs w:val="22"/>
        </w:rPr>
        <w:t>the TGA Disinfectant Test, meaning the test specified in Part 1 of the Instructions, under the conditions specified in Option A or Option B of that test;</w:t>
      </w:r>
    </w:p>
    <w:p w14:paraId="7EE40A20" w14:textId="7BEA55E1" w:rsidR="000B4404" w:rsidRPr="000E651D" w:rsidRDefault="000B4404" w:rsidP="000B4404">
      <w:pPr>
        <w:pStyle w:val="ListParagraph"/>
        <w:numPr>
          <w:ilvl w:val="0"/>
          <w:numId w:val="29"/>
        </w:numPr>
        <w:tabs>
          <w:tab w:val="left" w:pos="851"/>
        </w:tabs>
        <w:spacing w:before="240"/>
        <w:outlineLvl w:val="0"/>
        <w:rPr>
          <w:sz w:val="22"/>
          <w:szCs w:val="22"/>
        </w:rPr>
      </w:pPr>
      <w:r w:rsidRPr="000E651D">
        <w:rPr>
          <w:sz w:val="22"/>
          <w:szCs w:val="22"/>
        </w:rPr>
        <w:t>an appropriate test equivalent to the TGA Disinfectant Test as specified in Division 2 of Part</w:t>
      </w:r>
      <w:r w:rsidR="006F38A3" w:rsidRPr="000E651D">
        <w:rPr>
          <w:sz w:val="22"/>
          <w:szCs w:val="22"/>
        </w:rPr>
        <w:t> </w:t>
      </w:r>
      <w:r w:rsidRPr="000E651D">
        <w:rPr>
          <w:sz w:val="22"/>
          <w:szCs w:val="22"/>
        </w:rPr>
        <w:t xml:space="preserve">2 of the </w:t>
      </w:r>
      <w:proofErr w:type="gramStart"/>
      <w:r w:rsidRPr="000E651D">
        <w:rPr>
          <w:sz w:val="22"/>
          <w:szCs w:val="22"/>
        </w:rPr>
        <w:t>Instructions;</w:t>
      </w:r>
      <w:proofErr w:type="gramEnd"/>
    </w:p>
    <w:p w14:paraId="0D656A02" w14:textId="77777777" w:rsidR="000B4404" w:rsidRPr="000E651D" w:rsidRDefault="000B4404" w:rsidP="000B4404">
      <w:pPr>
        <w:pStyle w:val="ListParagraph"/>
        <w:numPr>
          <w:ilvl w:val="0"/>
          <w:numId w:val="29"/>
        </w:numPr>
        <w:tabs>
          <w:tab w:val="left" w:pos="851"/>
        </w:tabs>
        <w:spacing w:before="240"/>
        <w:outlineLvl w:val="0"/>
        <w:rPr>
          <w:sz w:val="22"/>
          <w:szCs w:val="22"/>
        </w:rPr>
      </w:pPr>
      <w:r w:rsidRPr="000E651D">
        <w:rPr>
          <w:sz w:val="22"/>
          <w:szCs w:val="22"/>
        </w:rPr>
        <w:t>an appropriate test for single or multiple use as specified in Division 2 of Part 2 of the Instructions.</w:t>
      </w:r>
    </w:p>
    <w:p w14:paraId="7E453F2C" w14:textId="77777777" w:rsidR="0087738A" w:rsidRPr="000E651D" w:rsidRDefault="0087738A" w:rsidP="00A532F7">
      <w:pPr>
        <w:rPr>
          <w:sz w:val="22"/>
          <w:szCs w:val="22"/>
        </w:rPr>
      </w:pPr>
    </w:p>
    <w:p w14:paraId="37B8AC15" w14:textId="77777777" w:rsidR="00EA05A0" w:rsidRPr="000E651D" w:rsidRDefault="00EA05A0" w:rsidP="0058797D">
      <w:pPr>
        <w:pStyle w:val="ListBullet"/>
        <w:numPr>
          <w:ilvl w:val="0"/>
          <w:numId w:val="0"/>
        </w:numPr>
        <w:tabs>
          <w:tab w:val="clear" w:pos="397"/>
          <w:tab w:val="left" w:pos="284"/>
        </w:tabs>
        <w:spacing w:after="0"/>
        <w:rPr>
          <w:sz w:val="22"/>
          <w:szCs w:val="22"/>
          <w:lang w:val="en-US"/>
        </w:rPr>
      </w:pPr>
      <w:r w:rsidRPr="000E651D">
        <w:rPr>
          <w:b/>
          <w:bCs/>
          <w:sz w:val="22"/>
          <w:szCs w:val="22"/>
        </w:rPr>
        <w:t>Human rights implications</w:t>
      </w:r>
    </w:p>
    <w:p w14:paraId="42AE64B1" w14:textId="77777777" w:rsidR="00254055" w:rsidRPr="000E651D" w:rsidRDefault="00254055" w:rsidP="0058797D">
      <w:pPr>
        <w:shd w:val="clear" w:color="auto" w:fill="FFFFFF"/>
        <w:rPr>
          <w:sz w:val="22"/>
          <w:szCs w:val="22"/>
        </w:rPr>
      </w:pPr>
    </w:p>
    <w:p w14:paraId="2B1AA0D6" w14:textId="0840D2DD" w:rsidR="001C134C" w:rsidRPr="000E651D" w:rsidRDefault="00254055" w:rsidP="004D4B0F">
      <w:pPr>
        <w:shd w:val="clear" w:color="auto" w:fill="FFFFFF"/>
        <w:rPr>
          <w:sz w:val="22"/>
          <w:szCs w:val="22"/>
        </w:rPr>
      </w:pPr>
      <w:r w:rsidRPr="000E651D">
        <w:rPr>
          <w:sz w:val="22"/>
          <w:szCs w:val="22"/>
        </w:rPr>
        <w:t>The</w:t>
      </w:r>
      <w:r w:rsidRPr="000E651D">
        <w:rPr>
          <w:bCs/>
          <w:sz w:val="22"/>
          <w:szCs w:val="22"/>
        </w:rPr>
        <w:t xml:space="preserve"> </w:t>
      </w:r>
      <w:r w:rsidR="007023D0" w:rsidRPr="000E651D">
        <w:rPr>
          <w:bCs/>
          <w:sz w:val="22"/>
          <w:szCs w:val="22"/>
        </w:rPr>
        <w:t>A</w:t>
      </w:r>
      <w:r w:rsidR="00914D7F" w:rsidRPr="000E651D">
        <w:rPr>
          <w:bCs/>
          <w:sz w:val="22"/>
          <w:szCs w:val="22"/>
        </w:rPr>
        <w:t xml:space="preserve">mendment </w:t>
      </w:r>
      <w:r w:rsidR="007023D0" w:rsidRPr="000E651D">
        <w:rPr>
          <w:bCs/>
          <w:sz w:val="22"/>
          <w:szCs w:val="22"/>
        </w:rPr>
        <w:t xml:space="preserve">Order </w:t>
      </w:r>
      <w:r w:rsidRPr="000E651D">
        <w:rPr>
          <w:bCs/>
          <w:sz w:val="22"/>
          <w:szCs w:val="22"/>
        </w:rPr>
        <w:t xml:space="preserve">engages the right to health in Article 12 of the International Covenant on Economic, Social and Cultural Rights (the ICESCR). Article 12 of the ICESCR promotes the right of all individuals to enjoy the highest attainable standard of physical and mental </w:t>
      </w:r>
      <w:proofErr w:type="gramStart"/>
      <w:r w:rsidRPr="000E651D">
        <w:rPr>
          <w:bCs/>
          <w:sz w:val="22"/>
          <w:szCs w:val="22"/>
        </w:rPr>
        <w:t>health, and</w:t>
      </w:r>
      <w:proofErr w:type="gramEnd"/>
      <w:r w:rsidRPr="000E651D">
        <w:rPr>
          <w:bCs/>
          <w:sz w:val="22"/>
          <w:szCs w:val="22"/>
        </w:rPr>
        <w:t xml:space="preserve"> includes an obligation to take reasonable measures within available resources to progressively secure broader enjoyment of the right</w:t>
      </w:r>
      <w:r w:rsidR="001C134C" w:rsidRPr="000E651D">
        <w:rPr>
          <w:sz w:val="22"/>
          <w:szCs w:val="22"/>
        </w:rPr>
        <w:t>.</w:t>
      </w:r>
    </w:p>
    <w:p w14:paraId="2C8EE5E0" w14:textId="77777777" w:rsidR="001C134C" w:rsidRPr="000E651D" w:rsidRDefault="001C134C" w:rsidP="004D4B0F">
      <w:pPr>
        <w:shd w:val="clear" w:color="auto" w:fill="FFFFFF"/>
        <w:rPr>
          <w:sz w:val="22"/>
          <w:szCs w:val="22"/>
        </w:rPr>
      </w:pPr>
    </w:p>
    <w:p w14:paraId="3759A395" w14:textId="19FF63C8" w:rsidR="00254055" w:rsidRPr="000E651D" w:rsidRDefault="00254055" w:rsidP="004D4B0F">
      <w:pPr>
        <w:shd w:val="clear" w:color="auto" w:fill="FFFFFF"/>
        <w:rPr>
          <w:sz w:val="22"/>
          <w:szCs w:val="22"/>
        </w:rPr>
      </w:pPr>
      <w:r w:rsidRPr="000E651D">
        <w:rPr>
          <w:sz w:val="22"/>
          <w:szCs w:val="22"/>
        </w:rPr>
        <w:t xml:space="preserve">In </w:t>
      </w:r>
      <w:r w:rsidRPr="000E651D">
        <w:rPr>
          <w:i/>
          <w:iCs/>
          <w:sz w:val="22"/>
          <w:szCs w:val="22"/>
        </w:rPr>
        <w:t xml:space="preserve">General Comment No. 14: The Right to the Highest Attainable Standard of Health (Art. 12) </w:t>
      </w:r>
      <w:r w:rsidRPr="000E651D">
        <w:rPr>
          <w:sz w:val="22"/>
          <w:szCs w:val="22"/>
        </w:rPr>
        <w:t>(2000), the United Nations Committee on Economic, Social and Cultural Rights states that health is a ‘</w:t>
      </w:r>
      <w:r w:rsidRPr="000E651D">
        <w:rPr>
          <w:i/>
          <w:sz w:val="22"/>
          <w:szCs w:val="22"/>
        </w:rPr>
        <w:t>fundamental human right indispensable for the exercise of other human rights</w:t>
      </w:r>
      <w:r w:rsidRPr="000E651D">
        <w:rPr>
          <w:iCs/>
          <w:sz w:val="22"/>
          <w:szCs w:val="22"/>
        </w:rPr>
        <w:t>’</w:t>
      </w:r>
      <w:r w:rsidRPr="000E651D">
        <w:rPr>
          <w:sz w:val="22"/>
          <w:szCs w:val="22"/>
        </w:rPr>
        <w:t>, and that the right to health is not to be understood as the right to be healthy, but includes the right to a system of health protection which provides equal opportunity for people to enjoy the highest attainable level of health.</w:t>
      </w:r>
    </w:p>
    <w:p w14:paraId="1418949C" w14:textId="77777777" w:rsidR="001C134C" w:rsidRPr="000E651D" w:rsidRDefault="001C134C" w:rsidP="004D4B0F">
      <w:pPr>
        <w:shd w:val="clear" w:color="auto" w:fill="FFFFFF"/>
        <w:rPr>
          <w:sz w:val="22"/>
          <w:szCs w:val="22"/>
        </w:rPr>
      </w:pPr>
    </w:p>
    <w:p w14:paraId="04E55756" w14:textId="2B387D7E" w:rsidR="00254055" w:rsidRPr="000E651D" w:rsidRDefault="0058797D" w:rsidP="0058797D">
      <w:pPr>
        <w:shd w:val="clear" w:color="auto" w:fill="FFFFFF"/>
        <w:rPr>
          <w:sz w:val="22"/>
          <w:szCs w:val="22"/>
        </w:rPr>
      </w:pPr>
      <w:r w:rsidRPr="000E651D">
        <w:rPr>
          <w:sz w:val="22"/>
          <w:szCs w:val="22"/>
        </w:rPr>
        <w:t xml:space="preserve">The </w:t>
      </w:r>
      <w:r w:rsidR="007023D0" w:rsidRPr="000E651D">
        <w:rPr>
          <w:sz w:val="22"/>
          <w:szCs w:val="22"/>
        </w:rPr>
        <w:t>A</w:t>
      </w:r>
      <w:r w:rsidR="005A3A17" w:rsidRPr="000E651D">
        <w:rPr>
          <w:sz w:val="22"/>
          <w:szCs w:val="22"/>
        </w:rPr>
        <w:t xml:space="preserve">mendment </w:t>
      </w:r>
      <w:r w:rsidR="007023D0" w:rsidRPr="000E651D">
        <w:rPr>
          <w:sz w:val="22"/>
          <w:szCs w:val="22"/>
        </w:rPr>
        <w:t xml:space="preserve">Order </w:t>
      </w:r>
      <w:r w:rsidR="00C02C33" w:rsidRPr="000E651D">
        <w:rPr>
          <w:sz w:val="22"/>
          <w:szCs w:val="22"/>
        </w:rPr>
        <w:t>supports</w:t>
      </w:r>
      <w:r w:rsidRPr="000E651D">
        <w:rPr>
          <w:sz w:val="22"/>
          <w:szCs w:val="22"/>
        </w:rPr>
        <w:t xml:space="preserve"> the right to health by </w:t>
      </w:r>
      <w:r w:rsidR="00056C57" w:rsidRPr="000E651D">
        <w:rPr>
          <w:sz w:val="22"/>
          <w:szCs w:val="22"/>
        </w:rPr>
        <w:t xml:space="preserve">updating performance testing requirement </w:t>
      </w:r>
      <w:r w:rsidR="00C02C33" w:rsidRPr="000E651D">
        <w:rPr>
          <w:sz w:val="22"/>
          <w:szCs w:val="22"/>
        </w:rPr>
        <w:t xml:space="preserve">set out in the Instructions </w:t>
      </w:r>
      <w:r w:rsidR="00056C57" w:rsidRPr="000E651D">
        <w:rPr>
          <w:sz w:val="22"/>
          <w:szCs w:val="22"/>
        </w:rPr>
        <w:t xml:space="preserve">to </w:t>
      </w:r>
      <w:r w:rsidR="00D5121B" w:rsidRPr="000E651D">
        <w:rPr>
          <w:sz w:val="22"/>
          <w:szCs w:val="22"/>
        </w:rPr>
        <w:t xml:space="preserve">help </w:t>
      </w:r>
      <w:r w:rsidRPr="000E651D">
        <w:rPr>
          <w:sz w:val="22"/>
          <w:szCs w:val="22"/>
        </w:rPr>
        <w:t>ensur</w:t>
      </w:r>
      <w:r w:rsidR="00D5121B" w:rsidRPr="000E651D">
        <w:rPr>
          <w:sz w:val="22"/>
          <w:szCs w:val="22"/>
        </w:rPr>
        <w:t>e</w:t>
      </w:r>
      <w:r w:rsidRPr="000E651D">
        <w:rPr>
          <w:sz w:val="22"/>
          <w:szCs w:val="22"/>
        </w:rPr>
        <w:t xml:space="preserve"> the safety, quality and efficacy of therapeutic goods that are disinfectant</w:t>
      </w:r>
      <w:r w:rsidR="00530E80" w:rsidRPr="000E651D">
        <w:rPr>
          <w:sz w:val="22"/>
          <w:szCs w:val="22"/>
        </w:rPr>
        <w:t>s</w:t>
      </w:r>
      <w:r w:rsidR="00D5121B" w:rsidRPr="000E651D">
        <w:rPr>
          <w:sz w:val="22"/>
          <w:szCs w:val="22"/>
        </w:rPr>
        <w:t xml:space="preserve">. The </w:t>
      </w:r>
      <w:r w:rsidR="007023D0" w:rsidRPr="000E651D">
        <w:rPr>
          <w:sz w:val="22"/>
          <w:szCs w:val="22"/>
        </w:rPr>
        <w:t>A</w:t>
      </w:r>
      <w:r w:rsidR="005A3A17" w:rsidRPr="000E651D">
        <w:rPr>
          <w:sz w:val="22"/>
          <w:szCs w:val="22"/>
        </w:rPr>
        <w:t xml:space="preserve">mendment </w:t>
      </w:r>
      <w:r w:rsidR="007023D0" w:rsidRPr="000E651D">
        <w:rPr>
          <w:sz w:val="22"/>
          <w:szCs w:val="22"/>
        </w:rPr>
        <w:t xml:space="preserve">Order </w:t>
      </w:r>
      <w:r w:rsidR="00D5121B" w:rsidRPr="000E651D">
        <w:rPr>
          <w:sz w:val="22"/>
          <w:szCs w:val="22"/>
        </w:rPr>
        <w:t xml:space="preserve">makes amendments to the </w:t>
      </w:r>
      <w:r w:rsidR="007023D0" w:rsidRPr="000E651D">
        <w:rPr>
          <w:sz w:val="22"/>
          <w:szCs w:val="22"/>
        </w:rPr>
        <w:t>P</w:t>
      </w:r>
      <w:r w:rsidR="00D5121B" w:rsidRPr="000E651D">
        <w:rPr>
          <w:sz w:val="22"/>
          <w:szCs w:val="22"/>
        </w:rPr>
        <w:t xml:space="preserve">rincipal </w:t>
      </w:r>
      <w:r w:rsidR="007023D0" w:rsidRPr="000E651D">
        <w:rPr>
          <w:sz w:val="22"/>
          <w:szCs w:val="22"/>
        </w:rPr>
        <w:t xml:space="preserve">Order </w:t>
      </w:r>
      <w:r w:rsidR="00D5121B" w:rsidRPr="000E651D">
        <w:rPr>
          <w:sz w:val="22"/>
          <w:szCs w:val="22"/>
        </w:rPr>
        <w:t xml:space="preserve">to ensure that the </w:t>
      </w:r>
      <w:r w:rsidR="00530E80" w:rsidRPr="000E651D">
        <w:rPr>
          <w:sz w:val="22"/>
          <w:szCs w:val="22"/>
        </w:rPr>
        <w:t>P</w:t>
      </w:r>
      <w:r w:rsidR="00D5121B" w:rsidRPr="000E651D">
        <w:rPr>
          <w:sz w:val="22"/>
          <w:szCs w:val="22"/>
        </w:rPr>
        <w:t xml:space="preserve">rincipal </w:t>
      </w:r>
      <w:r w:rsidR="00530E80" w:rsidRPr="000E651D">
        <w:rPr>
          <w:sz w:val="22"/>
          <w:szCs w:val="22"/>
        </w:rPr>
        <w:t xml:space="preserve">Order </w:t>
      </w:r>
      <w:r w:rsidR="001D2E28" w:rsidRPr="000E651D">
        <w:rPr>
          <w:sz w:val="22"/>
          <w:szCs w:val="22"/>
        </w:rPr>
        <w:t>i</w:t>
      </w:r>
      <w:r w:rsidR="00BA2C4D" w:rsidRPr="000E651D">
        <w:rPr>
          <w:sz w:val="22"/>
          <w:szCs w:val="22"/>
        </w:rPr>
        <w:t xml:space="preserve">s in line with the most recent Instructions and </w:t>
      </w:r>
      <w:r w:rsidR="00D5121B" w:rsidRPr="000E651D">
        <w:rPr>
          <w:sz w:val="22"/>
          <w:szCs w:val="22"/>
        </w:rPr>
        <w:t>continues to effectively provide for</w:t>
      </w:r>
      <w:r w:rsidRPr="000E651D">
        <w:rPr>
          <w:sz w:val="22"/>
          <w:szCs w:val="22"/>
        </w:rPr>
        <w:t xml:space="preserve"> minimum performance requirements for disinfectants </w:t>
      </w:r>
      <w:proofErr w:type="gramStart"/>
      <w:r w:rsidRPr="000E651D">
        <w:rPr>
          <w:sz w:val="22"/>
          <w:szCs w:val="22"/>
        </w:rPr>
        <w:t>so as to</w:t>
      </w:r>
      <w:proofErr w:type="gramEnd"/>
      <w:r w:rsidRPr="000E651D">
        <w:rPr>
          <w:sz w:val="22"/>
          <w:szCs w:val="22"/>
        </w:rPr>
        <w:t xml:space="preserve"> ensure </w:t>
      </w:r>
      <w:r w:rsidR="00A52676" w:rsidRPr="000E651D">
        <w:rPr>
          <w:sz w:val="22"/>
          <w:szCs w:val="22"/>
        </w:rPr>
        <w:t xml:space="preserve">their </w:t>
      </w:r>
      <w:r w:rsidRPr="000E651D">
        <w:rPr>
          <w:sz w:val="22"/>
          <w:szCs w:val="22"/>
        </w:rPr>
        <w:t xml:space="preserve">safe </w:t>
      </w:r>
      <w:r w:rsidR="00335B35" w:rsidRPr="000E651D">
        <w:rPr>
          <w:sz w:val="22"/>
          <w:szCs w:val="22"/>
        </w:rPr>
        <w:t xml:space="preserve">and effective </w:t>
      </w:r>
      <w:r w:rsidRPr="000E651D">
        <w:rPr>
          <w:sz w:val="22"/>
          <w:szCs w:val="22"/>
        </w:rPr>
        <w:t>use</w:t>
      </w:r>
      <w:r w:rsidR="00CB3C37" w:rsidRPr="000E651D">
        <w:rPr>
          <w:sz w:val="22"/>
          <w:szCs w:val="22"/>
        </w:rPr>
        <w:t>.</w:t>
      </w:r>
      <w:r w:rsidR="00C02C33" w:rsidRPr="000E651D">
        <w:rPr>
          <w:sz w:val="22"/>
          <w:szCs w:val="22"/>
        </w:rPr>
        <w:t xml:space="preserve"> The Amendment Order also reduces regulatory burden and supports the supply of hospital grade disinfectant wipes or sponges for single use by streamlining the tests that such products are required to pass. </w:t>
      </w:r>
    </w:p>
    <w:p w14:paraId="0FE547E2" w14:textId="66F1EC37" w:rsidR="00254055" w:rsidRPr="000E651D" w:rsidRDefault="00254055" w:rsidP="0058797D">
      <w:pPr>
        <w:shd w:val="clear" w:color="auto" w:fill="FFFFFF"/>
        <w:rPr>
          <w:sz w:val="22"/>
          <w:szCs w:val="22"/>
        </w:rPr>
      </w:pPr>
    </w:p>
    <w:p w14:paraId="6A036784" w14:textId="77777777" w:rsidR="00EA05A0" w:rsidRPr="000E651D" w:rsidRDefault="00EA05A0" w:rsidP="00D36AA6">
      <w:pPr>
        <w:keepNext/>
        <w:shd w:val="clear" w:color="auto" w:fill="FFFFFF"/>
        <w:rPr>
          <w:sz w:val="22"/>
          <w:szCs w:val="22"/>
          <w:lang w:val="en-US"/>
        </w:rPr>
      </w:pPr>
      <w:r w:rsidRPr="000E651D">
        <w:rPr>
          <w:b/>
          <w:bCs/>
          <w:sz w:val="22"/>
          <w:szCs w:val="22"/>
        </w:rPr>
        <w:t>Conclusion</w:t>
      </w:r>
    </w:p>
    <w:p w14:paraId="1FA7188F" w14:textId="77777777" w:rsidR="00254055" w:rsidRPr="000E651D" w:rsidRDefault="00254055" w:rsidP="00B241BB">
      <w:pPr>
        <w:shd w:val="clear" w:color="auto" w:fill="FFFFFF"/>
        <w:rPr>
          <w:sz w:val="22"/>
          <w:szCs w:val="22"/>
        </w:rPr>
      </w:pPr>
    </w:p>
    <w:p w14:paraId="6865E51D" w14:textId="26BB0019" w:rsidR="00EA05A0" w:rsidRPr="000E651D" w:rsidRDefault="00EA05A0" w:rsidP="00B241BB">
      <w:pPr>
        <w:shd w:val="clear" w:color="auto" w:fill="FFFFFF"/>
        <w:rPr>
          <w:sz w:val="22"/>
          <w:szCs w:val="22"/>
        </w:rPr>
      </w:pPr>
      <w:r w:rsidRPr="000E651D">
        <w:rPr>
          <w:sz w:val="22"/>
          <w:szCs w:val="22"/>
        </w:rPr>
        <w:t xml:space="preserve">This instrument is compatible with human rights </w:t>
      </w:r>
      <w:r w:rsidR="0058797D" w:rsidRPr="000E651D">
        <w:rPr>
          <w:sz w:val="22"/>
          <w:szCs w:val="22"/>
        </w:rPr>
        <w:t xml:space="preserve">because it </w:t>
      </w:r>
      <w:r w:rsidR="00C02C33" w:rsidRPr="000E651D">
        <w:rPr>
          <w:sz w:val="22"/>
          <w:szCs w:val="22"/>
        </w:rPr>
        <w:t xml:space="preserve">supports </w:t>
      </w:r>
      <w:r w:rsidR="0058797D" w:rsidRPr="000E651D">
        <w:rPr>
          <w:sz w:val="22"/>
          <w:szCs w:val="22"/>
        </w:rPr>
        <w:t xml:space="preserve">the right to health in Article 12 of the ICESCR as outlined </w:t>
      </w:r>
      <w:proofErr w:type="gramStart"/>
      <w:r w:rsidR="0058797D" w:rsidRPr="000E651D">
        <w:rPr>
          <w:sz w:val="22"/>
          <w:szCs w:val="22"/>
        </w:rPr>
        <w:t>above, and</w:t>
      </w:r>
      <w:proofErr w:type="gramEnd"/>
      <w:r w:rsidR="0058797D" w:rsidRPr="000E651D">
        <w:rPr>
          <w:sz w:val="22"/>
          <w:szCs w:val="22"/>
        </w:rPr>
        <w:t xml:space="preserve"> otherwise does not raise any human rights issues.</w:t>
      </w:r>
    </w:p>
    <w:p w14:paraId="7C18E93F" w14:textId="77777777" w:rsidR="004618D4" w:rsidRPr="000E651D" w:rsidRDefault="004618D4" w:rsidP="007B6560">
      <w:pPr>
        <w:autoSpaceDE w:val="0"/>
        <w:autoSpaceDN w:val="0"/>
        <w:adjustRightInd w:val="0"/>
        <w:rPr>
          <w:sz w:val="22"/>
          <w:szCs w:val="22"/>
        </w:rPr>
      </w:pPr>
    </w:p>
    <w:sectPr w:rsidR="004618D4" w:rsidRPr="000E651D" w:rsidSect="007C1334">
      <w:footerReference w:type="default" r:id="rId8"/>
      <w:headerReference w:type="first" r:id="rId9"/>
      <w:footerReference w:type="first" r:id="rId10"/>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04A9" w14:textId="77777777" w:rsidR="006C750A" w:rsidRDefault="006C750A">
      <w:r>
        <w:separator/>
      </w:r>
    </w:p>
  </w:endnote>
  <w:endnote w:type="continuationSeparator" w:id="0">
    <w:p w14:paraId="2017094C" w14:textId="77777777" w:rsidR="006C750A" w:rsidRDefault="006C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A9DC" w14:textId="1154694A" w:rsidR="00563089" w:rsidRDefault="00563089">
    <w:pPr>
      <w:pStyle w:val="Footer"/>
      <w:jc w:val="center"/>
    </w:pPr>
    <w:r>
      <w:fldChar w:fldCharType="begin"/>
    </w:r>
    <w:r>
      <w:instrText xml:space="preserve"> PAGE   \* MERGEFORMAT </w:instrText>
    </w:r>
    <w:r>
      <w:fldChar w:fldCharType="separate"/>
    </w:r>
    <w:r w:rsidR="00F70645">
      <w:rPr>
        <w:noProof/>
      </w:rPr>
      <w:t>2</w:t>
    </w:r>
    <w:r>
      <w:rPr>
        <w:noProof/>
      </w:rPr>
      <w:fldChar w:fldCharType="end"/>
    </w:r>
  </w:p>
  <w:p w14:paraId="4746193D" w14:textId="77777777" w:rsidR="00563089" w:rsidRPr="00D616D0" w:rsidRDefault="00563089">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0183" w14:textId="77777777" w:rsidR="00563089" w:rsidRPr="00D616D0" w:rsidRDefault="00563089">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18D7" w14:textId="77777777" w:rsidR="006C750A" w:rsidRDefault="006C750A">
      <w:r>
        <w:separator/>
      </w:r>
    </w:p>
  </w:footnote>
  <w:footnote w:type="continuationSeparator" w:id="0">
    <w:p w14:paraId="6C4A6A5C" w14:textId="77777777" w:rsidR="006C750A" w:rsidRDefault="006C7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8A10" w14:textId="77777777" w:rsidR="00563089" w:rsidRDefault="00563089">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FABE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E3B30"/>
    <w:multiLevelType w:val="multilevel"/>
    <w:tmpl w:val="1B32B982"/>
    <w:lvl w:ilvl="0">
      <w:start w:val="1"/>
      <w:numFmt w:val="decimal"/>
      <w:pStyle w:val="JIEACSHeading1"/>
      <w:lvlText w:val="%1"/>
      <w:lvlJc w:val="left"/>
      <w:pPr>
        <w:tabs>
          <w:tab w:val="num" w:pos="432"/>
        </w:tabs>
        <w:ind w:left="432" w:hanging="432"/>
      </w:pPr>
      <w:rPr>
        <w:rFonts w:hint="default"/>
      </w:rPr>
    </w:lvl>
    <w:lvl w:ilvl="1">
      <w:start w:val="1"/>
      <w:numFmt w:val="decimal"/>
      <w:pStyle w:val="JIEACSNumberedHeading2"/>
      <w:lvlText w:val="%1.%2"/>
      <w:lvlJc w:val="left"/>
      <w:pPr>
        <w:tabs>
          <w:tab w:val="num" w:pos="907"/>
        </w:tabs>
        <w:ind w:left="567" w:hanging="567"/>
      </w:pPr>
      <w:rPr>
        <w:rFonts w:hint="default"/>
        <w:b/>
        <w:i w:val="0"/>
        <w:sz w:val="24"/>
        <w:szCs w:val="24"/>
      </w:rPr>
    </w:lvl>
    <w:lvl w:ilvl="2">
      <w:start w:val="1"/>
      <w:numFmt w:val="decimal"/>
      <w:pStyle w:val="JIEACSNumberedHeading3"/>
      <w:lvlText w:val="%1.%2.%3"/>
      <w:lvlJc w:val="left"/>
      <w:pPr>
        <w:tabs>
          <w:tab w:val="num" w:pos="907"/>
        </w:tabs>
        <w:ind w:left="907" w:hanging="907"/>
      </w:pPr>
      <w:rPr>
        <w:rFonts w:hint="default"/>
        <w:b w:val="0"/>
        <w:i w:val="0"/>
      </w:rPr>
    </w:lvl>
    <w:lvl w:ilvl="3">
      <w:start w:val="1"/>
      <w:numFmt w:val="decimal"/>
      <w:lvlText w:val="%1.%2.%3.%4"/>
      <w:lvlJc w:val="left"/>
      <w:pPr>
        <w:tabs>
          <w:tab w:val="num" w:pos="907"/>
        </w:tabs>
        <w:ind w:left="907" w:hanging="907"/>
      </w:pPr>
      <w:rPr>
        <w:rFonts w:ascii="Times New Roman" w:hAnsi="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D1D54BB"/>
    <w:multiLevelType w:val="hybridMultilevel"/>
    <w:tmpl w:val="8BA0E862"/>
    <w:lvl w:ilvl="0" w:tplc="CCA6712E">
      <w:start w:val="1"/>
      <w:numFmt w:val="decimal"/>
      <w:lvlText w:val="%1"/>
      <w:lvlJc w:val="left"/>
      <w:pPr>
        <w:tabs>
          <w:tab w:val="num" w:pos="1440"/>
        </w:tabs>
        <w:ind w:left="1440" w:hanging="900"/>
      </w:pPr>
      <w:rPr>
        <w:rFonts w:hint="default"/>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3" w15:restartNumberingAfterBreak="0">
    <w:nsid w:val="15035B84"/>
    <w:multiLevelType w:val="hybridMultilevel"/>
    <w:tmpl w:val="E0444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3D4BE3"/>
    <w:multiLevelType w:val="hybridMultilevel"/>
    <w:tmpl w:val="1AFED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8F13E9"/>
    <w:multiLevelType w:val="multilevel"/>
    <w:tmpl w:val="DA360B98"/>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9B4141"/>
    <w:multiLevelType w:val="hybridMultilevel"/>
    <w:tmpl w:val="4A9A6B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4822A7E"/>
    <w:multiLevelType w:val="multilevel"/>
    <w:tmpl w:val="BB6E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67D98"/>
    <w:multiLevelType w:val="hybridMultilevel"/>
    <w:tmpl w:val="EC3E85F8"/>
    <w:lvl w:ilvl="0" w:tplc="0B3AF97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BC0079"/>
    <w:multiLevelType w:val="hybridMultilevel"/>
    <w:tmpl w:val="96A84D1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4C87121"/>
    <w:multiLevelType w:val="hybridMultilevel"/>
    <w:tmpl w:val="F3F0E930"/>
    <w:lvl w:ilvl="0" w:tplc="0C090001">
      <w:start w:val="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294AC9"/>
    <w:multiLevelType w:val="hybridMultilevel"/>
    <w:tmpl w:val="33386AB4"/>
    <w:lvl w:ilvl="0" w:tplc="3AE60788">
      <w:start w:val="1"/>
      <w:numFmt w:val="lowerRoman"/>
      <w:lvlText w:val="(%1)"/>
      <w:lvlJc w:val="left"/>
      <w:pPr>
        <w:ind w:left="1854" w:hanging="720"/>
      </w:p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13" w15:restartNumberingAfterBreak="0">
    <w:nsid w:val="466C6690"/>
    <w:multiLevelType w:val="hybridMultilevel"/>
    <w:tmpl w:val="C212C3C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537916DA"/>
    <w:multiLevelType w:val="hybridMultilevel"/>
    <w:tmpl w:val="129659AC"/>
    <w:lvl w:ilvl="0" w:tplc="7D78EC8A">
      <w:start w:val="1"/>
      <w:numFmt w:val="bullet"/>
      <w:lvlText w:val=""/>
      <w:lvlJc w:val="left"/>
      <w:pPr>
        <w:tabs>
          <w:tab w:val="num" w:pos="567"/>
        </w:tabs>
        <w:ind w:left="567" w:hanging="283"/>
      </w:pPr>
      <w:rPr>
        <w:rFonts w:ascii="Symbol" w:hAnsi="Symbol" w:cs="Symbol"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54A3C29"/>
    <w:multiLevelType w:val="hybridMultilevel"/>
    <w:tmpl w:val="71962C1A"/>
    <w:lvl w:ilvl="0" w:tplc="458C9834">
      <w:start w:val="1"/>
      <w:numFmt w:val="decimal"/>
      <w:lvlText w:val="%1."/>
      <w:lvlJc w:val="left"/>
      <w:pPr>
        <w:ind w:left="1020" w:hanging="360"/>
      </w:pPr>
    </w:lvl>
    <w:lvl w:ilvl="1" w:tplc="A36ABF56">
      <w:start w:val="1"/>
      <w:numFmt w:val="decimal"/>
      <w:lvlText w:val="%2."/>
      <w:lvlJc w:val="left"/>
      <w:pPr>
        <w:ind w:left="1020" w:hanging="360"/>
      </w:pPr>
    </w:lvl>
    <w:lvl w:ilvl="2" w:tplc="0002A4BA">
      <w:start w:val="1"/>
      <w:numFmt w:val="decimal"/>
      <w:lvlText w:val="%3."/>
      <w:lvlJc w:val="left"/>
      <w:pPr>
        <w:ind w:left="1020" w:hanging="360"/>
      </w:pPr>
    </w:lvl>
    <w:lvl w:ilvl="3" w:tplc="1EC025C6">
      <w:start w:val="1"/>
      <w:numFmt w:val="decimal"/>
      <w:lvlText w:val="%4."/>
      <w:lvlJc w:val="left"/>
      <w:pPr>
        <w:ind w:left="1020" w:hanging="360"/>
      </w:pPr>
    </w:lvl>
    <w:lvl w:ilvl="4" w:tplc="9F9C9062">
      <w:start w:val="1"/>
      <w:numFmt w:val="decimal"/>
      <w:lvlText w:val="%5."/>
      <w:lvlJc w:val="left"/>
      <w:pPr>
        <w:ind w:left="1020" w:hanging="360"/>
      </w:pPr>
    </w:lvl>
    <w:lvl w:ilvl="5" w:tplc="7CEA872A">
      <w:start w:val="1"/>
      <w:numFmt w:val="decimal"/>
      <w:lvlText w:val="%6."/>
      <w:lvlJc w:val="left"/>
      <w:pPr>
        <w:ind w:left="1020" w:hanging="360"/>
      </w:pPr>
    </w:lvl>
    <w:lvl w:ilvl="6" w:tplc="FF006730">
      <w:start w:val="1"/>
      <w:numFmt w:val="decimal"/>
      <w:lvlText w:val="%7."/>
      <w:lvlJc w:val="left"/>
      <w:pPr>
        <w:ind w:left="1020" w:hanging="360"/>
      </w:pPr>
    </w:lvl>
    <w:lvl w:ilvl="7" w:tplc="F216C094">
      <w:start w:val="1"/>
      <w:numFmt w:val="decimal"/>
      <w:lvlText w:val="%8."/>
      <w:lvlJc w:val="left"/>
      <w:pPr>
        <w:ind w:left="1020" w:hanging="360"/>
      </w:pPr>
    </w:lvl>
    <w:lvl w:ilvl="8" w:tplc="7B90E126">
      <w:start w:val="1"/>
      <w:numFmt w:val="decimal"/>
      <w:lvlText w:val="%9."/>
      <w:lvlJc w:val="left"/>
      <w:pPr>
        <w:ind w:left="1020" w:hanging="360"/>
      </w:pPr>
    </w:lvl>
  </w:abstractNum>
  <w:abstractNum w:abstractNumId="16" w15:restartNumberingAfterBreak="0">
    <w:nsid w:val="55CD5CD4"/>
    <w:multiLevelType w:val="hybridMultilevel"/>
    <w:tmpl w:val="FF4C9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C17A7C"/>
    <w:multiLevelType w:val="hybridMultilevel"/>
    <w:tmpl w:val="7274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B631FF"/>
    <w:multiLevelType w:val="hybridMultilevel"/>
    <w:tmpl w:val="6BD65C2E"/>
    <w:lvl w:ilvl="0" w:tplc="C59A2EA0">
      <w:start w:val="1"/>
      <w:numFmt w:val="bullet"/>
      <w:lvlText w:val=""/>
      <w:lvlJc w:val="left"/>
      <w:pPr>
        <w:tabs>
          <w:tab w:val="num" w:pos="360"/>
        </w:tabs>
        <w:ind w:left="360" w:hanging="360"/>
      </w:pPr>
      <w:rPr>
        <w:rFonts w:ascii="Symbol" w:hAnsi="Symbol" w:hint="default"/>
      </w:rPr>
    </w:lvl>
    <w:lvl w:ilvl="1" w:tplc="0ECE4028">
      <w:start w:val="1"/>
      <w:numFmt w:val="bullet"/>
      <w:lvlText w:val=""/>
      <w:lvlJc w:val="left"/>
      <w:pPr>
        <w:tabs>
          <w:tab w:val="num" w:pos="284"/>
        </w:tabs>
        <w:ind w:left="284" w:hanging="284"/>
      </w:pPr>
      <w:rPr>
        <w:rFonts w:ascii="Symbol" w:hAnsi="Symbol"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AE3725C"/>
    <w:multiLevelType w:val="hybridMultilevel"/>
    <w:tmpl w:val="F5A8F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8D116D"/>
    <w:multiLevelType w:val="hybridMultilevel"/>
    <w:tmpl w:val="48D23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9400F4F"/>
    <w:multiLevelType w:val="hybridMultilevel"/>
    <w:tmpl w:val="33386AB4"/>
    <w:lvl w:ilvl="0" w:tplc="3AE60788">
      <w:start w:val="1"/>
      <w:numFmt w:val="lowerRoman"/>
      <w:lvlText w:val="(%1)"/>
      <w:lvlJc w:val="left"/>
      <w:pPr>
        <w:ind w:left="1854" w:hanging="720"/>
      </w:p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22" w15:restartNumberingAfterBreak="0">
    <w:nsid w:val="6D8F5855"/>
    <w:multiLevelType w:val="hybridMultilevel"/>
    <w:tmpl w:val="FF4CCA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14418B9"/>
    <w:multiLevelType w:val="hybridMultilevel"/>
    <w:tmpl w:val="62E08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5B2943"/>
    <w:multiLevelType w:val="hybridMultilevel"/>
    <w:tmpl w:val="33386AB4"/>
    <w:lvl w:ilvl="0" w:tplc="3AE60788">
      <w:start w:val="1"/>
      <w:numFmt w:val="lowerRoman"/>
      <w:lvlText w:val="(%1)"/>
      <w:lvlJc w:val="left"/>
      <w:pPr>
        <w:ind w:left="1854" w:hanging="720"/>
      </w:p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25" w15:restartNumberingAfterBreak="0">
    <w:nsid w:val="747611C6"/>
    <w:multiLevelType w:val="multilevel"/>
    <w:tmpl w:val="0E5666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3681310">
    <w:abstractNumId w:val="14"/>
  </w:num>
  <w:num w:numId="2" w16cid:durableId="1006444200">
    <w:abstractNumId w:val="2"/>
  </w:num>
  <w:num w:numId="3" w16cid:durableId="556206187">
    <w:abstractNumId w:val="8"/>
  </w:num>
  <w:num w:numId="4" w16cid:durableId="1969624688">
    <w:abstractNumId w:val="1"/>
  </w:num>
  <w:num w:numId="5" w16cid:durableId="1110006018">
    <w:abstractNumId w:val="13"/>
  </w:num>
  <w:num w:numId="6" w16cid:durableId="1227180575">
    <w:abstractNumId w:val="25"/>
  </w:num>
  <w:num w:numId="7" w16cid:durableId="1142229839">
    <w:abstractNumId w:val="18"/>
  </w:num>
  <w:num w:numId="8" w16cid:durableId="1274823562">
    <w:abstractNumId w:val="19"/>
  </w:num>
  <w:num w:numId="9" w16cid:durableId="1195459729">
    <w:abstractNumId w:val="0"/>
  </w:num>
  <w:num w:numId="10" w16cid:durableId="2025084906">
    <w:abstractNumId w:val="23"/>
  </w:num>
  <w:num w:numId="11" w16cid:durableId="1685327811">
    <w:abstractNumId w:val="17"/>
  </w:num>
  <w:num w:numId="12" w16cid:durableId="20168763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838628">
    <w:abstractNumId w:val="3"/>
  </w:num>
  <w:num w:numId="14" w16cid:durableId="1641299724">
    <w:abstractNumId w:val="5"/>
  </w:num>
  <w:num w:numId="15" w16cid:durableId="1677419926">
    <w:abstractNumId w:val="20"/>
  </w:num>
  <w:num w:numId="16" w16cid:durableId="269439170">
    <w:abstractNumId w:val="22"/>
  </w:num>
  <w:num w:numId="17" w16cid:durableId="61149398">
    <w:abstractNumId w:val="4"/>
  </w:num>
  <w:num w:numId="18" w16cid:durableId="554316524">
    <w:abstractNumId w:val="9"/>
  </w:num>
  <w:num w:numId="19" w16cid:durableId="2021197759">
    <w:abstractNumId w:val="7"/>
  </w:num>
  <w:num w:numId="20" w16cid:durableId="2041122218">
    <w:abstractNumId w:val="21"/>
  </w:num>
  <w:num w:numId="21" w16cid:durableId="1575821902">
    <w:abstractNumId w:val="12"/>
  </w:num>
  <w:num w:numId="22" w16cid:durableId="762989893">
    <w:abstractNumId w:val="24"/>
  </w:num>
  <w:num w:numId="23" w16cid:durableId="1127820807">
    <w:abstractNumId w:val="16"/>
  </w:num>
  <w:num w:numId="24" w16cid:durableId="1501385871">
    <w:abstractNumId w:val="10"/>
  </w:num>
  <w:num w:numId="25" w16cid:durableId="139811846">
    <w:abstractNumId w:val="0"/>
  </w:num>
  <w:num w:numId="26" w16cid:durableId="1004699255">
    <w:abstractNumId w:val="0"/>
  </w:num>
  <w:num w:numId="27" w16cid:durableId="1425296921">
    <w:abstractNumId w:val="0"/>
  </w:num>
  <w:num w:numId="28" w16cid:durableId="59796798">
    <w:abstractNumId w:val="0"/>
  </w:num>
  <w:num w:numId="29" w16cid:durableId="2115587674">
    <w:abstractNumId w:val="6"/>
  </w:num>
  <w:num w:numId="30" w16cid:durableId="1317226557">
    <w:abstractNumId w:val="6"/>
  </w:num>
  <w:num w:numId="31" w16cid:durableId="189490996">
    <w:abstractNumId w:val="15"/>
  </w:num>
  <w:num w:numId="32" w16cid:durableId="2009744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8D4"/>
    <w:rsid w:val="00001418"/>
    <w:rsid w:val="00002122"/>
    <w:rsid w:val="00002529"/>
    <w:rsid w:val="000053E8"/>
    <w:rsid w:val="000056AF"/>
    <w:rsid w:val="000060D7"/>
    <w:rsid w:val="00007744"/>
    <w:rsid w:val="00011C02"/>
    <w:rsid w:val="00012B27"/>
    <w:rsid w:val="00016DBD"/>
    <w:rsid w:val="0002263C"/>
    <w:rsid w:val="00027FA1"/>
    <w:rsid w:val="00030DBB"/>
    <w:rsid w:val="00034364"/>
    <w:rsid w:val="00036B5A"/>
    <w:rsid w:val="00040501"/>
    <w:rsid w:val="000412C5"/>
    <w:rsid w:val="00042A6A"/>
    <w:rsid w:val="000548DC"/>
    <w:rsid w:val="000553AC"/>
    <w:rsid w:val="00055568"/>
    <w:rsid w:val="00056C57"/>
    <w:rsid w:val="00057F27"/>
    <w:rsid w:val="000632FC"/>
    <w:rsid w:val="0006674C"/>
    <w:rsid w:val="000717FE"/>
    <w:rsid w:val="0007767F"/>
    <w:rsid w:val="000843D1"/>
    <w:rsid w:val="00094880"/>
    <w:rsid w:val="00095208"/>
    <w:rsid w:val="00097051"/>
    <w:rsid w:val="000A05B1"/>
    <w:rsid w:val="000B4404"/>
    <w:rsid w:val="000C023B"/>
    <w:rsid w:val="000C063A"/>
    <w:rsid w:val="000C0B17"/>
    <w:rsid w:val="000C17AA"/>
    <w:rsid w:val="000C43FB"/>
    <w:rsid w:val="000C62A3"/>
    <w:rsid w:val="000D404A"/>
    <w:rsid w:val="000D492C"/>
    <w:rsid w:val="000D71D9"/>
    <w:rsid w:val="000D766B"/>
    <w:rsid w:val="000D7BA5"/>
    <w:rsid w:val="000E1ADE"/>
    <w:rsid w:val="000E4318"/>
    <w:rsid w:val="000E651D"/>
    <w:rsid w:val="000F0EE8"/>
    <w:rsid w:val="000F2C12"/>
    <w:rsid w:val="000F51F5"/>
    <w:rsid w:val="00100319"/>
    <w:rsid w:val="00100648"/>
    <w:rsid w:val="001044B7"/>
    <w:rsid w:val="001070F5"/>
    <w:rsid w:val="00107185"/>
    <w:rsid w:val="00107AED"/>
    <w:rsid w:val="00111341"/>
    <w:rsid w:val="001151D3"/>
    <w:rsid w:val="00116E87"/>
    <w:rsid w:val="00137A8B"/>
    <w:rsid w:val="001408E0"/>
    <w:rsid w:val="00140901"/>
    <w:rsid w:val="00141B8A"/>
    <w:rsid w:val="00143B96"/>
    <w:rsid w:val="00144697"/>
    <w:rsid w:val="001516D9"/>
    <w:rsid w:val="001561BF"/>
    <w:rsid w:val="001566A5"/>
    <w:rsid w:val="00160E7C"/>
    <w:rsid w:val="00164A8A"/>
    <w:rsid w:val="00164FD7"/>
    <w:rsid w:val="00170EE5"/>
    <w:rsid w:val="00180168"/>
    <w:rsid w:val="001808E0"/>
    <w:rsid w:val="00182D89"/>
    <w:rsid w:val="00190496"/>
    <w:rsid w:val="00190CA2"/>
    <w:rsid w:val="00192AD3"/>
    <w:rsid w:val="00193002"/>
    <w:rsid w:val="00194128"/>
    <w:rsid w:val="0019736A"/>
    <w:rsid w:val="0019752E"/>
    <w:rsid w:val="001A25E6"/>
    <w:rsid w:val="001A55E4"/>
    <w:rsid w:val="001A6375"/>
    <w:rsid w:val="001A6A6C"/>
    <w:rsid w:val="001C0B2A"/>
    <w:rsid w:val="001C134C"/>
    <w:rsid w:val="001C6AF5"/>
    <w:rsid w:val="001D2E28"/>
    <w:rsid w:val="001D4ABD"/>
    <w:rsid w:val="001D6B54"/>
    <w:rsid w:val="001E6C7E"/>
    <w:rsid w:val="001F24FB"/>
    <w:rsid w:val="001F49F0"/>
    <w:rsid w:val="001F49F8"/>
    <w:rsid w:val="001F6937"/>
    <w:rsid w:val="001F6B7E"/>
    <w:rsid w:val="00203A1B"/>
    <w:rsid w:val="002063B4"/>
    <w:rsid w:val="00210712"/>
    <w:rsid w:val="00211D77"/>
    <w:rsid w:val="0021230B"/>
    <w:rsid w:val="0022262C"/>
    <w:rsid w:val="00223251"/>
    <w:rsid w:val="0023402E"/>
    <w:rsid w:val="002447E6"/>
    <w:rsid w:val="00247F81"/>
    <w:rsid w:val="00251879"/>
    <w:rsid w:val="00254055"/>
    <w:rsid w:val="00255510"/>
    <w:rsid w:val="00260194"/>
    <w:rsid w:val="002652D3"/>
    <w:rsid w:val="002707F1"/>
    <w:rsid w:val="00270BF5"/>
    <w:rsid w:val="0027153D"/>
    <w:rsid w:val="00275F2B"/>
    <w:rsid w:val="00284969"/>
    <w:rsid w:val="002874DC"/>
    <w:rsid w:val="00295CB0"/>
    <w:rsid w:val="00295DA3"/>
    <w:rsid w:val="00297988"/>
    <w:rsid w:val="002A3144"/>
    <w:rsid w:val="002A3CA4"/>
    <w:rsid w:val="002A3F72"/>
    <w:rsid w:val="002A6858"/>
    <w:rsid w:val="002A6955"/>
    <w:rsid w:val="002B2D00"/>
    <w:rsid w:val="002B5C57"/>
    <w:rsid w:val="002D1AFB"/>
    <w:rsid w:val="002D2BCB"/>
    <w:rsid w:val="002D6048"/>
    <w:rsid w:val="002E4942"/>
    <w:rsid w:val="002E6195"/>
    <w:rsid w:val="002F071E"/>
    <w:rsid w:val="002F2C85"/>
    <w:rsid w:val="003036E2"/>
    <w:rsid w:val="003141FE"/>
    <w:rsid w:val="00321DB0"/>
    <w:rsid w:val="00325C9A"/>
    <w:rsid w:val="00327E47"/>
    <w:rsid w:val="00330BC9"/>
    <w:rsid w:val="00331308"/>
    <w:rsid w:val="00331FDC"/>
    <w:rsid w:val="003354FB"/>
    <w:rsid w:val="00335B35"/>
    <w:rsid w:val="003373D6"/>
    <w:rsid w:val="00340ADE"/>
    <w:rsid w:val="00342B25"/>
    <w:rsid w:val="003530E6"/>
    <w:rsid w:val="00360B53"/>
    <w:rsid w:val="00360C4E"/>
    <w:rsid w:val="00362DD3"/>
    <w:rsid w:val="0036420D"/>
    <w:rsid w:val="0036532B"/>
    <w:rsid w:val="003735A1"/>
    <w:rsid w:val="0037460E"/>
    <w:rsid w:val="00381676"/>
    <w:rsid w:val="00381882"/>
    <w:rsid w:val="00382B13"/>
    <w:rsid w:val="0038491D"/>
    <w:rsid w:val="00390897"/>
    <w:rsid w:val="00390CCE"/>
    <w:rsid w:val="00392518"/>
    <w:rsid w:val="003926D5"/>
    <w:rsid w:val="00394C14"/>
    <w:rsid w:val="00395FD1"/>
    <w:rsid w:val="003961E2"/>
    <w:rsid w:val="003965A6"/>
    <w:rsid w:val="003A3D1C"/>
    <w:rsid w:val="003A3F46"/>
    <w:rsid w:val="003A4B6F"/>
    <w:rsid w:val="003B03B9"/>
    <w:rsid w:val="003B0AB5"/>
    <w:rsid w:val="003B1629"/>
    <w:rsid w:val="003B4D8F"/>
    <w:rsid w:val="003B509B"/>
    <w:rsid w:val="003B7244"/>
    <w:rsid w:val="003B7D2F"/>
    <w:rsid w:val="003C34A5"/>
    <w:rsid w:val="003C712D"/>
    <w:rsid w:val="003C76D8"/>
    <w:rsid w:val="003C7816"/>
    <w:rsid w:val="003C79C9"/>
    <w:rsid w:val="003D1819"/>
    <w:rsid w:val="003D2781"/>
    <w:rsid w:val="003D68A7"/>
    <w:rsid w:val="003D77E8"/>
    <w:rsid w:val="003E6313"/>
    <w:rsid w:val="003F653E"/>
    <w:rsid w:val="003F7E02"/>
    <w:rsid w:val="0040710B"/>
    <w:rsid w:val="00411971"/>
    <w:rsid w:val="0041239C"/>
    <w:rsid w:val="00413A6D"/>
    <w:rsid w:val="00415A55"/>
    <w:rsid w:val="00415A7C"/>
    <w:rsid w:val="00420CD4"/>
    <w:rsid w:val="00422F56"/>
    <w:rsid w:val="004238F7"/>
    <w:rsid w:val="00423EC1"/>
    <w:rsid w:val="004250FB"/>
    <w:rsid w:val="00435ADF"/>
    <w:rsid w:val="00445258"/>
    <w:rsid w:val="00445B64"/>
    <w:rsid w:val="00445D20"/>
    <w:rsid w:val="0045005C"/>
    <w:rsid w:val="004556D8"/>
    <w:rsid w:val="00457007"/>
    <w:rsid w:val="00460527"/>
    <w:rsid w:val="00460EEE"/>
    <w:rsid w:val="004618D4"/>
    <w:rsid w:val="00470F97"/>
    <w:rsid w:val="00471552"/>
    <w:rsid w:val="004769E2"/>
    <w:rsid w:val="004775A6"/>
    <w:rsid w:val="00496E14"/>
    <w:rsid w:val="004A2C94"/>
    <w:rsid w:val="004B0FF1"/>
    <w:rsid w:val="004B3CBD"/>
    <w:rsid w:val="004B6FD0"/>
    <w:rsid w:val="004C0B19"/>
    <w:rsid w:val="004C0CBA"/>
    <w:rsid w:val="004C3F9E"/>
    <w:rsid w:val="004C541F"/>
    <w:rsid w:val="004C5A12"/>
    <w:rsid w:val="004C7F63"/>
    <w:rsid w:val="004D04B7"/>
    <w:rsid w:val="004D4B0F"/>
    <w:rsid w:val="004D67DB"/>
    <w:rsid w:val="004D719E"/>
    <w:rsid w:val="004E3F44"/>
    <w:rsid w:val="004E4E91"/>
    <w:rsid w:val="004E73B4"/>
    <w:rsid w:val="004E79A0"/>
    <w:rsid w:val="004F13E1"/>
    <w:rsid w:val="004F672C"/>
    <w:rsid w:val="004F6AEC"/>
    <w:rsid w:val="00500403"/>
    <w:rsid w:val="005073DA"/>
    <w:rsid w:val="00510497"/>
    <w:rsid w:val="00510BDA"/>
    <w:rsid w:val="0051588A"/>
    <w:rsid w:val="00517B6A"/>
    <w:rsid w:val="00523F21"/>
    <w:rsid w:val="00524B74"/>
    <w:rsid w:val="0052511B"/>
    <w:rsid w:val="00530E80"/>
    <w:rsid w:val="00533698"/>
    <w:rsid w:val="005342EA"/>
    <w:rsid w:val="0054047C"/>
    <w:rsid w:val="005412FF"/>
    <w:rsid w:val="005437B0"/>
    <w:rsid w:val="005438F3"/>
    <w:rsid w:val="0054495B"/>
    <w:rsid w:val="00545C06"/>
    <w:rsid w:val="00551016"/>
    <w:rsid w:val="00551F5E"/>
    <w:rsid w:val="00560C5D"/>
    <w:rsid w:val="00562725"/>
    <w:rsid w:val="005627BF"/>
    <w:rsid w:val="00563089"/>
    <w:rsid w:val="00563834"/>
    <w:rsid w:val="0056407E"/>
    <w:rsid w:val="00564105"/>
    <w:rsid w:val="005656E1"/>
    <w:rsid w:val="0056705B"/>
    <w:rsid w:val="0057322A"/>
    <w:rsid w:val="005758E7"/>
    <w:rsid w:val="00575B5F"/>
    <w:rsid w:val="00577B0B"/>
    <w:rsid w:val="00582752"/>
    <w:rsid w:val="005844D5"/>
    <w:rsid w:val="0058626D"/>
    <w:rsid w:val="00586E8A"/>
    <w:rsid w:val="0058797D"/>
    <w:rsid w:val="005A16DE"/>
    <w:rsid w:val="005A3A17"/>
    <w:rsid w:val="005A4073"/>
    <w:rsid w:val="005A7ADE"/>
    <w:rsid w:val="005A7E96"/>
    <w:rsid w:val="005B1BE6"/>
    <w:rsid w:val="005C0864"/>
    <w:rsid w:val="005C1F6C"/>
    <w:rsid w:val="005D0FCD"/>
    <w:rsid w:val="005D4C55"/>
    <w:rsid w:val="005D5336"/>
    <w:rsid w:val="005D685F"/>
    <w:rsid w:val="005F275E"/>
    <w:rsid w:val="005F4371"/>
    <w:rsid w:val="005F7646"/>
    <w:rsid w:val="0060001A"/>
    <w:rsid w:val="00602C34"/>
    <w:rsid w:val="00605264"/>
    <w:rsid w:val="00606CAC"/>
    <w:rsid w:val="00607FDD"/>
    <w:rsid w:val="006179A9"/>
    <w:rsid w:val="006209CF"/>
    <w:rsid w:val="00633A3E"/>
    <w:rsid w:val="006348D2"/>
    <w:rsid w:val="00637574"/>
    <w:rsid w:val="00641C44"/>
    <w:rsid w:val="00643180"/>
    <w:rsid w:val="00650F3A"/>
    <w:rsid w:val="00653709"/>
    <w:rsid w:val="00660A60"/>
    <w:rsid w:val="00662F29"/>
    <w:rsid w:val="00663ED1"/>
    <w:rsid w:val="006658C7"/>
    <w:rsid w:val="00674521"/>
    <w:rsid w:val="006824E8"/>
    <w:rsid w:val="00690D3B"/>
    <w:rsid w:val="006916CD"/>
    <w:rsid w:val="006A4F2D"/>
    <w:rsid w:val="006A661D"/>
    <w:rsid w:val="006B0935"/>
    <w:rsid w:val="006B1630"/>
    <w:rsid w:val="006B1B59"/>
    <w:rsid w:val="006B25C0"/>
    <w:rsid w:val="006B2A4E"/>
    <w:rsid w:val="006B2EBA"/>
    <w:rsid w:val="006B3725"/>
    <w:rsid w:val="006B7CAD"/>
    <w:rsid w:val="006C4127"/>
    <w:rsid w:val="006C4202"/>
    <w:rsid w:val="006C750A"/>
    <w:rsid w:val="006C76CF"/>
    <w:rsid w:val="006D4940"/>
    <w:rsid w:val="006E40C3"/>
    <w:rsid w:val="006E4A2D"/>
    <w:rsid w:val="006E67EF"/>
    <w:rsid w:val="006F38A3"/>
    <w:rsid w:val="006F3A45"/>
    <w:rsid w:val="006F5DA8"/>
    <w:rsid w:val="007023D0"/>
    <w:rsid w:val="00702FDD"/>
    <w:rsid w:val="00704041"/>
    <w:rsid w:val="00705F4B"/>
    <w:rsid w:val="0070725C"/>
    <w:rsid w:val="007169A0"/>
    <w:rsid w:val="00716D33"/>
    <w:rsid w:val="0071744C"/>
    <w:rsid w:val="00735C06"/>
    <w:rsid w:val="0073624D"/>
    <w:rsid w:val="0073658F"/>
    <w:rsid w:val="0073732C"/>
    <w:rsid w:val="00737625"/>
    <w:rsid w:val="00740A53"/>
    <w:rsid w:val="007428DA"/>
    <w:rsid w:val="00747990"/>
    <w:rsid w:val="007515B9"/>
    <w:rsid w:val="00751B20"/>
    <w:rsid w:val="00754D77"/>
    <w:rsid w:val="00761986"/>
    <w:rsid w:val="00761E3C"/>
    <w:rsid w:val="007663A6"/>
    <w:rsid w:val="00767502"/>
    <w:rsid w:val="00770E75"/>
    <w:rsid w:val="00773FEA"/>
    <w:rsid w:val="00780B96"/>
    <w:rsid w:val="00780E7A"/>
    <w:rsid w:val="00783D87"/>
    <w:rsid w:val="00784743"/>
    <w:rsid w:val="0079242C"/>
    <w:rsid w:val="0079531E"/>
    <w:rsid w:val="007954C3"/>
    <w:rsid w:val="00795CD6"/>
    <w:rsid w:val="007A315C"/>
    <w:rsid w:val="007A3C90"/>
    <w:rsid w:val="007A704D"/>
    <w:rsid w:val="007B19A7"/>
    <w:rsid w:val="007B2686"/>
    <w:rsid w:val="007B358B"/>
    <w:rsid w:val="007B4232"/>
    <w:rsid w:val="007B4908"/>
    <w:rsid w:val="007B6560"/>
    <w:rsid w:val="007B6787"/>
    <w:rsid w:val="007C1334"/>
    <w:rsid w:val="007C247D"/>
    <w:rsid w:val="007C51FF"/>
    <w:rsid w:val="007E184C"/>
    <w:rsid w:val="007F5989"/>
    <w:rsid w:val="00801B31"/>
    <w:rsid w:val="008024E6"/>
    <w:rsid w:val="008036F3"/>
    <w:rsid w:val="00807834"/>
    <w:rsid w:val="00807905"/>
    <w:rsid w:val="00812AFC"/>
    <w:rsid w:val="00812B04"/>
    <w:rsid w:val="00813185"/>
    <w:rsid w:val="00817876"/>
    <w:rsid w:val="00817CF5"/>
    <w:rsid w:val="00823EF6"/>
    <w:rsid w:val="00824299"/>
    <w:rsid w:val="008247F4"/>
    <w:rsid w:val="00827734"/>
    <w:rsid w:val="00836D2B"/>
    <w:rsid w:val="00837693"/>
    <w:rsid w:val="0085091A"/>
    <w:rsid w:val="00851364"/>
    <w:rsid w:val="00851D2C"/>
    <w:rsid w:val="008529D5"/>
    <w:rsid w:val="00854ED0"/>
    <w:rsid w:val="00855131"/>
    <w:rsid w:val="00857810"/>
    <w:rsid w:val="0086157E"/>
    <w:rsid w:val="0086234C"/>
    <w:rsid w:val="0086255C"/>
    <w:rsid w:val="00862D7C"/>
    <w:rsid w:val="008634CA"/>
    <w:rsid w:val="0086493E"/>
    <w:rsid w:val="008667CF"/>
    <w:rsid w:val="00866863"/>
    <w:rsid w:val="00875019"/>
    <w:rsid w:val="008753BC"/>
    <w:rsid w:val="0087738A"/>
    <w:rsid w:val="00881F58"/>
    <w:rsid w:val="008821A0"/>
    <w:rsid w:val="008833D6"/>
    <w:rsid w:val="0088424C"/>
    <w:rsid w:val="008846B8"/>
    <w:rsid w:val="00886772"/>
    <w:rsid w:val="00886BCD"/>
    <w:rsid w:val="00886DD3"/>
    <w:rsid w:val="0089205E"/>
    <w:rsid w:val="00893B21"/>
    <w:rsid w:val="00894A59"/>
    <w:rsid w:val="0089776C"/>
    <w:rsid w:val="008A3285"/>
    <w:rsid w:val="008A3C47"/>
    <w:rsid w:val="008B016F"/>
    <w:rsid w:val="008B494F"/>
    <w:rsid w:val="008B5C9D"/>
    <w:rsid w:val="008B6646"/>
    <w:rsid w:val="008C3397"/>
    <w:rsid w:val="008C555F"/>
    <w:rsid w:val="008C5FC4"/>
    <w:rsid w:val="008D3456"/>
    <w:rsid w:val="008D4A2D"/>
    <w:rsid w:val="008E04C2"/>
    <w:rsid w:val="008E07FC"/>
    <w:rsid w:val="008E54E1"/>
    <w:rsid w:val="008E7157"/>
    <w:rsid w:val="008E7B96"/>
    <w:rsid w:val="008F3F81"/>
    <w:rsid w:val="008F5895"/>
    <w:rsid w:val="00900D6C"/>
    <w:rsid w:val="009054F3"/>
    <w:rsid w:val="0090567F"/>
    <w:rsid w:val="00905918"/>
    <w:rsid w:val="00907ABE"/>
    <w:rsid w:val="009122E8"/>
    <w:rsid w:val="009131B8"/>
    <w:rsid w:val="00914D7F"/>
    <w:rsid w:val="00914EB4"/>
    <w:rsid w:val="00916567"/>
    <w:rsid w:val="009231A6"/>
    <w:rsid w:val="009308CD"/>
    <w:rsid w:val="00934448"/>
    <w:rsid w:val="00935DA7"/>
    <w:rsid w:val="009446AA"/>
    <w:rsid w:val="00944CCB"/>
    <w:rsid w:val="00944FE7"/>
    <w:rsid w:val="009452FC"/>
    <w:rsid w:val="00945A1D"/>
    <w:rsid w:val="00945C18"/>
    <w:rsid w:val="00946C54"/>
    <w:rsid w:val="00953022"/>
    <w:rsid w:val="0095412B"/>
    <w:rsid w:val="00954D12"/>
    <w:rsid w:val="0095501F"/>
    <w:rsid w:val="0096747A"/>
    <w:rsid w:val="009674EE"/>
    <w:rsid w:val="009747FF"/>
    <w:rsid w:val="00974E5F"/>
    <w:rsid w:val="009800D1"/>
    <w:rsid w:val="00981217"/>
    <w:rsid w:val="0098137D"/>
    <w:rsid w:val="00984F05"/>
    <w:rsid w:val="009854D7"/>
    <w:rsid w:val="009856FF"/>
    <w:rsid w:val="009870C4"/>
    <w:rsid w:val="00987A69"/>
    <w:rsid w:val="0099725E"/>
    <w:rsid w:val="00997EAF"/>
    <w:rsid w:val="009A2F2C"/>
    <w:rsid w:val="009A3CA3"/>
    <w:rsid w:val="009A5ED0"/>
    <w:rsid w:val="009A5F97"/>
    <w:rsid w:val="009A658B"/>
    <w:rsid w:val="009A6A39"/>
    <w:rsid w:val="009A7530"/>
    <w:rsid w:val="009B2F5F"/>
    <w:rsid w:val="009B6ABB"/>
    <w:rsid w:val="009D1B52"/>
    <w:rsid w:val="009D3607"/>
    <w:rsid w:val="009E17A0"/>
    <w:rsid w:val="009F3759"/>
    <w:rsid w:val="009F5D07"/>
    <w:rsid w:val="00A0229B"/>
    <w:rsid w:val="00A022B3"/>
    <w:rsid w:val="00A05BF5"/>
    <w:rsid w:val="00A05E23"/>
    <w:rsid w:val="00A11E71"/>
    <w:rsid w:val="00A146C5"/>
    <w:rsid w:val="00A159C1"/>
    <w:rsid w:val="00A267F7"/>
    <w:rsid w:val="00A27471"/>
    <w:rsid w:val="00A309E0"/>
    <w:rsid w:val="00A32E0C"/>
    <w:rsid w:val="00A34A33"/>
    <w:rsid w:val="00A34B3C"/>
    <w:rsid w:val="00A43E9A"/>
    <w:rsid w:val="00A45523"/>
    <w:rsid w:val="00A457C3"/>
    <w:rsid w:val="00A52676"/>
    <w:rsid w:val="00A532F7"/>
    <w:rsid w:val="00A53330"/>
    <w:rsid w:val="00A62440"/>
    <w:rsid w:val="00A63D21"/>
    <w:rsid w:val="00A647CB"/>
    <w:rsid w:val="00A676FE"/>
    <w:rsid w:val="00A7103D"/>
    <w:rsid w:val="00A71F66"/>
    <w:rsid w:val="00A73A78"/>
    <w:rsid w:val="00A76196"/>
    <w:rsid w:val="00A76372"/>
    <w:rsid w:val="00A84976"/>
    <w:rsid w:val="00A939C1"/>
    <w:rsid w:val="00A93B47"/>
    <w:rsid w:val="00AA4FA5"/>
    <w:rsid w:val="00AA53D1"/>
    <w:rsid w:val="00AA5EE6"/>
    <w:rsid w:val="00AA6DC0"/>
    <w:rsid w:val="00AB01F4"/>
    <w:rsid w:val="00AB033F"/>
    <w:rsid w:val="00AB7043"/>
    <w:rsid w:val="00AC0CE5"/>
    <w:rsid w:val="00AC1C63"/>
    <w:rsid w:val="00AC3E94"/>
    <w:rsid w:val="00AC4CDD"/>
    <w:rsid w:val="00AC4EFB"/>
    <w:rsid w:val="00AC6598"/>
    <w:rsid w:val="00AD2027"/>
    <w:rsid w:val="00AD26FB"/>
    <w:rsid w:val="00AD2B30"/>
    <w:rsid w:val="00AE0EDC"/>
    <w:rsid w:val="00AE2332"/>
    <w:rsid w:val="00AE519C"/>
    <w:rsid w:val="00AF1F33"/>
    <w:rsid w:val="00AF2224"/>
    <w:rsid w:val="00AF5B02"/>
    <w:rsid w:val="00B02F70"/>
    <w:rsid w:val="00B061A5"/>
    <w:rsid w:val="00B06A8E"/>
    <w:rsid w:val="00B072E4"/>
    <w:rsid w:val="00B11B72"/>
    <w:rsid w:val="00B157EC"/>
    <w:rsid w:val="00B16C8D"/>
    <w:rsid w:val="00B17C38"/>
    <w:rsid w:val="00B216AF"/>
    <w:rsid w:val="00B2332F"/>
    <w:rsid w:val="00B241BB"/>
    <w:rsid w:val="00B24E72"/>
    <w:rsid w:val="00B25569"/>
    <w:rsid w:val="00B2564C"/>
    <w:rsid w:val="00B26DFC"/>
    <w:rsid w:val="00B326AB"/>
    <w:rsid w:val="00B34F76"/>
    <w:rsid w:val="00B3568D"/>
    <w:rsid w:val="00B35D5F"/>
    <w:rsid w:val="00B364B7"/>
    <w:rsid w:val="00B410CE"/>
    <w:rsid w:val="00B43C83"/>
    <w:rsid w:val="00B51627"/>
    <w:rsid w:val="00B525F8"/>
    <w:rsid w:val="00B5384D"/>
    <w:rsid w:val="00B54689"/>
    <w:rsid w:val="00B60855"/>
    <w:rsid w:val="00B62596"/>
    <w:rsid w:val="00B631BF"/>
    <w:rsid w:val="00B75431"/>
    <w:rsid w:val="00B76001"/>
    <w:rsid w:val="00B76494"/>
    <w:rsid w:val="00B76775"/>
    <w:rsid w:val="00B83C33"/>
    <w:rsid w:val="00B90D2A"/>
    <w:rsid w:val="00B918B9"/>
    <w:rsid w:val="00B94E10"/>
    <w:rsid w:val="00BA217B"/>
    <w:rsid w:val="00BA2C4D"/>
    <w:rsid w:val="00BA3F21"/>
    <w:rsid w:val="00BB1ECC"/>
    <w:rsid w:val="00BB403B"/>
    <w:rsid w:val="00BB51EF"/>
    <w:rsid w:val="00BB7889"/>
    <w:rsid w:val="00BC09A7"/>
    <w:rsid w:val="00BC1329"/>
    <w:rsid w:val="00BC7AF4"/>
    <w:rsid w:val="00BD141A"/>
    <w:rsid w:val="00BD3594"/>
    <w:rsid w:val="00BD5E73"/>
    <w:rsid w:val="00BD67C6"/>
    <w:rsid w:val="00BE0581"/>
    <w:rsid w:val="00BE4203"/>
    <w:rsid w:val="00BE4BDC"/>
    <w:rsid w:val="00BE4E0C"/>
    <w:rsid w:val="00BE7815"/>
    <w:rsid w:val="00BF1949"/>
    <w:rsid w:val="00BF4E1A"/>
    <w:rsid w:val="00BF609B"/>
    <w:rsid w:val="00BF657A"/>
    <w:rsid w:val="00C004B0"/>
    <w:rsid w:val="00C02C33"/>
    <w:rsid w:val="00C039F2"/>
    <w:rsid w:val="00C04EAE"/>
    <w:rsid w:val="00C115F8"/>
    <w:rsid w:val="00C116E7"/>
    <w:rsid w:val="00C12F4B"/>
    <w:rsid w:val="00C168F3"/>
    <w:rsid w:val="00C169BF"/>
    <w:rsid w:val="00C2205B"/>
    <w:rsid w:val="00C2373C"/>
    <w:rsid w:val="00C2472D"/>
    <w:rsid w:val="00C26FC5"/>
    <w:rsid w:val="00C27775"/>
    <w:rsid w:val="00C36717"/>
    <w:rsid w:val="00C42016"/>
    <w:rsid w:val="00C46422"/>
    <w:rsid w:val="00C529DA"/>
    <w:rsid w:val="00C547A0"/>
    <w:rsid w:val="00C66D96"/>
    <w:rsid w:val="00C675E5"/>
    <w:rsid w:val="00C70325"/>
    <w:rsid w:val="00C72E72"/>
    <w:rsid w:val="00C73C95"/>
    <w:rsid w:val="00C75C07"/>
    <w:rsid w:val="00C8088E"/>
    <w:rsid w:val="00C9290D"/>
    <w:rsid w:val="00CA0B0F"/>
    <w:rsid w:val="00CA25BF"/>
    <w:rsid w:val="00CA681C"/>
    <w:rsid w:val="00CA6FAE"/>
    <w:rsid w:val="00CB1E06"/>
    <w:rsid w:val="00CB322C"/>
    <w:rsid w:val="00CB3603"/>
    <w:rsid w:val="00CB3C37"/>
    <w:rsid w:val="00CC1F10"/>
    <w:rsid w:val="00CC3201"/>
    <w:rsid w:val="00CC6956"/>
    <w:rsid w:val="00CC696D"/>
    <w:rsid w:val="00CC6FF3"/>
    <w:rsid w:val="00CD103A"/>
    <w:rsid w:val="00CD2480"/>
    <w:rsid w:val="00CD4054"/>
    <w:rsid w:val="00CD557D"/>
    <w:rsid w:val="00CD7210"/>
    <w:rsid w:val="00CD731C"/>
    <w:rsid w:val="00CD7739"/>
    <w:rsid w:val="00CE1823"/>
    <w:rsid w:val="00CE48D2"/>
    <w:rsid w:val="00CF029C"/>
    <w:rsid w:val="00CF30F5"/>
    <w:rsid w:val="00CF631B"/>
    <w:rsid w:val="00D013D6"/>
    <w:rsid w:val="00D029D9"/>
    <w:rsid w:val="00D04E88"/>
    <w:rsid w:val="00D07D0A"/>
    <w:rsid w:val="00D102EC"/>
    <w:rsid w:val="00D16E1A"/>
    <w:rsid w:val="00D22CBE"/>
    <w:rsid w:val="00D24E0E"/>
    <w:rsid w:val="00D252E4"/>
    <w:rsid w:val="00D313DF"/>
    <w:rsid w:val="00D31549"/>
    <w:rsid w:val="00D33776"/>
    <w:rsid w:val="00D36AA6"/>
    <w:rsid w:val="00D466E8"/>
    <w:rsid w:val="00D5121B"/>
    <w:rsid w:val="00D52B8C"/>
    <w:rsid w:val="00D56725"/>
    <w:rsid w:val="00D64D25"/>
    <w:rsid w:val="00D64F25"/>
    <w:rsid w:val="00D71897"/>
    <w:rsid w:val="00D721D7"/>
    <w:rsid w:val="00D73808"/>
    <w:rsid w:val="00D73B16"/>
    <w:rsid w:val="00D800B9"/>
    <w:rsid w:val="00D80EFC"/>
    <w:rsid w:val="00D81A87"/>
    <w:rsid w:val="00D82207"/>
    <w:rsid w:val="00D8495C"/>
    <w:rsid w:val="00D85308"/>
    <w:rsid w:val="00D8568C"/>
    <w:rsid w:val="00D93262"/>
    <w:rsid w:val="00D93D01"/>
    <w:rsid w:val="00D94589"/>
    <w:rsid w:val="00DA2882"/>
    <w:rsid w:val="00DA291A"/>
    <w:rsid w:val="00DB06CA"/>
    <w:rsid w:val="00DB0E8D"/>
    <w:rsid w:val="00DB5B09"/>
    <w:rsid w:val="00DB70BB"/>
    <w:rsid w:val="00DC642E"/>
    <w:rsid w:val="00DC7085"/>
    <w:rsid w:val="00DD29EE"/>
    <w:rsid w:val="00DD2F8B"/>
    <w:rsid w:val="00DD37B5"/>
    <w:rsid w:val="00DD73B4"/>
    <w:rsid w:val="00DE0AD2"/>
    <w:rsid w:val="00DE1139"/>
    <w:rsid w:val="00DE1791"/>
    <w:rsid w:val="00DE3185"/>
    <w:rsid w:val="00DE5716"/>
    <w:rsid w:val="00E038B7"/>
    <w:rsid w:val="00E04917"/>
    <w:rsid w:val="00E078FB"/>
    <w:rsid w:val="00E13059"/>
    <w:rsid w:val="00E25DFD"/>
    <w:rsid w:val="00E26241"/>
    <w:rsid w:val="00E26263"/>
    <w:rsid w:val="00E26B13"/>
    <w:rsid w:val="00E47C5D"/>
    <w:rsid w:val="00E47C8F"/>
    <w:rsid w:val="00E52E69"/>
    <w:rsid w:val="00E5396E"/>
    <w:rsid w:val="00E540BD"/>
    <w:rsid w:val="00E54CC8"/>
    <w:rsid w:val="00E56BA0"/>
    <w:rsid w:val="00E57C1B"/>
    <w:rsid w:val="00E62A0B"/>
    <w:rsid w:val="00E66CC1"/>
    <w:rsid w:val="00E6786A"/>
    <w:rsid w:val="00E7005F"/>
    <w:rsid w:val="00E72561"/>
    <w:rsid w:val="00E74432"/>
    <w:rsid w:val="00E7605D"/>
    <w:rsid w:val="00E77835"/>
    <w:rsid w:val="00E832AA"/>
    <w:rsid w:val="00E86392"/>
    <w:rsid w:val="00E878A4"/>
    <w:rsid w:val="00E91F5A"/>
    <w:rsid w:val="00E921AB"/>
    <w:rsid w:val="00E937A1"/>
    <w:rsid w:val="00E968E9"/>
    <w:rsid w:val="00E97F47"/>
    <w:rsid w:val="00EA0001"/>
    <w:rsid w:val="00EA05A0"/>
    <w:rsid w:val="00EA16B3"/>
    <w:rsid w:val="00EA17B0"/>
    <w:rsid w:val="00EA3482"/>
    <w:rsid w:val="00EA351E"/>
    <w:rsid w:val="00EA4604"/>
    <w:rsid w:val="00EA5ABE"/>
    <w:rsid w:val="00EA7724"/>
    <w:rsid w:val="00EB0257"/>
    <w:rsid w:val="00EB29B6"/>
    <w:rsid w:val="00EB5281"/>
    <w:rsid w:val="00EC15D3"/>
    <w:rsid w:val="00EC254E"/>
    <w:rsid w:val="00EC77D6"/>
    <w:rsid w:val="00ED7DAB"/>
    <w:rsid w:val="00EF375D"/>
    <w:rsid w:val="00EF4E41"/>
    <w:rsid w:val="00EF57A9"/>
    <w:rsid w:val="00EF615B"/>
    <w:rsid w:val="00EF6C06"/>
    <w:rsid w:val="00EF6C63"/>
    <w:rsid w:val="00F00821"/>
    <w:rsid w:val="00F04244"/>
    <w:rsid w:val="00F04A9B"/>
    <w:rsid w:val="00F05638"/>
    <w:rsid w:val="00F05EA2"/>
    <w:rsid w:val="00F06E31"/>
    <w:rsid w:val="00F07846"/>
    <w:rsid w:val="00F07FBB"/>
    <w:rsid w:val="00F15040"/>
    <w:rsid w:val="00F1557B"/>
    <w:rsid w:val="00F16A10"/>
    <w:rsid w:val="00F16D83"/>
    <w:rsid w:val="00F170CE"/>
    <w:rsid w:val="00F22C8D"/>
    <w:rsid w:val="00F26319"/>
    <w:rsid w:val="00F27996"/>
    <w:rsid w:val="00F32E5E"/>
    <w:rsid w:val="00F34022"/>
    <w:rsid w:val="00F34527"/>
    <w:rsid w:val="00F34C19"/>
    <w:rsid w:val="00F3649D"/>
    <w:rsid w:val="00F42808"/>
    <w:rsid w:val="00F45D8F"/>
    <w:rsid w:val="00F46DF8"/>
    <w:rsid w:val="00F53831"/>
    <w:rsid w:val="00F54D4F"/>
    <w:rsid w:val="00F623A9"/>
    <w:rsid w:val="00F6544A"/>
    <w:rsid w:val="00F70645"/>
    <w:rsid w:val="00F707AC"/>
    <w:rsid w:val="00F710FD"/>
    <w:rsid w:val="00F8193E"/>
    <w:rsid w:val="00F8381E"/>
    <w:rsid w:val="00F87CA8"/>
    <w:rsid w:val="00F90948"/>
    <w:rsid w:val="00F90BC1"/>
    <w:rsid w:val="00F92182"/>
    <w:rsid w:val="00F95032"/>
    <w:rsid w:val="00FA15C5"/>
    <w:rsid w:val="00FA3447"/>
    <w:rsid w:val="00FA6A4A"/>
    <w:rsid w:val="00FB0F93"/>
    <w:rsid w:val="00FB101B"/>
    <w:rsid w:val="00FB2B45"/>
    <w:rsid w:val="00FC030E"/>
    <w:rsid w:val="00FC1C75"/>
    <w:rsid w:val="00FD2800"/>
    <w:rsid w:val="00FD2943"/>
    <w:rsid w:val="00FD3C29"/>
    <w:rsid w:val="00FD4885"/>
    <w:rsid w:val="00FD74F4"/>
    <w:rsid w:val="00FE1BB2"/>
    <w:rsid w:val="00FE25B1"/>
    <w:rsid w:val="00FE36BE"/>
    <w:rsid w:val="00FE7677"/>
    <w:rsid w:val="00FE768A"/>
    <w:rsid w:val="00FF1FDB"/>
    <w:rsid w:val="00FF2011"/>
    <w:rsid w:val="00FF4C66"/>
    <w:rsid w:val="00FF63D6"/>
    <w:rsid w:val="00FF7B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3910B8"/>
  <w15:docId w15:val="{CEACA3F1-AD85-4236-8A41-3D2C4B02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49"/>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aliases w:val="s,ActHead 5"/>
    <w:basedOn w:val="Heading1"/>
    <w:next w:val="subsection"/>
    <w:qFormat/>
    <w:pPr>
      <w:keepLines/>
      <w:autoSpaceDE w:val="0"/>
      <w:autoSpaceDN w:val="0"/>
      <w:spacing w:before="280" w:line="260" w:lineRule="atLeast"/>
      <w:ind w:left="1134" w:hanging="1134"/>
      <w:outlineLvl w:val="4"/>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aliases w:val="dd"/>
    <w:basedOn w:val="Normal"/>
    <w:pPr>
      <w:autoSpaceDE w:val="0"/>
      <w:autoSpaceDN w:val="0"/>
      <w:spacing w:before="180" w:line="260" w:lineRule="atLeast"/>
      <w:ind w:left="1134"/>
    </w:pPr>
    <w:rPr>
      <w:sz w:val="22"/>
      <w:szCs w:val="22"/>
    </w:rPr>
  </w:style>
  <w:style w:type="paragraph" w:styleId="Footer">
    <w:name w:val="footer"/>
    <w:basedOn w:val="Normal"/>
    <w:link w:val="FooterChar"/>
    <w:uiPriority w:val="99"/>
    <w:pPr>
      <w:tabs>
        <w:tab w:val="center" w:pos="4153"/>
        <w:tab w:val="right" w:pos="8306"/>
      </w:tabs>
    </w:pPr>
  </w:style>
  <w:style w:type="paragraph" w:customStyle="1" w:styleId="paragraph">
    <w:name w:val="paragraph"/>
    <w:aliases w:val="a"/>
    <w:basedOn w:val="Normal"/>
    <w:link w:val="paragraphChar"/>
    <w:pPr>
      <w:tabs>
        <w:tab w:val="right" w:pos="1531"/>
      </w:tabs>
      <w:autoSpaceDE w:val="0"/>
      <w:autoSpaceDN w:val="0"/>
      <w:spacing w:before="40" w:line="260" w:lineRule="atLeast"/>
      <w:ind w:left="1644" w:hanging="1644"/>
    </w:pPr>
    <w:rPr>
      <w:sz w:val="22"/>
      <w:szCs w:val="22"/>
    </w:rPr>
  </w:style>
  <w:style w:type="paragraph" w:customStyle="1" w:styleId="paragraphsub">
    <w:name w:val="paragraph(sub)"/>
    <w:aliases w:val="aa"/>
    <w:basedOn w:val="paragraph"/>
    <w:pPr>
      <w:tabs>
        <w:tab w:val="clear" w:pos="1531"/>
        <w:tab w:val="right" w:pos="1985"/>
      </w:tabs>
      <w:ind w:left="2098" w:hanging="2098"/>
    </w:pPr>
  </w:style>
  <w:style w:type="character" w:customStyle="1" w:styleId="CharSectno">
    <w:name w:val="CharSectno"/>
    <w:basedOn w:val="DefaultParagraphFont"/>
  </w:style>
  <w:style w:type="paragraph" w:customStyle="1" w:styleId="subsection">
    <w:name w:val="subsection"/>
    <w:aliases w:val="ss"/>
    <w:basedOn w:val="Normal"/>
    <w:link w:val="subsectionChar"/>
    <w:pPr>
      <w:tabs>
        <w:tab w:val="right" w:pos="1021"/>
      </w:tabs>
      <w:autoSpaceDE w:val="0"/>
      <w:autoSpaceDN w:val="0"/>
      <w:spacing w:before="180" w:line="260" w:lineRule="atLeast"/>
      <w:ind w:left="1134" w:hanging="1134"/>
    </w:pPr>
    <w:rPr>
      <w:sz w:val="22"/>
      <w:szCs w:val="22"/>
    </w:rPr>
  </w:style>
  <w:style w:type="paragraph" w:customStyle="1" w:styleId="Penalty">
    <w:name w:val="Penalty"/>
    <w:basedOn w:val="Normal"/>
    <w:pPr>
      <w:tabs>
        <w:tab w:val="left" w:pos="2977"/>
      </w:tabs>
      <w:autoSpaceDE w:val="0"/>
      <w:autoSpaceDN w:val="0"/>
      <w:spacing w:before="180" w:line="260" w:lineRule="atLeast"/>
      <w:ind w:left="1985" w:hanging="851"/>
    </w:pPr>
    <w:rPr>
      <w:sz w:val="22"/>
      <w:szCs w:val="22"/>
    </w:rPr>
  </w:style>
  <w:style w:type="paragraph" w:customStyle="1" w:styleId="subsection2">
    <w:name w:val="subsection2"/>
    <w:aliases w:val="ss2"/>
    <w:basedOn w:val="subsection"/>
    <w:next w:val="subsection"/>
    <w:pPr>
      <w:tabs>
        <w:tab w:val="clear" w:pos="1021"/>
      </w:tabs>
      <w:spacing w:before="40"/>
      <w:ind w:firstLine="0"/>
    </w:p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EACSHeading1">
    <w:name w:val="JIEACS Heading 1"/>
    <w:basedOn w:val="Normal"/>
    <w:pPr>
      <w:numPr>
        <w:numId w:val="4"/>
      </w:numPr>
      <w:spacing w:before="120" w:after="240"/>
    </w:pPr>
    <w:rPr>
      <w:rFonts w:ascii="Arial" w:hAnsi="Arial" w:cs="Arial"/>
      <w:b/>
      <w:sz w:val="36"/>
      <w:szCs w:val="36"/>
      <w:lang w:eastAsia="en-US"/>
    </w:rPr>
  </w:style>
  <w:style w:type="paragraph" w:customStyle="1" w:styleId="JIEACSNumberedHeading3">
    <w:name w:val="JIEACS Numbered Heading 3"/>
    <w:basedOn w:val="Normal"/>
    <w:pPr>
      <w:keepLines/>
      <w:numPr>
        <w:ilvl w:val="2"/>
        <w:numId w:val="4"/>
      </w:numPr>
      <w:spacing w:before="120" w:after="240"/>
    </w:pPr>
    <w:rPr>
      <w:szCs w:val="20"/>
      <w:lang w:eastAsia="en-US"/>
    </w:rPr>
  </w:style>
  <w:style w:type="paragraph" w:customStyle="1" w:styleId="JIEACSNumberedHeading2">
    <w:name w:val="JIEACS Numbered Heading 2"/>
    <w:basedOn w:val="Normal"/>
    <w:pPr>
      <w:numPr>
        <w:ilvl w:val="1"/>
        <w:numId w:val="4"/>
      </w:numPr>
      <w:spacing w:before="120" w:after="240"/>
    </w:pPr>
    <w:rPr>
      <w:rFonts w:ascii="Arial" w:hAnsi="Arial" w:cs="Arial"/>
      <w:b/>
      <w:i/>
      <w:sz w:val="28"/>
      <w:szCs w:val="36"/>
      <w:lang w:eastAsia="en-US"/>
    </w:rPr>
  </w:style>
  <w:style w:type="paragraph" w:customStyle="1" w:styleId="smallpara">
    <w:name w:val="smallpara"/>
    <w:basedOn w:val="Normal"/>
    <w:pPr>
      <w:spacing w:before="100" w:beforeAutospacing="1" w:after="100" w:afterAutospacing="1"/>
    </w:pPr>
    <w:rPr>
      <w:rFonts w:ascii="Arial" w:hAnsi="Arial" w:cs="Arial"/>
      <w:sz w:val="17"/>
      <w:szCs w:val="17"/>
    </w:rPr>
  </w:style>
  <w:style w:type="paragraph" w:customStyle="1" w:styleId="a">
    <w:basedOn w:val="Normal"/>
    <w:rPr>
      <w:rFonts w:ascii="Arial" w:hAnsi="Arial" w:cs="Arial"/>
      <w:sz w:val="22"/>
      <w:szCs w:val="22"/>
      <w:lang w:eastAsia="en-US"/>
    </w:rPr>
  </w:style>
  <w:style w:type="character" w:customStyle="1" w:styleId="bold">
    <w:name w:val="bold"/>
    <w:basedOn w:val="DefaultParagraphFont"/>
  </w:style>
  <w:style w:type="character" w:styleId="Hyperlink">
    <w:name w:val="Hyperlink"/>
    <w:uiPriority w:val="99"/>
    <w:rPr>
      <w:color w:val="0000FF"/>
      <w:u w:val="single"/>
    </w:rPr>
  </w:style>
  <w:style w:type="paragraph" w:customStyle="1" w:styleId="a0">
    <w:name w:val="_"/>
    <w:basedOn w:val="Normal"/>
    <w:pPr>
      <w:widowControl w:val="0"/>
      <w:ind w:left="260" w:hanging="260"/>
    </w:pPr>
    <w:rPr>
      <w:snapToGrid w:val="0"/>
      <w:szCs w:val="20"/>
      <w:lang w:val="en-US" w:eastAsia="en-US"/>
    </w:rPr>
  </w:style>
  <w:style w:type="paragraph" w:customStyle="1" w:styleId="Char1">
    <w:name w:val="Char1"/>
    <w:basedOn w:val="Normal"/>
    <w:rPr>
      <w:rFonts w:ascii="Arial" w:hAnsi="Arial" w:cs="Arial"/>
      <w:sz w:val="22"/>
      <w:szCs w:val="22"/>
      <w:lang w:eastAsia="en-US"/>
    </w:rPr>
  </w:style>
  <w:style w:type="character" w:customStyle="1" w:styleId="FooterChar">
    <w:name w:val="Footer Char"/>
    <w:link w:val="Footer"/>
    <w:uiPriority w:val="99"/>
    <w:rsid w:val="005A7E96"/>
    <w:rPr>
      <w:sz w:val="24"/>
      <w:szCs w:val="24"/>
    </w:rPr>
  </w:style>
  <w:style w:type="paragraph" w:styleId="ListBullet">
    <w:name w:val="List Bullet"/>
    <w:basedOn w:val="Normal"/>
    <w:uiPriority w:val="99"/>
    <w:qFormat/>
    <w:rsid w:val="00EA05A0"/>
    <w:pPr>
      <w:numPr>
        <w:numId w:val="9"/>
      </w:numPr>
      <w:tabs>
        <w:tab w:val="left" w:pos="397"/>
      </w:tabs>
      <w:spacing w:after="120"/>
    </w:pPr>
    <w:rPr>
      <w:szCs w:val="20"/>
      <w:lang w:eastAsia="en-US"/>
    </w:rPr>
  </w:style>
  <w:style w:type="paragraph" w:styleId="FootnoteText">
    <w:name w:val="footnote text"/>
    <w:basedOn w:val="Normal"/>
    <w:link w:val="FootnoteTextChar"/>
    <w:rsid w:val="00E52E69"/>
    <w:pPr>
      <w:keepLines/>
      <w:spacing w:line="240" w:lineRule="atLeast"/>
    </w:pPr>
    <w:rPr>
      <w:rFonts w:ascii="Cambria" w:eastAsia="Cambria" w:hAnsi="Cambria"/>
      <w:sz w:val="20"/>
      <w:szCs w:val="20"/>
      <w:lang w:eastAsia="en-US"/>
    </w:rPr>
  </w:style>
  <w:style w:type="character" w:customStyle="1" w:styleId="FootnoteTextChar">
    <w:name w:val="Footnote Text Char"/>
    <w:link w:val="FootnoteText"/>
    <w:rsid w:val="00E52E69"/>
    <w:rPr>
      <w:rFonts w:ascii="Cambria" w:eastAsia="Cambria" w:hAnsi="Cambria"/>
      <w:lang w:eastAsia="en-US"/>
    </w:rPr>
  </w:style>
  <w:style w:type="character" w:styleId="FootnoteReference">
    <w:name w:val="footnote reference"/>
    <w:uiPriority w:val="99"/>
    <w:unhideWhenUsed/>
    <w:rsid w:val="00E52E69"/>
    <w:rPr>
      <w:vertAlign w:val="superscript"/>
    </w:rPr>
  </w:style>
  <w:style w:type="paragraph" w:customStyle="1" w:styleId="P2">
    <w:name w:val="P2"/>
    <w:aliases w:val="(i)"/>
    <w:basedOn w:val="Normal"/>
    <w:rsid w:val="00E52E69"/>
    <w:pPr>
      <w:tabs>
        <w:tab w:val="right" w:pos="1758"/>
        <w:tab w:val="left" w:pos="2155"/>
      </w:tabs>
      <w:spacing w:before="60" w:line="260" w:lineRule="exact"/>
      <w:ind w:left="1985" w:hanging="1985"/>
      <w:jc w:val="both"/>
    </w:pPr>
    <w:rPr>
      <w:lang w:eastAsia="en-US"/>
    </w:rPr>
  </w:style>
  <w:style w:type="character" w:customStyle="1" w:styleId="subsectionChar">
    <w:name w:val="subsection Char"/>
    <w:aliases w:val="ss Char"/>
    <w:link w:val="subsection"/>
    <w:locked/>
    <w:rsid w:val="00270BF5"/>
    <w:rPr>
      <w:sz w:val="22"/>
      <w:szCs w:val="22"/>
    </w:rPr>
  </w:style>
  <w:style w:type="character" w:customStyle="1" w:styleId="CommentTextChar">
    <w:name w:val="Comment Text Char"/>
    <w:link w:val="CommentText"/>
    <w:uiPriority w:val="99"/>
    <w:semiHidden/>
    <w:rsid w:val="00BB7889"/>
  </w:style>
  <w:style w:type="paragraph" w:styleId="ListBullet2">
    <w:name w:val="List Bullet 2"/>
    <w:basedOn w:val="Normal"/>
    <w:uiPriority w:val="99"/>
    <w:qFormat/>
    <w:rsid w:val="000060D7"/>
    <w:pPr>
      <w:spacing w:before="120" w:after="180" w:line="240" w:lineRule="atLeast"/>
      <w:ind w:left="850" w:hanging="425"/>
    </w:pPr>
    <w:rPr>
      <w:rFonts w:ascii="Cambria" w:eastAsia="Cambria" w:hAnsi="Cambria"/>
      <w:sz w:val="22"/>
      <w:szCs w:val="20"/>
      <w:lang w:eastAsia="en-US"/>
    </w:rPr>
  </w:style>
  <w:style w:type="paragraph" w:styleId="ListBullet3">
    <w:name w:val="List Bullet 3"/>
    <w:basedOn w:val="Normal"/>
    <w:uiPriority w:val="99"/>
    <w:qFormat/>
    <w:rsid w:val="000060D7"/>
    <w:pPr>
      <w:spacing w:before="120" w:after="180" w:line="240" w:lineRule="atLeast"/>
      <w:ind w:left="1276" w:hanging="425"/>
    </w:pPr>
    <w:rPr>
      <w:rFonts w:ascii="Cambria" w:eastAsia="Cambria" w:hAnsi="Cambria"/>
      <w:sz w:val="22"/>
      <w:szCs w:val="20"/>
      <w:lang w:eastAsia="en-US"/>
    </w:rPr>
  </w:style>
  <w:style w:type="numbering" w:customStyle="1" w:styleId="ListBullets">
    <w:name w:val="ListBullets"/>
    <w:uiPriority w:val="99"/>
    <w:locked/>
    <w:rsid w:val="000060D7"/>
    <w:pPr>
      <w:numPr>
        <w:numId w:val="14"/>
      </w:numPr>
    </w:pPr>
  </w:style>
  <w:style w:type="paragraph" w:customStyle="1" w:styleId="ActHead6">
    <w:name w:val="ActHead 6"/>
    <w:aliases w:val="as"/>
    <w:basedOn w:val="Normal"/>
    <w:next w:val="Normal"/>
    <w:qFormat/>
    <w:rsid w:val="00500403"/>
    <w:pPr>
      <w:keepNext/>
      <w:keepLines/>
      <w:ind w:left="1134" w:hanging="1134"/>
      <w:outlineLvl w:val="5"/>
    </w:pPr>
    <w:rPr>
      <w:rFonts w:ascii="Arial" w:hAnsi="Arial"/>
      <w:b/>
      <w:kern w:val="28"/>
      <w:sz w:val="32"/>
      <w:szCs w:val="20"/>
    </w:rPr>
  </w:style>
  <w:style w:type="paragraph" w:styleId="ListParagraph">
    <w:name w:val="List Paragraph"/>
    <w:basedOn w:val="Normal"/>
    <w:uiPriority w:val="34"/>
    <w:qFormat/>
    <w:rsid w:val="00D8568C"/>
    <w:pPr>
      <w:ind w:left="720"/>
      <w:contextualSpacing/>
    </w:pPr>
    <w:rPr>
      <w:lang w:eastAsia="en-US"/>
    </w:rPr>
  </w:style>
  <w:style w:type="paragraph" w:styleId="Revision">
    <w:name w:val="Revision"/>
    <w:hidden/>
    <w:uiPriority w:val="99"/>
    <w:semiHidden/>
    <w:rsid w:val="00D81A87"/>
    <w:rPr>
      <w:sz w:val="24"/>
      <w:szCs w:val="24"/>
    </w:rPr>
  </w:style>
  <w:style w:type="character" w:customStyle="1" w:styleId="paragraphChar">
    <w:name w:val="paragraph Char"/>
    <w:aliases w:val="a Char"/>
    <w:link w:val="paragraph"/>
    <w:locked/>
    <w:rsid w:val="00BE7815"/>
    <w:rPr>
      <w:sz w:val="22"/>
      <w:szCs w:val="22"/>
    </w:rPr>
  </w:style>
  <w:style w:type="character" w:styleId="UnresolvedMention">
    <w:name w:val="Unresolved Mention"/>
    <w:basedOn w:val="DefaultParagraphFont"/>
    <w:uiPriority w:val="99"/>
    <w:semiHidden/>
    <w:unhideWhenUsed/>
    <w:rsid w:val="007B3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68201">
      <w:bodyDiv w:val="1"/>
      <w:marLeft w:val="0"/>
      <w:marRight w:val="0"/>
      <w:marTop w:val="0"/>
      <w:marBottom w:val="0"/>
      <w:divBdr>
        <w:top w:val="none" w:sz="0" w:space="0" w:color="auto"/>
        <w:left w:val="none" w:sz="0" w:space="0" w:color="auto"/>
        <w:bottom w:val="none" w:sz="0" w:space="0" w:color="auto"/>
        <w:right w:val="none" w:sz="0" w:space="0" w:color="auto"/>
      </w:divBdr>
    </w:div>
    <w:div w:id="406536109">
      <w:bodyDiv w:val="1"/>
      <w:marLeft w:val="0"/>
      <w:marRight w:val="0"/>
      <w:marTop w:val="0"/>
      <w:marBottom w:val="0"/>
      <w:divBdr>
        <w:top w:val="none" w:sz="0" w:space="0" w:color="auto"/>
        <w:left w:val="none" w:sz="0" w:space="0" w:color="auto"/>
        <w:bottom w:val="none" w:sz="0" w:space="0" w:color="auto"/>
        <w:right w:val="none" w:sz="0" w:space="0" w:color="auto"/>
      </w:divBdr>
    </w:div>
    <w:div w:id="488406285">
      <w:bodyDiv w:val="1"/>
      <w:marLeft w:val="0"/>
      <w:marRight w:val="0"/>
      <w:marTop w:val="0"/>
      <w:marBottom w:val="0"/>
      <w:divBdr>
        <w:top w:val="none" w:sz="0" w:space="0" w:color="auto"/>
        <w:left w:val="none" w:sz="0" w:space="0" w:color="auto"/>
        <w:bottom w:val="none" w:sz="0" w:space="0" w:color="auto"/>
        <w:right w:val="none" w:sz="0" w:space="0" w:color="auto"/>
      </w:divBdr>
    </w:div>
    <w:div w:id="551234219">
      <w:bodyDiv w:val="1"/>
      <w:marLeft w:val="0"/>
      <w:marRight w:val="0"/>
      <w:marTop w:val="0"/>
      <w:marBottom w:val="0"/>
      <w:divBdr>
        <w:top w:val="none" w:sz="0" w:space="0" w:color="auto"/>
        <w:left w:val="none" w:sz="0" w:space="0" w:color="auto"/>
        <w:bottom w:val="none" w:sz="0" w:space="0" w:color="auto"/>
        <w:right w:val="none" w:sz="0" w:space="0" w:color="auto"/>
      </w:divBdr>
    </w:div>
    <w:div w:id="658970939">
      <w:bodyDiv w:val="1"/>
      <w:marLeft w:val="0"/>
      <w:marRight w:val="0"/>
      <w:marTop w:val="0"/>
      <w:marBottom w:val="0"/>
      <w:divBdr>
        <w:top w:val="none" w:sz="0" w:space="0" w:color="auto"/>
        <w:left w:val="none" w:sz="0" w:space="0" w:color="auto"/>
        <w:bottom w:val="none" w:sz="0" w:space="0" w:color="auto"/>
        <w:right w:val="none" w:sz="0" w:space="0" w:color="auto"/>
      </w:divBdr>
      <w:divsChild>
        <w:div w:id="2037996394">
          <w:marLeft w:val="0"/>
          <w:marRight w:val="0"/>
          <w:marTop w:val="0"/>
          <w:marBottom w:val="0"/>
          <w:divBdr>
            <w:top w:val="none" w:sz="0" w:space="0" w:color="auto"/>
            <w:left w:val="none" w:sz="0" w:space="0" w:color="auto"/>
            <w:bottom w:val="none" w:sz="0" w:space="0" w:color="auto"/>
            <w:right w:val="none" w:sz="0" w:space="0" w:color="auto"/>
          </w:divBdr>
          <w:divsChild>
            <w:div w:id="1853840467">
              <w:marLeft w:val="0"/>
              <w:marRight w:val="0"/>
              <w:marTop w:val="0"/>
              <w:marBottom w:val="0"/>
              <w:divBdr>
                <w:top w:val="none" w:sz="0" w:space="0" w:color="auto"/>
                <w:left w:val="none" w:sz="0" w:space="0" w:color="auto"/>
                <w:bottom w:val="none" w:sz="0" w:space="0" w:color="auto"/>
                <w:right w:val="none" w:sz="0" w:space="0" w:color="auto"/>
              </w:divBdr>
              <w:divsChild>
                <w:div w:id="14535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15159">
      <w:bodyDiv w:val="1"/>
      <w:marLeft w:val="0"/>
      <w:marRight w:val="0"/>
      <w:marTop w:val="0"/>
      <w:marBottom w:val="0"/>
      <w:divBdr>
        <w:top w:val="none" w:sz="0" w:space="0" w:color="auto"/>
        <w:left w:val="none" w:sz="0" w:space="0" w:color="auto"/>
        <w:bottom w:val="none" w:sz="0" w:space="0" w:color="auto"/>
        <w:right w:val="none" w:sz="0" w:space="0" w:color="auto"/>
      </w:divBdr>
    </w:div>
    <w:div w:id="741412537">
      <w:bodyDiv w:val="1"/>
      <w:marLeft w:val="0"/>
      <w:marRight w:val="0"/>
      <w:marTop w:val="0"/>
      <w:marBottom w:val="0"/>
      <w:divBdr>
        <w:top w:val="none" w:sz="0" w:space="0" w:color="auto"/>
        <w:left w:val="none" w:sz="0" w:space="0" w:color="auto"/>
        <w:bottom w:val="none" w:sz="0" w:space="0" w:color="auto"/>
        <w:right w:val="none" w:sz="0" w:space="0" w:color="auto"/>
      </w:divBdr>
    </w:div>
    <w:div w:id="825315929">
      <w:bodyDiv w:val="1"/>
      <w:marLeft w:val="0"/>
      <w:marRight w:val="0"/>
      <w:marTop w:val="0"/>
      <w:marBottom w:val="0"/>
      <w:divBdr>
        <w:top w:val="none" w:sz="0" w:space="0" w:color="auto"/>
        <w:left w:val="none" w:sz="0" w:space="0" w:color="auto"/>
        <w:bottom w:val="none" w:sz="0" w:space="0" w:color="auto"/>
        <w:right w:val="none" w:sz="0" w:space="0" w:color="auto"/>
      </w:divBdr>
    </w:div>
    <w:div w:id="877820763">
      <w:bodyDiv w:val="1"/>
      <w:marLeft w:val="0"/>
      <w:marRight w:val="0"/>
      <w:marTop w:val="0"/>
      <w:marBottom w:val="0"/>
      <w:divBdr>
        <w:top w:val="none" w:sz="0" w:space="0" w:color="auto"/>
        <w:left w:val="none" w:sz="0" w:space="0" w:color="auto"/>
        <w:bottom w:val="none" w:sz="0" w:space="0" w:color="auto"/>
        <w:right w:val="none" w:sz="0" w:space="0" w:color="auto"/>
      </w:divBdr>
    </w:div>
    <w:div w:id="1220870572">
      <w:bodyDiv w:val="1"/>
      <w:marLeft w:val="0"/>
      <w:marRight w:val="0"/>
      <w:marTop w:val="0"/>
      <w:marBottom w:val="0"/>
      <w:divBdr>
        <w:top w:val="none" w:sz="0" w:space="0" w:color="auto"/>
        <w:left w:val="none" w:sz="0" w:space="0" w:color="auto"/>
        <w:bottom w:val="none" w:sz="0" w:space="0" w:color="auto"/>
        <w:right w:val="none" w:sz="0" w:space="0" w:color="auto"/>
      </w:divBdr>
      <w:divsChild>
        <w:div w:id="1591235538">
          <w:marLeft w:val="0"/>
          <w:marRight w:val="0"/>
          <w:marTop w:val="0"/>
          <w:marBottom w:val="0"/>
          <w:divBdr>
            <w:top w:val="none" w:sz="0" w:space="0" w:color="auto"/>
            <w:left w:val="none" w:sz="0" w:space="0" w:color="auto"/>
            <w:bottom w:val="none" w:sz="0" w:space="0" w:color="auto"/>
            <w:right w:val="none" w:sz="0" w:space="0" w:color="auto"/>
          </w:divBdr>
          <w:divsChild>
            <w:div w:id="1780636717">
              <w:marLeft w:val="0"/>
              <w:marRight w:val="0"/>
              <w:marTop w:val="0"/>
              <w:marBottom w:val="0"/>
              <w:divBdr>
                <w:top w:val="none" w:sz="0" w:space="0" w:color="auto"/>
                <w:left w:val="none" w:sz="0" w:space="0" w:color="auto"/>
                <w:bottom w:val="none" w:sz="0" w:space="0" w:color="auto"/>
                <w:right w:val="none" w:sz="0" w:space="0" w:color="auto"/>
              </w:divBdr>
              <w:divsChild>
                <w:div w:id="13969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1414">
      <w:bodyDiv w:val="1"/>
      <w:marLeft w:val="0"/>
      <w:marRight w:val="0"/>
      <w:marTop w:val="0"/>
      <w:marBottom w:val="0"/>
      <w:divBdr>
        <w:top w:val="none" w:sz="0" w:space="0" w:color="auto"/>
        <w:left w:val="none" w:sz="0" w:space="0" w:color="auto"/>
        <w:bottom w:val="none" w:sz="0" w:space="0" w:color="auto"/>
        <w:right w:val="none" w:sz="0" w:space="0" w:color="auto"/>
      </w:divBdr>
    </w:div>
    <w:div w:id="1419256941">
      <w:bodyDiv w:val="1"/>
      <w:marLeft w:val="0"/>
      <w:marRight w:val="0"/>
      <w:marTop w:val="0"/>
      <w:marBottom w:val="0"/>
      <w:divBdr>
        <w:top w:val="none" w:sz="0" w:space="0" w:color="auto"/>
        <w:left w:val="none" w:sz="0" w:space="0" w:color="auto"/>
        <w:bottom w:val="none" w:sz="0" w:space="0" w:color="auto"/>
        <w:right w:val="none" w:sz="0" w:space="0" w:color="auto"/>
      </w:divBdr>
    </w:div>
    <w:div w:id="1651593105">
      <w:bodyDiv w:val="1"/>
      <w:marLeft w:val="0"/>
      <w:marRight w:val="0"/>
      <w:marTop w:val="0"/>
      <w:marBottom w:val="0"/>
      <w:divBdr>
        <w:top w:val="none" w:sz="0" w:space="0" w:color="auto"/>
        <w:left w:val="none" w:sz="0" w:space="0" w:color="auto"/>
        <w:bottom w:val="none" w:sz="0" w:space="0" w:color="auto"/>
        <w:right w:val="none" w:sz="0" w:space="0" w:color="auto"/>
      </w:divBdr>
      <w:divsChild>
        <w:div w:id="191577578">
          <w:marLeft w:val="0"/>
          <w:marRight w:val="0"/>
          <w:marTop w:val="0"/>
          <w:marBottom w:val="0"/>
          <w:divBdr>
            <w:top w:val="none" w:sz="0" w:space="0" w:color="auto"/>
            <w:left w:val="none" w:sz="0" w:space="0" w:color="auto"/>
            <w:bottom w:val="none" w:sz="0" w:space="0" w:color="auto"/>
            <w:right w:val="none" w:sz="0" w:space="0" w:color="auto"/>
          </w:divBdr>
          <w:divsChild>
            <w:div w:id="1005672418">
              <w:marLeft w:val="0"/>
              <w:marRight w:val="0"/>
              <w:marTop w:val="0"/>
              <w:marBottom w:val="0"/>
              <w:divBdr>
                <w:top w:val="none" w:sz="0" w:space="0" w:color="auto"/>
                <w:left w:val="none" w:sz="0" w:space="0" w:color="auto"/>
                <w:bottom w:val="none" w:sz="0" w:space="0" w:color="auto"/>
                <w:right w:val="none" w:sz="0" w:space="0" w:color="auto"/>
              </w:divBdr>
              <w:divsChild>
                <w:div w:id="1003623881">
                  <w:marLeft w:val="0"/>
                  <w:marRight w:val="0"/>
                  <w:marTop w:val="0"/>
                  <w:marBottom w:val="0"/>
                  <w:divBdr>
                    <w:top w:val="none" w:sz="0" w:space="0" w:color="auto"/>
                    <w:left w:val="none" w:sz="0" w:space="0" w:color="auto"/>
                    <w:bottom w:val="none" w:sz="0" w:space="0" w:color="auto"/>
                    <w:right w:val="none" w:sz="0" w:space="0" w:color="auto"/>
                  </w:divBdr>
                  <w:divsChild>
                    <w:div w:id="434979322">
                      <w:marLeft w:val="0"/>
                      <w:marRight w:val="0"/>
                      <w:marTop w:val="0"/>
                      <w:marBottom w:val="0"/>
                      <w:divBdr>
                        <w:top w:val="none" w:sz="0" w:space="0" w:color="auto"/>
                        <w:left w:val="none" w:sz="0" w:space="0" w:color="auto"/>
                        <w:bottom w:val="none" w:sz="0" w:space="0" w:color="auto"/>
                        <w:right w:val="none" w:sz="0" w:space="0" w:color="auto"/>
                      </w:divBdr>
                      <w:divsChild>
                        <w:div w:id="1229921446">
                          <w:marLeft w:val="0"/>
                          <w:marRight w:val="0"/>
                          <w:marTop w:val="0"/>
                          <w:marBottom w:val="0"/>
                          <w:divBdr>
                            <w:top w:val="none" w:sz="0" w:space="0" w:color="auto"/>
                            <w:left w:val="none" w:sz="0" w:space="0" w:color="auto"/>
                            <w:bottom w:val="none" w:sz="0" w:space="0" w:color="auto"/>
                            <w:right w:val="none" w:sz="0" w:space="0" w:color="auto"/>
                          </w:divBdr>
                          <w:divsChild>
                            <w:div w:id="44917762">
                              <w:marLeft w:val="0"/>
                              <w:marRight w:val="0"/>
                              <w:marTop w:val="0"/>
                              <w:marBottom w:val="0"/>
                              <w:divBdr>
                                <w:top w:val="none" w:sz="0" w:space="0" w:color="auto"/>
                                <w:left w:val="none" w:sz="0" w:space="0" w:color="auto"/>
                                <w:bottom w:val="none" w:sz="0" w:space="0" w:color="auto"/>
                                <w:right w:val="none" w:sz="0" w:space="0" w:color="auto"/>
                              </w:divBdr>
                              <w:divsChild>
                                <w:div w:id="1781602476">
                                  <w:marLeft w:val="0"/>
                                  <w:marRight w:val="0"/>
                                  <w:marTop w:val="0"/>
                                  <w:marBottom w:val="0"/>
                                  <w:divBdr>
                                    <w:top w:val="none" w:sz="0" w:space="0" w:color="auto"/>
                                    <w:left w:val="none" w:sz="0" w:space="0" w:color="auto"/>
                                    <w:bottom w:val="none" w:sz="0" w:space="0" w:color="auto"/>
                                    <w:right w:val="none" w:sz="0" w:space="0" w:color="auto"/>
                                  </w:divBdr>
                                  <w:divsChild>
                                    <w:div w:id="584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713819">
      <w:bodyDiv w:val="1"/>
      <w:marLeft w:val="0"/>
      <w:marRight w:val="0"/>
      <w:marTop w:val="0"/>
      <w:marBottom w:val="0"/>
      <w:divBdr>
        <w:top w:val="none" w:sz="0" w:space="0" w:color="auto"/>
        <w:left w:val="none" w:sz="0" w:space="0" w:color="auto"/>
        <w:bottom w:val="none" w:sz="0" w:space="0" w:color="auto"/>
        <w:right w:val="none" w:sz="0" w:space="0" w:color="auto"/>
      </w:divBdr>
      <w:divsChild>
        <w:div w:id="633364506">
          <w:marLeft w:val="0"/>
          <w:marRight w:val="0"/>
          <w:marTop w:val="0"/>
          <w:marBottom w:val="0"/>
          <w:divBdr>
            <w:top w:val="none" w:sz="0" w:space="0" w:color="auto"/>
            <w:left w:val="none" w:sz="0" w:space="0" w:color="auto"/>
            <w:bottom w:val="none" w:sz="0" w:space="0" w:color="auto"/>
            <w:right w:val="none" w:sz="0" w:space="0" w:color="auto"/>
          </w:divBdr>
          <w:divsChild>
            <w:div w:id="16874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1566">
      <w:bodyDiv w:val="1"/>
      <w:marLeft w:val="0"/>
      <w:marRight w:val="0"/>
      <w:marTop w:val="0"/>
      <w:marBottom w:val="0"/>
      <w:divBdr>
        <w:top w:val="none" w:sz="0" w:space="0" w:color="auto"/>
        <w:left w:val="none" w:sz="0" w:space="0" w:color="auto"/>
        <w:bottom w:val="none" w:sz="0" w:space="0" w:color="auto"/>
        <w:right w:val="none" w:sz="0" w:space="0" w:color="auto"/>
      </w:divBdr>
      <w:divsChild>
        <w:div w:id="682628704">
          <w:marLeft w:val="0"/>
          <w:marRight w:val="0"/>
          <w:marTop w:val="0"/>
          <w:marBottom w:val="0"/>
          <w:divBdr>
            <w:top w:val="none" w:sz="0" w:space="0" w:color="auto"/>
            <w:left w:val="none" w:sz="0" w:space="0" w:color="auto"/>
            <w:bottom w:val="none" w:sz="0" w:space="0" w:color="auto"/>
            <w:right w:val="none" w:sz="0" w:space="0" w:color="auto"/>
          </w:divBdr>
          <w:divsChild>
            <w:div w:id="1443264344">
              <w:marLeft w:val="0"/>
              <w:marRight w:val="0"/>
              <w:marTop w:val="0"/>
              <w:marBottom w:val="0"/>
              <w:divBdr>
                <w:top w:val="none" w:sz="0" w:space="0" w:color="auto"/>
                <w:left w:val="none" w:sz="0" w:space="0" w:color="auto"/>
                <w:bottom w:val="none" w:sz="0" w:space="0" w:color="auto"/>
                <w:right w:val="none" w:sz="0" w:space="0" w:color="auto"/>
              </w:divBdr>
              <w:divsChild>
                <w:div w:id="849105141">
                  <w:marLeft w:val="0"/>
                  <w:marRight w:val="0"/>
                  <w:marTop w:val="0"/>
                  <w:marBottom w:val="0"/>
                  <w:divBdr>
                    <w:top w:val="none" w:sz="0" w:space="0" w:color="auto"/>
                    <w:left w:val="none" w:sz="0" w:space="0" w:color="auto"/>
                    <w:bottom w:val="none" w:sz="0" w:space="0" w:color="auto"/>
                    <w:right w:val="none" w:sz="0" w:space="0" w:color="auto"/>
                  </w:divBdr>
                  <w:divsChild>
                    <w:div w:id="1407848881">
                      <w:marLeft w:val="0"/>
                      <w:marRight w:val="0"/>
                      <w:marTop w:val="0"/>
                      <w:marBottom w:val="0"/>
                      <w:divBdr>
                        <w:top w:val="none" w:sz="0" w:space="0" w:color="auto"/>
                        <w:left w:val="none" w:sz="0" w:space="0" w:color="auto"/>
                        <w:bottom w:val="none" w:sz="0" w:space="0" w:color="auto"/>
                        <w:right w:val="none" w:sz="0" w:space="0" w:color="auto"/>
                      </w:divBdr>
                      <w:divsChild>
                        <w:div w:id="726148407">
                          <w:marLeft w:val="0"/>
                          <w:marRight w:val="0"/>
                          <w:marTop w:val="0"/>
                          <w:marBottom w:val="0"/>
                          <w:divBdr>
                            <w:top w:val="none" w:sz="0" w:space="0" w:color="auto"/>
                            <w:left w:val="none" w:sz="0" w:space="0" w:color="auto"/>
                            <w:bottom w:val="none" w:sz="0" w:space="0" w:color="auto"/>
                            <w:right w:val="none" w:sz="0" w:space="0" w:color="auto"/>
                          </w:divBdr>
                          <w:divsChild>
                            <w:div w:id="489757482">
                              <w:marLeft w:val="0"/>
                              <w:marRight w:val="0"/>
                              <w:marTop w:val="0"/>
                              <w:marBottom w:val="0"/>
                              <w:divBdr>
                                <w:top w:val="none" w:sz="0" w:space="0" w:color="auto"/>
                                <w:left w:val="none" w:sz="0" w:space="0" w:color="auto"/>
                                <w:bottom w:val="none" w:sz="0" w:space="0" w:color="auto"/>
                                <w:right w:val="none" w:sz="0" w:space="0" w:color="auto"/>
                              </w:divBdr>
                              <w:divsChild>
                                <w:div w:id="1772554208">
                                  <w:marLeft w:val="0"/>
                                  <w:marRight w:val="0"/>
                                  <w:marTop w:val="0"/>
                                  <w:marBottom w:val="0"/>
                                  <w:divBdr>
                                    <w:top w:val="none" w:sz="0" w:space="0" w:color="auto"/>
                                    <w:left w:val="none" w:sz="0" w:space="0" w:color="auto"/>
                                    <w:bottom w:val="none" w:sz="0" w:space="0" w:color="auto"/>
                                    <w:right w:val="none" w:sz="0" w:space="0" w:color="auto"/>
                                  </w:divBdr>
                                  <w:divsChild>
                                    <w:div w:id="2368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0FEC9-FD86-4F34-AEC0-10C5E5ACD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2103</TotalTime>
  <Pages>8</Pages>
  <Words>2931</Words>
  <Characters>16712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Amendment to definition of British Pharmacopoeia</vt:lpstr>
    </vt:vector>
  </TitlesOfParts>
  <Company>Department of Health</Company>
  <LinksUpToDate>false</LinksUpToDate>
  <CharactersWithSpaces>19604</CharactersWithSpaces>
  <SharedDoc>false</SharedDoc>
  <HLinks>
    <vt:vector size="6" baseType="variant">
      <vt:variant>
        <vt:i4>6357037</vt:i4>
      </vt:variant>
      <vt:variant>
        <vt:i4>0</vt:i4>
      </vt:variant>
      <vt:variant>
        <vt:i4>0</vt:i4>
      </vt:variant>
      <vt:variant>
        <vt:i4>5</vt:i4>
      </vt:variant>
      <vt:variant>
        <vt:lpwstr>http://www.tga.gov.au/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definition of British Pharmacopoeia</dc:title>
  <dc:creator>NANTHAKRISHNAKUMAR, Nieshanka</dc:creator>
  <cp:lastModifiedBy>Legislation Section</cp:lastModifiedBy>
  <cp:revision>23</cp:revision>
  <cp:lastPrinted>2008-08-15T05:06:00Z</cp:lastPrinted>
  <dcterms:created xsi:type="dcterms:W3CDTF">2025-02-06T05:51:00Z</dcterms:created>
  <dcterms:modified xsi:type="dcterms:W3CDTF">2025-08-19T05:45:00Z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