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8E791" w14:textId="77777777" w:rsidR="00B62222" w:rsidRPr="008B24C8" w:rsidRDefault="00B62222" w:rsidP="00B62222">
      <w:pPr>
        <w:pStyle w:val="ESTitleHeader"/>
      </w:pPr>
      <w:r w:rsidRPr="008B24C8">
        <w:t>EXPLANATORY STATEMENT</w:t>
      </w:r>
    </w:p>
    <w:p w14:paraId="291879AC" w14:textId="77777777" w:rsidR="00B62222" w:rsidRPr="008B24C8" w:rsidRDefault="00B62222" w:rsidP="00B62222">
      <w:pPr>
        <w:pStyle w:val="ESTitleDecisionMaker"/>
      </w:pPr>
      <w:r w:rsidRPr="008B24C8">
        <w:t>Issued by authority of the</w:t>
      </w:r>
      <w:r>
        <w:t xml:space="preserve"> Assistant</w:t>
      </w:r>
      <w:r w:rsidRPr="008B24C8">
        <w:t xml:space="preserve"> </w:t>
      </w:r>
      <w:r w:rsidRPr="000B4B98">
        <w:t xml:space="preserve">Minister for </w:t>
      </w:r>
      <w:r>
        <w:t>Citizenship, Customs and Multicultural Affairs</w:t>
      </w:r>
    </w:p>
    <w:p w14:paraId="2B0086B7" w14:textId="77777777" w:rsidR="00B62222" w:rsidRDefault="00B62222" w:rsidP="00B62222">
      <w:pPr>
        <w:pStyle w:val="ESParagraph"/>
        <w:jc w:val="center"/>
      </w:pPr>
      <w:r w:rsidRPr="006208CE">
        <w:rPr>
          <w:i/>
        </w:rPr>
        <w:t xml:space="preserve">Migration </w:t>
      </w:r>
      <w:r>
        <w:rPr>
          <w:i/>
        </w:rPr>
        <w:t>Act 1958</w:t>
      </w:r>
    </w:p>
    <w:p w14:paraId="4E3CDC0B" w14:textId="77777777" w:rsidR="00B62222" w:rsidRPr="00764C0B" w:rsidRDefault="00B62222" w:rsidP="00B62222">
      <w:pPr>
        <w:pStyle w:val="ESParagraph"/>
        <w:jc w:val="center"/>
        <w:rPr>
          <w:b/>
          <w:i/>
        </w:rPr>
      </w:pPr>
      <w:r w:rsidRPr="00447D17">
        <w:rPr>
          <w:b/>
          <w:i/>
        </w:rPr>
        <w:t>Migration (International trade obligations relating to labour market testing) Amendment (CEPA) Determination 2025</w:t>
      </w:r>
    </w:p>
    <w:p w14:paraId="0FD2695E" w14:textId="1689DB31" w:rsidR="00B62222" w:rsidRDefault="00B62222" w:rsidP="000466D1">
      <w:pPr>
        <w:pStyle w:val="ESpara0"/>
      </w:pPr>
      <w:r w:rsidRPr="008B24C8">
        <w:t xml:space="preserve">The </w:t>
      </w:r>
      <w:r w:rsidRPr="000466D1">
        <w:t>instrument</w:t>
      </w:r>
      <w:r w:rsidR="000466D1">
        <w:t xml:space="preserve"> (</w:t>
      </w:r>
      <w:r>
        <w:t>departmental reference LIN 25/103</w:t>
      </w:r>
      <w:r w:rsidR="000466D1">
        <w:t>)</w:t>
      </w:r>
      <w:r>
        <w:t xml:space="preserve"> is made under subsection 140GBA(2) of the </w:t>
      </w:r>
      <w:r>
        <w:rPr>
          <w:i/>
        </w:rPr>
        <w:t xml:space="preserve">Migration Act 1958 </w:t>
      </w:r>
      <w:r>
        <w:t xml:space="preserve">(the </w:t>
      </w:r>
      <w:r w:rsidR="0065143C">
        <w:t xml:space="preserve">Migration </w:t>
      </w:r>
      <w:r>
        <w:t>Act).</w:t>
      </w:r>
    </w:p>
    <w:p w14:paraId="1620E6AF" w14:textId="6C13AC0A" w:rsidR="00B62222" w:rsidRDefault="00B62222" w:rsidP="000466D1">
      <w:pPr>
        <w:pStyle w:val="ESpara0"/>
      </w:pPr>
      <w:r>
        <w:t>The instrument amends the </w:t>
      </w:r>
      <w:r w:rsidRPr="000466D1">
        <w:rPr>
          <w:rStyle w:val="ESTitleEnablingLegislationChar"/>
        </w:rPr>
        <w:t>Migration (International trade obligations relating to labour market testing) Determination (LIN 21/075) 2021</w:t>
      </w:r>
      <w:r>
        <w:t> (LIN 21/075)</w:t>
      </w:r>
      <w:r w:rsidR="009F21C9">
        <w:t>. S</w:t>
      </w:r>
      <w:r>
        <w:t>ubsection 33(3) of the </w:t>
      </w:r>
      <w:r w:rsidRPr="005175A2">
        <w:rPr>
          <w:rStyle w:val="ESTitleEnablingLegislationChar"/>
        </w:rPr>
        <w:t>Acts Interpretation Act 1901</w:t>
      </w:r>
      <w:r w:rsidR="009F21C9">
        <w:t xml:space="preserve"> relevantly provides t</w:t>
      </w:r>
      <w:r>
        <w:t>hat a power to make a legislative instrument includes a power to amend or repeal that instrument in the same manner, and subject to the same conditions, as the power to make the instrument.</w:t>
      </w:r>
    </w:p>
    <w:p w14:paraId="4B782B7C" w14:textId="77777777" w:rsidR="000466D1" w:rsidRDefault="00B62222" w:rsidP="000466D1">
      <w:pPr>
        <w:pStyle w:val="ESpara0"/>
        <w:rPr>
          <w:b/>
          <w:i/>
        </w:rPr>
      </w:pPr>
      <w:r w:rsidRPr="008360A7">
        <w:t xml:space="preserve">The instrument commences </w:t>
      </w:r>
      <w:r>
        <w:t>on the later of</w:t>
      </w:r>
      <w:r w:rsidR="000466D1" w:rsidRPr="005175A2">
        <w:t>:</w:t>
      </w:r>
    </w:p>
    <w:p w14:paraId="589380DF" w14:textId="77777777" w:rsidR="000466D1" w:rsidRPr="000466D1" w:rsidRDefault="00B62222" w:rsidP="000466D1">
      <w:pPr>
        <w:pStyle w:val="ESbullet"/>
      </w:pPr>
      <w:r>
        <w:t xml:space="preserve">the day </w:t>
      </w:r>
      <w:r w:rsidRPr="008360A7">
        <w:t xml:space="preserve">after the instrument is </w:t>
      </w:r>
      <w:r w:rsidRPr="000466D1">
        <w:t xml:space="preserve">registered </w:t>
      </w:r>
      <w:r w:rsidR="000466D1" w:rsidRPr="000466D1">
        <w:t xml:space="preserve">on the Federal Register of Legislation; </w:t>
      </w:r>
      <w:r w:rsidRPr="000466D1">
        <w:t xml:space="preserve">and </w:t>
      </w:r>
    </w:p>
    <w:p w14:paraId="58AAE357" w14:textId="77777777" w:rsidR="000466D1" w:rsidRPr="000466D1" w:rsidRDefault="000466D1" w:rsidP="000466D1">
      <w:pPr>
        <w:pStyle w:val="ESbullet"/>
      </w:pPr>
      <w:r w:rsidRPr="000466D1">
        <w:t xml:space="preserve">immediately after </w:t>
      </w:r>
      <w:r w:rsidR="00B62222" w:rsidRPr="000466D1">
        <w:t xml:space="preserve">Schedule 1 to the </w:t>
      </w:r>
      <w:r w:rsidR="00B62222" w:rsidRPr="000466D1">
        <w:rPr>
          <w:rStyle w:val="ESTitleEnablingLegislationChar"/>
        </w:rPr>
        <w:t xml:space="preserve">Customs Amendment (Australia-United Arab Emirates Comprehensive Economic Partnership Agreement Implementation) Act 2025 </w:t>
      </w:r>
      <w:r w:rsidR="00B62222" w:rsidRPr="000466D1">
        <w:t xml:space="preserve">commences. </w:t>
      </w:r>
    </w:p>
    <w:p w14:paraId="073E8F82" w14:textId="26EF0F24" w:rsidR="00B62222" w:rsidRPr="000466D1" w:rsidRDefault="00B62222" w:rsidP="000466D1">
      <w:pPr>
        <w:pStyle w:val="ESpara0"/>
        <w:rPr>
          <w:i/>
        </w:rPr>
      </w:pPr>
      <w:r>
        <w:t>The instrument is</w:t>
      </w:r>
      <w:r w:rsidRPr="008360A7">
        <w:t xml:space="preserve"> a legislative instrument for the purposes of the </w:t>
      </w:r>
      <w:r w:rsidRPr="000466D1">
        <w:rPr>
          <w:rStyle w:val="ESTitleEnablingLegislationChar"/>
        </w:rPr>
        <w:t>Legislation Act 2003</w:t>
      </w:r>
      <w:r w:rsidR="000466D1" w:rsidRPr="005175A2">
        <w:t xml:space="preserve"> (Legislation Act).</w:t>
      </w:r>
    </w:p>
    <w:p w14:paraId="458E01AF" w14:textId="77777777" w:rsidR="00294240" w:rsidRDefault="00294240" w:rsidP="005175A2">
      <w:pPr>
        <w:pStyle w:val="ESAttHeading"/>
      </w:pPr>
      <w:r w:rsidRPr="00AC4838">
        <w:t>Purpose</w:t>
      </w:r>
    </w:p>
    <w:p w14:paraId="73E36EE9" w14:textId="728DB42B" w:rsidR="00294240" w:rsidRPr="001805D4" w:rsidRDefault="00294240" w:rsidP="00294240">
      <w:pPr>
        <w:pStyle w:val="ESpara0"/>
      </w:pPr>
      <w:r w:rsidRPr="001805D4">
        <w:t xml:space="preserve">The instrument amends LIN 21/075 to insert </w:t>
      </w:r>
      <w:r w:rsidR="00B10D3A">
        <w:t xml:space="preserve">a </w:t>
      </w:r>
      <w:r>
        <w:t xml:space="preserve">reference to </w:t>
      </w:r>
      <w:r w:rsidRPr="001805D4">
        <w:t xml:space="preserve">the </w:t>
      </w:r>
      <w:r w:rsidRPr="001805D4">
        <w:rPr>
          <w:i/>
        </w:rPr>
        <w:t>Comprehensive Economic Partnership Agreement between Australia and the United Arab Emirates</w:t>
      </w:r>
      <w:r w:rsidRPr="001805D4">
        <w:t xml:space="preserve"> (CEPA) in the list of current </w:t>
      </w:r>
      <w:r w:rsidR="00B10D3A">
        <w:t>f</w:t>
      </w:r>
      <w:r w:rsidRPr="001805D4">
        <w:t xml:space="preserve">ree </w:t>
      </w:r>
      <w:r w:rsidR="00B10D3A">
        <w:t>t</w:t>
      </w:r>
      <w:r w:rsidRPr="001805D4">
        <w:t xml:space="preserve">rade </w:t>
      </w:r>
      <w:r w:rsidR="00B10D3A">
        <w:t>a</w:t>
      </w:r>
      <w:r w:rsidRPr="001805D4">
        <w:t>greements covered by LIN</w:t>
      </w:r>
      <w:r>
        <w:t> </w:t>
      </w:r>
      <w:r w:rsidRPr="001805D4">
        <w:t xml:space="preserve">21/075, as well as the </w:t>
      </w:r>
      <w:r w:rsidRPr="001805D4">
        <w:rPr>
          <w:i/>
        </w:rPr>
        <w:t>World Trade Organization (WTO) General Agreement on Trade in Services</w:t>
      </w:r>
      <w:r w:rsidRPr="001805D4">
        <w:t xml:space="preserve"> (GATS). The CEPA is a new </w:t>
      </w:r>
      <w:r w:rsidR="00B10D3A">
        <w:t xml:space="preserve">free trade </w:t>
      </w:r>
      <w:r w:rsidRPr="001805D4">
        <w:t>agreement made between Australia and the U</w:t>
      </w:r>
      <w:r>
        <w:t xml:space="preserve">nited </w:t>
      </w:r>
      <w:r w:rsidRPr="001805D4">
        <w:t>A</w:t>
      </w:r>
      <w:r>
        <w:t xml:space="preserve">rab </w:t>
      </w:r>
      <w:r w:rsidRPr="001805D4">
        <w:t>E</w:t>
      </w:r>
      <w:r>
        <w:t>mirates (UAE)</w:t>
      </w:r>
      <w:r w:rsidRPr="001805D4">
        <w:t xml:space="preserve">. The instrument is necessary to give full domestic effect to Australia’s commitments under the CEPA, </w:t>
      </w:r>
      <w:r>
        <w:t xml:space="preserve">by </w:t>
      </w:r>
      <w:r w:rsidRPr="001805D4">
        <w:t xml:space="preserve">updating LIN 21/075 to include the CEPA alongside the other agreements determined as </w:t>
      </w:r>
      <w:r>
        <w:t xml:space="preserve">an </w:t>
      </w:r>
      <w:r w:rsidRPr="001805D4">
        <w:t>international trade obligation of Australia for the purposes of labour market testing requirements under the Migration Act.</w:t>
      </w:r>
      <w:r w:rsidRPr="001805D4" w:rsidDel="00294240">
        <w:t xml:space="preserve"> </w:t>
      </w:r>
    </w:p>
    <w:p w14:paraId="06143018" w14:textId="20A2DF13" w:rsidR="00B62222" w:rsidRDefault="00B62222" w:rsidP="000466D1">
      <w:pPr>
        <w:pStyle w:val="ESAttHeading"/>
      </w:pPr>
      <w:r>
        <w:t>Background</w:t>
      </w:r>
    </w:p>
    <w:p w14:paraId="2DDE0393" w14:textId="04252AE7" w:rsidR="009F21C9" w:rsidRDefault="009F21C9" w:rsidP="005175A2">
      <w:pPr>
        <w:pStyle w:val="ESpara0"/>
      </w:pPr>
      <w:r>
        <w:t xml:space="preserve">Section 140GBA of the </w:t>
      </w:r>
      <w:r w:rsidR="0065143C">
        <w:t xml:space="preserve">Migration </w:t>
      </w:r>
      <w:r>
        <w:t>Act sets out a condition for labour market testing that needs to be satisfied by an approved work sponsor in a prescribed class who nominates a  proposed occupation in certain circumstances (paragraph 140GB(2)(a) of the Act</w:t>
      </w:r>
      <w:r w:rsidR="0065143C">
        <w:t xml:space="preserve"> refers</w:t>
      </w:r>
      <w:r>
        <w:t>). Subsection 140GBA(1) provides that the labour market testing condition applies to a nomination by a person if:</w:t>
      </w:r>
    </w:p>
    <w:p w14:paraId="393BD70D" w14:textId="085643EA" w:rsidR="009F21C9" w:rsidRDefault="009F21C9" w:rsidP="005175A2">
      <w:pPr>
        <w:pStyle w:val="ESbullet"/>
        <w:keepNext w:val="0"/>
        <w:ind w:left="357" w:hanging="357"/>
      </w:pPr>
      <w:r>
        <w:t>the person is or has applied to be in a class of approved work sponsors (paragraph 140GBA(1)(a)); and</w:t>
      </w:r>
    </w:p>
    <w:p w14:paraId="47B5CD7D" w14:textId="77777777" w:rsidR="009F21C9" w:rsidRDefault="009F21C9" w:rsidP="005175A2">
      <w:pPr>
        <w:pStyle w:val="ESbullet"/>
        <w:keepNext w:val="0"/>
        <w:ind w:left="357" w:hanging="357"/>
      </w:pPr>
      <w:r>
        <w:t>the person nominates a proposed occupation and a particular position, associated with the nominated occupation, that is to be filled by a visa applicant (including proposed applicants) or a visa holder identified in the nomination (paragraph 140GBA(1)(b)); and</w:t>
      </w:r>
    </w:p>
    <w:p w14:paraId="2498FDFE" w14:textId="77777777" w:rsidR="009F21C9" w:rsidRDefault="009F21C9" w:rsidP="005175A2">
      <w:pPr>
        <w:pStyle w:val="ESbullet"/>
      </w:pPr>
      <w:r>
        <w:lastRenderedPageBreak/>
        <w:t>it would not be inconsistent with any international trade obligation of Australia determined in a legislative instrument made under subsection 140GBA(2) to require the person to satisfy the labour market testing condition, in relation to the nominated position (paragraph 140GBA(1)(c)).</w:t>
      </w:r>
    </w:p>
    <w:p w14:paraId="1974C580" w14:textId="52957C9A" w:rsidR="00B62222" w:rsidRDefault="00B62222">
      <w:pPr>
        <w:pStyle w:val="ESpara0"/>
        <w:rPr>
          <w:i/>
        </w:rPr>
      </w:pPr>
      <w:r>
        <w:t xml:space="preserve">LIN 21/075 </w:t>
      </w:r>
      <w:r w:rsidR="009F21C9">
        <w:t>specifies the agreements that are determined as an international trade obligation of Australia for the purposes of section 140GBA of the Act</w:t>
      </w:r>
      <w:r>
        <w:t xml:space="preserve">. The instrument amends </w:t>
      </w:r>
      <w:r w:rsidR="009F21C9">
        <w:t xml:space="preserve">LIN 21/075 </w:t>
      </w:r>
      <w:r>
        <w:t xml:space="preserve">to include the </w:t>
      </w:r>
      <w:r w:rsidRPr="005175A2">
        <w:t>CEPA</w:t>
      </w:r>
      <w:r w:rsidRPr="003B6F03">
        <w:rPr>
          <w:i/>
        </w:rPr>
        <w:t>.</w:t>
      </w:r>
    </w:p>
    <w:p w14:paraId="6140B07A" w14:textId="3A8922C6" w:rsidR="00B62222" w:rsidRPr="003B6F03" w:rsidRDefault="00B62222" w:rsidP="000466D1">
      <w:pPr>
        <w:pStyle w:val="ESpara0"/>
      </w:pPr>
      <w:r w:rsidRPr="003B6F03">
        <w:t xml:space="preserve">The </w:t>
      </w:r>
      <w:r w:rsidR="009F21C9">
        <w:t>CEPA</w:t>
      </w:r>
      <w:r w:rsidR="009F21C9" w:rsidRPr="003B6F03">
        <w:t xml:space="preserve"> </w:t>
      </w:r>
      <w:r w:rsidRPr="003B6F03">
        <w:t>is Australia’s first free trade agreement with a nation of the Middle East</w:t>
      </w:r>
      <w:r w:rsidR="00294240">
        <w:t>. It</w:t>
      </w:r>
      <w:r w:rsidRPr="003B6F03">
        <w:t xml:space="preserve"> delivers on the Australian Government’s commitment to opening new opportunities that will allow Australia to diversify our trade. </w:t>
      </w:r>
    </w:p>
    <w:p w14:paraId="09BF2E69" w14:textId="236313F9" w:rsidR="00B62222" w:rsidRPr="003B6F03" w:rsidRDefault="00B62222" w:rsidP="000466D1">
      <w:pPr>
        <w:pStyle w:val="ESpara0"/>
      </w:pPr>
      <w:r w:rsidRPr="003B6F03">
        <w:t xml:space="preserve">The </w:t>
      </w:r>
      <w:r w:rsidR="009F21C9">
        <w:t>CEPA</w:t>
      </w:r>
      <w:r w:rsidR="009F21C9" w:rsidRPr="003B6F03">
        <w:t xml:space="preserve"> </w:t>
      </w:r>
      <w:r w:rsidRPr="003B6F03">
        <w:t>is a modern and comprehensive free trade agreement delivering outcomes for Australian businesses in trade in goods</w:t>
      </w:r>
      <w:r w:rsidR="00294240">
        <w:t>;</w:t>
      </w:r>
      <w:r w:rsidRPr="003B6F03">
        <w:t xml:space="preserve"> trade in services</w:t>
      </w:r>
      <w:r w:rsidR="00294240">
        <w:t>;</w:t>
      </w:r>
      <w:r w:rsidRPr="003B6F03">
        <w:t xml:space="preserve"> investment</w:t>
      </w:r>
      <w:r w:rsidR="00294240">
        <w:t>;</w:t>
      </w:r>
      <w:r w:rsidRPr="003B6F03">
        <w:t xml:space="preserve"> economic and technical cooperation</w:t>
      </w:r>
      <w:r w:rsidR="00294240">
        <w:t>;</w:t>
      </w:r>
      <w:r w:rsidRPr="003B6F03">
        <w:t xml:space="preserve"> digital trade</w:t>
      </w:r>
      <w:r w:rsidR="00294240">
        <w:t>;</w:t>
      </w:r>
      <w:r w:rsidRPr="003B6F03">
        <w:t xml:space="preserve"> intellectual property</w:t>
      </w:r>
      <w:r w:rsidR="00294240">
        <w:t>;</w:t>
      </w:r>
      <w:r w:rsidRPr="003B6F03">
        <w:t xml:space="preserve"> government procurement</w:t>
      </w:r>
      <w:r w:rsidR="00294240">
        <w:t>;</w:t>
      </w:r>
      <w:r w:rsidRPr="003B6F03">
        <w:t xml:space="preserve"> competition and consumer protection</w:t>
      </w:r>
      <w:r w:rsidR="00294240">
        <w:t>;</w:t>
      </w:r>
      <w:r w:rsidRPr="003B6F03">
        <w:t xml:space="preserve"> and in relation to small and medium sized enterprises. It also includes outcomes for First Nations and Indigenous peoples and businesses in a standalone chapter for the first time in an Australian free trade agreement. The </w:t>
      </w:r>
      <w:r w:rsidR="009F21C9">
        <w:t>CEPA</w:t>
      </w:r>
      <w:r w:rsidR="009F21C9" w:rsidRPr="003B6F03">
        <w:t xml:space="preserve"> </w:t>
      </w:r>
      <w:r w:rsidRPr="003B6F03">
        <w:t>also affirms Australia’s commitments under multilateral environmental agreements; contains provisions aimed at advancing women’s economic empowerment in trade and investment; and supports a transparent and predictable regulatory environment for businesses.</w:t>
      </w:r>
    </w:p>
    <w:p w14:paraId="4C8B04D8" w14:textId="0FE5EEAE" w:rsidR="00B62222" w:rsidRPr="00B10D3A" w:rsidRDefault="00B62222" w:rsidP="000466D1">
      <w:pPr>
        <w:pStyle w:val="ESpara0"/>
      </w:pPr>
      <w:r w:rsidRPr="00B10D3A">
        <w:t xml:space="preserve">The </w:t>
      </w:r>
      <w:r w:rsidRPr="00B10D3A">
        <w:rPr>
          <w:i/>
        </w:rPr>
        <w:t>Customs Amendment (Australia-United Arab Emirates Comprehensive Economic Partnership Agreement Implementation) Act 2025</w:t>
      </w:r>
      <w:r w:rsidRPr="00B10D3A">
        <w:t xml:space="preserve"> amends the </w:t>
      </w:r>
      <w:r w:rsidRPr="00B10D3A">
        <w:rPr>
          <w:i/>
        </w:rPr>
        <w:t>Customs Act 1901</w:t>
      </w:r>
      <w:r w:rsidRPr="00B10D3A">
        <w:t xml:space="preserve"> (the Customs Act) to give effect to </w:t>
      </w:r>
      <w:r w:rsidR="00DF23EC">
        <w:t>Australia’s</w:t>
      </w:r>
      <w:r w:rsidRPr="00B10D3A">
        <w:t xml:space="preserve"> customs</w:t>
      </w:r>
      <w:r w:rsidR="00DF23EC">
        <w:t>-related</w:t>
      </w:r>
      <w:r w:rsidRPr="00B10D3A">
        <w:t xml:space="preserve"> commitments under the Agreement. The amendments </w:t>
      </w:r>
      <w:r w:rsidR="0065143C" w:rsidRPr="00B10D3A">
        <w:t>of</w:t>
      </w:r>
      <w:r w:rsidRPr="00B10D3A">
        <w:t xml:space="preserve"> the Customs Act</w:t>
      </w:r>
      <w:r w:rsidR="0065143C" w:rsidRPr="00B10D3A">
        <w:t>, supported by subordinate legislation,</w:t>
      </w:r>
      <w:r w:rsidRPr="00B10D3A">
        <w:t xml:space="preserve"> </w:t>
      </w:r>
      <w:r w:rsidR="0065143C" w:rsidRPr="00B10D3A">
        <w:t>introduce new rules of origin to determine if goods imported from the United Arab Emirates (UAE) into Australia are eligible for preferential tariff treatment under the CEPA, and related matters</w:t>
      </w:r>
      <w:r w:rsidRPr="00B10D3A">
        <w:t xml:space="preserve">. </w:t>
      </w:r>
      <w:r w:rsidR="0065143C" w:rsidRPr="00B10D3A">
        <w:t>The amendments also give effect to the requirements for verifying claims for preferential tariff treatment (in accordance with the CEPA) of goods exported from Australia to the UAE.</w:t>
      </w:r>
      <w:r w:rsidR="00B10D3A" w:rsidRPr="00B10D3A">
        <w:t xml:space="preserve"> The </w:t>
      </w:r>
      <w:r w:rsidR="00B10D3A" w:rsidRPr="00B10D3A">
        <w:rPr>
          <w:i/>
        </w:rPr>
        <w:t xml:space="preserve">Customs Tariff Amendment (Australia-United Arab Emirates Comprehensive Economic Partnership Agreement Implementation) </w:t>
      </w:r>
      <w:r w:rsidR="00B10D3A" w:rsidRPr="00B10D3A">
        <w:rPr>
          <w:i/>
        </w:rPr>
        <w:t>Act</w:t>
      </w:r>
      <w:r w:rsidR="00B10D3A" w:rsidRPr="00B10D3A">
        <w:rPr>
          <w:i/>
        </w:rPr>
        <w:t xml:space="preserve"> 2025 </w:t>
      </w:r>
      <w:r w:rsidR="00B10D3A" w:rsidRPr="00B10D3A">
        <w:t xml:space="preserve">makes complementary amendments of the </w:t>
      </w:r>
      <w:r w:rsidR="00B10D3A" w:rsidRPr="00B10D3A">
        <w:rPr>
          <w:i/>
        </w:rPr>
        <w:t>Customs Tariff Act 1995</w:t>
      </w:r>
      <w:r w:rsidR="00B10D3A" w:rsidRPr="00B10D3A">
        <w:t xml:space="preserve"> </w:t>
      </w:r>
      <w:r w:rsidR="00B10D3A" w:rsidRPr="00B10D3A">
        <w:t xml:space="preserve">to set out the preferential tariff treatment applicable to goods that are determined to be eligible goods in accordance with the </w:t>
      </w:r>
      <w:r w:rsidR="00185124">
        <w:t>CEPA</w:t>
      </w:r>
      <w:r w:rsidR="00B10D3A" w:rsidRPr="00B10D3A">
        <w:t>.</w:t>
      </w:r>
    </w:p>
    <w:p w14:paraId="0C45BAD9" w14:textId="5AFEE5B2" w:rsidR="00B62222" w:rsidRPr="003B6F03" w:rsidRDefault="00B62222" w:rsidP="000466D1">
      <w:pPr>
        <w:pStyle w:val="ESpara0"/>
      </w:pPr>
      <w:r w:rsidRPr="003B6F03">
        <w:t>The</w:t>
      </w:r>
      <w:r w:rsidR="0065143C">
        <w:t xml:space="preserve"> amendment of LIN 21/075 </w:t>
      </w:r>
      <w:r w:rsidR="00AA650B">
        <w:t xml:space="preserve">to include the CEPA for the purposes of labour market testing requirements under the Migration Act </w:t>
      </w:r>
      <w:r w:rsidR="0065143C">
        <w:t xml:space="preserve">complements the amendments of </w:t>
      </w:r>
      <w:r w:rsidR="00AA650B">
        <w:t xml:space="preserve">Australia’s </w:t>
      </w:r>
      <w:r w:rsidR="007F52C0">
        <w:t>c</w:t>
      </w:r>
      <w:r w:rsidR="0065143C">
        <w:t xml:space="preserve">ustoms legislation </w:t>
      </w:r>
      <w:r w:rsidRPr="003B6F03">
        <w:t>in ord</w:t>
      </w:r>
      <w:r>
        <w:t xml:space="preserve">er for </w:t>
      </w:r>
      <w:r w:rsidR="00AA650B">
        <w:t xml:space="preserve">Australia’s </w:t>
      </w:r>
      <w:r>
        <w:t xml:space="preserve">domestic </w:t>
      </w:r>
      <w:r w:rsidR="007F52C0">
        <w:t xml:space="preserve">implementation </w:t>
      </w:r>
      <w:r>
        <w:t xml:space="preserve">requirements to </w:t>
      </w:r>
      <w:r w:rsidRPr="003B6F03">
        <w:t>be completed.</w:t>
      </w:r>
    </w:p>
    <w:p w14:paraId="5E1ECEC1" w14:textId="77777777" w:rsidR="00B62222" w:rsidRDefault="00B62222" w:rsidP="000466D1">
      <w:pPr>
        <w:pStyle w:val="ESAttHeading"/>
      </w:pPr>
      <w:r w:rsidRPr="008B24C8">
        <w:t>Consultation</w:t>
      </w:r>
    </w:p>
    <w:p w14:paraId="5EEEBD5E" w14:textId="0DA92C39" w:rsidR="00B62222" w:rsidRDefault="00B62222" w:rsidP="005175A2">
      <w:pPr>
        <w:pStyle w:val="ESpara0"/>
      </w:pPr>
      <w:r>
        <w:t>Consultation was undertaken with the Department of Foreign Affairs and Trade</w:t>
      </w:r>
      <w:r w:rsidR="008D640E">
        <w:t xml:space="preserve"> (DFAT)</w:t>
      </w:r>
      <w:r>
        <w:t xml:space="preserve">. No concerns were raised with giving full domestic effect to Australia’s commitments under the </w:t>
      </w:r>
      <w:r w:rsidR="0065143C">
        <w:t xml:space="preserve">CEPA </w:t>
      </w:r>
      <w:r>
        <w:t xml:space="preserve">by amending </w:t>
      </w:r>
      <w:r w:rsidRPr="008360A7">
        <w:t xml:space="preserve">LIN 21/075 </w:t>
      </w:r>
      <w:r>
        <w:t xml:space="preserve">to </w:t>
      </w:r>
      <w:r w:rsidR="0065143C">
        <w:t>include the CEPA in the list of agreements determined for the purposes of section 140GBA of the Migration Act</w:t>
      </w:r>
      <w:r>
        <w:t xml:space="preserve">. </w:t>
      </w:r>
      <w:r w:rsidR="008D640E" w:rsidRPr="005175A2">
        <w:t>DFAT led consultation</w:t>
      </w:r>
      <w:r w:rsidR="008D640E">
        <w:t>s</w:t>
      </w:r>
      <w:r w:rsidR="008D640E" w:rsidRPr="005175A2">
        <w:t xml:space="preserve"> in respect of the negotiation and conclusion of the </w:t>
      </w:r>
      <w:r w:rsidR="008D640E">
        <w:t>CEPA</w:t>
      </w:r>
      <w:r w:rsidR="008D640E" w:rsidRPr="005175A2">
        <w:t xml:space="preserve">. These consultations are set out in the National Interest Analysis that was tabled alongside the </w:t>
      </w:r>
      <w:r w:rsidR="008D640E">
        <w:t>CEPA</w:t>
      </w:r>
      <w:r w:rsidR="008D640E" w:rsidRPr="005175A2">
        <w:t xml:space="preserve"> in </w:t>
      </w:r>
      <w:r w:rsidR="008D640E">
        <w:t xml:space="preserve">the </w:t>
      </w:r>
      <w:r w:rsidR="008D640E" w:rsidRPr="005175A2">
        <w:t>Parliament.</w:t>
      </w:r>
    </w:p>
    <w:p w14:paraId="07E3B7A3" w14:textId="77777777" w:rsidR="00B62222" w:rsidRDefault="00B62222" w:rsidP="005175A2">
      <w:pPr>
        <w:pStyle w:val="ESpara0"/>
      </w:pPr>
      <w:r w:rsidRPr="00F03AB0">
        <w:t>An Impact Analysis for the</w:t>
      </w:r>
      <w:r>
        <w:t xml:space="preserve"> Agreement</w:t>
      </w:r>
      <w:r w:rsidRPr="00F03AB0">
        <w:t xml:space="preserve"> is contained in the Explanatory Memorandum for the </w:t>
      </w:r>
      <w:r w:rsidRPr="00F03AB0">
        <w:rPr>
          <w:i/>
        </w:rPr>
        <w:t>Customs Amendment (Australia-United Arab Emirates Comprehensive Economic Partners</w:t>
      </w:r>
      <w:r>
        <w:rPr>
          <w:i/>
        </w:rPr>
        <w:t xml:space="preserve">hip Agreement </w:t>
      </w:r>
      <w:r>
        <w:rPr>
          <w:i/>
        </w:rPr>
        <w:lastRenderedPageBreak/>
        <w:t>Implementation) Act</w:t>
      </w:r>
      <w:r w:rsidRPr="00F03AB0">
        <w:rPr>
          <w:i/>
        </w:rPr>
        <w:t xml:space="preserve"> 2025</w:t>
      </w:r>
      <w:r w:rsidRPr="00F03AB0">
        <w:t xml:space="preserve">. The Explanatory Memorandum is available, together with the </w:t>
      </w:r>
      <w:r>
        <w:t>Act,</w:t>
      </w:r>
      <w:r w:rsidRPr="00F03AB0">
        <w:t xml:space="preserve"> on the Austral</w:t>
      </w:r>
      <w:r>
        <w:t>ian Parliament House website.</w:t>
      </w:r>
      <w:r>
        <w:rPr>
          <w:rStyle w:val="FootnoteReference"/>
        </w:rPr>
        <w:footnoteReference w:id="1"/>
      </w:r>
    </w:p>
    <w:p w14:paraId="46089EB0" w14:textId="42AFB5C2" w:rsidR="00B62222" w:rsidRPr="00AA4557" w:rsidRDefault="0065143C" w:rsidP="000466D1">
      <w:pPr>
        <w:pStyle w:val="ESAttHeading"/>
      </w:pPr>
      <w:r>
        <w:t>Parliamentary scrutiny and o</w:t>
      </w:r>
      <w:r w:rsidR="000466D1">
        <w:t>ther matters</w:t>
      </w:r>
    </w:p>
    <w:p w14:paraId="53BCA1CC" w14:textId="69B761A5" w:rsidR="00B62222" w:rsidRDefault="00B62222" w:rsidP="005175A2">
      <w:pPr>
        <w:pStyle w:val="ESpara0"/>
      </w:pPr>
      <w:r>
        <w:t xml:space="preserve">The instrument is exempt from disallowance under section 42 of the Legislation Act. This is because it is an instrument (other than a regulation) made under Part 2 of the </w:t>
      </w:r>
      <w:r w:rsidR="005E434E">
        <w:t xml:space="preserve">Migration </w:t>
      </w:r>
      <w:r>
        <w:t xml:space="preserve">Act, which is specified in </w:t>
      </w:r>
      <w:r w:rsidR="005E434E">
        <w:t>paragraph </w:t>
      </w:r>
      <w:r>
        <w:t xml:space="preserve">20(a) of the table in section 10 of the </w:t>
      </w:r>
      <w:r w:rsidRPr="003B6F03">
        <w:rPr>
          <w:i/>
        </w:rPr>
        <w:t>Legislation (Exemptions and Other Matters) Regulation 2015</w:t>
      </w:r>
      <w:r>
        <w:t>. The instrument i</w:t>
      </w:r>
      <w:r w:rsidR="005E434E">
        <w:t>t</w:t>
      </w:r>
      <w:r>
        <w:t xml:space="preserve"> amends, LIN</w:t>
      </w:r>
      <w:r w:rsidR="005E434E">
        <w:t xml:space="preserve"> </w:t>
      </w:r>
      <w:r>
        <w:t>21/075</w:t>
      </w:r>
      <w:r w:rsidR="005E434E">
        <w:t>,</w:t>
      </w:r>
      <w:r>
        <w:t xml:space="preserve"> is also made under Part 2 of the </w:t>
      </w:r>
      <w:r w:rsidR="005E434E">
        <w:t xml:space="preserve">Migration </w:t>
      </w:r>
      <w:r>
        <w:t xml:space="preserve">Act, and as such </w:t>
      </w:r>
      <w:r w:rsidR="005E434E">
        <w:t>the same exemption also applied in relation to LIN 21/075 when it was first made</w:t>
      </w:r>
      <w:r>
        <w:t xml:space="preserve">. </w:t>
      </w:r>
    </w:p>
    <w:p w14:paraId="0698037A" w14:textId="520CAE5B" w:rsidR="00B62222" w:rsidRDefault="00B62222" w:rsidP="005175A2">
      <w:pPr>
        <w:pStyle w:val="ESpara0"/>
        <w:rPr>
          <w:i/>
        </w:rPr>
      </w:pPr>
      <w:r>
        <w:t>As the instrument is a</w:t>
      </w:r>
      <w:r w:rsidR="005E434E">
        <w:t xml:space="preserve"> non-disallowable legislative</w:t>
      </w:r>
      <w:r>
        <w:t xml:space="preserve"> instrument, a Statement of Compatibility with Human Rights is not required</w:t>
      </w:r>
      <w:r w:rsidR="005E434E">
        <w:t>,</w:t>
      </w:r>
      <w:r>
        <w:t xml:space="preserve"> in accordance with paragraph 15J(2)(f) of the Legislation Act and subsection 9(1) of the </w:t>
      </w:r>
      <w:r>
        <w:rPr>
          <w:i/>
          <w:iCs/>
        </w:rPr>
        <w:t>Human Rights (Parliamentary Scrutiny) Act 2011</w:t>
      </w:r>
      <w:r>
        <w:t>.</w:t>
      </w:r>
    </w:p>
    <w:p w14:paraId="33C147F6" w14:textId="19503DDD" w:rsidR="00B62222" w:rsidRDefault="00B62222" w:rsidP="005175A2">
      <w:pPr>
        <w:pStyle w:val="ESpara0"/>
      </w:pPr>
      <w:r>
        <w:t>The instrument was made by the Assistant</w:t>
      </w:r>
      <w:r w:rsidRPr="008B24C8">
        <w:t xml:space="preserve"> </w:t>
      </w:r>
      <w:r w:rsidRPr="000B4B98">
        <w:t xml:space="preserve">Minister for </w:t>
      </w:r>
      <w:r>
        <w:t xml:space="preserve">Citizenship, Customs and Multicultural Affairs </w:t>
      </w:r>
      <w:r w:rsidR="0065143C">
        <w:t xml:space="preserve">under </w:t>
      </w:r>
      <w:r w:rsidRPr="003B6F03">
        <w:t>subsectio</w:t>
      </w:r>
      <w:r w:rsidRPr="005175A2">
        <w:t>n</w:t>
      </w:r>
      <w:r w:rsidRPr="00AA650B">
        <w:t xml:space="preserve"> </w:t>
      </w:r>
      <w:r>
        <w:t>140GBA(2) of the Act.</w:t>
      </w:r>
    </w:p>
    <w:p w14:paraId="18F28821" w14:textId="77777777" w:rsidR="00B62222" w:rsidRDefault="00B62222" w:rsidP="000466D1">
      <w:pPr>
        <w:pStyle w:val="ESPara"/>
      </w:pPr>
      <w:r>
        <w:br w:type="page"/>
      </w:r>
    </w:p>
    <w:p w14:paraId="2B5D12B6" w14:textId="77777777" w:rsidR="00B62222" w:rsidRPr="005175A2" w:rsidRDefault="00B62222">
      <w:pPr>
        <w:pStyle w:val="ESAttHeading"/>
      </w:pPr>
      <w:r w:rsidRPr="005175A2">
        <w:lastRenderedPageBreak/>
        <w:t>Details of the instrument</w:t>
      </w:r>
    </w:p>
    <w:p w14:paraId="1ADEEEA8" w14:textId="77777777" w:rsidR="00B62222" w:rsidRPr="00392CEA" w:rsidRDefault="00B62222" w:rsidP="00B62222">
      <w:pPr>
        <w:pStyle w:val="ESAttHeading"/>
        <w:rPr>
          <w:b w:val="0"/>
          <w:u w:val="single"/>
        </w:rPr>
      </w:pPr>
      <w:r w:rsidRPr="00392CEA">
        <w:rPr>
          <w:b w:val="0"/>
          <w:u w:val="single"/>
        </w:rPr>
        <w:t xml:space="preserve">Section 1 </w:t>
      </w:r>
      <w:r w:rsidRPr="00392CEA">
        <w:rPr>
          <w:b w:val="0"/>
          <w:sz w:val="24"/>
          <w:szCs w:val="24"/>
          <w:u w:val="single"/>
        </w:rPr>
        <w:t xml:space="preserve">– </w:t>
      </w:r>
      <w:r w:rsidRPr="00392CEA">
        <w:rPr>
          <w:b w:val="0"/>
          <w:u w:val="single"/>
        </w:rPr>
        <w:t>Name</w:t>
      </w:r>
    </w:p>
    <w:p w14:paraId="7576651D" w14:textId="4EA24FCD" w:rsidR="00B62222" w:rsidRPr="00034BE4" w:rsidRDefault="00B62222" w:rsidP="00B62222">
      <w:pPr>
        <w:pStyle w:val="ESAttNormal"/>
      </w:pPr>
      <w:r>
        <w:t xml:space="preserve">This section of the instrument provides that the name of the instrument is the </w:t>
      </w:r>
      <w:r w:rsidRPr="00F03AB0">
        <w:rPr>
          <w:i/>
        </w:rPr>
        <w:t>Migration (International trade obligations relating to labour market testing</w:t>
      </w:r>
      <w:r w:rsidR="00486776">
        <w:rPr>
          <w:i/>
        </w:rPr>
        <w:t>) Amendment</w:t>
      </w:r>
      <w:r w:rsidRPr="00F03AB0">
        <w:rPr>
          <w:i/>
        </w:rPr>
        <w:t xml:space="preserve"> </w:t>
      </w:r>
      <w:r w:rsidR="00486776">
        <w:rPr>
          <w:i/>
        </w:rPr>
        <w:t>(CEPA</w:t>
      </w:r>
      <w:r w:rsidRPr="00F03AB0">
        <w:rPr>
          <w:i/>
        </w:rPr>
        <w:t>) Determination 2025</w:t>
      </w:r>
      <w:r>
        <w:rPr>
          <w:i/>
        </w:rPr>
        <w:t xml:space="preserve"> </w:t>
      </w:r>
      <w:r>
        <w:t>(th</w:t>
      </w:r>
      <w:r w:rsidR="0083086F">
        <w:t>e</w:t>
      </w:r>
      <w:r>
        <w:t xml:space="preserve"> instrument).</w:t>
      </w:r>
    </w:p>
    <w:p w14:paraId="5A1211AE" w14:textId="77777777" w:rsidR="00B62222" w:rsidRPr="00392CEA" w:rsidRDefault="00B62222" w:rsidP="00B62222">
      <w:pPr>
        <w:pStyle w:val="ESAttHeading"/>
        <w:rPr>
          <w:b w:val="0"/>
          <w:u w:val="single"/>
        </w:rPr>
      </w:pPr>
      <w:r w:rsidRPr="00392CEA">
        <w:rPr>
          <w:b w:val="0"/>
          <w:u w:val="single"/>
        </w:rPr>
        <w:t xml:space="preserve">Section 2 </w:t>
      </w:r>
      <w:r w:rsidRPr="00392CEA">
        <w:rPr>
          <w:b w:val="0"/>
          <w:sz w:val="24"/>
          <w:szCs w:val="24"/>
          <w:u w:val="single"/>
        </w:rPr>
        <w:t xml:space="preserve">– </w:t>
      </w:r>
      <w:r w:rsidRPr="00392CEA">
        <w:rPr>
          <w:b w:val="0"/>
          <w:u w:val="single"/>
        </w:rPr>
        <w:t>Commencement</w:t>
      </w:r>
    </w:p>
    <w:p w14:paraId="3A8289DA" w14:textId="77777777" w:rsidR="0083086F" w:rsidRDefault="00B62222" w:rsidP="00B62222">
      <w:pPr>
        <w:pStyle w:val="ESAttNormal"/>
        <w:rPr>
          <w:color w:val="000000"/>
        </w:rPr>
      </w:pPr>
      <w:r w:rsidRPr="00392CEA">
        <w:t xml:space="preserve">This section </w:t>
      </w:r>
      <w:r>
        <w:t>of the instrument provides that th</w:t>
      </w:r>
      <w:r w:rsidR="0083086F">
        <w:t>e</w:t>
      </w:r>
      <w:r w:rsidRPr="00392CEA">
        <w:t xml:space="preserve"> instrument </w:t>
      </w:r>
      <w:r>
        <w:rPr>
          <w:color w:val="000000"/>
        </w:rPr>
        <w:t>commences on the later of</w:t>
      </w:r>
      <w:r w:rsidR="0083086F">
        <w:rPr>
          <w:color w:val="000000"/>
        </w:rPr>
        <w:t>:</w:t>
      </w:r>
    </w:p>
    <w:p w14:paraId="3ECE39C4" w14:textId="77777777" w:rsidR="0083086F" w:rsidRDefault="00B62222" w:rsidP="0083086F">
      <w:pPr>
        <w:pStyle w:val="ESbullet"/>
      </w:pPr>
      <w:r>
        <w:t>the day after th</w:t>
      </w:r>
      <w:r w:rsidR="0083086F">
        <w:t>e</w:t>
      </w:r>
      <w:r>
        <w:t xml:space="preserve"> instrument is registered </w:t>
      </w:r>
      <w:r w:rsidR="0083086F">
        <w:t xml:space="preserve">on the Federal Register of Legislation; </w:t>
      </w:r>
      <w:r>
        <w:t xml:space="preserve">and </w:t>
      </w:r>
    </w:p>
    <w:p w14:paraId="023D1BB4" w14:textId="2F432AD0" w:rsidR="00B62222" w:rsidRDefault="0083086F" w:rsidP="0083086F">
      <w:pPr>
        <w:pStyle w:val="ESbullet"/>
      </w:pPr>
      <w:r>
        <w:t>immediately after</w:t>
      </w:r>
      <w:r w:rsidR="00B62222">
        <w:t xml:space="preserve"> Schedule 1 to the </w:t>
      </w:r>
      <w:r w:rsidR="00B62222" w:rsidRPr="008360A7">
        <w:rPr>
          <w:i/>
        </w:rPr>
        <w:t>Customs Amendment (Australia-United Arab Emirates Comprehensive Economic Partnership Agreement Implementation) Act 2025</w:t>
      </w:r>
      <w:r w:rsidR="00B62222">
        <w:t xml:space="preserve"> commences.</w:t>
      </w:r>
    </w:p>
    <w:p w14:paraId="7D5C738C" w14:textId="77777777" w:rsidR="00B62222" w:rsidRPr="00392CEA" w:rsidRDefault="00B62222" w:rsidP="00B62222">
      <w:pPr>
        <w:pStyle w:val="ESAttNormal"/>
        <w:rPr>
          <w:b/>
          <w:u w:val="single"/>
        </w:rPr>
      </w:pPr>
      <w:r w:rsidRPr="00392CEA">
        <w:rPr>
          <w:u w:val="single"/>
        </w:rPr>
        <w:t xml:space="preserve">Section 3 </w:t>
      </w:r>
      <w:r w:rsidRPr="00392CEA">
        <w:rPr>
          <w:sz w:val="24"/>
          <w:szCs w:val="24"/>
          <w:u w:val="single"/>
        </w:rPr>
        <w:t>–</w:t>
      </w:r>
      <w:r>
        <w:rPr>
          <w:sz w:val="24"/>
          <w:szCs w:val="24"/>
          <w:u w:val="single"/>
        </w:rPr>
        <w:t xml:space="preserve"> </w:t>
      </w:r>
      <w:r w:rsidRPr="00392CEA">
        <w:rPr>
          <w:u w:val="single"/>
        </w:rPr>
        <w:t>Authority</w:t>
      </w:r>
    </w:p>
    <w:p w14:paraId="5EC9B3AD" w14:textId="77777777" w:rsidR="00B62222" w:rsidRDefault="00B62222" w:rsidP="00B62222">
      <w:pPr>
        <w:pStyle w:val="ESAttNormal"/>
      </w:pPr>
      <w:r w:rsidRPr="00392CEA">
        <w:t xml:space="preserve">This section </w:t>
      </w:r>
      <w:r>
        <w:t xml:space="preserve">of the instrument </w:t>
      </w:r>
      <w:r w:rsidRPr="00392CEA">
        <w:t xml:space="preserve">provides that the instrument is made under </w:t>
      </w:r>
      <w:r>
        <w:t xml:space="preserve">subsection 140GBA(2) of the </w:t>
      </w:r>
      <w:r>
        <w:rPr>
          <w:i/>
        </w:rPr>
        <w:t>Migration Act 1958</w:t>
      </w:r>
      <w:r>
        <w:t>.</w:t>
      </w:r>
    </w:p>
    <w:p w14:paraId="7AFEE151" w14:textId="77777777" w:rsidR="00B62222" w:rsidRPr="00CD233E" w:rsidRDefault="00B62222" w:rsidP="00B62222">
      <w:pPr>
        <w:pStyle w:val="ESAttNormal"/>
      </w:pPr>
      <w:r>
        <w:rPr>
          <w:u w:val="single"/>
        </w:rPr>
        <w:t>Section 4</w:t>
      </w:r>
      <w:r w:rsidRPr="00392CEA">
        <w:rPr>
          <w:u w:val="single"/>
        </w:rPr>
        <w:t xml:space="preserve"> </w:t>
      </w:r>
      <w:r w:rsidRPr="00392CEA">
        <w:rPr>
          <w:sz w:val="24"/>
          <w:szCs w:val="24"/>
          <w:u w:val="single"/>
        </w:rPr>
        <w:t xml:space="preserve">– </w:t>
      </w:r>
      <w:r w:rsidRPr="00392CEA">
        <w:rPr>
          <w:u w:val="single"/>
        </w:rPr>
        <w:t>Schedules</w:t>
      </w:r>
    </w:p>
    <w:p w14:paraId="1F16C8BA" w14:textId="77777777" w:rsidR="00B62222" w:rsidRPr="00392CEA" w:rsidRDefault="00B62222" w:rsidP="00B62222">
      <w:pPr>
        <w:pStyle w:val="ESAttHeading"/>
        <w:spacing w:before="0"/>
      </w:pPr>
      <w:r w:rsidRPr="00034BE4">
        <w:rPr>
          <w:b w:val="0"/>
        </w:rPr>
        <w:t xml:space="preserve">This section </w:t>
      </w:r>
      <w:r>
        <w:rPr>
          <w:b w:val="0"/>
        </w:rPr>
        <w:t xml:space="preserve">of the instrument </w:t>
      </w:r>
      <w:r w:rsidRPr="00034BE4">
        <w:rPr>
          <w:b w:val="0"/>
        </w:rPr>
        <w:t xml:space="preserve">provides that each instrument that is specified in a Schedule to this instrument is amended or repealed as set out in the applicable items in the Schedule concerned, and any other item in a Schedule to this instrument has effect according to its terms. </w:t>
      </w:r>
    </w:p>
    <w:p w14:paraId="481F5B6A" w14:textId="4B7BD597" w:rsidR="00B62222" w:rsidRPr="000466D1" w:rsidRDefault="00B62222" w:rsidP="005175A2">
      <w:pPr>
        <w:rPr>
          <w:u w:val="single"/>
        </w:rPr>
      </w:pPr>
      <w:r w:rsidRPr="000466D1">
        <w:rPr>
          <w:rFonts w:ascii="Times New Roman" w:hAnsi="Times New Roman" w:cs="Times New Roman"/>
          <w:b/>
          <w:u w:val="single"/>
        </w:rPr>
        <w:t>Schedule 1—Amendments</w:t>
      </w:r>
    </w:p>
    <w:p w14:paraId="7602D529" w14:textId="77777777" w:rsidR="00B62222" w:rsidRPr="00CD233E" w:rsidRDefault="00B62222" w:rsidP="00B62222">
      <w:pPr>
        <w:pStyle w:val="ESAttHeading"/>
        <w:rPr>
          <w:i/>
        </w:rPr>
      </w:pPr>
      <w:r w:rsidRPr="00CD233E">
        <w:rPr>
          <w:i/>
        </w:rPr>
        <w:t>Migration (International trade obligations relating to labour market testing) Determination (LIN 21/075) 2021</w:t>
      </w:r>
    </w:p>
    <w:p w14:paraId="65B8760F" w14:textId="77777777" w:rsidR="00B62222" w:rsidRDefault="00B62222" w:rsidP="00B62222">
      <w:pPr>
        <w:pStyle w:val="ESAttHeading"/>
      </w:pPr>
      <w:r w:rsidRPr="00447D17">
        <w:t>Item 1  Section 3</w:t>
      </w:r>
    </w:p>
    <w:p w14:paraId="70961A80" w14:textId="32C2BB48" w:rsidR="00B62222" w:rsidRPr="009F26A5" w:rsidRDefault="00B62222" w:rsidP="00B62222">
      <w:pPr>
        <w:pStyle w:val="ESAttHeading"/>
        <w:spacing w:before="0"/>
        <w:rPr>
          <w:b w:val="0"/>
          <w:i/>
        </w:rPr>
      </w:pPr>
      <w:r>
        <w:rPr>
          <w:b w:val="0"/>
        </w:rPr>
        <w:t xml:space="preserve">This item makes a technical amendment of the instrument to ensure that it aligns with current </w:t>
      </w:r>
      <w:r w:rsidR="000340AC">
        <w:rPr>
          <w:b w:val="0"/>
        </w:rPr>
        <w:t xml:space="preserve">Office of Parliamentary Counsel </w:t>
      </w:r>
      <w:r>
        <w:rPr>
          <w:b w:val="0"/>
        </w:rPr>
        <w:t>drafting practice</w:t>
      </w:r>
      <w:r w:rsidR="000340AC">
        <w:rPr>
          <w:b w:val="0"/>
        </w:rPr>
        <w:t xml:space="preserve"> for legislative instruments</w:t>
      </w:r>
      <w:r>
        <w:rPr>
          <w:b w:val="0"/>
        </w:rPr>
        <w:t xml:space="preserve">. </w:t>
      </w:r>
    </w:p>
    <w:p w14:paraId="4983A6C5" w14:textId="17DDFE99" w:rsidR="00B62222" w:rsidRDefault="00B62222" w:rsidP="00B62222">
      <w:pPr>
        <w:pStyle w:val="ESAttHeading"/>
        <w:spacing w:before="0"/>
        <w:rPr>
          <w:b w:val="0"/>
        </w:rPr>
      </w:pPr>
      <w:r>
        <w:rPr>
          <w:b w:val="0"/>
        </w:rPr>
        <w:t>The purpose of this amendment is to insert an authority provision (new section 2)</w:t>
      </w:r>
      <w:r w:rsidR="000340AC">
        <w:rPr>
          <w:b w:val="0"/>
        </w:rPr>
        <w:t xml:space="preserve"> in the instrument. This amendment ensures that </w:t>
      </w:r>
      <w:r>
        <w:rPr>
          <w:b w:val="0"/>
        </w:rPr>
        <w:t xml:space="preserve">the authority under which the instrument is made </w:t>
      </w:r>
      <w:r w:rsidR="000340AC">
        <w:rPr>
          <w:b w:val="0"/>
        </w:rPr>
        <w:t xml:space="preserve">– subsection 140GBA(2) of the Migration Act – </w:t>
      </w:r>
      <w:r>
        <w:rPr>
          <w:b w:val="0"/>
        </w:rPr>
        <w:t xml:space="preserve">is </w:t>
      </w:r>
      <w:r w:rsidR="000340AC">
        <w:rPr>
          <w:b w:val="0"/>
        </w:rPr>
        <w:t xml:space="preserve">clear </w:t>
      </w:r>
      <w:r>
        <w:rPr>
          <w:b w:val="0"/>
        </w:rPr>
        <w:t>on the face of the instrument.</w:t>
      </w:r>
    </w:p>
    <w:p w14:paraId="5AA1C096" w14:textId="65D86F30" w:rsidR="00B62222" w:rsidRDefault="00B62222" w:rsidP="00B62222">
      <w:pPr>
        <w:pStyle w:val="ESAttHeading"/>
        <w:spacing w:before="0"/>
        <w:rPr>
          <w:b w:val="0"/>
        </w:rPr>
      </w:pPr>
      <w:r>
        <w:rPr>
          <w:b w:val="0"/>
        </w:rPr>
        <w:t>The amendment also repeals and substitutes section 3 of the instrument, to remove an inadvertent subsection number</w:t>
      </w:r>
      <w:r w:rsidR="000340AC">
        <w:rPr>
          <w:b w:val="0"/>
        </w:rPr>
        <w:t>, where there is only a single provision in the section. It also</w:t>
      </w:r>
      <w:r>
        <w:rPr>
          <w:b w:val="0"/>
        </w:rPr>
        <w:t xml:space="preserve"> revise</w:t>
      </w:r>
      <w:r w:rsidR="000340AC">
        <w:rPr>
          <w:b w:val="0"/>
        </w:rPr>
        <w:t>s</w:t>
      </w:r>
      <w:r>
        <w:rPr>
          <w:b w:val="0"/>
        </w:rPr>
        <w:t xml:space="preserve"> the note mentioning expressions </w:t>
      </w:r>
      <w:r w:rsidR="000340AC">
        <w:rPr>
          <w:b w:val="0"/>
        </w:rPr>
        <w:t xml:space="preserve">in the instrument </w:t>
      </w:r>
      <w:r>
        <w:rPr>
          <w:b w:val="0"/>
        </w:rPr>
        <w:t xml:space="preserve">that are defined in the </w:t>
      </w:r>
      <w:r w:rsidRPr="005175A2">
        <w:rPr>
          <w:b w:val="0"/>
        </w:rPr>
        <w:t>Migration Act</w:t>
      </w:r>
      <w:r>
        <w:rPr>
          <w:b w:val="0"/>
        </w:rPr>
        <w:t>, to align with standard drafting practice.</w:t>
      </w:r>
    </w:p>
    <w:p w14:paraId="61593CAC" w14:textId="473D7986" w:rsidR="000340AC" w:rsidRPr="009F26A5" w:rsidRDefault="000340AC" w:rsidP="000340AC">
      <w:pPr>
        <w:pStyle w:val="ESAttHeading"/>
        <w:spacing w:before="0"/>
        <w:rPr>
          <w:b w:val="0"/>
          <w:i/>
        </w:rPr>
      </w:pPr>
      <w:r>
        <w:rPr>
          <w:b w:val="0"/>
        </w:rPr>
        <w:t>When the principal instrument was made on 28 October 2021</w:t>
      </w:r>
      <w:r w:rsidR="0008330E">
        <w:rPr>
          <w:b w:val="0"/>
        </w:rPr>
        <w:t>,</w:t>
      </w:r>
      <w:r>
        <w:rPr>
          <w:b w:val="0"/>
        </w:rPr>
        <w:t xml:space="preserve"> it did not include a section specifying the authority under which it was made. Instead, the principal instrument mentioned the authority – subsection 140GBA(2) of the </w:t>
      </w:r>
      <w:r w:rsidRPr="005175A2">
        <w:rPr>
          <w:b w:val="0"/>
        </w:rPr>
        <w:t>Migration Act</w:t>
      </w:r>
      <w:r w:rsidRPr="000340AC">
        <w:rPr>
          <w:b w:val="0"/>
        </w:rPr>
        <w:t xml:space="preserve"> </w:t>
      </w:r>
      <w:r>
        <w:rPr>
          <w:b w:val="0"/>
        </w:rPr>
        <w:t xml:space="preserve">– in the instrument-making words on the cover page. In accordance with paragraph 15V(5)(d) of the </w:t>
      </w:r>
      <w:r w:rsidRPr="00447D17">
        <w:rPr>
          <w:b w:val="0"/>
          <w:i/>
        </w:rPr>
        <w:t>Legislation Act 2003</w:t>
      </w:r>
      <w:r>
        <w:rPr>
          <w:b w:val="0"/>
        </w:rPr>
        <w:t xml:space="preserve">, the instrument-making words were subsequently removed from the instrument in the compilation of the principal instrument after it was amended on 29 December 2022 </w:t>
      </w:r>
      <w:r>
        <w:rPr>
          <w:b w:val="0"/>
        </w:rPr>
        <w:lastRenderedPageBreak/>
        <w:t>by the</w:t>
      </w:r>
      <w:r w:rsidRPr="00C97AD3">
        <w:t xml:space="preserve"> </w:t>
      </w:r>
      <w:r w:rsidRPr="00447D17">
        <w:rPr>
          <w:b w:val="0"/>
          <w:i/>
        </w:rPr>
        <w:t>Migration</w:t>
      </w:r>
      <w:r>
        <w:rPr>
          <w:b w:val="0"/>
          <w:i/>
        </w:rPr>
        <w:t xml:space="preserve"> </w:t>
      </w:r>
      <w:r w:rsidRPr="00447D17">
        <w:rPr>
          <w:b w:val="0"/>
          <w:i/>
        </w:rPr>
        <w:t>International trade obligations relating to labour market testing – India-Australia Economic Cooperation and Trade Agreement) Amendment Determination (LIN 22/105) 2022</w:t>
      </w:r>
      <w:r>
        <w:rPr>
          <w:b w:val="0"/>
        </w:rPr>
        <w:t>.</w:t>
      </w:r>
    </w:p>
    <w:p w14:paraId="0A661F59" w14:textId="77777777" w:rsidR="00B62222" w:rsidRDefault="00B62222" w:rsidP="00B62222">
      <w:pPr>
        <w:pStyle w:val="ESAttHeading"/>
      </w:pPr>
      <w:r w:rsidRPr="00447D17">
        <w:t>Item 2  Section 5</w:t>
      </w:r>
    </w:p>
    <w:p w14:paraId="0ACD5F8B" w14:textId="0C123C95" w:rsidR="00B62222" w:rsidRPr="00572E25" w:rsidRDefault="00B62222" w:rsidP="00B62222">
      <w:pPr>
        <w:pStyle w:val="ESAttHeading"/>
        <w:spacing w:before="0"/>
        <w:rPr>
          <w:b w:val="0"/>
        </w:rPr>
      </w:pPr>
      <w:r w:rsidRPr="00447D17">
        <w:rPr>
          <w:b w:val="0"/>
        </w:rPr>
        <w:t xml:space="preserve">This </w:t>
      </w:r>
      <w:r>
        <w:rPr>
          <w:b w:val="0"/>
        </w:rPr>
        <w:t xml:space="preserve">amendment renumbers section 5 to section 4, in order to align the numbering of the principal instrument. Former section 4 had been omitted from the instrument following the 29 December 2022 compilation event, as that section was a </w:t>
      </w:r>
      <w:r w:rsidR="0008330E">
        <w:rPr>
          <w:b w:val="0"/>
        </w:rPr>
        <w:t xml:space="preserve">redundant </w:t>
      </w:r>
      <w:r>
        <w:rPr>
          <w:b w:val="0"/>
        </w:rPr>
        <w:t>repeal provision.</w:t>
      </w:r>
    </w:p>
    <w:p w14:paraId="03D7128B" w14:textId="0F637646" w:rsidR="00B62222" w:rsidRPr="00447D17" w:rsidRDefault="00B62222" w:rsidP="00B62222">
      <w:pPr>
        <w:pStyle w:val="ESAttHeading"/>
      </w:pPr>
      <w:r w:rsidRPr="00447D17">
        <w:t xml:space="preserve">Item 3  After </w:t>
      </w:r>
      <w:r w:rsidR="000340AC">
        <w:t>p</w:t>
      </w:r>
      <w:r w:rsidR="000340AC" w:rsidRPr="00447D17">
        <w:t xml:space="preserve">aragraph </w:t>
      </w:r>
      <w:r w:rsidRPr="00447D17">
        <w:t>5(d)</w:t>
      </w:r>
    </w:p>
    <w:p w14:paraId="6CEF1711" w14:textId="0802BF2A" w:rsidR="00B62222" w:rsidRDefault="00B62222" w:rsidP="00B62222">
      <w:pPr>
        <w:pStyle w:val="ESAttHeading"/>
        <w:rPr>
          <w:b w:val="0"/>
        </w:rPr>
      </w:pPr>
      <w:r>
        <w:rPr>
          <w:b w:val="0"/>
        </w:rPr>
        <w:t>This item inserts</w:t>
      </w:r>
      <w:r w:rsidRPr="00CD233E">
        <w:rPr>
          <w:b w:val="0"/>
        </w:rPr>
        <w:t xml:space="preserve"> new </w:t>
      </w:r>
      <w:r>
        <w:rPr>
          <w:b w:val="0"/>
        </w:rPr>
        <w:t>paragraph</w:t>
      </w:r>
      <w:r w:rsidRPr="00CD233E">
        <w:rPr>
          <w:b w:val="0"/>
        </w:rPr>
        <w:t xml:space="preserve"> 5(da)</w:t>
      </w:r>
      <w:r>
        <w:rPr>
          <w:b w:val="0"/>
        </w:rPr>
        <w:t xml:space="preserve"> (and noting that section 5 is then also renumbered to section 4 by the amendment in item 2).</w:t>
      </w:r>
      <w:r w:rsidR="000340AC">
        <w:rPr>
          <w:b w:val="0"/>
        </w:rPr>
        <w:t xml:space="preserve"> Consistent with Office of Parliamentary Counsel drafting practice, the amending form refers to paragraph 5(d) of the principal instrument (consistent with the numbering of that provision prior to the amendment made by item 2</w:t>
      </w:r>
      <w:r w:rsidR="00CC06CF">
        <w:rPr>
          <w:b w:val="0"/>
        </w:rPr>
        <w:t>)</w:t>
      </w:r>
      <w:r w:rsidR="000340AC">
        <w:rPr>
          <w:b w:val="0"/>
        </w:rPr>
        <w:t xml:space="preserve">. </w:t>
      </w:r>
    </w:p>
    <w:p w14:paraId="2B54C656" w14:textId="77777777" w:rsidR="00B62222" w:rsidRDefault="00B62222" w:rsidP="00B62222">
      <w:pPr>
        <w:pStyle w:val="ESAttHeading"/>
        <w:rPr>
          <w:b w:val="0"/>
        </w:rPr>
      </w:pPr>
      <w:r w:rsidRPr="00CD233E">
        <w:rPr>
          <w:b w:val="0"/>
        </w:rPr>
        <w:t xml:space="preserve">This </w:t>
      </w:r>
      <w:r>
        <w:rPr>
          <w:b w:val="0"/>
        </w:rPr>
        <w:t xml:space="preserve">amendment </w:t>
      </w:r>
      <w:r w:rsidRPr="00CD233E">
        <w:rPr>
          <w:b w:val="0"/>
        </w:rPr>
        <w:t>insert</w:t>
      </w:r>
      <w:r>
        <w:rPr>
          <w:b w:val="0"/>
        </w:rPr>
        <w:t>s</w:t>
      </w:r>
      <w:r w:rsidRPr="00CD233E">
        <w:rPr>
          <w:b w:val="0"/>
        </w:rPr>
        <w:t xml:space="preserve"> the </w:t>
      </w:r>
      <w:r w:rsidRPr="00447D17">
        <w:rPr>
          <w:b w:val="0"/>
          <w:i/>
        </w:rPr>
        <w:t>Comprehensive Economic Partnership Agreement between Australia and the United Arab Emirates</w:t>
      </w:r>
      <w:r>
        <w:rPr>
          <w:b w:val="0"/>
        </w:rPr>
        <w:t xml:space="preserve"> (CEPA) into the list of agreements that are determined for paragraph 140GBA(1)(c) of the Act as an international trade obligation of Australia.</w:t>
      </w:r>
    </w:p>
    <w:p w14:paraId="6E499F17" w14:textId="542AAB1A" w:rsidR="00B62222" w:rsidRPr="00392CEA" w:rsidRDefault="00B62222" w:rsidP="00B62222">
      <w:pPr>
        <w:pStyle w:val="ESAttHeading"/>
        <w:rPr>
          <w:b w:val="0"/>
          <w:u w:val="single"/>
        </w:rPr>
      </w:pPr>
      <w:r>
        <w:rPr>
          <w:b w:val="0"/>
        </w:rPr>
        <w:t xml:space="preserve">The effect of this amendment is that the CEPA will be considered an international trade obligation of Australia </w:t>
      </w:r>
      <w:r w:rsidR="00A51C9D">
        <w:rPr>
          <w:b w:val="0"/>
        </w:rPr>
        <w:t>for the purposes of paragraph</w:t>
      </w:r>
      <w:r>
        <w:rPr>
          <w:b w:val="0"/>
        </w:rPr>
        <w:t xml:space="preserve"> 140GBA(1)(c) of the </w:t>
      </w:r>
      <w:bookmarkStart w:id="0" w:name="_GoBack"/>
      <w:r w:rsidRPr="00A51C9D">
        <w:rPr>
          <w:b w:val="0"/>
        </w:rPr>
        <w:t>Migration Act</w:t>
      </w:r>
      <w:bookmarkEnd w:id="0"/>
      <w:r>
        <w:rPr>
          <w:b w:val="0"/>
        </w:rPr>
        <w:t xml:space="preserve">.  </w:t>
      </w:r>
    </w:p>
    <w:sectPr w:rsidR="00B62222" w:rsidRPr="00392CEA" w:rsidSect="004F5CE4">
      <w:headerReference w:type="even" r:id="rId11"/>
      <w:footerReference w:type="even" r:id="rId12"/>
      <w:footerReference w:type="default" r:id="rId13"/>
      <w:headerReference w:type="first" r:id="rId14"/>
      <w:footerReference w:type="first" r:id="rId15"/>
      <w:pgSz w:w="11906" w:h="16838"/>
      <w:pgMar w:top="1440" w:right="1080" w:bottom="1276"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EEA11" w16cid:durableId="56D2363C"/>
  <w16cid:commentId w16cid:paraId="7AF0316D" w16cid:durableId="3A468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CF89" w14:textId="77777777" w:rsidR="00E30F13" w:rsidRDefault="00E30F13" w:rsidP="00034BE4">
      <w:pPr>
        <w:spacing w:after="0" w:line="240" w:lineRule="auto"/>
      </w:pPr>
      <w:r>
        <w:separator/>
      </w:r>
    </w:p>
  </w:endnote>
  <w:endnote w:type="continuationSeparator" w:id="0">
    <w:p w14:paraId="744EAAC2" w14:textId="77777777" w:rsidR="00E30F13" w:rsidRDefault="00E30F13" w:rsidP="0003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A7BD" w14:textId="5B6182B4" w:rsidR="00882F6C" w:rsidRDefault="00B032B2">
    <w:pPr>
      <w:pStyle w:val="Footer"/>
    </w:pPr>
    <w:r>
      <w:rPr>
        <w:noProof/>
        <w:lang w:eastAsia="en-AU"/>
      </w:rPr>
      <mc:AlternateContent>
        <mc:Choice Requires="wps">
          <w:drawing>
            <wp:anchor distT="0" distB="0" distL="0" distR="0" simplePos="0" relativeHeight="251662336" behindDoc="0" locked="0" layoutInCell="1" allowOverlap="1" wp14:anchorId="46E00BA8" wp14:editId="0D360B98">
              <wp:simplePos x="635" y="635"/>
              <wp:positionH relativeFrom="page">
                <wp:align>center</wp:align>
              </wp:positionH>
              <wp:positionV relativeFrom="page">
                <wp:align>bottom</wp:align>
              </wp:positionV>
              <wp:extent cx="2447925" cy="390525"/>
              <wp:effectExtent l="0" t="0" r="9525" b="0"/>
              <wp:wrapNone/>
              <wp:docPr id="2032129999" name="Text Box 5" descr="PROTECTED//CABINET//Legal-Privileg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2942017F" w14:textId="64402E1D"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00BA8" id="_x0000_t202" coordsize="21600,21600" o:spt="202" path="m,l,21600r21600,l21600,xe">
              <v:stroke joinstyle="miter"/>
              <v:path gradientshapeok="t" o:connecttype="rect"/>
            </v:shapetype>
            <v:shape id="Text Box 5" o:spid="_x0000_s1027" type="#_x0000_t202" alt="PROTECTED//CABINET//Legal-Privilege" style="position:absolute;margin-left:0;margin-top:0;width:192.7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" filled="f" stroked="f">
              <v:textbox style="mso-fit-shape-to-text:t" inset="0,0,0,15pt">
                <w:txbxContent>
                  <w:p w14:paraId="2942017F" w14:textId="64402E1D"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C3A1" w14:textId="4D91B333" w:rsidR="00A8647A" w:rsidRPr="00CE1242" w:rsidRDefault="00A51C9D">
    <w:pPr>
      <w:pStyle w:val="Footer"/>
      <w:jc w:val="right"/>
      <w:rPr>
        <w:rFonts w:ascii="Times New Roman" w:hAnsi="Times New Roman" w:cs="Times New Roman"/>
      </w:rPr>
    </w:pPr>
    <w:sdt>
      <w:sdtPr>
        <w:id w:val="-132559514"/>
        <w:docPartObj>
          <w:docPartGallery w:val="Page Numbers (Bottom of Page)"/>
          <w:docPartUnique/>
        </w:docPartObj>
      </w:sdtPr>
      <w:sdtEndPr>
        <w:rPr>
          <w:rFonts w:ascii="Times New Roman" w:hAnsi="Times New Roman" w:cs="Times New Roman"/>
          <w:noProof/>
        </w:rPr>
      </w:sdtEndPr>
      <w:sdtContent>
        <w:r w:rsidR="00A8647A" w:rsidRPr="00CE1242">
          <w:rPr>
            <w:rFonts w:ascii="Times New Roman" w:hAnsi="Times New Roman" w:cs="Times New Roman"/>
          </w:rPr>
          <w:fldChar w:fldCharType="begin"/>
        </w:r>
        <w:r w:rsidR="00A8647A" w:rsidRPr="00CE1242">
          <w:rPr>
            <w:rFonts w:ascii="Times New Roman" w:hAnsi="Times New Roman" w:cs="Times New Roman"/>
          </w:rPr>
          <w:instrText xml:space="preserve"> PAGE   \* MERGEFORMAT </w:instrText>
        </w:r>
        <w:r w:rsidR="00A8647A" w:rsidRPr="00CE1242">
          <w:rPr>
            <w:rFonts w:ascii="Times New Roman" w:hAnsi="Times New Roman" w:cs="Times New Roman"/>
          </w:rPr>
          <w:fldChar w:fldCharType="separate"/>
        </w:r>
        <w:r>
          <w:rPr>
            <w:rFonts w:ascii="Times New Roman" w:hAnsi="Times New Roman" w:cs="Times New Roman"/>
            <w:noProof/>
          </w:rPr>
          <w:t>5</w:t>
        </w:r>
        <w:r w:rsidR="00A8647A" w:rsidRPr="00CE1242">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6D3E" w14:textId="4FBABF6C" w:rsidR="00882F6C" w:rsidRDefault="00B032B2">
    <w:pPr>
      <w:pStyle w:val="Footer"/>
    </w:pPr>
    <w:r>
      <w:rPr>
        <w:noProof/>
        <w:lang w:eastAsia="en-AU"/>
      </w:rPr>
      <mc:AlternateContent>
        <mc:Choice Requires="wps">
          <w:drawing>
            <wp:anchor distT="0" distB="0" distL="0" distR="0" simplePos="0" relativeHeight="251661312" behindDoc="0" locked="0" layoutInCell="1" allowOverlap="1" wp14:anchorId="4A4E6A6D" wp14:editId="19E3AD18">
              <wp:simplePos x="635" y="635"/>
              <wp:positionH relativeFrom="page">
                <wp:align>center</wp:align>
              </wp:positionH>
              <wp:positionV relativeFrom="page">
                <wp:align>bottom</wp:align>
              </wp:positionV>
              <wp:extent cx="2447925" cy="390525"/>
              <wp:effectExtent l="0" t="0" r="9525" b="0"/>
              <wp:wrapNone/>
              <wp:docPr id="825731364" name="Text Box 4" descr="PROTECTED//CABINET//Legal-Privileg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1A515533" w14:textId="3D3E4B83"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E6A6D" id="_x0000_t202" coordsize="21600,21600" o:spt="202" path="m,l,21600r21600,l21600,xe">
              <v:stroke joinstyle="miter"/>
              <v:path gradientshapeok="t" o:connecttype="rect"/>
            </v:shapetype>
            <v:shape id="Text Box 4" o:spid="_x0000_s1029" type="#_x0000_t202" alt="PROTECTED//CABINET//Legal-Privilege" style="position:absolute;margin-left:0;margin-top:0;width:192.7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" filled="f" stroked="f">
              <v:textbox style="mso-fit-shape-to-text:t" inset="0,0,0,15pt">
                <w:txbxContent>
                  <w:p w14:paraId="1A515533" w14:textId="3D3E4B83"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8C0BE" w14:textId="77777777" w:rsidR="00E30F13" w:rsidRDefault="00E30F13" w:rsidP="00034BE4">
      <w:pPr>
        <w:spacing w:after="0" w:line="240" w:lineRule="auto"/>
      </w:pPr>
      <w:r>
        <w:separator/>
      </w:r>
    </w:p>
  </w:footnote>
  <w:footnote w:type="continuationSeparator" w:id="0">
    <w:p w14:paraId="24632D1E" w14:textId="77777777" w:rsidR="00E30F13" w:rsidRDefault="00E30F13" w:rsidP="00034BE4">
      <w:pPr>
        <w:spacing w:after="0" w:line="240" w:lineRule="auto"/>
      </w:pPr>
      <w:r>
        <w:continuationSeparator/>
      </w:r>
    </w:p>
  </w:footnote>
  <w:footnote w:id="1">
    <w:p w14:paraId="72A33301" w14:textId="77777777" w:rsidR="00B62222" w:rsidRDefault="00B62222" w:rsidP="00B62222">
      <w:pPr>
        <w:pStyle w:val="FootnoteText"/>
      </w:pPr>
      <w:r>
        <w:rPr>
          <w:rStyle w:val="FootnoteReference"/>
        </w:rPr>
        <w:footnoteRef/>
      </w:r>
      <w:r>
        <w:t xml:space="preserve"> https://www.aph.gov.au/Parliamentary_Business/Bills_Legislation/Bills_Search_Results/Result?bId=r7334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F49B" w14:textId="49462D11" w:rsidR="00882F6C" w:rsidRDefault="00B032B2">
    <w:pPr>
      <w:pStyle w:val="Header"/>
    </w:pPr>
    <w:r>
      <w:rPr>
        <w:noProof/>
        <w:lang w:eastAsia="en-AU"/>
      </w:rPr>
      <mc:AlternateContent>
        <mc:Choice Requires="wps">
          <w:drawing>
            <wp:anchor distT="0" distB="0" distL="0" distR="0" simplePos="0" relativeHeight="251659264" behindDoc="0" locked="0" layoutInCell="1" allowOverlap="1" wp14:anchorId="243BC17D" wp14:editId="5C31A024">
              <wp:simplePos x="635" y="635"/>
              <wp:positionH relativeFrom="page">
                <wp:align>center</wp:align>
              </wp:positionH>
              <wp:positionV relativeFrom="page">
                <wp:align>top</wp:align>
              </wp:positionV>
              <wp:extent cx="2447925" cy="390525"/>
              <wp:effectExtent l="0" t="0" r="9525" b="9525"/>
              <wp:wrapNone/>
              <wp:docPr id="1971661439" name="Text Box 2" descr="PROTECTED//CABINET//Legal-Privileg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33D32168" w14:textId="45B56D5F"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BC17D" id="_x0000_t202" coordsize="21600,21600" o:spt="202" path="m,l,21600r21600,l21600,xe">
              <v:stroke joinstyle="miter"/>
              <v:path gradientshapeok="t" o:connecttype="rect"/>
            </v:shapetype>
            <v:shape id="Text Box 2" o:spid="_x0000_s1026" type="#_x0000_t202" alt="PROTECTED//CABINET//Legal-Privilege" style="position:absolute;margin-left:0;margin-top:0;width:192.75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" filled="f" stroked="f">
              <v:textbox style="mso-fit-shape-to-text:t" inset="0,15pt,0,0">
                <w:txbxContent>
                  <w:p w14:paraId="33D32168" w14:textId="45B56D5F"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6316" w14:textId="0CB9C0A3" w:rsidR="00882F6C" w:rsidRDefault="00B032B2">
    <w:pPr>
      <w:pStyle w:val="Header"/>
    </w:pPr>
    <w:r>
      <w:rPr>
        <w:noProof/>
        <w:lang w:eastAsia="en-AU"/>
      </w:rPr>
      <mc:AlternateContent>
        <mc:Choice Requires="wps">
          <w:drawing>
            <wp:anchor distT="0" distB="0" distL="0" distR="0" simplePos="0" relativeHeight="251658240" behindDoc="0" locked="0" layoutInCell="1" allowOverlap="1" wp14:anchorId="4D1FE855" wp14:editId="1577C5FE">
              <wp:simplePos x="635" y="635"/>
              <wp:positionH relativeFrom="page">
                <wp:align>center</wp:align>
              </wp:positionH>
              <wp:positionV relativeFrom="page">
                <wp:align>top</wp:align>
              </wp:positionV>
              <wp:extent cx="2447925" cy="390525"/>
              <wp:effectExtent l="0" t="0" r="9525" b="9525"/>
              <wp:wrapNone/>
              <wp:docPr id="944710043" name="Text Box 1" descr="PROTECTED//CABINET//Legal-Privileg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2447925" cy="390525"/>
                      </a:xfrm>
                      <a:prstGeom prst="rect">
                        <a:avLst/>
                      </a:prstGeom>
                      <a:noFill/>
                      <a:ln>
                        <a:noFill/>
                      </a:ln>
                    </wps:spPr>
                    <wps:txbx>
                      <w:txbxContent>
                        <w:p w14:paraId="75DBD5B1" w14:textId="0DA1DBBE"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FE855" id="_x0000_t202" coordsize="21600,21600" o:spt="202" path="m,l,21600r21600,l21600,xe">
              <v:stroke joinstyle="miter"/>
              <v:path gradientshapeok="t" o:connecttype="rect"/>
            </v:shapetype>
            <v:shape id="Text Box 1" o:spid="_x0000_s1028" type="#_x0000_t202" alt="PROTECTED//CABINET//Legal-Privilege" style="position:absolute;margin-left:0;margin-top:0;width:192.7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" filled="f" stroked="f">
              <v:textbox style="mso-fit-shape-to-text:t" inset="0,15pt,0,0">
                <w:txbxContent>
                  <w:p w14:paraId="75DBD5B1" w14:textId="0DA1DBBE" w:rsidR="00B032B2" w:rsidRPr="00B032B2" w:rsidRDefault="00B032B2" w:rsidP="00B032B2">
                    <w:pPr>
                      <w:spacing w:after="0"/>
                      <w:rPr>
                        <w:rFonts w:ascii="Calibri" w:eastAsia="Calibri" w:hAnsi="Calibri" w:cs="Calibri"/>
                        <w:noProof/>
                        <w:color w:val="FF0000"/>
                        <w:sz w:val="24"/>
                        <w:szCs w:val="24"/>
                      </w:rPr>
                    </w:pPr>
                    <w:r w:rsidRPr="00B032B2">
                      <w:rPr>
                        <w:rFonts w:ascii="Calibri" w:eastAsia="Calibri" w:hAnsi="Calibri" w:cs="Calibri"/>
                        <w:noProof/>
                        <w:color w:val="FF0000"/>
                        <w:sz w:val="24"/>
                        <w:szCs w:val="24"/>
                      </w:rPr>
                      <w:t>PROTECTED//CABINET//Legal-Privilege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06C"/>
    <w:multiLevelType w:val="hybridMultilevel"/>
    <w:tmpl w:val="B87E6E90"/>
    <w:lvl w:ilvl="0" w:tplc="77567F88">
      <w:start w:val="2"/>
      <w:numFmt w:val="bullet"/>
      <w:lvlText w:val=""/>
      <w:lvlJc w:val="left"/>
      <w:pPr>
        <w:ind w:left="720" w:hanging="360"/>
      </w:pPr>
      <w:rPr>
        <w:rFonts w:ascii="Symbol" w:eastAsiaTheme="minorHAnsi" w:hAnsi="Symbol" w:cs="Times New Roman" w:hint="default"/>
      </w:rPr>
    </w:lvl>
    <w:lvl w:ilvl="1" w:tplc="0826035E">
      <w:start w:val="1"/>
      <w:numFmt w:val="decimal"/>
      <w:pStyle w:val="ESSubparaHeader"/>
      <w:lvlText w:val="%2"/>
      <w:lvlJc w:val="left"/>
      <w:pPr>
        <w:ind w:left="1440" w:hanging="360"/>
      </w:pPr>
      <w:rPr>
        <w:rFonts w:hint="default"/>
        <w:b w:val="0"/>
        <w:i w:val="0"/>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1494"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E532A9"/>
    <w:multiLevelType w:val="hybridMultilevel"/>
    <w:tmpl w:val="82CA2368"/>
    <w:lvl w:ilvl="0" w:tplc="0826035E">
      <w:start w:val="1"/>
      <w:numFmt w:val="decimal"/>
      <w:lvlText w:val="%1"/>
      <w:lvlJc w:val="left"/>
      <w:pPr>
        <w:ind w:left="360" w:hanging="360"/>
      </w:pPr>
      <w:rPr>
        <w:rFonts w:hint="default"/>
        <w:b w:val="0"/>
        <w:i w:val="0"/>
        <w:color w:val="auto"/>
      </w:rPr>
    </w:lvl>
    <w:lvl w:ilvl="1" w:tplc="ABC2DF26">
      <w:start w:val="1"/>
      <w:numFmt w:val="bullet"/>
      <w:pStyle w:val="ESSubparaList"/>
      <w:lvlText w:val=""/>
      <w:lvlJc w:val="left"/>
      <w:pPr>
        <w:ind w:left="644"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9FA2E77"/>
    <w:multiLevelType w:val="hybridMultilevel"/>
    <w:tmpl w:val="5E066272"/>
    <w:lvl w:ilvl="0" w:tplc="25663D1A">
      <w:start w:val="1"/>
      <w:numFmt w:val="bullet"/>
      <w:pStyle w:val="ES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1AC7E2A"/>
    <w:multiLevelType w:val="hybridMultilevel"/>
    <w:tmpl w:val="BE16C3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5293A96"/>
    <w:multiLevelType w:val="hybridMultilevel"/>
    <w:tmpl w:val="81D43AEE"/>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BF"/>
    <w:rsid w:val="00000370"/>
    <w:rsid w:val="00021FA4"/>
    <w:rsid w:val="00026D9E"/>
    <w:rsid w:val="000340AC"/>
    <w:rsid w:val="00034BE4"/>
    <w:rsid w:val="000466D1"/>
    <w:rsid w:val="000822C5"/>
    <w:rsid w:val="0008330E"/>
    <w:rsid w:val="000B4B98"/>
    <w:rsid w:val="000C7FE1"/>
    <w:rsid w:val="000D014F"/>
    <w:rsid w:val="000D3229"/>
    <w:rsid w:val="000E3679"/>
    <w:rsid w:val="0010001C"/>
    <w:rsid w:val="00100DFC"/>
    <w:rsid w:val="00113AB1"/>
    <w:rsid w:val="00117949"/>
    <w:rsid w:val="00164F95"/>
    <w:rsid w:val="00173FF7"/>
    <w:rsid w:val="00177D65"/>
    <w:rsid w:val="00177DC9"/>
    <w:rsid w:val="00185124"/>
    <w:rsid w:val="0019164E"/>
    <w:rsid w:val="001A4FB1"/>
    <w:rsid w:val="001D0E22"/>
    <w:rsid w:val="001D38A9"/>
    <w:rsid w:val="001D411A"/>
    <w:rsid w:val="001D6A38"/>
    <w:rsid w:val="001E1921"/>
    <w:rsid w:val="00204747"/>
    <w:rsid w:val="00224FCC"/>
    <w:rsid w:val="002253A4"/>
    <w:rsid w:val="00227B9B"/>
    <w:rsid w:val="002402E0"/>
    <w:rsid w:val="00245FAF"/>
    <w:rsid w:val="00294240"/>
    <w:rsid w:val="002A2AE3"/>
    <w:rsid w:val="002B18E1"/>
    <w:rsid w:val="002D167E"/>
    <w:rsid w:val="002D37E6"/>
    <w:rsid w:val="002E6F42"/>
    <w:rsid w:val="002F3160"/>
    <w:rsid w:val="0032049A"/>
    <w:rsid w:val="00321C78"/>
    <w:rsid w:val="00325D45"/>
    <w:rsid w:val="00343873"/>
    <w:rsid w:val="0034558F"/>
    <w:rsid w:val="00354544"/>
    <w:rsid w:val="00356390"/>
    <w:rsid w:val="00357FE8"/>
    <w:rsid w:val="00363342"/>
    <w:rsid w:val="00392CEA"/>
    <w:rsid w:val="00397381"/>
    <w:rsid w:val="003A0408"/>
    <w:rsid w:val="003A1757"/>
    <w:rsid w:val="003A479A"/>
    <w:rsid w:val="003B6F03"/>
    <w:rsid w:val="003B72E0"/>
    <w:rsid w:val="003D2E23"/>
    <w:rsid w:val="003D7C2D"/>
    <w:rsid w:val="003E583B"/>
    <w:rsid w:val="00426A93"/>
    <w:rsid w:val="00435494"/>
    <w:rsid w:val="00457D4A"/>
    <w:rsid w:val="00464080"/>
    <w:rsid w:val="00486776"/>
    <w:rsid w:val="004C709B"/>
    <w:rsid w:val="004E0D4E"/>
    <w:rsid w:val="004E3B94"/>
    <w:rsid w:val="004E63B9"/>
    <w:rsid w:val="004F4F79"/>
    <w:rsid w:val="004F5CE4"/>
    <w:rsid w:val="005175A2"/>
    <w:rsid w:val="00520303"/>
    <w:rsid w:val="00547597"/>
    <w:rsid w:val="005549EE"/>
    <w:rsid w:val="00560B24"/>
    <w:rsid w:val="00564FA8"/>
    <w:rsid w:val="0057002B"/>
    <w:rsid w:val="00570931"/>
    <w:rsid w:val="00572E25"/>
    <w:rsid w:val="00577066"/>
    <w:rsid w:val="00591336"/>
    <w:rsid w:val="00595C4E"/>
    <w:rsid w:val="00597459"/>
    <w:rsid w:val="005979E6"/>
    <w:rsid w:val="005A3733"/>
    <w:rsid w:val="005D3451"/>
    <w:rsid w:val="005D37CB"/>
    <w:rsid w:val="005E434E"/>
    <w:rsid w:val="00604E06"/>
    <w:rsid w:val="006060F8"/>
    <w:rsid w:val="0063214B"/>
    <w:rsid w:val="0065143C"/>
    <w:rsid w:val="00663988"/>
    <w:rsid w:val="006750AA"/>
    <w:rsid w:val="006C6F9D"/>
    <w:rsid w:val="006E5D14"/>
    <w:rsid w:val="006F3AC4"/>
    <w:rsid w:val="00714781"/>
    <w:rsid w:val="00724A05"/>
    <w:rsid w:val="00764C0B"/>
    <w:rsid w:val="00766290"/>
    <w:rsid w:val="00774623"/>
    <w:rsid w:val="00794275"/>
    <w:rsid w:val="00794796"/>
    <w:rsid w:val="0079615E"/>
    <w:rsid w:val="007A02FE"/>
    <w:rsid w:val="007C224D"/>
    <w:rsid w:val="007C6841"/>
    <w:rsid w:val="007E4691"/>
    <w:rsid w:val="007F1739"/>
    <w:rsid w:val="007F52C0"/>
    <w:rsid w:val="0083086F"/>
    <w:rsid w:val="00831BD4"/>
    <w:rsid w:val="008360A7"/>
    <w:rsid w:val="0083663F"/>
    <w:rsid w:val="00841351"/>
    <w:rsid w:val="00845642"/>
    <w:rsid w:val="00861882"/>
    <w:rsid w:val="00861C28"/>
    <w:rsid w:val="00882F6C"/>
    <w:rsid w:val="0088407D"/>
    <w:rsid w:val="008B24C8"/>
    <w:rsid w:val="008B5207"/>
    <w:rsid w:val="008D44B6"/>
    <w:rsid w:val="008D640E"/>
    <w:rsid w:val="008F1CBC"/>
    <w:rsid w:val="008F31BF"/>
    <w:rsid w:val="00905E11"/>
    <w:rsid w:val="00915032"/>
    <w:rsid w:val="009347BC"/>
    <w:rsid w:val="00946B3C"/>
    <w:rsid w:val="00965AC9"/>
    <w:rsid w:val="0098200B"/>
    <w:rsid w:val="009A2D5F"/>
    <w:rsid w:val="009A2F75"/>
    <w:rsid w:val="009A373B"/>
    <w:rsid w:val="009C1385"/>
    <w:rsid w:val="009F21C9"/>
    <w:rsid w:val="009F26A5"/>
    <w:rsid w:val="009F5A8B"/>
    <w:rsid w:val="00A00BB4"/>
    <w:rsid w:val="00A51C9D"/>
    <w:rsid w:val="00A6659D"/>
    <w:rsid w:val="00A66D75"/>
    <w:rsid w:val="00A76CFA"/>
    <w:rsid w:val="00A80BBB"/>
    <w:rsid w:val="00A8647A"/>
    <w:rsid w:val="00AA4557"/>
    <w:rsid w:val="00AA4F77"/>
    <w:rsid w:val="00AA650B"/>
    <w:rsid w:val="00AB08C1"/>
    <w:rsid w:val="00AC4409"/>
    <w:rsid w:val="00AC4838"/>
    <w:rsid w:val="00AD5319"/>
    <w:rsid w:val="00AE0D77"/>
    <w:rsid w:val="00B01807"/>
    <w:rsid w:val="00B032B2"/>
    <w:rsid w:val="00B051C2"/>
    <w:rsid w:val="00B10D3A"/>
    <w:rsid w:val="00B216B2"/>
    <w:rsid w:val="00B23325"/>
    <w:rsid w:val="00B40D64"/>
    <w:rsid w:val="00B445D9"/>
    <w:rsid w:val="00B6205C"/>
    <w:rsid w:val="00B62222"/>
    <w:rsid w:val="00B65A06"/>
    <w:rsid w:val="00B75478"/>
    <w:rsid w:val="00B85344"/>
    <w:rsid w:val="00B879D2"/>
    <w:rsid w:val="00BA7641"/>
    <w:rsid w:val="00BA7DF8"/>
    <w:rsid w:val="00BB0CF2"/>
    <w:rsid w:val="00BB5F01"/>
    <w:rsid w:val="00BD3AE0"/>
    <w:rsid w:val="00BD598E"/>
    <w:rsid w:val="00BE3E7F"/>
    <w:rsid w:val="00BF1C83"/>
    <w:rsid w:val="00C15540"/>
    <w:rsid w:val="00C30989"/>
    <w:rsid w:val="00C441F2"/>
    <w:rsid w:val="00C527AE"/>
    <w:rsid w:val="00C81A5E"/>
    <w:rsid w:val="00C83387"/>
    <w:rsid w:val="00C930F2"/>
    <w:rsid w:val="00C97AD3"/>
    <w:rsid w:val="00CC06CF"/>
    <w:rsid w:val="00CC21E0"/>
    <w:rsid w:val="00CC641A"/>
    <w:rsid w:val="00CC6A88"/>
    <w:rsid w:val="00CD233E"/>
    <w:rsid w:val="00CD35D3"/>
    <w:rsid w:val="00CD3BBA"/>
    <w:rsid w:val="00CE1242"/>
    <w:rsid w:val="00D158FB"/>
    <w:rsid w:val="00D33D0C"/>
    <w:rsid w:val="00D40E1E"/>
    <w:rsid w:val="00D452A7"/>
    <w:rsid w:val="00D96BAE"/>
    <w:rsid w:val="00DB031A"/>
    <w:rsid w:val="00DB6CDA"/>
    <w:rsid w:val="00DD6AFF"/>
    <w:rsid w:val="00DF23EC"/>
    <w:rsid w:val="00DF3EE0"/>
    <w:rsid w:val="00E03DCC"/>
    <w:rsid w:val="00E04AD4"/>
    <w:rsid w:val="00E13B42"/>
    <w:rsid w:val="00E269D0"/>
    <w:rsid w:val="00E30F13"/>
    <w:rsid w:val="00E45FE2"/>
    <w:rsid w:val="00E5552A"/>
    <w:rsid w:val="00E60D70"/>
    <w:rsid w:val="00E64399"/>
    <w:rsid w:val="00E77929"/>
    <w:rsid w:val="00E96ACC"/>
    <w:rsid w:val="00EA12C9"/>
    <w:rsid w:val="00EB7F5C"/>
    <w:rsid w:val="00EC685B"/>
    <w:rsid w:val="00EC68E0"/>
    <w:rsid w:val="00EE2F18"/>
    <w:rsid w:val="00EF3625"/>
    <w:rsid w:val="00F03AB0"/>
    <w:rsid w:val="00F24F42"/>
    <w:rsid w:val="00F3007C"/>
    <w:rsid w:val="00F323B8"/>
    <w:rsid w:val="00F504A7"/>
    <w:rsid w:val="00F516AE"/>
    <w:rsid w:val="00F75E2A"/>
    <w:rsid w:val="00F91F15"/>
    <w:rsid w:val="00FA44E3"/>
    <w:rsid w:val="00FA47E5"/>
    <w:rsid w:val="00FC13A9"/>
    <w:rsid w:val="00FD64D5"/>
    <w:rsid w:val="00FE0FEE"/>
    <w:rsid w:val="00FE265F"/>
    <w:rsid w:val="66E7C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6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spacing w:before="240" w:after="240" w:line="276" w:lineRule="auto"/>
      <w:ind w:left="0"/>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ilvl w:val="1"/>
        <w:numId w:val="2"/>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0466D1"/>
    <w:pPr>
      <w:keepNext w:val="0"/>
      <w:numPr>
        <w:ilvl w:val="0"/>
        <w:numId w:val="0"/>
      </w:numPr>
    </w:pPr>
  </w:style>
  <w:style w:type="character" w:customStyle="1" w:styleId="ESParaChar">
    <w:name w:val="ES_Para Char"/>
    <w:basedOn w:val="ESSubparaHeaderChar"/>
    <w:link w:val="ESPara"/>
    <w:rsid w:val="000466D1"/>
    <w:rPr>
      <w:rFonts w:ascii="Times New Roman" w:hAnsi="Times New Roman" w:cs="Times New Roman"/>
    </w:rPr>
  </w:style>
  <w:style w:type="character" w:customStyle="1" w:styleId="BodytextChar">
    <w:name w:val="Body text Char"/>
    <w:link w:val="BodyText1"/>
    <w:locked/>
    <w:rsid w:val="00B01807"/>
    <w:rPr>
      <w:rFonts w:ascii="Arial" w:eastAsia="Times New Roman" w:hAnsi="Arial" w:cs="Arial"/>
      <w:sz w:val="24"/>
      <w:szCs w:val="24"/>
      <w:lang w:eastAsia="en-AU"/>
    </w:rPr>
  </w:style>
  <w:style w:type="paragraph" w:customStyle="1" w:styleId="BodyText1">
    <w:name w:val="Body Text1"/>
    <w:basedOn w:val="Normal"/>
    <w:link w:val="BodytextChar"/>
    <w:rsid w:val="00B01807"/>
    <w:pPr>
      <w:spacing w:before="240" w:after="0" w:line="240" w:lineRule="auto"/>
    </w:pPr>
    <w:rPr>
      <w:rFonts w:ascii="Arial" w:eastAsia="Times New Roman" w:hAnsi="Arial" w:cs="Arial"/>
      <w:sz w:val="24"/>
      <w:szCs w:val="24"/>
      <w:lang w:eastAsia="en-AU"/>
    </w:rPr>
  </w:style>
  <w:style w:type="paragraph" w:styleId="Header">
    <w:name w:val="header"/>
    <w:basedOn w:val="Normal"/>
    <w:link w:val="HeaderChar"/>
    <w:uiPriority w:val="99"/>
    <w:unhideWhenUsed/>
    <w:rsid w:val="00034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BE4"/>
  </w:style>
  <w:style w:type="paragraph" w:styleId="Footer">
    <w:name w:val="footer"/>
    <w:basedOn w:val="Normal"/>
    <w:link w:val="FooterChar"/>
    <w:uiPriority w:val="99"/>
    <w:unhideWhenUsed/>
    <w:rsid w:val="00034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BE4"/>
  </w:style>
  <w:style w:type="paragraph" w:customStyle="1" w:styleId="paragraphsub">
    <w:name w:val="paragraph(sub)"/>
    <w:aliases w:val="aa"/>
    <w:basedOn w:val="Normal"/>
    <w:rsid w:val="007A02FE"/>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7A02F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7A02FE"/>
    <w:rPr>
      <w:rFonts w:ascii="Times New Roman" w:eastAsia="Times New Roman" w:hAnsi="Times New Roman" w:cs="Times New Roman"/>
      <w:szCs w:val="20"/>
      <w:lang w:eastAsia="en-AU"/>
    </w:rPr>
  </w:style>
  <w:style w:type="paragraph" w:customStyle="1" w:styleId="paragraphsub-sub">
    <w:name w:val="paragraph(sub-sub)"/>
    <w:aliases w:val="aaa"/>
    <w:basedOn w:val="Normal"/>
    <w:rsid w:val="009347BC"/>
    <w:pPr>
      <w:tabs>
        <w:tab w:val="right" w:pos="2722"/>
      </w:tabs>
      <w:spacing w:before="40" w:after="0" w:line="240" w:lineRule="auto"/>
      <w:ind w:left="2835" w:hanging="2835"/>
    </w:pPr>
    <w:rPr>
      <w:rFonts w:ascii="Times New Roman" w:eastAsia="Times New Roman" w:hAnsi="Times New Roman" w:cs="Times New Roman"/>
      <w:szCs w:val="20"/>
      <w:lang w:eastAsia="en-AU"/>
    </w:rPr>
  </w:style>
  <w:style w:type="paragraph" w:customStyle="1" w:styleId="Definition">
    <w:name w:val="Definition"/>
    <w:aliases w:val="dd"/>
    <w:basedOn w:val="Normal"/>
    <w:rsid w:val="008B5207"/>
    <w:pPr>
      <w:spacing w:before="18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8B5207"/>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8B5207"/>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8B5207"/>
    <w:rPr>
      <w:sz w:val="16"/>
      <w:szCs w:val="16"/>
    </w:rPr>
  </w:style>
  <w:style w:type="paragraph" w:styleId="CommentText">
    <w:name w:val="annotation text"/>
    <w:basedOn w:val="Normal"/>
    <w:link w:val="CommentTextChar"/>
    <w:uiPriority w:val="99"/>
    <w:unhideWhenUsed/>
    <w:rsid w:val="008B520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8B5207"/>
    <w:rPr>
      <w:rFonts w:ascii="Times New Roman" w:hAnsi="Times New Roman"/>
      <w:sz w:val="20"/>
      <w:szCs w:val="20"/>
    </w:rPr>
  </w:style>
  <w:style w:type="paragraph" w:styleId="BalloonText">
    <w:name w:val="Balloon Text"/>
    <w:basedOn w:val="Normal"/>
    <w:link w:val="BalloonTextChar"/>
    <w:uiPriority w:val="99"/>
    <w:semiHidden/>
    <w:unhideWhenUsed/>
    <w:rsid w:val="008B5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07"/>
    <w:rPr>
      <w:rFonts w:ascii="Segoe UI" w:hAnsi="Segoe UI" w:cs="Segoe UI"/>
      <w:sz w:val="18"/>
      <w:szCs w:val="18"/>
    </w:rPr>
  </w:style>
  <w:style w:type="character" w:customStyle="1" w:styleId="LDBoldItal">
    <w:name w:val="LDBoldItal"/>
    <w:uiPriority w:val="1"/>
    <w:qFormat/>
    <w:rsid w:val="00C15540"/>
    <w:rPr>
      <w:b/>
      <w:bCs w:val="0"/>
      <w:i/>
      <w:iCs w:val="0"/>
    </w:rPr>
  </w:style>
  <w:style w:type="paragraph" w:styleId="CommentSubject">
    <w:name w:val="annotation subject"/>
    <w:basedOn w:val="CommentText"/>
    <w:next w:val="CommentText"/>
    <w:link w:val="CommentSubjectChar"/>
    <w:uiPriority w:val="99"/>
    <w:semiHidden/>
    <w:unhideWhenUsed/>
    <w:rsid w:val="00C1554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15540"/>
    <w:rPr>
      <w:rFonts w:ascii="Times New Roman" w:hAnsi="Times New Roman"/>
      <w:b/>
      <w:bCs/>
      <w:sz w:val="20"/>
      <w:szCs w:val="20"/>
    </w:rPr>
  </w:style>
  <w:style w:type="character" w:styleId="Hyperlink">
    <w:name w:val="Hyperlink"/>
    <w:basedOn w:val="DefaultParagraphFont"/>
    <w:uiPriority w:val="99"/>
    <w:unhideWhenUsed/>
    <w:rsid w:val="005979E6"/>
    <w:rPr>
      <w:color w:val="0563C1" w:themeColor="hyperlink"/>
      <w:u w:val="single"/>
    </w:rPr>
  </w:style>
  <w:style w:type="paragraph" w:customStyle="1" w:styleId="subsection">
    <w:name w:val="subsection"/>
    <w:aliases w:val="ss"/>
    <w:basedOn w:val="Normal"/>
    <w:link w:val="subsectionChar"/>
    <w:rsid w:val="002E6F4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E6F42"/>
    <w:rPr>
      <w:rFonts w:ascii="Times New Roman" w:eastAsia="Times New Roman" w:hAnsi="Times New Roman" w:cs="Times New Roman"/>
      <w:szCs w:val="20"/>
      <w:lang w:eastAsia="en-AU"/>
    </w:rPr>
  </w:style>
  <w:style w:type="paragraph" w:styleId="Revision">
    <w:name w:val="Revision"/>
    <w:hidden/>
    <w:uiPriority w:val="99"/>
    <w:semiHidden/>
    <w:rsid w:val="00397381"/>
    <w:pPr>
      <w:spacing w:after="0" w:line="240" w:lineRule="auto"/>
    </w:pPr>
  </w:style>
  <w:style w:type="paragraph" w:customStyle="1" w:styleId="ldsec10">
    <w:name w:val="ldsec10"/>
    <w:basedOn w:val="Normal"/>
    <w:rsid w:val="00F24F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F03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AB0"/>
    <w:rPr>
      <w:sz w:val="20"/>
      <w:szCs w:val="20"/>
    </w:rPr>
  </w:style>
  <w:style w:type="character" w:styleId="FootnoteReference">
    <w:name w:val="footnote reference"/>
    <w:basedOn w:val="DefaultParagraphFont"/>
    <w:uiPriority w:val="99"/>
    <w:semiHidden/>
    <w:unhideWhenUsed/>
    <w:rsid w:val="00F03AB0"/>
    <w:rPr>
      <w:vertAlign w:val="superscript"/>
    </w:rPr>
  </w:style>
  <w:style w:type="paragraph" w:customStyle="1" w:styleId="ESpara0">
    <w:name w:val="ES para"/>
    <w:basedOn w:val="ESPara"/>
    <w:autoRedefine/>
    <w:qFormat/>
    <w:rsid w:val="000466D1"/>
  </w:style>
  <w:style w:type="paragraph" w:customStyle="1" w:styleId="ESbullet">
    <w:name w:val="ES bullet"/>
    <w:basedOn w:val="ESHeading"/>
    <w:qFormat/>
    <w:rsid w:val="000466D1"/>
    <w:pPr>
      <w:numPr>
        <w:numId w:val="4"/>
      </w:numPr>
    </w:pPr>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0889">
      <w:bodyDiv w:val="1"/>
      <w:marLeft w:val="0"/>
      <w:marRight w:val="0"/>
      <w:marTop w:val="0"/>
      <w:marBottom w:val="0"/>
      <w:divBdr>
        <w:top w:val="none" w:sz="0" w:space="0" w:color="auto"/>
        <w:left w:val="none" w:sz="0" w:space="0" w:color="auto"/>
        <w:bottom w:val="none" w:sz="0" w:space="0" w:color="auto"/>
        <w:right w:val="none" w:sz="0" w:space="0" w:color="auto"/>
      </w:divBdr>
    </w:div>
    <w:div w:id="86662269">
      <w:bodyDiv w:val="1"/>
      <w:marLeft w:val="0"/>
      <w:marRight w:val="0"/>
      <w:marTop w:val="0"/>
      <w:marBottom w:val="0"/>
      <w:divBdr>
        <w:top w:val="none" w:sz="0" w:space="0" w:color="auto"/>
        <w:left w:val="none" w:sz="0" w:space="0" w:color="auto"/>
        <w:bottom w:val="none" w:sz="0" w:space="0" w:color="auto"/>
        <w:right w:val="none" w:sz="0" w:space="0" w:color="auto"/>
      </w:divBdr>
    </w:div>
    <w:div w:id="110250443">
      <w:bodyDiv w:val="1"/>
      <w:marLeft w:val="0"/>
      <w:marRight w:val="0"/>
      <w:marTop w:val="0"/>
      <w:marBottom w:val="0"/>
      <w:divBdr>
        <w:top w:val="none" w:sz="0" w:space="0" w:color="auto"/>
        <w:left w:val="none" w:sz="0" w:space="0" w:color="auto"/>
        <w:bottom w:val="none" w:sz="0" w:space="0" w:color="auto"/>
        <w:right w:val="none" w:sz="0" w:space="0" w:color="auto"/>
      </w:divBdr>
    </w:div>
    <w:div w:id="483593798">
      <w:bodyDiv w:val="1"/>
      <w:marLeft w:val="0"/>
      <w:marRight w:val="0"/>
      <w:marTop w:val="0"/>
      <w:marBottom w:val="0"/>
      <w:divBdr>
        <w:top w:val="none" w:sz="0" w:space="0" w:color="auto"/>
        <w:left w:val="none" w:sz="0" w:space="0" w:color="auto"/>
        <w:bottom w:val="none" w:sz="0" w:space="0" w:color="auto"/>
        <w:right w:val="none" w:sz="0" w:space="0" w:color="auto"/>
      </w:divBdr>
    </w:div>
    <w:div w:id="752508330">
      <w:bodyDiv w:val="1"/>
      <w:marLeft w:val="0"/>
      <w:marRight w:val="0"/>
      <w:marTop w:val="0"/>
      <w:marBottom w:val="0"/>
      <w:divBdr>
        <w:top w:val="none" w:sz="0" w:space="0" w:color="auto"/>
        <w:left w:val="none" w:sz="0" w:space="0" w:color="auto"/>
        <w:bottom w:val="none" w:sz="0" w:space="0" w:color="auto"/>
        <w:right w:val="none" w:sz="0" w:space="0" w:color="auto"/>
      </w:divBdr>
    </w:div>
    <w:div w:id="775491414">
      <w:bodyDiv w:val="1"/>
      <w:marLeft w:val="0"/>
      <w:marRight w:val="0"/>
      <w:marTop w:val="0"/>
      <w:marBottom w:val="0"/>
      <w:divBdr>
        <w:top w:val="none" w:sz="0" w:space="0" w:color="auto"/>
        <w:left w:val="none" w:sz="0" w:space="0" w:color="auto"/>
        <w:bottom w:val="none" w:sz="0" w:space="0" w:color="auto"/>
        <w:right w:val="none" w:sz="0" w:space="0" w:color="auto"/>
      </w:divBdr>
    </w:div>
    <w:div w:id="1397706690">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79505727">
      <w:bodyDiv w:val="1"/>
      <w:marLeft w:val="0"/>
      <w:marRight w:val="0"/>
      <w:marTop w:val="0"/>
      <w:marBottom w:val="0"/>
      <w:divBdr>
        <w:top w:val="none" w:sz="0" w:space="0" w:color="auto"/>
        <w:left w:val="none" w:sz="0" w:space="0" w:color="auto"/>
        <w:bottom w:val="none" w:sz="0" w:space="0" w:color="auto"/>
        <w:right w:val="none" w:sz="0" w:space="0" w:color="auto"/>
      </w:divBdr>
    </w:div>
    <w:div w:id="1831408495">
      <w:bodyDiv w:val="1"/>
      <w:marLeft w:val="0"/>
      <w:marRight w:val="0"/>
      <w:marTop w:val="0"/>
      <w:marBottom w:val="0"/>
      <w:divBdr>
        <w:top w:val="none" w:sz="0" w:space="0" w:color="auto"/>
        <w:left w:val="none" w:sz="0" w:space="0" w:color="auto"/>
        <w:bottom w:val="none" w:sz="0" w:space="0" w:color="auto"/>
        <w:right w:val="none" w:sz="0" w:space="0" w:color="auto"/>
      </w:divBdr>
    </w:div>
    <w:div w:id="1897156862">
      <w:bodyDiv w:val="1"/>
      <w:marLeft w:val="0"/>
      <w:marRight w:val="0"/>
      <w:marTop w:val="0"/>
      <w:marBottom w:val="0"/>
      <w:divBdr>
        <w:top w:val="none" w:sz="0" w:space="0" w:color="auto"/>
        <w:left w:val="none" w:sz="0" w:space="0" w:color="auto"/>
        <w:bottom w:val="none" w:sz="0" w:space="0" w:color="auto"/>
        <w:right w:val="none" w:sz="0" w:space="0" w:color="auto"/>
      </w:divBdr>
    </w:div>
    <w:div w:id="1986004328">
      <w:bodyDiv w:val="1"/>
      <w:marLeft w:val="0"/>
      <w:marRight w:val="0"/>
      <w:marTop w:val="0"/>
      <w:marBottom w:val="0"/>
      <w:divBdr>
        <w:top w:val="none" w:sz="0" w:space="0" w:color="auto"/>
        <w:left w:val="none" w:sz="0" w:space="0" w:color="auto"/>
        <w:bottom w:val="none" w:sz="0" w:space="0" w:color="auto"/>
        <w:right w:val="none" w:sz="0" w:space="0" w:color="auto"/>
      </w:divBdr>
    </w:div>
    <w:div w:id="2116320560">
      <w:bodyDiv w:val="1"/>
      <w:marLeft w:val="0"/>
      <w:marRight w:val="0"/>
      <w:marTop w:val="0"/>
      <w:marBottom w:val="0"/>
      <w:divBdr>
        <w:top w:val="none" w:sz="0" w:space="0" w:color="auto"/>
        <w:left w:val="none" w:sz="0" w:space="0" w:color="auto"/>
        <w:bottom w:val="none" w:sz="0" w:space="0" w:color="auto"/>
        <w:right w:val="none" w:sz="0" w:space="0" w:color="auto"/>
      </w:divBdr>
    </w:div>
    <w:div w:id="21306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81FEEA73659D94B846D6E87CFD077B2" ma:contentTypeVersion="" ma:contentTypeDescription="PDMS Document Site Content Type" ma:contentTypeScope="" ma:versionID="23c42bd51eb703f35b4b6291759e59b0">
  <xsd:schema xmlns:xsd="http://www.w3.org/2001/XMLSchema" xmlns:xs="http://www.w3.org/2001/XMLSchema" xmlns:p="http://schemas.microsoft.com/office/2006/metadata/properties" xmlns:ns2="12BD05A5-9EED-410D-863D-C110340672A8" targetNamespace="http://schemas.microsoft.com/office/2006/metadata/properties" ma:root="true" ma:fieldsID="2a6ce47d67d2c7f57ff14be1b2dc8440" ns2:_="">
    <xsd:import namespace="12BD05A5-9EED-410D-863D-C110340672A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D05A5-9EED-410D-863D-C110340672A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2BD05A5-9EED-410D-863D-C110340672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ACF2A-12D2-432B-A58F-F6562DF72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D05A5-9EED-410D-863D-C11034067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19774-43CB-431C-91FC-921C66F32B5D}">
  <ds:schemaRefs>
    <ds:schemaRef ds:uri="http://schemas.microsoft.com/sharepoint/v3/contenttype/forms"/>
  </ds:schemaRefs>
</ds:datastoreItem>
</file>

<file path=customXml/itemProps3.xml><?xml version="1.0" encoding="utf-8"?>
<ds:datastoreItem xmlns:ds="http://schemas.openxmlformats.org/officeDocument/2006/customXml" ds:itemID="{8F303918-6775-4649-A0BF-7BB60F8977A7}">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12BD05A5-9EED-410D-863D-C110340672A8"/>
    <ds:schemaRef ds:uri="http://www.w3.org/XML/1998/namespace"/>
  </ds:schemaRefs>
</ds:datastoreItem>
</file>

<file path=customXml/itemProps4.xml><?xml version="1.0" encoding="utf-8"?>
<ds:datastoreItem xmlns:ds="http://schemas.openxmlformats.org/officeDocument/2006/customXml" ds:itemID="{96E0E10D-136F-4D5C-9718-4084D2AD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9428</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2025-08-08T02:01:00Z</dcterms:created>
  <dcterms:modified xsi:type="dcterms:W3CDTF">2025-08-13T23:29:00Z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0x010100266966F133664895A6EE3632470D45F500E81FEEA73659D94B846D6E87CFD077B2</vt:lpwstr>
  </property>
  <property fmtid="{D5CDD505-2E9C-101B-9397-08002B2CF9AE}" pid="3" name="ClassificationContentMarkingHeaderShapeIds">
    <vt:lpwstr>384f219b,75852a7f,11bfad7d</vt:lpwstr>
  </property>
  <property fmtid="{D5CDD505-2E9C-101B-9397-08002B2CF9AE}" pid="4" name="ClassificationContentMarkingHeaderFontProps">
    <vt:lpwstr>#ff0000,12,Calibri</vt:lpwstr>
  </property>
  <property fmtid="{D5CDD505-2E9C-101B-9397-08002B2CF9AE}" pid="5" name="ClassificationContentMarkingHeaderText">
    <vt:lpwstr>PROTECTED//CABINET//Legal-Privilege</vt:lpwstr>
  </property>
  <property fmtid="{D5CDD505-2E9C-101B-9397-08002B2CF9AE}" pid="6" name="ClassificationContentMarkingFooterShapeIds">
    <vt:lpwstr>3137a924,791fd7cf,5be11afc</vt:lpwstr>
  </property>
  <property fmtid="{D5CDD505-2E9C-101B-9397-08002B2CF9AE}" pid="7" name="ClassificationContentMarkingFooterFontProps">
    <vt:lpwstr>#ff0000,12,Calibri</vt:lpwstr>
  </property>
  <property fmtid="{D5CDD505-2E9C-101B-9397-08002B2CF9AE}" pid="8" name="ClassificationContentMarkingFooterText">
    <vt:lpwstr>PROTECTED//CABINET//Legal-Privilege</vt:lpwstr>
  </property>
  <property fmtid="{D5CDD505-2E9C-101B-9397-08002B2CF9AE}" pid="9" name="MSIP_Label_58eed3b7-7065-4965-9793-6aecbd47e4de_Enabled">
    <vt:lpwstr>true</vt:lpwstr>
  </property>
  <property fmtid="{D5CDD505-2E9C-101B-9397-08002B2CF9AE}" pid="10" name="MSIP_Label_58eed3b7-7065-4965-9793-6aecbd47e4de_SetDate">
    <vt:lpwstr>2025-07-31T05:02:06Z</vt:lpwstr>
  </property>
  <property fmtid="{D5CDD505-2E9C-101B-9397-08002B2CF9AE}" pid="11" name="MSIP_Label_58eed3b7-7065-4965-9793-6aecbd47e4de_Method">
    <vt:lpwstr>Privileged</vt:lpwstr>
  </property>
  <property fmtid="{D5CDD505-2E9C-101B-9397-08002B2CF9AE}" pid="12" name="MSIP_Label_58eed3b7-7065-4965-9793-6aecbd47e4de_Name">
    <vt:lpwstr>P C LP</vt:lpwstr>
  </property>
  <property fmtid="{D5CDD505-2E9C-101B-9397-08002B2CF9AE}" pid="13" name="MSIP_Label_58eed3b7-7065-4965-9793-6aecbd47e4de_SiteId">
    <vt:lpwstr>6872c766-c4c7-42a9-a973-8671fad5e15a</vt:lpwstr>
  </property>
  <property fmtid="{D5CDD505-2E9C-101B-9397-08002B2CF9AE}" pid="14" name="MSIP_Label_58eed3b7-7065-4965-9793-6aecbd47e4de_ActionId">
    <vt:lpwstr>407a358e-a437-4f2d-b97a-cb68edef9d42</vt:lpwstr>
  </property>
  <property fmtid="{D5CDD505-2E9C-101B-9397-08002B2CF9AE}" pid="15" name="MSIP_Label_58eed3b7-7065-4965-9793-6aecbd47e4de_ContentBits">
    <vt:lpwstr>3</vt:lpwstr>
  </property>
  <property fmtid="{D5CDD505-2E9C-101B-9397-08002B2CF9AE}" pid="16" name="MSIP_Label_58eed3b7-7065-4965-9793-6aecbd47e4de_Tag">
    <vt:lpwstr>10, 0, 1, 2</vt:lpwstr>
  </property>
  <property fmtid="{D5CDD505-2E9C-101B-9397-08002B2CF9AE}" pid="17" name="MediaServiceImageTags">
    <vt:lpwstr/>
  </property>
</Properties>
</file>