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232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05C026" wp14:editId="1FBA33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59326" w14:textId="77777777" w:rsidR="005E317F" w:rsidRDefault="005E317F" w:rsidP="005E317F">
      <w:pPr>
        <w:rPr>
          <w:sz w:val="19"/>
        </w:rPr>
      </w:pPr>
    </w:p>
    <w:p w14:paraId="4D2AE0CF" w14:textId="47F6A60B" w:rsidR="005E317F" w:rsidRPr="00E500D4" w:rsidRDefault="00E1467B" w:rsidP="005E317F">
      <w:pPr>
        <w:pStyle w:val="ShortT"/>
      </w:pPr>
      <w:r>
        <w:t>Therapeutic Goods</w:t>
      </w:r>
      <w:r w:rsidR="0081034E">
        <w:t xml:space="preserve"> </w:t>
      </w:r>
      <w:r>
        <w:t>(Authorised</w:t>
      </w:r>
      <w:r w:rsidR="00846EE2">
        <w:t xml:space="preserve"> Supply) Amendment Rules</w:t>
      </w:r>
      <w:r w:rsidR="00F5544E">
        <w:t> </w:t>
      </w:r>
      <w:r w:rsidR="00020308">
        <w:t>2025</w:t>
      </w:r>
    </w:p>
    <w:p w14:paraId="00FF5466" w14:textId="5EC4A5B5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5544E">
        <w:rPr>
          <w:szCs w:val="22"/>
        </w:rPr>
        <w:t xml:space="preserve">Nicholas </w:t>
      </w:r>
      <w:r w:rsidR="00A26D92">
        <w:rPr>
          <w:szCs w:val="22"/>
        </w:rPr>
        <w:t>Henderson</w:t>
      </w:r>
      <w:r w:rsidRPr="00DA182D">
        <w:rPr>
          <w:szCs w:val="22"/>
        </w:rPr>
        <w:t xml:space="preserve">, </w:t>
      </w:r>
      <w:r w:rsidR="00A26D92">
        <w:rPr>
          <w:szCs w:val="22"/>
        </w:rPr>
        <w:t>as delegate of the Minister for Health</w:t>
      </w:r>
      <w:r w:rsidR="00C43EBA">
        <w:rPr>
          <w:szCs w:val="22"/>
        </w:rPr>
        <w:t xml:space="preserve"> </w:t>
      </w:r>
      <w:r w:rsidR="00A26D92">
        <w:rPr>
          <w:szCs w:val="22"/>
        </w:rPr>
        <w:t>and</w:t>
      </w:r>
      <w:r w:rsidR="00082E17">
        <w:rPr>
          <w:szCs w:val="22"/>
        </w:rPr>
        <w:t xml:space="preserve"> Ageing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A26D92">
        <w:rPr>
          <w:szCs w:val="22"/>
        </w:rPr>
        <w:t xml:space="preserve"> rules.</w:t>
      </w:r>
    </w:p>
    <w:p w14:paraId="5E556F72" w14:textId="2DE9879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732C5">
        <w:rPr>
          <w:szCs w:val="22"/>
        </w:rPr>
        <w:t xml:space="preserve"> </w:t>
      </w:r>
      <w:r w:rsidR="007A2A92">
        <w:rPr>
          <w:szCs w:val="22"/>
        </w:rPr>
        <w:t>18</w:t>
      </w:r>
      <w:r w:rsidR="00544671">
        <w:rPr>
          <w:szCs w:val="22"/>
        </w:rPr>
        <w:t xml:space="preserve"> August </w:t>
      </w:r>
      <w:r w:rsidR="00A26D92">
        <w:rPr>
          <w:szCs w:val="22"/>
        </w:rPr>
        <w:t>2025</w:t>
      </w:r>
    </w:p>
    <w:p w14:paraId="0EA15092" w14:textId="30063B06" w:rsidR="005E317F" w:rsidRDefault="00722AD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</w:t>
      </w:r>
      <w:r w:rsidR="00F5544E">
        <w:rPr>
          <w:szCs w:val="22"/>
        </w:rPr>
        <w:t>holas</w:t>
      </w:r>
      <w:r>
        <w:rPr>
          <w:szCs w:val="22"/>
        </w:rPr>
        <w:t xml:space="preserve"> Henderson</w:t>
      </w:r>
    </w:p>
    <w:p w14:paraId="3FB0EB8B" w14:textId="3DD9013F" w:rsidR="00772C57" w:rsidRPr="000D3FB9" w:rsidRDefault="00772C57" w:rsidP="00772C57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  <w:r>
        <w:rPr>
          <w:sz w:val="22"/>
        </w:rPr>
        <w:br/>
        <w:t>Medicines Regulation Division</w:t>
      </w:r>
      <w:r w:rsidRPr="00FD2DF3">
        <w:rPr>
          <w:sz w:val="22"/>
        </w:rPr>
        <w:br/>
        <w:t>Health Products Regulation Group</w:t>
      </w:r>
      <w:r w:rsidRPr="00FD2DF3">
        <w:rPr>
          <w:sz w:val="22"/>
        </w:rPr>
        <w:br/>
        <w:t>Department of Health</w:t>
      </w:r>
      <w:r w:rsidR="00082E17">
        <w:rPr>
          <w:sz w:val="22"/>
        </w:rPr>
        <w:t>, Disability</w:t>
      </w:r>
      <w:r w:rsidRPr="00FD2DF3">
        <w:rPr>
          <w:sz w:val="22"/>
        </w:rPr>
        <w:t xml:space="preserve"> and</w:t>
      </w:r>
      <w:r w:rsidR="00082E17">
        <w:rPr>
          <w:sz w:val="22"/>
        </w:rPr>
        <w:t xml:space="preserve"> Ageing</w:t>
      </w:r>
    </w:p>
    <w:p w14:paraId="5C1B5C3D" w14:textId="77777777" w:rsidR="00B20990" w:rsidRDefault="00B20990" w:rsidP="00B20990"/>
    <w:p w14:paraId="20AE6EDF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E02B4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F685CB7" w14:textId="03E6D9D6" w:rsidR="00727052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27052">
        <w:rPr>
          <w:noProof/>
        </w:rPr>
        <w:t>1  Name</w:t>
      </w:r>
      <w:r w:rsidR="00727052">
        <w:rPr>
          <w:noProof/>
        </w:rPr>
        <w:tab/>
      </w:r>
      <w:r w:rsidR="00727052">
        <w:rPr>
          <w:noProof/>
        </w:rPr>
        <w:fldChar w:fldCharType="begin"/>
      </w:r>
      <w:r w:rsidR="00727052">
        <w:rPr>
          <w:noProof/>
        </w:rPr>
        <w:instrText xml:space="preserve"> PAGEREF _Toc206161278 \h </w:instrText>
      </w:r>
      <w:r w:rsidR="00727052">
        <w:rPr>
          <w:noProof/>
        </w:rPr>
      </w:r>
      <w:r w:rsidR="00727052">
        <w:rPr>
          <w:noProof/>
        </w:rPr>
        <w:fldChar w:fldCharType="separate"/>
      </w:r>
      <w:r w:rsidR="00727052">
        <w:rPr>
          <w:noProof/>
        </w:rPr>
        <w:t>1</w:t>
      </w:r>
      <w:r w:rsidR="00727052">
        <w:rPr>
          <w:noProof/>
        </w:rPr>
        <w:fldChar w:fldCharType="end"/>
      </w:r>
    </w:p>
    <w:p w14:paraId="11B9BACA" w14:textId="02FB3FD1" w:rsidR="00727052" w:rsidRDefault="007270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3F96D9" w14:textId="57355963" w:rsidR="00727052" w:rsidRDefault="007270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B8AD6E7" w14:textId="53841C3B" w:rsidR="00727052" w:rsidRDefault="0072705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632E1E" w14:textId="2A4B509A" w:rsidR="00727052" w:rsidRDefault="0072705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FECF257" w14:textId="4A3369BA" w:rsidR="00727052" w:rsidRDefault="00727052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1—Main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019CB59" w14:textId="14065F63" w:rsidR="00727052" w:rsidRDefault="007270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(Biologicals—Authorised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89AE3B6" w14:textId="58AF1BB0" w:rsidR="00727052" w:rsidRDefault="007270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(Medical Devices—Authorised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91E7072" w14:textId="5909436E" w:rsidR="00727052" w:rsidRDefault="007270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(Medicines and OTG—Authorised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CC8926" w14:textId="0A988CDF" w:rsidR="00727052" w:rsidRDefault="00727052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2—Other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4B65870" w14:textId="3BC37910" w:rsidR="00727052" w:rsidRDefault="007270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(Biologicals—Authorised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26B8E3D" w14:textId="336EE3A8" w:rsidR="00727052" w:rsidRDefault="007270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(Medical Devices—Authorised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33C93EC" w14:textId="377E7D39" w:rsidR="00727052" w:rsidRDefault="0072705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(Medicines and OTG—Authorised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_Toc206161290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C300AFA" w14:textId="2603B5C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A21D0DE" w14:textId="77777777" w:rsidR="00B20990" w:rsidRDefault="00B20990" w:rsidP="00B20990"/>
    <w:p w14:paraId="6E56A964" w14:textId="77777777" w:rsidR="00B20990" w:rsidRDefault="00B20990" w:rsidP="00B20990">
      <w:pPr>
        <w:sectPr w:rsidR="00B2099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AD4BE1" w14:textId="77777777" w:rsidR="005E317F" w:rsidRPr="009C2562" w:rsidRDefault="005E317F" w:rsidP="005E317F">
      <w:pPr>
        <w:pStyle w:val="ActHead5"/>
      </w:pPr>
      <w:bookmarkStart w:id="1" w:name="_Toc20616127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4C44B59A" w14:textId="371D9E88" w:rsidR="005E317F" w:rsidRPr="00F0573C" w:rsidRDefault="005E317F" w:rsidP="005E317F">
      <w:pPr>
        <w:pStyle w:val="subsection"/>
        <w:rPr>
          <w:iCs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0573C">
        <w:rPr>
          <w:i/>
        </w:rPr>
        <w:t>Therapeutic Goods (Authorised Supply) Amendment Rules</w:t>
      </w:r>
      <w:r w:rsidR="00F5544E">
        <w:rPr>
          <w:i/>
        </w:rPr>
        <w:t> </w:t>
      </w:r>
      <w:r w:rsidR="00F0573C">
        <w:rPr>
          <w:i/>
        </w:rPr>
        <w:t>2025</w:t>
      </w:r>
      <w:r w:rsidR="00F0573C">
        <w:rPr>
          <w:iCs/>
        </w:rPr>
        <w:t>.</w:t>
      </w:r>
    </w:p>
    <w:p w14:paraId="02F7BE00" w14:textId="77777777" w:rsidR="005E317F" w:rsidRDefault="005E317F" w:rsidP="005E317F">
      <w:pPr>
        <w:pStyle w:val="ActHead5"/>
      </w:pPr>
      <w:bookmarkStart w:id="3" w:name="_Toc206161279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225B45BB" w14:textId="77777777" w:rsidR="0065767F" w:rsidRPr="00036314" w:rsidRDefault="0065767F" w:rsidP="0065767F">
      <w:pPr>
        <w:pStyle w:val="subsection"/>
      </w:pPr>
      <w:r>
        <w:tab/>
        <w:t>(1)</w:t>
      </w:r>
      <w:r>
        <w:tab/>
      </w:r>
      <w:r w:rsidRPr="0003631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8ECFBB" w14:textId="77777777" w:rsidR="0065767F" w:rsidRPr="00036314" w:rsidRDefault="0065767F" w:rsidP="0065767F">
      <w:pPr>
        <w:pStyle w:val="Tabletext"/>
      </w:pPr>
    </w:p>
    <w:tbl>
      <w:tblPr>
        <w:tblW w:w="8370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36"/>
        <w:gridCol w:w="4285"/>
        <w:gridCol w:w="1849"/>
      </w:tblGrid>
      <w:tr w:rsidR="0065767F" w:rsidRPr="00036314" w14:paraId="0A3F5C8E" w14:textId="77777777">
        <w:trPr>
          <w:tblHeader/>
        </w:trPr>
        <w:tc>
          <w:tcPr>
            <w:tcW w:w="837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C406A2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bookmarkStart w:id="4" w:name="_Hlk128482840"/>
            <w:r w:rsidRPr="00036314">
              <w:rPr>
                <w:lang w:eastAsia="en-US"/>
              </w:rPr>
              <w:t>Commencement information</w:t>
            </w:r>
          </w:p>
        </w:tc>
      </w:tr>
      <w:tr w:rsidR="0065767F" w:rsidRPr="00036314" w14:paraId="0788678B" w14:textId="77777777">
        <w:trPr>
          <w:tblHeader/>
        </w:trPr>
        <w:tc>
          <w:tcPr>
            <w:tcW w:w="2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CE760C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1</w:t>
            </w:r>
          </w:p>
        </w:tc>
        <w:tc>
          <w:tcPr>
            <w:tcW w:w="4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93889E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2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ED0293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3</w:t>
            </w:r>
          </w:p>
        </w:tc>
      </w:tr>
      <w:tr w:rsidR="0065767F" w:rsidRPr="00036314" w14:paraId="368C81B5" w14:textId="77777777">
        <w:trPr>
          <w:tblHeader/>
        </w:trPr>
        <w:tc>
          <w:tcPr>
            <w:tcW w:w="22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9046F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Provisions</w:t>
            </w:r>
          </w:p>
        </w:tc>
        <w:tc>
          <w:tcPr>
            <w:tcW w:w="428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2BCDFE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Commencement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8A87E7" w14:textId="77777777" w:rsidR="0065767F" w:rsidRPr="00036314" w:rsidRDefault="0065767F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Date/Details</w:t>
            </w:r>
          </w:p>
        </w:tc>
      </w:tr>
      <w:tr w:rsidR="0065767F" w:rsidRPr="00036314" w14:paraId="3E1B55EA" w14:textId="77777777" w:rsidTr="00CD4095">
        <w:tc>
          <w:tcPr>
            <w:tcW w:w="2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8DFF5" w14:textId="4D017D4B" w:rsidR="0065767F" w:rsidRPr="00996C50" w:rsidRDefault="0065767F">
            <w:pPr>
              <w:pStyle w:val="Tabletext"/>
              <w:rPr>
                <w:i/>
                <w:lang w:eastAsia="en-US"/>
              </w:rPr>
            </w:pPr>
            <w:r w:rsidRPr="00996C50">
              <w:rPr>
                <w:lang w:eastAsia="en-US"/>
              </w:rPr>
              <w:t>1</w:t>
            </w:r>
            <w:r w:rsidRPr="00A3292D">
              <w:rPr>
                <w:lang w:eastAsia="en-US"/>
              </w:rPr>
              <w:t xml:space="preserve">.  </w:t>
            </w:r>
            <w:r w:rsidR="00574A7E" w:rsidRPr="00A3292D">
              <w:rPr>
                <w:iCs/>
                <w:lang w:eastAsia="en-US"/>
              </w:rPr>
              <w:t xml:space="preserve">Sections 1 to 4 and anything in this </w:t>
            </w:r>
            <w:r w:rsidR="008A6FA5" w:rsidRPr="00A3292D">
              <w:rPr>
                <w:iCs/>
                <w:lang w:eastAsia="en-US"/>
              </w:rPr>
              <w:t>instrument</w:t>
            </w:r>
            <w:r w:rsidR="00574A7E" w:rsidRPr="00A3292D">
              <w:rPr>
                <w:iCs/>
                <w:lang w:eastAsia="en-US"/>
              </w:rPr>
              <w:t xml:space="preserve"> not elsewhere covered by this table</w:t>
            </w:r>
          </w:p>
        </w:tc>
        <w:tc>
          <w:tcPr>
            <w:tcW w:w="42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4A6BA" w14:textId="77777777" w:rsidR="0065767F" w:rsidRPr="00996C50" w:rsidRDefault="0065767F">
            <w:pPr>
              <w:pStyle w:val="Tabletext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The day after this instrument is registered.</w:t>
            </w:r>
          </w:p>
        </w:tc>
        <w:tc>
          <w:tcPr>
            <w:tcW w:w="18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CF68D" w14:textId="77777777" w:rsidR="0065767F" w:rsidRPr="00996C50" w:rsidRDefault="0065767F">
            <w:pPr>
              <w:pStyle w:val="Tabletext"/>
              <w:rPr>
                <w:iCs/>
                <w:lang w:eastAsia="en-US"/>
              </w:rPr>
            </w:pPr>
          </w:p>
        </w:tc>
      </w:tr>
      <w:tr w:rsidR="005608AA" w:rsidRPr="00036314" w14:paraId="6DD09C76" w14:textId="77777777" w:rsidTr="00CD4095"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6A825" w14:textId="7377FFCD" w:rsidR="005608AA" w:rsidRDefault="005608AA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2.  Schedule 1</w:t>
            </w:r>
            <w:r w:rsidR="00B01B23">
              <w:rPr>
                <w:lang w:eastAsia="en-US"/>
              </w:rPr>
              <w:t>, Part 1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D67F7" w14:textId="489AC012" w:rsidR="005608AA" w:rsidRDefault="005608AA">
            <w:pPr>
              <w:pStyle w:val="Tabletext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The day after this instrument is registered.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A3503" w14:textId="77777777" w:rsidR="005608AA" w:rsidRPr="00996C50" w:rsidRDefault="005608AA">
            <w:pPr>
              <w:pStyle w:val="Tabletext"/>
              <w:rPr>
                <w:iCs/>
                <w:lang w:eastAsia="en-US"/>
              </w:rPr>
            </w:pPr>
          </w:p>
        </w:tc>
      </w:tr>
      <w:tr w:rsidR="00C1152C" w:rsidRPr="00036314" w14:paraId="580FF8B5" w14:textId="77777777" w:rsidTr="00CD4095">
        <w:tc>
          <w:tcPr>
            <w:tcW w:w="2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A72A5C" w14:textId="5118D1C8" w:rsidR="00C1152C" w:rsidRPr="00996C50" w:rsidRDefault="00B01B2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C1152C">
              <w:rPr>
                <w:lang w:eastAsia="en-US"/>
              </w:rPr>
              <w:t xml:space="preserve">  </w:t>
            </w:r>
            <w:r w:rsidR="00574A7E">
              <w:rPr>
                <w:lang w:eastAsia="en-US"/>
              </w:rPr>
              <w:t xml:space="preserve">Schedule 1, </w:t>
            </w:r>
            <w:r>
              <w:rPr>
                <w:lang w:eastAsia="en-US"/>
              </w:rPr>
              <w:t>Part 2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710DC32" w14:textId="56233F04" w:rsidR="00C1152C" w:rsidRDefault="00012D3E">
            <w:pPr>
              <w:pStyle w:val="Tabletext"/>
              <w:rPr>
                <w:iCs/>
                <w:lang w:eastAsia="en-US"/>
              </w:rPr>
            </w:pPr>
            <w:r w:rsidRPr="00012D3E">
              <w:rPr>
                <w:iCs/>
                <w:lang w:eastAsia="en-US"/>
              </w:rPr>
              <w:t>The day after the end of the period in which this instrument could be disallowed in either House of the Parliament.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CDC3CA8" w14:textId="77777777" w:rsidR="00C1152C" w:rsidRPr="00996C50" w:rsidRDefault="00C1152C">
            <w:pPr>
              <w:pStyle w:val="Tabletext"/>
              <w:rPr>
                <w:iCs/>
                <w:lang w:eastAsia="en-US"/>
              </w:rPr>
            </w:pPr>
          </w:p>
        </w:tc>
      </w:tr>
    </w:tbl>
    <w:bookmarkEnd w:id="4"/>
    <w:p w14:paraId="39BBD1EB" w14:textId="03105F0A" w:rsidR="0065767F" w:rsidRDefault="0065767F" w:rsidP="0065767F">
      <w:pPr>
        <w:pStyle w:val="notetext"/>
        <w:rPr>
          <w:snapToGrid w:val="0"/>
          <w:lang w:eastAsia="en-US"/>
        </w:rPr>
      </w:pPr>
      <w:r w:rsidRPr="00036314">
        <w:rPr>
          <w:snapToGrid w:val="0"/>
          <w:lang w:eastAsia="en-US"/>
        </w:rPr>
        <w:t>Note</w:t>
      </w:r>
      <w:r w:rsidR="000E705A">
        <w:rPr>
          <w:snapToGrid w:val="0"/>
          <w:lang w:eastAsia="en-US"/>
        </w:rPr>
        <w:t xml:space="preserve"> 1</w:t>
      </w:r>
      <w:r w:rsidRPr="00036314">
        <w:rPr>
          <w:snapToGrid w:val="0"/>
          <w:lang w:eastAsia="en-US"/>
        </w:rPr>
        <w:t>:</w:t>
      </w:r>
      <w:r w:rsidRPr="00036314">
        <w:rPr>
          <w:snapToGrid w:val="0"/>
          <w:lang w:eastAsia="en-US"/>
        </w:rPr>
        <w:tab/>
        <w:t>This table relates only to the provisions of this instrument</w:t>
      </w:r>
      <w:r w:rsidRPr="00036314">
        <w:t xml:space="preserve"> </w:t>
      </w:r>
      <w:r w:rsidRPr="00036314">
        <w:rPr>
          <w:snapToGrid w:val="0"/>
          <w:lang w:eastAsia="en-US"/>
        </w:rPr>
        <w:t>as originally made. It will not be amended to deal with any later amendments of this instrument.</w:t>
      </w:r>
    </w:p>
    <w:p w14:paraId="540A6784" w14:textId="2C0B8878" w:rsidR="000E705A" w:rsidRPr="000E705A" w:rsidRDefault="000E705A" w:rsidP="0065767F">
      <w:pPr>
        <w:pStyle w:val="notetext"/>
      </w:pPr>
      <w:r>
        <w:t>Note 2:</w:t>
      </w:r>
      <w:r>
        <w:tab/>
        <w:t xml:space="preserve">For item 3, this commencement complies with the limitation in item 20 in Part 2 of Schedule 4 to the </w:t>
      </w:r>
      <w:r>
        <w:rPr>
          <w:i/>
          <w:iCs/>
        </w:rPr>
        <w:t>Therapeutic Goods and Other Legislation Amendment (Vaping Reforms) Act 2024</w:t>
      </w:r>
      <w:r>
        <w:t>.</w:t>
      </w:r>
    </w:p>
    <w:p w14:paraId="7570EB07" w14:textId="77777777" w:rsidR="0065767F" w:rsidRPr="00036314" w:rsidRDefault="0065767F" w:rsidP="0065767F">
      <w:pPr>
        <w:pStyle w:val="subsection"/>
      </w:pPr>
      <w:r w:rsidRPr="00036314">
        <w:tab/>
        <w:t>(2)</w:t>
      </w:r>
      <w:r w:rsidRPr="0003631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D24257F" w14:textId="77777777" w:rsidR="005E317F" w:rsidRPr="009C2562" w:rsidRDefault="005E317F" w:rsidP="005E317F">
      <w:pPr>
        <w:pStyle w:val="ActHead5"/>
      </w:pPr>
      <w:bookmarkStart w:id="5" w:name="_Toc206161280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7EBF5DC3" w14:textId="0E256165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C72CF9" w:rsidRPr="009C2562">
        <w:t xml:space="preserve">This instrument is made under </w:t>
      </w:r>
      <w:r w:rsidR="00C72CF9">
        <w:t xml:space="preserve">subsections 19(7A), 32CM(7A) and 41HC(6) of the </w:t>
      </w:r>
      <w:r w:rsidR="00C72CF9">
        <w:rPr>
          <w:i/>
          <w:iCs/>
        </w:rPr>
        <w:t>Therapeutic Goods Act</w:t>
      </w:r>
      <w:r w:rsidR="00F5544E">
        <w:rPr>
          <w:i/>
          <w:iCs/>
        </w:rPr>
        <w:t> </w:t>
      </w:r>
      <w:r w:rsidR="00C72CF9">
        <w:rPr>
          <w:i/>
          <w:iCs/>
        </w:rPr>
        <w:t>1989</w:t>
      </w:r>
      <w:r w:rsidR="00C72CF9" w:rsidRPr="00F556D7">
        <w:t>.</w:t>
      </w:r>
    </w:p>
    <w:p w14:paraId="0E7CFFDF" w14:textId="77777777" w:rsidR="005E317F" w:rsidRPr="006065DA" w:rsidRDefault="005E317F" w:rsidP="005E317F">
      <w:pPr>
        <w:pStyle w:val="ActHead5"/>
      </w:pPr>
      <w:bookmarkStart w:id="6" w:name="_Toc206161281"/>
      <w:r w:rsidRPr="006065DA">
        <w:t>4  Schedules</w:t>
      </w:r>
      <w:bookmarkEnd w:id="6"/>
    </w:p>
    <w:p w14:paraId="6C70D59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FBE076C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7" w:name="_Toc20616128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D944AC7" w14:textId="37EA6F16" w:rsidR="00281CF6" w:rsidRPr="00281CF6" w:rsidRDefault="00281CF6" w:rsidP="007773C9">
      <w:pPr>
        <w:pStyle w:val="ActHead7"/>
      </w:pPr>
      <w:bookmarkStart w:id="8" w:name="_Toc206161283"/>
      <w:r>
        <w:t>Part 1—</w:t>
      </w:r>
      <w:r w:rsidR="0014755D">
        <w:t>Main amendments</w:t>
      </w:r>
      <w:bookmarkEnd w:id="8"/>
    </w:p>
    <w:p w14:paraId="1A921426" w14:textId="77777777" w:rsidR="00CC639F" w:rsidRDefault="00CC639F" w:rsidP="00CC639F">
      <w:pPr>
        <w:pStyle w:val="ActHead9"/>
      </w:pPr>
      <w:bookmarkStart w:id="9" w:name="_Toc168404873"/>
      <w:bookmarkStart w:id="10" w:name="_Toc206161284"/>
      <w:r>
        <w:t>Therapeutic Goods (Biologicals—Authorised Supply) Rules 2022</w:t>
      </w:r>
      <w:bookmarkEnd w:id="9"/>
      <w:bookmarkEnd w:id="10"/>
    </w:p>
    <w:p w14:paraId="42361425" w14:textId="536CC78C" w:rsidR="00592D5D" w:rsidRPr="00562482" w:rsidRDefault="00440610" w:rsidP="00FF005B">
      <w:pPr>
        <w:pStyle w:val="ItemHead"/>
        <w:ind w:left="0" w:firstLine="0"/>
      </w:pPr>
      <w:bookmarkStart w:id="11" w:name="_Toc168404874"/>
      <w:r>
        <w:t>1</w:t>
      </w:r>
      <w:r w:rsidR="00592D5D" w:rsidRPr="00562482">
        <w:t xml:space="preserve">  Schedule 1 (table item</w:t>
      </w:r>
      <w:r w:rsidR="005B4B17" w:rsidRPr="00562482">
        <w:t>s</w:t>
      </w:r>
      <w:r w:rsidR="00592D5D" w:rsidRPr="00562482">
        <w:t xml:space="preserve"> </w:t>
      </w:r>
      <w:r w:rsidR="00FA2FD8" w:rsidRPr="00562482">
        <w:t>1</w:t>
      </w:r>
      <w:r w:rsidR="005B4B17" w:rsidRPr="00562482">
        <w:t>, 2, 4 to 7</w:t>
      </w:r>
      <w:r w:rsidR="00BE3F90">
        <w:t>,</w:t>
      </w:r>
      <w:r w:rsidR="00121995">
        <w:t xml:space="preserve"> </w:t>
      </w:r>
      <w:r w:rsidR="005B4B17" w:rsidRPr="00562482">
        <w:t>9</w:t>
      </w:r>
      <w:r w:rsidR="00BE3F90">
        <w:t xml:space="preserve"> and 10</w:t>
      </w:r>
      <w:r w:rsidR="00FA2FD8" w:rsidRPr="00562482">
        <w:t>)</w:t>
      </w:r>
    </w:p>
    <w:p w14:paraId="13ACF80F" w14:textId="5B84D353" w:rsidR="00FA2FD8" w:rsidRPr="00FA2FD8" w:rsidRDefault="00FA2FD8" w:rsidP="00FA2FD8">
      <w:pPr>
        <w:pStyle w:val="Item"/>
      </w:pPr>
      <w:r w:rsidRPr="00562482">
        <w:t>Repeal the item</w:t>
      </w:r>
      <w:r w:rsidR="005B4B17" w:rsidRPr="00562482">
        <w:t>s</w:t>
      </w:r>
      <w:r w:rsidRPr="00562482">
        <w:t>.</w:t>
      </w:r>
    </w:p>
    <w:p w14:paraId="677DFFBA" w14:textId="7AC448A1" w:rsidR="00CE5002" w:rsidRDefault="00CE5002" w:rsidP="00CE5002">
      <w:pPr>
        <w:pStyle w:val="ActHead9"/>
      </w:pPr>
      <w:bookmarkStart w:id="12" w:name="_Toc206161285"/>
      <w:r>
        <w:t>Therapeutic Goods (Medical Devices—Authorised Supply) Rules 2022</w:t>
      </w:r>
      <w:bookmarkEnd w:id="11"/>
      <w:bookmarkEnd w:id="12"/>
    </w:p>
    <w:p w14:paraId="465E6956" w14:textId="0EB819C8" w:rsidR="00B84432" w:rsidRDefault="00E13213" w:rsidP="00B84432">
      <w:pPr>
        <w:pStyle w:val="ItemHead"/>
      </w:pPr>
      <w:r>
        <w:t>2</w:t>
      </w:r>
      <w:r w:rsidR="00B84432" w:rsidRPr="005C0965">
        <w:t xml:space="preserve">  Schedule 1</w:t>
      </w:r>
      <w:r w:rsidR="00B84432">
        <w:t xml:space="preserve"> (table items 2</w:t>
      </w:r>
      <w:r w:rsidR="0044267A">
        <w:t>, 3, 5, 6</w:t>
      </w:r>
      <w:r w:rsidR="005E74A7">
        <w:t xml:space="preserve"> and</w:t>
      </w:r>
      <w:r w:rsidR="0044267A">
        <w:t xml:space="preserve"> 12</w:t>
      </w:r>
      <w:r w:rsidR="005E74A7">
        <w:t xml:space="preserve"> to</w:t>
      </w:r>
      <w:r w:rsidR="0044267A">
        <w:t xml:space="preserve"> 14)</w:t>
      </w:r>
    </w:p>
    <w:p w14:paraId="77DFCB9F" w14:textId="6A17B35E" w:rsidR="00B84432" w:rsidRPr="00B84432" w:rsidRDefault="00B84432" w:rsidP="00B84432">
      <w:pPr>
        <w:pStyle w:val="Item"/>
      </w:pPr>
      <w:r>
        <w:t>Repeal the items.</w:t>
      </w:r>
    </w:p>
    <w:p w14:paraId="6C28A1C4" w14:textId="41E6B0C4" w:rsidR="005E74A7" w:rsidRDefault="00E13213" w:rsidP="00B84432">
      <w:pPr>
        <w:pStyle w:val="ItemHead"/>
      </w:pPr>
      <w:r w:rsidRPr="00F33A84">
        <w:t>3</w:t>
      </w:r>
      <w:r w:rsidR="00B84432" w:rsidRPr="00F33A84">
        <w:t xml:space="preserve">  </w:t>
      </w:r>
      <w:r w:rsidR="005E74A7" w:rsidRPr="00F33A84">
        <w:t>Schedule 1 (cell at table item 15, column 4)</w:t>
      </w:r>
    </w:p>
    <w:p w14:paraId="6614EFEF" w14:textId="02031CB6" w:rsidR="005E74A7" w:rsidRDefault="005E74A7" w:rsidP="005E74A7">
      <w:pPr>
        <w:pStyle w:val="Item"/>
      </w:pPr>
      <w:r>
        <w:t>Repeal the cell, substitute:</w:t>
      </w:r>
    </w:p>
    <w:tbl>
      <w:tblPr>
        <w:tblW w:w="1331" w:type="pct"/>
        <w:tblInd w:w="833" w:type="dxa"/>
        <w:tblLook w:val="0000" w:firstRow="0" w:lastRow="0" w:firstColumn="0" w:lastColumn="0" w:noHBand="0" w:noVBand="0"/>
      </w:tblPr>
      <w:tblGrid>
        <w:gridCol w:w="2213"/>
      </w:tblGrid>
      <w:tr w:rsidR="005E74A7" w:rsidRPr="00591A17" w14:paraId="7E080630" w14:textId="77777777" w:rsidTr="00EA3B0D">
        <w:trPr>
          <w:trHeight w:val="651"/>
        </w:trPr>
        <w:tc>
          <w:tcPr>
            <w:tcW w:w="5000" w:type="pct"/>
            <w:shd w:val="clear" w:color="auto" w:fill="auto"/>
          </w:tcPr>
          <w:p w14:paraId="774214BD" w14:textId="41D03AE9" w:rsidR="005E74A7" w:rsidRDefault="005E74A7" w:rsidP="00B0436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ophthalmologist;</w:t>
            </w:r>
          </w:p>
          <w:p w14:paraId="6B92E92B" w14:textId="6CC1AED2" w:rsidR="005E74A7" w:rsidRPr="00591A17" w:rsidRDefault="00A525C2" w:rsidP="00B0436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plastic</w:t>
            </w:r>
            <w:r w:rsidR="005E74A7">
              <w:rPr>
                <w:lang w:eastAsia="en-US"/>
              </w:rPr>
              <w:t xml:space="preserve"> surgeon</w:t>
            </w:r>
          </w:p>
        </w:tc>
      </w:tr>
    </w:tbl>
    <w:p w14:paraId="14F269CB" w14:textId="13E2C9C6" w:rsidR="005E74A7" w:rsidRDefault="00F33A84" w:rsidP="00B84432">
      <w:pPr>
        <w:pStyle w:val="ItemHead"/>
      </w:pPr>
      <w:r>
        <w:t>4</w:t>
      </w:r>
      <w:r w:rsidR="005E74A7">
        <w:t xml:space="preserve">  Schedule </w:t>
      </w:r>
      <w:r w:rsidR="00340C8A">
        <w:t xml:space="preserve">1 </w:t>
      </w:r>
      <w:r w:rsidR="005E74A7">
        <w:t>(table items 17, 18 and 20)</w:t>
      </w:r>
    </w:p>
    <w:p w14:paraId="4F9098CA" w14:textId="06C65798" w:rsidR="005E74A7" w:rsidRPr="005E74A7" w:rsidRDefault="005E74A7" w:rsidP="00EF14FD">
      <w:pPr>
        <w:pStyle w:val="Item"/>
      </w:pPr>
      <w:r>
        <w:t>Repeal the items.</w:t>
      </w:r>
    </w:p>
    <w:p w14:paraId="63A2C6C0" w14:textId="17A926AC" w:rsidR="00B84432" w:rsidRDefault="00F33A84" w:rsidP="00B84432">
      <w:pPr>
        <w:pStyle w:val="ItemHead"/>
      </w:pPr>
      <w:r>
        <w:t>5</w:t>
      </w:r>
      <w:r w:rsidR="005E74A7">
        <w:t xml:space="preserve">  </w:t>
      </w:r>
      <w:r w:rsidR="00B84432" w:rsidRPr="005C0965">
        <w:t xml:space="preserve">Schedule 1 (after table item </w:t>
      </w:r>
      <w:r w:rsidR="00B84432">
        <w:t>28</w:t>
      </w:r>
      <w:r w:rsidR="00B84432" w:rsidRPr="005C0965">
        <w:t>)</w:t>
      </w:r>
    </w:p>
    <w:p w14:paraId="76AFAE8E" w14:textId="77777777" w:rsidR="00B84432" w:rsidRDefault="00B84432" w:rsidP="00B84432">
      <w:pPr>
        <w:pStyle w:val="Item"/>
      </w:pPr>
      <w:r>
        <w:t>Insert:</w:t>
      </w:r>
    </w:p>
    <w:tbl>
      <w:tblPr>
        <w:tblW w:w="5044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79"/>
        <w:gridCol w:w="2351"/>
        <w:gridCol w:w="2902"/>
        <w:gridCol w:w="1954"/>
      </w:tblGrid>
      <w:tr w:rsidR="00AB0C63" w:rsidRPr="001F160C" w14:paraId="4C0FC3E1" w14:textId="77777777" w:rsidTr="00EA3B0D">
        <w:trPr>
          <w:trHeight w:val="20"/>
        </w:trPr>
        <w:tc>
          <w:tcPr>
            <w:tcW w:w="703" w:type="pct"/>
          </w:tcPr>
          <w:p w14:paraId="668636A4" w14:textId="438BC93C" w:rsidR="00AB0C63" w:rsidRPr="001F160C" w:rsidRDefault="00AB0C63" w:rsidP="00AB0C63">
            <w:pPr>
              <w:pStyle w:val="Tabletext"/>
            </w:pPr>
            <w:r>
              <w:t>28A</w:t>
            </w:r>
          </w:p>
        </w:tc>
        <w:tc>
          <w:tcPr>
            <w:tcW w:w="1402" w:type="pct"/>
            <w:shd w:val="clear" w:color="auto" w:fill="auto"/>
          </w:tcPr>
          <w:p w14:paraId="45EB2BA3" w14:textId="3A794FF2" w:rsidR="00AB0C63" w:rsidRPr="001F160C" w:rsidRDefault="00AB0C63" w:rsidP="00AB0C63">
            <w:pPr>
              <w:pStyle w:val="Tabletext"/>
            </w:pPr>
            <w:r>
              <w:t>Origin Stem, Coxa Vara, Sizes 9 to 18 – Signature Orthopaedics</w:t>
            </w:r>
          </w:p>
        </w:tc>
        <w:tc>
          <w:tcPr>
            <w:tcW w:w="1730" w:type="pct"/>
            <w:shd w:val="clear" w:color="auto" w:fill="auto"/>
          </w:tcPr>
          <w:p w14:paraId="69F5E1EE" w14:textId="2A85AF0E" w:rsidR="00AB0C63" w:rsidRPr="001F160C" w:rsidRDefault="00AB0C63" w:rsidP="00AB0C63">
            <w:pPr>
              <w:pStyle w:val="Tabletext"/>
            </w:pPr>
            <w:r>
              <w:t>hip arthroplasty</w:t>
            </w:r>
          </w:p>
        </w:tc>
        <w:tc>
          <w:tcPr>
            <w:tcW w:w="1165" w:type="pct"/>
          </w:tcPr>
          <w:p w14:paraId="18E95FE0" w14:textId="33D310E5" w:rsidR="00AB0C63" w:rsidRPr="001F160C" w:rsidRDefault="00AB0C63" w:rsidP="00AB0C63">
            <w:pPr>
              <w:pStyle w:val="Tabletext"/>
            </w:pPr>
            <w:r>
              <w:t>orthopaedic surgeon</w:t>
            </w:r>
          </w:p>
        </w:tc>
      </w:tr>
    </w:tbl>
    <w:p w14:paraId="0F6E1AF6" w14:textId="11820836" w:rsidR="00B84432" w:rsidRDefault="00F33A84" w:rsidP="007773C9">
      <w:pPr>
        <w:pStyle w:val="ItemHead"/>
      </w:pPr>
      <w:r>
        <w:t>6</w:t>
      </w:r>
      <w:r w:rsidR="00B84432" w:rsidRPr="005C0965">
        <w:t xml:space="preserve">  Schedule 1 (after table item </w:t>
      </w:r>
      <w:r w:rsidR="00B84432">
        <w:t>35</w:t>
      </w:r>
      <w:r w:rsidR="00B84432" w:rsidRPr="005C0965">
        <w:t>)</w:t>
      </w:r>
    </w:p>
    <w:p w14:paraId="0E0D00C0" w14:textId="77777777" w:rsidR="00B84432" w:rsidRDefault="00B84432" w:rsidP="007773C9">
      <w:pPr>
        <w:pStyle w:val="Item"/>
        <w:keepNext/>
      </w:pPr>
      <w:r>
        <w:t>Insert:</w:t>
      </w:r>
    </w:p>
    <w:tbl>
      <w:tblPr>
        <w:tblW w:w="5044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79"/>
        <w:gridCol w:w="2351"/>
        <w:gridCol w:w="2902"/>
        <w:gridCol w:w="1954"/>
      </w:tblGrid>
      <w:tr w:rsidR="0025143C" w:rsidRPr="001F160C" w14:paraId="687B9A07" w14:textId="77777777" w:rsidTr="00EA3B0D">
        <w:trPr>
          <w:trHeight w:val="20"/>
        </w:trPr>
        <w:tc>
          <w:tcPr>
            <w:tcW w:w="703" w:type="pct"/>
          </w:tcPr>
          <w:p w14:paraId="034076B2" w14:textId="384A0FE7" w:rsidR="0025143C" w:rsidRPr="001F160C" w:rsidRDefault="0025143C" w:rsidP="00505464">
            <w:pPr>
              <w:pStyle w:val="Tabletext"/>
            </w:pPr>
            <w:r>
              <w:rPr>
                <w:lang w:eastAsia="en-US"/>
              </w:rPr>
              <w:t>35A</w:t>
            </w:r>
          </w:p>
        </w:tc>
        <w:tc>
          <w:tcPr>
            <w:tcW w:w="1402" w:type="pct"/>
            <w:shd w:val="clear" w:color="auto" w:fill="auto"/>
          </w:tcPr>
          <w:p w14:paraId="5B1649C1" w14:textId="0C9F5112" w:rsidR="0025143C" w:rsidRPr="001F160C" w:rsidRDefault="0025143C" w:rsidP="00505464">
            <w:pPr>
              <w:pStyle w:val="Tabletext"/>
            </w:pPr>
            <w:r>
              <w:rPr>
                <w:lang w:eastAsia="en-US"/>
              </w:rPr>
              <w:t>Taurolock-U25.000 ((cyclo)-taurolidine, citrate (4%) and urokinase (25.000 IU))</w:t>
            </w:r>
          </w:p>
        </w:tc>
        <w:tc>
          <w:tcPr>
            <w:tcW w:w="1730" w:type="pct"/>
            <w:shd w:val="clear" w:color="auto" w:fill="auto"/>
          </w:tcPr>
          <w:p w14:paraId="011848B6" w14:textId="4E05FAEE" w:rsidR="0025143C" w:rsidRPr="00846DC6" w:rsidRDefault="00254BE7" w:rsidP="00505464">
            <w:pPr>
              <w:pStyle w:val="Tabletext"/>
            </w:pPr>
            <w:r>
              <w:t xml:space="preserve">for use </w:t>
            </w:r>
            <w:r w:rsidR="0025143C">
              <w:t xml:space="preserve">as a </w:t>
            </w:r>
            <w:r w:rsidR="0025143C" w:rsidRPr="00C2770E">
              <w:t>catheter lock solution, instilled into a port or a silicone or polyurethane catheter</w:t>
            </w:r>
            <w:r w:rsidR="0025143C">
              <w:noBreakHyphen/>
            </w:r>
            <w:r w:rsidR="0025143C" w:rsidRPr="00C2770E">
              <w:t>based device at the termination of a treatment, and is withdrawn prior to subsequent treatments</w:t>
            </w:r>
          </w:p>
        </w:tc>
        <w:tc>
          <w:tcPr>
            <w:tcW w:w="1166" w:type="pct"/>
          </w:tcPr>
          <w:p w14:paraId="1BAA1F33" w14:textId="1A5D6929" w:rsidR="0025143C" w:rsidRPr="001F160C" w:rsidRDefault="0025143C" w:rsidP="00505464">
            <w:pPr>
              <w:pStyle w:val="Tabletext"/>
            </w:pPr>
            <w:r>
              <w:rPr>
                <w:lang w:eastAsia="en-US"/>
              </w:rPr>
              <w:t>nephrology physician</w:t>
            </w:r>
          </w:p>
        </w:tc>
      </w:tr>
    </w:tbl>
    <w:p w14:paraId="45FD9F25" w14:textId="378B7DE0" w:rsidR="00263CAC" w:rsidRDefault="00263CAC" w:rsidP="00BC1C42">
      <w:pPr>
        <w:pStyle w:val="ActHead9"/>
      </w:pPr>
      <w:bookmarkStart w:id="13" w:name="_Toc168404875"/>
      <w:bookmarkStart w:id="14" w:name="_Toc206161286"/>
      <w:r>
        <w:t>Therapeutic Goods (Medicines and OTG—Authorised Supply) Rules 2022</w:t>
      </w:r>
      <w:bookmarkEnd w:id="13"/>
      <w:bookmarkEnd w:id="14"/>
    </w:p>
    <w:p w14:paraId="67CA7040" w14:textId="255D747B" w:rsidR="00C34945" w:rsidRDefault="00AD469C" w:rsidP="00C34945">
      <w:pPr>
        <w:pStyle w:val="ItemHead"/>
      </w:pPr>
      <w:r>
        <w:t>7</w:t>
      </w:r>
      <w:r w:rsidR="00C34945" w:rsidRPr="00342383">
        <w:t xml:space="preserve">  Schedule 1 (table item 26</w:t>
      </w:r>
      <w:r w:rsidR="00C34945">
        <w:t>)</w:t>
      </w:r>
    </w:p>
    <w:p w14:paraId="5C41371E" w14:textId="77777777" w:rsidR="00C34945" w:rsidRPr="009D7DBE" w:rsidRDefault="00C34945" w:rsidP="00C34945">
      <w:pPr>
        <w:pStyle w:val="Item"/>
      </w:pPr>
      <w:r>
        <w:t>Repeal the item.</w:t>
      </w:r>
    </w:p>
    <w:p w14:paraId="4CEC5B01" w14:textId="38EF086A" w:rsidR="00C34945" w:rsidRDefault="00AD469C" w:rsidP="00C34945">
      <w:pPr>
        <w:pStyle w:val="ItemHead"/>
      </w:pPr>
      <w:r>
        <w:t>8</w:t>
      </w:r>
      <w:r w:rsidR="00C34945" w:rsidRPr="00661F6F">
        <w:t xml:space="preserve">  </w:t>
      </w:r>
      <w:r w:rsidR="00C34945">
        <w:t>Schedule 1 (after table item 27)</w:t>
      </w:r>
    </w:p>
    <w:p w14:paraId="226C1ECA" w14:textId="77777777" w:rsidR="00C34945" w:rsidRDefault="00C34945" w:rsidP="00C34945">
      <w:pPr>
        <w:pStyle w:val="Item"/>
      </w:pPr>
      <w:r>
        <w:t>Insert:</w:t>
      </w:r>
    </w:p>
    <w:tbl>
      <w:tblPr>
        <w:tblW w:w="5065" w:type="pct"/>
        <w:tblInd w:w="-108" w:type="dxa"/>
        <w:tblLook w:val="04A0" w:firstRow="1" w:lastRow="0" w:firstColumn="1" w:lastColumn="0" w:noHBand="0" w:noVBand="1"/>
      </w:tblPr>
      <w:tblGrid>
        <w:gridCol w:w="1112"/>
        <w:gridCol w:w="2626"/>
        <w:gridCol w:w="1095"/>
        <w:gridCol w:w="1484"/>
        <w:gridCol w:w="2104"/>
      </w:tblGrid>
      <w:tr w:rsidR="00CF64F3" w14:paraId="20DC3BCA" w14:textId="77777777" w:rsidTr="00CF64F3">
        <w:trPr>
          <w:trHeight w:val="20"/>
        </w:trPr>
        <w:tc>
          <w:tcPr>
            <w:tcW w:w="661" w:type="pct"/>
            <w:hideMark/>
          </w:tcPr>
          <w:p w14:paraId="692D4FDE" w14:textId="4DB5F11F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27A</w:t>
            </w:r>
          </w:p>
        </w:tc>
        <w:tc>
          <w:tcPr>
            <w:tcW w:w="1559" w:type="pct"/>
            <w:hideMark/>
          </w:tcPr>
          <w:p w14:paraId="0A5DDD7B" w14:textId="45E30C55" w:rsidR="00CF64F3" w:rsidRDefault="00CF64F3" w:rsidP="00505464">
            <w:pPr>
              <w:pStyle w:val="Tabletext"/>
              <w:rPr>
                <w:lang w:eastAsia="en-US"/>
              </w:rPr>
            </w:pPr>
            <w:r w:rsidRPr="0093665F">
              <w:t>escherichia</w:t>
            </w:r>
            <w:r>
              <w:t xml:space="preserve"> </w:t>
            </w:r>
            <w:r w:rsidRPr="0093665F">
              <w:t>coli/klebsiella</w:t>
            </w:r>
            <w:r>
              <w:t xml:space="preserve"> </w:t>
            </w:r>
            <w:r w:rsidRPr="0093665F">
              <w:t>pneumoniae/enterococcus</w:t>
            </w:r>
            <w:r>
              <w:t xml:space="preserve"> </w:t>
            </w:r>
            <w:r w:rsidRPr="0093665F">
              <w:t>faecalis/proteus vulgaris</w:t>
            </w:r>
          </w:p>
        </w:tc>
        <w:tc>
          <w:tcPr>
            <w:tcW w:w="650" w:type="pct"/>
            <w:hideMark/>
          </w:tcPr>
          <w:p w14:paraId="4E066564" w14:textId="0E3DD1CD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spray</w:t>
            </w:r>
          </w:p>
        </w:tc>
        <w:tc>
          <w:tcPr>
            <w:tcW w:w="881" w:type="pct"/>
            <w:hideMark/>
          </w:tcPr>
          <w:p w14:paraId="666C7F86" w14:textId="24EC695C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sublingual</w:t>
            </w:r>
          </w:p>
        </w:tc>
        <w:tc>
          <w:tcPr>
            <w:tcW w:w="1250" w:type="pct"/>
            <w:hideMark/>
          </w:tcPr>
          <w:p w14:paraId="6B651B7B" w14:textId="4E5AF119" w:rsidR="00CF64F3" w:rsidRDefault="00CF64F3" w:rsidP="00505464">
            <w:pPr>
              <w:pStyle w:val="Tabletext"/>
              <w:rPr>
                <w:lang w:eastAsia="en-US"/>
              </w:rPr>
            </w:pPr>
            <w:r>
              <w:t>management of recurrent urinary tract infections</w:t>
            </w:r>
          </w:p>
        </w:tc>
      </w:tr>
    </w:tbl>
    <w:p w14:paraId="2A8FF333" w14:textId="298CCE1B" w:rsidR="00C34945" w:rsidRDefault="00AD469C" w:rsidP="00C34945">
      <w:pPr>
        <w:pStyle w:val="ItemHead"/>
      </w:pPr>
      <w:r>
        <w:t>9</w:t>
      </w:r>
      <w:r w:rsidR="00C34945" w:rsidRPr="00661F6F">
        <w:t xml:space="preserve">  </w:t>
      </w:r>
      <w:r w:rsidR="00C34945">
        <w:t>Schedule 1 (after table item 33)</w:t>
      </w:r>
    </w:p>
    <w:p w14:paraId="6F71C4B0" w14:textId="77777777" w:rsidR="00C34945" w:rsidRDefault="00C34945" w:rsidP="00C34945">
      <w:pPr>
        <w:pStyle w:val="Item"/>
      </w:pPr>
      <w:r>
        <w:t>Insert:</w:t>
      </w:r>
    </w:p>
    <w:tbl>
      <w:tblPr>
        <w:tblW w:w="5065" w:type="pct"/>
        <w:tblInd w:w="-108" w:type="dxa"/>
        <w:tblLook w:val="04A0" w:firstRow="1" w:lastRow="0" w:firstColumn="1" w:lastColumn="0" w:noHBand="0" w:noVBand="1"/>
      </w:tblPr>
      <w:tblGrid>
        <w:gridCol w:w="1111"/>
        <w:gridCol w:w="2626"/>
        <w:gridCol w:w="1095"/>
        <w:gridCol w:w="1484"/>
        <w:gridCol w:w="2105"/>
      </w:tblGrid>
      <w:tr w:rsidR="00CF64F3" w14:paraId="50520BB1" w14:textId="77777777" w:rsidTr="00505464">
        <w:trPr>
          <w:trHeight w:val="20"/>
        </w:trPr>
        <w:tc>
          <w:tcPr>
            <w:tcW w:w="660" w:type="pct"/>
            <w:hideMark/>
          </w:tcPr>
          <w:p w14:paraId="50E280B5" w14:textId="77777777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33A</w:t>
            </w:r>
          </w:p>
        </w:tc>
        <w:tc>
          <w:tcPr>
            <w:tcW w:w="1559" w:type="pct"/>
            <w:hideMark/>
          </w:tcPr>
          <w:p w14:paraId="1C7091A6" w14:textId="246866EF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gallium-68 DOTA (Tyr3) </w:t>
            </w:r>
            <w:r w:rsidR="00AD469C">
              <w:rPr>
                <w:lang w:eastAsia="en-US"/>
              </w:rPr>
              <w:t>o</w:t>
            </w:r>
            <w:r>
              <w:rPr>
                <w:lang w:eastAsia="en-US"/>
              </w:rPr>
              <w:t>ctreotate</w:t>
            </w:r>
          </w:p>
        </w:tc>
        <w:tc>
          <w:tcPr>
            <w:tcW w:w="650" w:type="pct"/>
            <w:hideMark/>
          </w:tcPr>
          <w:p w14:paraId="25904461" w14:textId="77777777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881" w:type="pct"/>
            <w:hideMark/>
          </w:tcPr>
          <w:p w14:paraId="2A9C041F" w14:textId="77777777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intravenous</w:t>
            </w:r>
          </w:p>
        </w:tc>
        <w:tc>
          <w:tcPr>
            <w:tcW w:w="1250" w:type="pct"/>
            <w:hideMark/>
          </w:tcPr>
          <w:p w14:paraId="27C1C93E" w14:textId="4FB4D3CC" w:rsidR="00CF64F3" w:rsidRDefault="00CF64F3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PET imaging for localisation of somatostatin receptor positive neuroendocrine tumours (NETs)</w:t>
            </w:r>
          </w:p>
        </w:tc>
      </w:tr>
    </w:tbl>
    <w:p w14:paraId="77CF5667" w14:textId="7B338AA8" w:rsidR="00AD469C" w:rsidRDefault="008E4D96" w:rsidP="008E4D96">
      <w:pPr>
        <w:pStyle w:val="ItemHead"/>
        <w:ind w:left="0" w:firstLine="0"/>
      </w:pPr>
      <w:r>
        <w:t>1</w:t>
      </w:r>
      <w:r w:rsidR="00AD469C">
        <w:t>0 Schedule 1 (table item 34, column 2)</w:t>
      </w:r>
    </w:p>
    <w:p w14:paraId="244D262F" w14:textId="77777777" w:rsidR="00AD469C" w:rsidRDefault="00AD469C" w:rsidP="00AD469C">
      <w:pPr>
        <w:pStyle w:val="Item"/>
      </w:pPr>
      <w:r>
        <w:t>Repeal the cell, substitute:</w:t>
      </w:r>
    </w:p>
    <w:tbl>
      <w:tblPr>
        <w:tblW w:w="1580" w:type="pct"/>
        <w:tblInd w:w="843" w:type="dxa"/>
        <w:tblLook w:val="04A0" w:firstRow="1" w:lastRow="0" w:firstColumn="1" w:lastColumn="0" w:noHBand="0" w:noVBand="1"/>
      </w:tblPr>
      <w:tblGrid>
        <w:gridCol w:w="2627"/>
      </w:tblGrid>
      <w:tr w:rsidR="00507216" w14:paraId="7A8BDDF5" w14:textId="77777777" w:rsidTr="00EA3B0D">
        <w:trPr>
          <w:trHeight w:val="20"/>
        </w:trPr>
        <w:tc>
          <w:tcPr>
            <w:tcW w:w="5000" w:type="pct"/>
            <w:hideMark/>
          </w:tcPr>
          <w:p w14:paraId="6670BFB4" w14:textId="0EE0D99A" w:rsidR="00507216" w:rsidRDefault="00507216" w:rsidP="00507216">
            <w:pPr>
              <w:pStyle w:val="Tabletext"/>
              <w:rPr>
                <w:lang w:eastAsia="en-US"/>
              </w:rPr>
            </w:pPr>
            <w:r>
              <w:t>gallium</w:t>
            </w:r>
            <w:r>
              <w:rPr>
                <w:lang w:eastAsia="en-US"/>
              </w:rPr>
              <w:noBreakHyphen/>
              <w:t>68</w:t>
            </w:r>
            <w:r w:rsidR="004F6E9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(Ga</w:t>
            </w:r>
            <w:r>
              <w:rPr>
                <w:lang w:eastAsia="en-US"/>
              </w:rPr>
              <w:noBreakHyphen/>
              <w:t>68)</w:t>
            </w:r>
          </w:p>
        </w:tc>
      </w:tr>
    </w:tbl>
    <w:p w14:paraId="38DC8838" w14:textId="471C50A2" w:rsidR="00AD469C" w:rsidRDefault="00AD469C" w:rsidP="00AD469C">
      <w:pPr>
        <w:pStyle w:val="ItemHead"/>
        <w:ind w:left="0" w:firstLine="0"/>
      </w:pPr>
      <w:r>
        <w:t>11 Schedule 1 (table item 35, column 2)</w:t>
      </w:r>
    </w:p>
    <w:p w14:paraId="76D02005" w14:textId="77777777" w:rsidR="004F6E92" w:rsidRDefault="004F6E92" w:rsidP="004F6E92">
      <w:pPr>
        <w:pStyle w:val="Item"/>
      </w:pPr>
      <w:r>
        <w:t>Repeal the cell, substitute:</w:t>
      </w:r>
    </w:p>
    <w:tbl>
      <w:tblPr>
        <w:tblW w:w="1580" w:type="pct"/>
        <w:tblInd w:w="843" w:type="dxa"/>
        <w:tblLook w:val="04A0" w:firstRow="1" w:lastRow="0" w:firstColumn="1" w:lastColumn="0" w:noHBand="0" w:noVBand="1"/>
      </w:tblPr>
      <w:tblGrid>
        <w:gridCol w:w="2627"/>
      </w:tblGrid>
      <w:tr w:rsidR="004F6E92" w14:paraId="471499EA" w14:textId="77777777" w:rsidTr="00E860EF">
        <w:trPr>
          <w:trHeight w:val="20"/>
        </w:trPr>
        <w:tc>
          <w:tcPr>
            <w:tcW w:w="5000" w:type="pct"/>
            <w:hideMark/>
          </w:tcPr>
          <w:p w14:paraId="296948A5" w14:textId="2D201AD7" w:rsidR="004F6E92" w:rsidRDefault="004F6E92" w:rsidP="00E860EF">
            <w:pPr>
              <w:pStyle w:val="Tabletext"/>
              <w:rPr>
                <w:lang w:eastAsia="en-US"/>
              </w:rPr>
            </w:pPr>
            <w:r>
              <w:t>gallium</w:t>
            </w:r>
            <w:r>
              <w:rPr>
                <w:lang w:eastAsia="en-US"/>
              </w:rPr>
              <w:noBreakHyphen/>
              <w:t>68 (Ga</w:t>
            </w:r>
            <w:r>
              <w:rPr>
                <w:lang w:eastAsia="en-US"/>
              </w:rPr>
              <w:noBreakHyphen/>
              <w:t>68) - MAA</w:t>
            </w:r>
          </w:p>
        </w:tc>
      </w:tr>
    </w:tbl>
    <w:p w14:paraId="669DF935" w14:textId="7C33B363" w:rsidR="008E4D96" w:rsidRDefault="00AD469C" w:rsidP="008E4D96">
      <w:pPr>
        <w:pStyle w:val="ItemHead"/>
        <w:ind w:left="0" w:firstLine="0"/>
      </w:pPr>
      <w:r>
        <w:t>12</w:t>
      </w:r>
      <w:r w:rsidR="008E4D96" w:rsidRPr="00661F6F">
        <w:t xml:space="preserve">  </w:t>
      </w:r>
      <w:r w:rsidR="008E4D96">
        <w:t>Schedule 1 (after table item 42)</w:t>
      </w:r>
    </w:p>
    <w:p w14:paraId="0845EFDA" w14:textId="77777777" w:rsidR="008E4D96" w:rsidRDefault="008E4D96" w:rsidP="008E4D96">
      <w:pPr>
        <w:pStyle w:val="Item"/>
      </w:pPr>
      <w:r>
        <w:t>Insert:</w:t>
      </w:r>
    </w:p>
    <w:tbl>
      <w:tblPr>
        <w:tblW w:w="5065" w:type="pct"/>
        <w:tblInd w:w="-108" w:type="dxa"/>
        <w:tblLook w:val="04A0" w:firstRow="1" w:lastRow="0" w:firstColumn="1" w:lastColumn="0" w:noHBand="0" w:noVBand="1"/>
      </w:tblPr>
      <w:tblGrid>
        <w:gridCol w:w="1111"/>
        <w:gridCol w:w="2626"/>
        <w:gridCol w:w="1095"/>
        <w:gridCol w:w="1484"/>
        <w:gridCol w:w="2105"/>
      </w:tblGrid>
      <w:tr w:rsidR="008E4D96" w14:paraId="6E054454" w14:textId="77777777" w:rsidTr="00EA3B0D">
        <w:trPr>
          <w:trHeight w:val="316"/>
        </w:trPr>
        <w:tc>
          <w:tcPr>
            <w:tcW w:w="660" w:type="pct"/>
            <w:hideMark/>
          </w:tcPr>
          <w:p w14:paraId="7E0F424D" w14:textId="75D61EDC" w:rsidR="008E4D96" w:rsidRDefault="008E4D96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42A</w:t>
            </w:r>
          </w:p>
        </w:tc>
        <w:tc>
          <w:tcPr>
            <w:tcW w:w="1559" w:type="pct"/>
            <w:hideMark/>
          </w:tcPr>
          <w:p w14:paraId="2A6F8873" w14:textId="0ABB53E5" w:rsidR="008E4D96" w:rsidRDefault="008E4D96" w:rsidP="00505464">
            <w:pPr>
              <w:pStyle w:val="Tabletext"/>
              <w:rPr>
                <w:lang w:eastAsia="en-US"/>
              </w:rPr>
            </w:pPr>
            <w:r w:rsidRPr="00A84001">
              <w:t>imipenem/cilastatin</w:t>
            </w:r>
          </w:p>
        </w:tc>
        <w:tc>
          <w:tcPr>
            <w:tcW w:w="650" w:type="pct"/>
            <w:hideMark/>
          </w:tcPr>
          <w:p w14:paraId="13D25CA7" w14:textId="77777777" w:rsidR="008E4D96" w:rsidRDefault="008E4D96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injection</w:t>
            </w:r>
          </w:p>
        </w:tc>
        <w:tc>
          <w:tcPr>
            <w:tcW w:w="881" w:type="pct"/>
            <w:hideMark/>
          </w:tcPr>
          <w:p w14:paraId="083920FA" w14:textId="77777777" w:rsidR="008E4D96" w:rsidRDefault="008E4D96" w:rsidP="005054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intravenous</w:t>
            </w:r>
          </w:p>
        </w:tc>
        <w:tc>
          <w:tcPr>
            <w:tcW w:w="1250" w:type="pct"/>
            <w:hideMark/>
          </w:tcPr>
          <w:p w14:paraId="717D4677" w14:textId="049EAE76" w:rsidR="008E4D96" w:rsidRDefault="008E4D96" w:rsidP="00505464">
            <w:pPr>
              <w:pStyle w:val="Tabletext"/>
              <w:rPr>
                <w:lang w:eastAsia="en-US"/>
              </w:rPr>
            </w:pPr>
            <w:r>
              <w:t>treatment of non-tuberculosis mycobacteria</w:t>
            </w:r>
            <w:r>
              <w:rPr>
                <w:lang w:eastAsia="en-US"/>
              </w:rPr>
              <w:t xml:space="preserve"> </w:t>
            </w:r>
          </w:p>
        </w:tc>
      </w:tr>
    </w:tbl>
    <w:p w14:paraId="27479FE5" w14:textId="1DEE4A4D" w:rsidR="00C34945" w:rsidRDefault="00362EAD" w:rsidP="00C34945">
      <w:pPr>
        <w:pStyle w:val="ItemHead"/>
      </w:pPr>
      <w:r>
        <w:t>1</w:t>
      </w:r>
      <w:r w:rsidR="00AD469C">
        <w:t>3</w:t>
      </w:r>
      <w:r w:rsidR="00C34945" w:rsidRPr="00661F6F">
        <w:t xml:space="preserve">  </w:t>
      </w:r>
      <w:r w:rsidR="00C34945">
        <w:t>Sch</w:t>
      </w:r>
      <w:r w:rsidR="008E4D96">
        <w:t>e</w:t>
      </w:r>
      <w:r w:rsidR="00C34945">
        <w:t>dule 1 (after table item 45)</w:t>
      </w:r>
    </w:p>
    <w:p w14:paraId="5EE39D54" w14:textId="77777777" w:rsidR="008E4D96" w:rsidRDefault="008E4D96" w:rsidP="008E4D96">
      <w:pPr>
        <w:pStyle w:val="Item"/>
      </w:pPr>
      <w:r>
        <w:t>Insert:</w:t>
      </w:r>
    </w:p>
    <w:tbl>
      <w:tblPr>
        <w:tblW w:w="5065" w:type="pct"/>
        <w:tblInd w:w="-108" w:type="dxa"/>
        <w:tblLook w:val="04A0" w:firstRow="1" w:lastRow="0" w:firstColumn="1" w:lastColumn="0" w:noHBand="0" w:noVBand="1"/>
      </w:tblPr>
      <w:tblGrid>
        <w:gridCol w:w="1111"/>
        <w:gridCol w:w="2626"/>
        <w:gridCol w:w="1095"/>
        <w:gridCol w:w="1484"/>
        <w:gridCol w:w="2105"/>
      </w:tblGrid>
      <w:tr w:rsidR="00BB72B3" w14:paraId="624D44D2" w14:textId="77777777" w:rsidTr="00EA3C4B">
        <w:trPr>
          <w:trHeight w:val="316"/>
        </w:trPr>
        <w:tc>
          <w:tcPr>
            <w:tcW w:w="660" w:type="pct"/>
            <w:tcBorders>
              <w:bottom w:val="single" w:sz="4" w:space="0" w:color="auto"/>
            </w:tcBorders>
            <w:hideMark/>
          </w:tcPr>
          <w:p w14:paraId="5AC33F69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45A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hideMark/>
          </w:tcPr>
          <w:p w14:paraId="0F649037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 w:rsidRPr="00613CC9">
              <w:t>isoniazid/rifampicin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hideMark/>
          </w:tcPr>
          <w:p w14:paraId="1FFD4521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t>dispersible tablets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hideMark/>
          </w:tcPr>
          <w:p w14:paraId="5251D0D7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t>oral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hideMark/>
          </w:tcPr>
          <w:p w14:paraId="27C59762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t>treatment of latent tuberculosis infection</w:t>
            </w:r>
          </w:p>
        </w:tc>
      </w:tr>
      <w:tr w:rsidR="00BB72B3" w14:paraId="7D7DE619" w14:textId="77777777" w:rsidTr="00EA3C4B">
        <w:trPr>
          <w:trHeight w:val="316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14:paraId="49560B4C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45B</w:t>
            </w: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04FC48BE" w14:textId="77777777" w:rsidR="00BB72B3" w:rsidRPr="00613CC9" w:rsidRDefault="00BB72B3" w:rsidP="00EA3C4B">
            <w:pPr>
              <w:pStyle w:val="Tabletext"/>
            </w:pPr>
            <w:r w:rsidRPr="00613CC9">
              <w:t>isoniazid/rifampicin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7F443D" w14:textId="77777777" w:rsidR="00BB72B3" w:rsidRDefault="00BB72B3" w:rsidP="00EA3C4B">
            <w:pPr>
              <w:pStyle w:val="Tabletext"/>
            </w:pPr>
            <w:r>
              <w:t>tablets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7669C03C" w14:textId="77777777" w:rsidR="00BB72B3" w:rsidRDefault="00BB72B3" w:rsidP="00EA3C4B">
            <w:pPr>
              <w:pStyle w:val="Tabletext"/>
            </w:pPr>
            <w:r>
              <w:t>oral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5200A319" w14:textId="77777777" w:rsidR="00BB72B3" w:rsidRDefault="00BB72B3" w:rsidP="00EA3C4B">
            <w:pPr>
              <w:pStyle w:val="Tabletext"/>
            </w:pPr>
            <w:r>
              <w:t>treatment of latent tuberculosis infection</w:t>
            </w:r>
          </w:p>
        </w:tc>
      </w:tr>
      <w:tr w:rsidR="00BB72B3" w14:paraId="7574C687" w14:textId="77777777" w:rsidTr="00EA3C4B">
        <w:trPr>
          <w:trHeight w:val="316"/>
        </w:trPr>
        <w:tc>
          <w:tcPr>
            <w:tcW w:w="660" w:type="pct"/>
            <w:tcBorders>
              <w:top w:val="single" w:sz="4" w:space="0" w:color="auto"/>
            </w:tcBorders>
          </w:tcPr>
          <w:p w14:paraId="61F13C20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45C</w:t>
            </w:r>
          </w:p>
        </w:tc>
        <w:tc>
          <w:tcPr>
            <w:tcW w:w="1559" w:type="pct"/>
            <w:tcBorders>
              <w:top w:val="single" w:sz="4" w:space="0" w:color="auto"/>
            </w:tcBorders>
          </w:tcPr>
          <w:p w14:paraId="7E9C78F4" w14:textId="77777777" w:rsidR="00BB72B3" w:rsidRPr="00613CC9" w:rsidRDefault="00BB72B3" w:rsidP="00EA3C4B">
            <w:pPr>
              <w:pStyle w:val="Tabletext"/>
              <w:rPr>
                <w:lang w:eastAsia="en-US"/>
              </w:rPr>
            </w:pPr>
            <w:r w:rsidRPr="00A84001">
              <w:rPr>
                <w:lang w:eastAsia="en-US"/>
              </w:rPr>
              <w:t>isoniazid/rifapentine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3D926F8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tablets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4CB8DB86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oral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ACA7EF1" w14:textId="77777777" w:rsidR="00BB72B3" w:rsidRDefault="00BB72B3" w:rsidP="00EA3C4B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treatment of latent tuberculosis infection</w:t>
            </w:r>
          </w:p>
        </w:tc>
      </w:tr>
    </w:tbl>
    <w:p w14:paraId="7BFCF360" w14:textId="5D5F18E9" w:rsidR="00C34945" w:rsidRDefault="00362EAD" w:rsidP="00C34945">
      <w:pPr>
        <w:pStyle w:val="ItemHead"/>
      </w:pPr>
      <w:r>
        <w:t>1</w:t>
      </w:r>
      <w:r w:rsidR="00AD469C">
        <w:t>4</w:t>
      </w:r>
      <w:r w:rsidR="00C34945" w:rsidRPr="00342383">
        <w:t xml:space="preserve">  Schedule 1 (table item</w:t>
      </w:r>
      <w:r w:rsidR="00C34945">
        <w:t>s</w:t>
      </w:r>
      <w:r w:rsidR="00C34945" w:rsidRPr="00342383">
        <w:t xml:space="preserve"> </w:t>
      </w:r>
      <w:r w:rsidR="00C34945">
        <w:t>51, 52 and 54)</w:t>
      </w:r>
    </w:p>
    <w:p w14:paraId="3211A8BB" w14:textId="77777777" w:rsidR="00C34945" w:rsidRDefault="00C34945" w:rsidP="00C34945">
      <w:pPr>
        <w:pStyle w:val="Item"/>
      </w:pPr>
      <w:r>
        <w:t>Repeal the items.</w:t>
      </w:r>
    </w:p>
    <w:p w14:paraId="6A82D557" w14:textId="6BD6C191" w:rsidR="00C34945" w:rsidRDefault="00362EAD" w:rsidP="00C34945">
      <w:pPr>
        <w:pStyle w:val="ItemHead"/>
      </w:pPr>
      <w:r>
        <w:t>1</w:t>
      </w:r>
      <w:r w:rsidR="00AD469C">
        <w:t>5</w:t>
      </w:r>
      <w:r w:rsidR="00C34945" w:rsidRPr="00661F6F">
        <w:t xml:space="preserve">  </w:t>
      </w:r>
      <w:r w:rsidR="00C34945">
        <w:t>Schedule 1 (after table item 58)</w:t>
      </w:r>
    </w:p>
    <w:p w14:paraId="0BF920D2" w14:textId="77777777" w:rsidR="008E4D96" w:rsidRDefault="008E4D96" w:rsidP="008E4D96">
      <w:pPr>
        <w:pStyle w:val="Item"/>
      </w:pPr>
      <w:r>
        <w:t>Insert:</w:t>
      </w:r>
    </w:p>
    <w:tbl>
      <w:tblPr>
        <w:tblW w:w="5065" w:type="pct"/>
        <w:tblInd w:w="-108" w:type="dxa"/>
        <w:tblLook w:val="04A0" w:firstRow="1" w:lastRow="0" w:firstColumn="1" w:lastColumn="0" w:noHBand="0" w:noVBand="1"/>
      </w:tblPr>
      <w:tblGrid>
        <w:gridCol w:w="1111"/>
        <w:gridCol w:w="2626"/>
        <w:gridCol w:w="1095"/>
        <w:gridCol w:w="1484"/>
        <w:gridCol w:w="2105"/>
      </w:tblGrid>
      <w:tr w:rsidR="008E4D96" w14:paraId="47B5B55F" w14:textId="77777777" w:rsidTr="00505464">
        <w:trPr>
          <w:trHeight w:val="316"/>
        </w:trPr>
        <w:tc>
          <w:tcPr>
            <w:tcW w:w="660" w:type="pct"/>
            <w:hideMark/>
          </w:tcPr>
          <w:p w14:paraId="6F6CCF5C" w14:textId="4D7E0EB3" w:rsidR="008E4D96" w:rsidRDefault="008E4D96" w:rsidP="008E4D96">
            <w:pPr>
              <w:pStyle w:val="Tabletext"/>
              <w:rPr>
                <w:lang w:eastAsia="en-US"/>
              </w:rPr>
            </w:pPr>
            <w:r>
              <w:t>58A</w:t>
            </w:r>
          </w:p>
        </w:tc>
        <w:tc>
          <w:tcPr>
            <w:tcW w:w="1559" w:type="pct"/>
            <w:hideMark/>
          </w:tcPr>
          <w:p w14:paraId="3C5BE9AB" w14:textId="36D32BCB" w:rsidR="008E4D96" w:rsidRDefault="008E4D96" w:rsidP="008E4D96">
            <w:pPr>
              <w:pStyle w:val="Tabletext"/>
              <w:rPr>
                <w:lang w:eastAsia="en-US"/>
              </w:rPr>
            </w:pPr>
            <w:r w:rsidRPr="00A84001">
              <w:t>mycobacterium bovis (bacillus calmette and guerin (BCG) strain)</w:t>
            </w:r>
          </w:p>
        </w:tc>
        <w:tc>
          <w:tcPr>
            <w:tcW w:w="650" w:type="pct"/>
            <w:hideMark/>
          </w:tcPr>
          <w:p w14:paraId="2D2018AB" w14:textId="24FA45D0" w:rsidR="008E4D96" w:rsidRDefault="008E4D96" w:rsidP="008E4D96">
            <w:pPr>
              <w:pStyle w:val="Tabletext"/>
              <w:rPr>
                <w:lang w:eastAsia="en-US"/>
              </w:rPr>
            </w:pPr>
            <w:r>
              <w:t>injection</w:t>
            </w:r>
          </w:p>
        </w:tc>
        <w:tc>
          <w:tcPr>
            <w:tcW w:w="881" w:type="pct"/>
            <w:hideMark/>
          </w:tcPr>
          <w:p w14:paraId="435F1FE7" w14:textId="4846E1C0" w:rsidR="008E4D96" w:rsidRDefault="008E4D96" w:rsidP="008E4D96">
            <w:pPr>
              <w:pStyle w:val="Tabletext"/>
              <w:rPr>
                <w:lang w:eastAsia="en-US"/>
              </w:rPr>
            </w:pPr>
            <w:r>
              <w:t>intradermal</w:t>
            </w:r>
          </w:p>
        </w:tc>
        <w:tc>
          <w:tcPr>
            <w:tcW w:w="1250" w:type="pct"/>
            <w:hideMark/>
          </w:tcPr>
          <w:p w14:paraId="3357BB35" w14:textId="09CD92E7" w:rsidR="008E4D96" w:rsidRDefault="008E4D96" w:rsidP="008E4D96">
            <w:pPr>
              <w:pStyle w:val="Tabletext"/>
              <w:rPr>
                <w:lang w:eastAsia="en-US"/>
              </w:rPr>
            </w:pPr>
            <w:r>
              <w:t>immunisation against tuberculosis</w:t>
            </w:r>
          </w:p>
        </w:tc>
      </w:tr>
    </w:tbl>
    <w:p w14:paraId="0FC0746C" w14:textId="64B664CC" w:rsidR="00C34945" w:rsidRDefault="00362EAD" w:rsidP="00C34945">
      <w:pPr>
        <w:pStyle w:val="ItemHead"/>
      </w:pPr>
      <w:r>
        <w:t>1</w:t>
      </w:r>
      <w:r w:rsidR="00AD469C">
        <w:t>6</w:t>
      </w:r>
      <w:r w:rsidR="00C34945" w:rsidRPr="00342383">
        <w:t xml:space="preserve">  Schedule 1 (table item</w:t>
      </w:r>
      <w:r w:rsidR="00C34945">
        <w:t>s 67 and 68)</w:t>
      </w:r>
    </w:p>
    <w:p w14:paraId="653F194A" w14:textId="77777777" w:rsidR="00C34945" w:rsidRDefault="00C34945" w:rsidP="00C34945">
      <w:pPr>
        <w:pStyle w:val="Item"/>
      </w:pPr>
      <w:r>
        <w:t>Repeal the items.</w:t>
      </w:r>
    </w:p>
    <w:p w14:paraId="40BA25B7" w14:textId="3B8D14B2" w:rsidR="00C34945" w:rsidRDefault="00362EAD" w:rsidP="00C34945">
      <w:pPr>
        <w:pStyle w:val="ItemHead"/>
      </w:pPr>
      <w:r>
        <w:lastRenderedPageBreak/>
        <w:t>1</w:t>
      </w:r>
      <w:r w:rsidR="00AD469C">
        <w:t>7</w:t>
      </w:r>
      <w:r w:rsidR="00C34945" w:rsidRPr="00661F6F">
        <w:t xml:space="preserve">  </w:t>
      </w:r>
      <w:r w:rsidR="00C34945">
        <w:t>Schedule 1 (table item 78, column 2)</w:t>
      </w:r>
    </w:p>
    <w:p w14:paraId="4045C4A8" w14:textId="77777777" w:rsidR="00C34945" w:rsidRDefault="00C34945" w:rsidP="00C34945">
      <w:pPr>
        <w:pStyle w:val="Item"/>
      </w:pPr>
      <w:r w:rsidRPr="00661F6F">
        <w:t>Omit “</w:t>
      </w:r>
      <w:r w:rsidRPr="006E6BC6">
        <w:t>Technetium-99m</w:t>
      </w:r>
      <w:r>
        <w:t>”, substitute “technetium-99m”.</w:t>
      </w:r>
    </w:p>
    <w:p w14:paraId="4F963F71" w14:textId="60BB4256" w:rsidR="00C34945" w:rsidRDefault="00362EAD" w:rsidP="00C34945">
      <w:pPr>
        <w:pStyle w:val="ItemHead"/>
      </w:pPr>
      <w:r>
        <w:t>1</w:t>
      </w:r>
      <w:r w:rsidR="00AD469C">
        <w:t>8</w:t>
      </w:r>
      <w:r w:rsidR="00C34945" w:rsidRPr="00661F6F">
        <w:t xml:space="preserve">  </w:t>
      </w:r>
      <w:r w:rsidR="00C34945">
        <w:t>Schedule 1 (table item 87, column 2)</w:t>
      </w:r>
    </w:p>
    <w:p w14:paraId="520CA6CB" w14:textId="77777777" w:rsidR="00C34945" w:rsidRPr="00DA7F41" w:rsidRDefault="00C34945" w:rsidP="00C34945">
      <w:pPr>
        <w:pStyle w:val="Item"/>
      </w:pPr>
      <w:r w:rsidRPr="00661F6F">
        <w:t>Omit “</w:t>
      </w:r>
      <w:r>
        <w:t>Citrate”, substitute “citrate”.</w:t>
      </w:r>
    </w:p>
    <w:p w14:paraId="07B6548C" w14:textId="77777777" w:rsidR="00C34945" w:rsidRDefault="00C34945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87C6BF6" w14:textId="3C4A9D98" w:rsidR="00390B8A" w:rsidRPr="007773C9" w:rsidRDefault="00390B8A" w:rsidP="004B3E58">
      <w:pPr>
        <w:pStyle w:val="ActHead7"/>
      </w:pPr>
      <w:bookmarkStart w:id="15" w:name="_Toc206161287"/>
      <w:r w:rsidRPr="00CD4D4B">
        <w:lastRenderedPageBreak/>
        <w:t>Part 2—</w:t>
      </w:r>
      <w:r w:rsidR="0014755D">
        <w:t>Other amendments</w:t>
      </w:r>
      <w:bookmarkEnd w:id="15"/>
    </w:p>
    <w:p w14:paraId="0FFF303C" w14:textId="77777777" w:rsidR="00440610" w:rsidRDefault="00440610" w:rsidP="00440610">
      <w:pPr>
        <w:pStyle w:val="ActHead9"/>
      </w:pPr>
      <w:bookmarkStart w:id="16" w:name="_Toc206161288"/>
      <w:r>
        <w:t>Therapeutic Goods (Biologicals—Authorised Supply) Rules 2022</w:t>
      </w:r>
      <w:bookmarkEnd w:id="16"/>
    </w:p>
    <w:p w14:paraId="34F170DD" w14:textId="062E83E4" w:rsidR="00440610" w:rsidRPr="001B1B17" w:rsidRDefault="00594240" w:rsidP="00440610">
      <w:pPr>
        <w:pStyle w:val="ItemHead"/>
      </w:pPr>
      <w:r>
        <w:t>1</w:t>
      </w:r>
      <w:r w:rsidR="00BC1C42">
        <w:t>9</w:t>
      </w:r>
      <w:r w:rsidR="00440610">
        <w:t xml:space="preserve">  Section 4</w:t>
      </w:r>
    </w:p>
    <w:p w14:paraId="2D83A4D4" w14:textId="77777777" w:rsidR="00440610" w:rsidRDefault="00440610" w:rsidP="00440610">
      <w:pPr>
        <w:pStyle w:val="Item"/>
      </w:pPr>
      <w:r>
        <w:t>Insert:</w:t>
      </w:r>
    </w:p>
    <w:p w14:paraId="2E572AFD" w14:textId="79647FDF" w:rsidR="00440610" w:rsidRDefault="00440610" w:rsidP="00440610">
      <w:pPr>
        <w:pStyle w:val="Definition"/>
        <w:rPr>
          <w:szCs w:val="22"/>
        </w:rPr>
      </w:pPr>
      <w:r w:rsidRPr="006B1C52">
        <w:rPr>
          <w:b/>
          <w:i/>
          <w:szCs w:val="22"/>
        </w:rPr>
        <w:t>adverse event</w:t>
      </w:r>
      <w:r w:rsidR="00507216">
        <w:rPr>
          <w:szCs w:val="22"/>
        </w:rPr>
        <w:t xml:space="preserve"> </w:t>
      </w:r>
      <w:r w:rsidRPr="006B1C52">
        <w:rPr>
          <w:szCs w:val="22"/>
        </w:rPr>
        <w:t>means</w:t>
      </w:r>
      <w:r>
        <w:rPr>
          <w:szCs w:val="22"/>
        </w:rPr>
        <w:t xml:space="preserve"> an adverse event that occurs in relation to a person in Australia following the administration of a biological.</w:t>
      </w:r>
    </w:p>
    <w:p w14:paraId="6118FACF" w14:textId="77777777" w:rsidR="00440610" w:rsidRDefault="00440610" w:rsidP="00440610">
      <w:pPr>
        <w:pStyle w:val="notetext"/>
      </w:pPr>
      <w:r w:rsidRPr="00BD5490">
        <w:t>Note:</w:t>
      </w:r>
      <w:r w:rsidRPr="00BD5490">
        <w:tab/>
      </w:r>
      <w:r w:rsidRPr="00AB2A05">
        <w:t>An adverse event</w:t>
      </w:r>
      <w:r>
        <w:t xml:space="preserve"> may</w:t>
      </w:r>
      <w:r w:rsidRPr="00AB2A05">
        <w:t xml:space="preserve"> not </w:t>
      </w:r>
      <w:r w:rsidRPr="00BD5490">
        <w:t>necessar</w:t>
      </w:r>
      <w:r w:rsidRPr="00AB2A05">
        <w:t>il</w:t>
      </w:r>
      <w:r w:rsidRPr="00BD5490">
        <w:t xml:space="preserve">y </w:t>
      </w:r>
      <w:r w:rsidRPr="00AB2A05">
        <w:t>have a caus</w:t>
      </w:r>
      <w:r w:rsidRPr="003C7FC1">
        <w:t>al relationship</w:t>
      </w:r>
      <w:r w:rsidRPr="00AB2A05">
        <w:t xml:space="preserve"> with the administration </w:t>
      </w:r>
      <w:r>
        <w:t>or use of the biological.</w:t>
      </w:r>
    </w:p>
    <w:p w14:paraId="4E71B9F7" w14:textId="531B947C" w:rsidR="009C0E32" w:rsidRPr="005C0965" w:rsidRDefault="00BC1C42" w:rsidP="009C0E32">
      <w:pPr>
        <w:pStyle w:val="ItemHead"/>
      </w:pPr>
      <w:r w:rsidRPr="00BB72B3">
        <w:t>20</w:t>
      </w:r>
      <w:r w:rsidR="009C0E32" w:rsidRPr="005C0965">
        <w:t xml:space="preserve">  Section 4 (definition of </w:t>
      </w:r>
      <w:r w:rsidR="009C0E32" w:rsidRPr="005C4F5D">
        <w:t>SAS Guidance</w:t>
      </w:r>
      <w:r w:rsidR="009C0E32" w:rsidRPr="005C0965">
        <w:t>)</w:t>
      </w:r>
    </w:p>
    <w:p w14:paraId="7BF8206E" w14:textId="77777777" w:rsidR="009C0E32" w:rsidRDefault="009C0E32" w:rsidP="009C0E32">
      <w:pPr>
        <w:pStyle w:val="Item"/>
      </w:pPr>
      <w:r w:rsidRPr="005C0965">
        <w:t>Repeal the definition.</w:t>
      </w:r>
    </w:p>
    <w:p w14:paraId="47576C93" w14:textId="735372A3" w:rsidR="00440610" w:rsidRPr="00661F6F" w:rsidRDefault="00CF64F3" w:rsidP="00440610">
      <w:pPr>
        <w:pStyle w:val="ItemHead"/>
      </w:pPr>
      <w:r>
        <w:t>2</w:t>
      </w:r>
      <w:r w:rsidR="00BC1C42">
        <w:t>1</w:t>
      </w:r>
      <w:r w:rsidR="00440610" w:rsidRPr="00661F6F">
        <w:t xml:space="preserve">  </w:t>
      </w:r>
      <w:r w:rsidR="00440610">
        <w:t>Paragraph 5(2)(d)</w:t>
      </w:r>
    </w:p>
    <w:p w14:paraId="7FED1F69" w14:textId="3E57D699" w:rsidR="00440610" w:rsidRPr="00661F6F" w:rsidRDefault="00440610" w:rsidP="00440610">
      <w:pPr>
        <w:pStyle w:val="Item"/>
      </w:pPr>
      <w:r w:rsidRPr="00661F6F">
        <w:t>Omit “</w:t>
      </w:r>
      <w:r w:rsidR="002D1F5E" w:rsidRPr="002D1F5E">
        <w:t>and the sponsor of the biological about the adverse event</w:t>
      </w:r>
      <w:r w:rsidR="002D1F5E">
        <w:t xml:space="preserve"> </w:t>
      </w:r>
      <w:r>
        <w:t>in accordance with the reporting guidelines set out in the SAS Guidance”, substitute “within 15 days of becoming aware of the adverse event”.</w:t>
      </w:r>
    </w:p>
    <w:p w14:paraId="46DB0172" w14:textId="17890C44" w:rsidR="00440610" w:rsidRPr="00661F6F" w:rsidRDefault="00594240" w:rsidP="00440610">
      <w:pPr>
        <w:pStyle w:val="ItemHead"/>
      </w:pPr>
      <w:r>
        <w:t>2</w:t>
      </w:r>
      <w:r w:rsidR="00BC1C42">
        <w:t>2</w:t>
      </w:r>
      <w:r w:rsidR="00440610" w:rsidRPr="00661F6F">
        <w:t xml:space="preserve">  </w:t>
      </w:r>
      <w:r w:rsidR="00440610">
        <w:t>Paragraph 5(2)(e)</w:t>
      </w:r>
    </w:p>
    <w:p w14:paraId="5AD34775" w14:textId="6C8C2149" w:rsidR="00440610" w:rsidRPr="00661F6F" w:rsidRDefault="00440610" w:rsidP="00440610">
      <w:pPr>
        <w:pStyle w:val="Item"/>
      </w:pPr>
      <w:r w:rsidRPr="00661F6F">
        <w:t>Omit “</w:t>
      </w:r>
      <w:r w:rsidR="002D1F5E" w:rsidRPr="002D1F5E">
        <w:t>and the sponsor of the biological</w:t>
      </w:r>
      <w:r w:rsidR="002D1F5E">
        <w:t xml:space="preserve"> </w:t>
      </w:r>
      <w:r>
        <w:t>in accordance with the reporting guidelines set out in the SAS Guidance”, substitute “within 15 days of becoming aware of the defect”.</w:t>
      </w:r>
    </w:p>
    <w:p w14:paraId="7669338F" w14:textId="63F6656A" w:rsidR="00440610" w:rsidRDefault="00594240" w:rsidP="00440610">
      <w:pPr>
        <w:pStyle w:val="ItemHead"/>
        <w:ind w:left="0" w:firstLine="0"/>
      </w:pPr>
      <w:r>
        <w:t>2</w:t>
      </w:r>
      <w:r w:rsidR="00BC1C42">
        <w:t>3</w:t>
      </w:r>
      <w:r w:rsidR="00440610">
        <w:t xml:space="preserve">  Paragraph 5(4)(a)</w:t>
      </w:r>
    </w:p>
    <w:p w14:paraId="3CEBEFE8" w14:textId="5D7716AD" w:rsidR="00440610" w:rsidRDefault="00440610" w:rsidP="00440610">
      <w:pPr>
        <w:pStyle w:val="Item"/>
      </w:pPr>
      <w:r w:rsidRPr="00661F6F">
        <w:t>Omit “</w:t>
      </w:r>
      <w:r w:rsidR="002D1F5E" w:rsidRPr="002D1F5E">
        <w:t>and the sponsor of the biological about the adverse event</w:t>
      </w:r>
      <w:r w:rsidR="002D1F5E">
        <w:t xml:space="preserve"> </w:t>
      </w:r>
      <w:r>
        <w:t>in accordance with the reporting guidelines set out in the SAS Guidance”, substitute “within 15 days of becoming aware of the adverse event”.</w:t>
      </w:r>
    </w:p>
    <w:p w14:paraId="425F73F8" w14:textId="0E40DE13" w:rsidR="00440610" w:rsidRDefault="00594240" w:rsidP="00440610">
      <w:pPr>
        <w:pStyle w:val="ItemHead"/>
      </w:pPr>
      <w:r>
        <w:t>2</w:t>
      </w:r>
      <w:r w:rsidR="00BC1C42">
        <w:t>4</w:t>
      </w:r>
      <w:r w:rsidR="00440610">
        <w:t xml:space="preserve">  Paragraph 5(4)(b)</w:t>
      </w:r>
    </w:p>
    <w:p w14:paraId="07F76E01" w14:textId="6A52807D" w:rsidR="00440610" w:rsidRDefault="00440610" w:rsidP="005C4F5D">
      <w:pPr>
        <w:pStyle w:val="Item"/>
        <w:rPr>
          <w:rFonts w:ascii="Arial" w:hAnsi="Arial"/>
          <w:kern w:val="28"/>
          <w:sz w:val="24"/>
        </w:rPr>
      </w:pPr>
      <w:r w:rsidRPr="00661F6F">
        <w:t>Omit “</w:t>
      </w:r>
      <w:r w:rsidR="002D1F5E">
        <w:t xml:space="preserve">and the sponsor of the biological </w:t>
      </w:r>
      <w:r>
        <w:t>in accordance with the reporting guidelines set out in the SAS Guidance”, substitute “within 15 days of becoming aware of the defect”.</w:t>
      </w:r>
    </w:p>
    <w:p w14:paraId="0E6C34E7" w14:textId="77777777" w:rsidR="00440610" w:rsidRDefault="00440610" w:rsidP="00440610">
      <w:pPr>
        <w:pStyle w:val="ActHead9"/>
      </w:pPr>
      <w:bookmarkStart w:id="17" w:name="_Toc206161289"/>
      <w:r>
        <w:t>Therapeutic Goods (Medical Devices—Authorised Supply) Rules 2022</w:t>
      </w:r>
      <w:bookmarkEnd w:id="17"/>
    </w:p>
    <w:p w14:paraId="55CAF8B8" w14:textId="303DA329" w:rsidR="00440610" w:rsidRPr="005C0965" w:rsidRDefault="00594240" w:rsidP="00440610">
      <w:pPr>
        <w:pStyle w:val="ItemHead"/>
      </w:pPr>
      <w:r>
        <w:t>2</w:t>
      </w:r>
      <w:r w:rsidR="00BC1C42">
        <w:t>5</w:t>
      </w:r>
      <w:r w:rsidR="00440610" w:rsidRPr="005C0965">
        <w:t xml:space="preserve">  Section 4</w:t>
      </w:r>
    </w:p>
    <w:p w14:paraId="66B49D8F" w14:textId="77777777" w:rsidR="00440610" w:rsidRPr="005C0965" w:rsidRDefault="00440610" w:rsidP="00440610">
      <w:pPr>
        <w:pStyle w:val="Item"/>
      </w:pPr>
      <w:r w:rsidRPr="005C0965">
        <w:t>Insert:</w:t>
      </w:r>
    </w:p>
    <w:p w14:paraId="3A0D6B50" w14:textId="3829D920" w:rsidR="00440610" w:rsidRDefault="00440610" w:rsidP="00440610">
      <w:pPr>
        <w:pStyle w:val="Definition"/>
        <w:rPr>
          <w:szCs w:val="22"/>
        </w:rPr>
      </w:pPr>
      <w:r w:rsidRPr="006B1C52">
        <w:rPr>
          <w:b/>
          <w:i/>
          <w:szCs w:val="22"/>
        </w:rPr>
        <w:t>adverse event</w:t>
      </w:r>
      <w:r w:rsidR="00507216">
        <w:rPr>
          <w:bCs/>
          <w:iCs/>
          <w:szCs w:val="22"/>
        </w:rPr>
        <w:t xml:space="preserve"> </w:t>
      </w:r>
      <w:r w:rsidRPr="006B1C52">
        <w:rPr>
          <w:szCs w:val="22"/>
        </w:rPr>
        <w:t>means</w:t>
      </w:r>
      <w:r>
        <w:rPr>
          <w:szCs w:val="22"/>
        </w:rPr>
        <w:t xml:space="preserve"> an adverse event </w:t>
      </w:r>
      <w:r w:rsidRPr="00AD1D89">
        <w:rPr>
          <w:szCs w:val="22"/>
        </w:rPr>
        <w:t>that occurs in relation to a person in Australia following use of a medical device that led, or might have led, to the death of, a serious injury to, or serious deterioration in the health of, that person</w:t>
      </w:r>
      <w:r>
        <w:rPr>
          <w:szCs w:val="22"/>
        </w:rPr>
        <w:t>.</w:t>
      </w:r>
    </w:p>
    <w:p w14:paraId="2FDAB946" w14:textId="77777777" w:rsidR="00440610" w:rsidRDefault="00440610" w:rsidP="00440610">
      <w:pPr>
        <w:pStyle w:val="notetext"/>
      </w:pPr>
      <w:r w:rsidRPr="00BD5490">
        <w:t>Note:</w:t>
      </w:r>
      <w:r w:rsidRPr="00BD5490">
        <w:tab/>
      </w:r>
      <w:r w:rsidRPr="00AB2A05">
        <w:t>An adverse event</w:t>
      </w:r>
      <w:r>
        <w:t xml:space="preserve"> may</w:t>
      </w:r>
      <w:r w:rsidRPr="00AB2A05">
        <w:t xml:space="preserve"> not </w:t>
      </w:r>
      <w:r w:rsidRPr="00BD5490">
        <w:t>necessar</w:t>
      </w:r>
      <w:r w:rsidRPr="00AB2A05">
        <w:t>il</w:t>
      </w:r>
      <w:r w:rsidRPr="00BD5490">
        <w:t xml:space="preserve">y </w:t>
      </w:r>
      <w:r w:rsidRPr="00AB2A05">
        <w:t>have a caus</w:t>
      </w:r>
      <w:r w:rsidRPr="003C7FC1">
        <w:t>al relationship</w:t>
      </w:r>
      <w:r w:rsidRPr="00AB2A05">
        <w:t xml:space="preserve"> with the administration </w:t>
      </w:r>
      <w:r>
        <w:t>or use of the medical device.</w:t>
      </w:r>
    </w:p>
    <w:p w14:paraId="75028AC4" w14:textId="2479F107" w:rsidR="00440610" w:rsidRDefault="00440610" w:rsidP="00440610">
      <w:pPr>
        <w:pStyle w:val="Item"/>
        <w:ind w:left="1134"/>
      </w:pPr>
      <w:r w:rsidRPr="005C0965">
        <w:rPr>
          <w:b/>
          <w:bCs/>
          <w:i/>
          <w:iCs/>
        </w:rPr>
        <w:t>defect</w:t>
      </w:r>
      <w:r w:rsidRPr="005C0965">
        <w:t xml:space="preserve">, in relation to a medical device, </w:t>
      </w:r>
      <w:r w:rsidR="007915D1">
        <w:t xml:space="preserve">means any of the following that might lead, or might have led, to the death of, a serious injury to, or serious deterioration in the health of, a person: </w:t>
      </w:r>
    </w:p>
    <w:p w14:paraId="08B40B97" w14:textId="048E7A58" w:rsidR="00360B70" w:rsidRDefault="00440610" w:rsidP="00440610">
      <w:pPr>
        <w:pStyle w:val="paragraph"/>
      </w:pPr>
      <w:r>
        <w:lastRenderedPageBreak/>
        <w:tab/>
      </w:r>
      <w:r w:rsidRPr="00EF14FD">
        <w:t>(a)</w:t>
      </w:r>
      <w:r w:rsidRPr="00EF14FD">
        <w:tab/>
      </w:r>
      <w:r w:rsidR="00360B70">
        <w:t>any malfunction or deterioration in the characteristics or performance of the medical device;</w:t>
      </w:r>
    </w:p>
    <w:p w14:paraId="56CBA49A" w14:textId="5F559C6B" w:rsidR="00360B70" w:rsidRDefault="00440610" w:rsidP="00440610">
      <w:pPr>
        <w:pStyle w:val="paragraph"/>
      </w:pPr>
      <w:r>
        <w:tab/>
        <w:t>(b)</w:t>
      </w:r>
      <w:r>
        <w:tab/>
      </w:r>
      <w:r w:rsidR="00360B70">
        <w:t>any inadequacy in the design, production, labelling, instructions for use or advertising materials of the medical device.</w:t>
      </w:r>
    </w:p>
    <w:p w14:paraId="41B1F574" w14:textId="6DB4F3BC" w:rsidR="004B3E58" w:rsidRPr="005C0965" w:rsidRDefault="004B3E58" w:rsidP="004B3E58">
      <w:pPr>
        <w:pStyle w:val="ItemHead"/>
      </w:pPr>
      <w:r>
        <w:t>2</w:t>
      </w:r>
      <w:r w:rsidR="00BC1C42">
        <w:t>6</w:t>
      </w:r>
      <w:r w:rsidRPr="005C0965">
        <w:t xml:space="preserve">  Section 4 (definition of </w:t>
      </w:r>
      <w:r w:rsidRPr="005C0965">
        <w:rPr>
          <w:i/>
          <w:iCs/>
        </w:rPr>
        <w:t>SAS guidance</w:t>
      </w:r>
      <w:r w:rsidRPr="005C0965">
        <w:t>)</w:t>
      </w:r>
    </w:p>
    <w:p w14:paraId="63223496" w14:textId="77777777" w:rsidR="004B3E58" w:rsidRPr="005C0965" w:rsidRDefault="004B3E58" w:rsidP="004B3E58">
      <w:pPr>
        <w:pStyle w:val="Item"/>
      </w:pPr>
      <w:r w:rsidRPr="005C0965">
        <w:t>Repeal the definition.</w:t>
      </w:r>
    </w:p>
    <w:p w14:paraId="28F77661" w14:textId="0FDE640D" w:rsidR="00440610" w:rsidRPr="005C0965" w:rsidRDefault="00594240" w:rsidP="00440610">
      <w:pPr>
        <w:pStyle w:val="ItemHead"/>
      </w:pPr>
      <w:r>
        <w:t>2</w:t>
      </w:r>
      <w:r w:rsidR="00BC1C42">
        <w:t>7</w:t>
      </w:r>
      <w:r w:rsidR="00440610" w:rsidRPr="005C0965">
        <w:t xml:space="preserve">  Paragraph 5(2)(d)</w:t>
      </w:r>
    </w:p>
    <w:p w14:paraId="38852CEC" w14:textId="2D08C6C4" w:rsidR="00440610" w:rsidRPr="0029081F" w:rsidRDefault="00440610" w:rsidP="00440610">
      <w:pPr>
        <w:pStyle w:val="Item"/>
      </w:pPr>
      <w:r w:rsidRPr="005C0965">
        <w:t>Omit “</w:t>
      </w:r>
      <w:r w:rsidR="00AF2F3F">
        <w:t xml:space="preserve">and the sponsor of the kind of medical device about the adverse event </w:t>
      </w:r>
      <w:r w:rsidRPr="005C0965">
        <w:t xml:space="preserve">in accordance with the reporting guidelines set out in the SAS Guidance”, substitute “within 15 days of becoming aware of </w:t>
      </w:r>
      <w:r>
        <w:t>the adverse event</w:t>
      </w:r>
      <w:r w:rsidRPr="005C0965">
        <w:t>”.</w:t>
      </w:r>
    </w:p>
    <w:p w14:paraId="681930B9" w14:textId="6CBC1AC5" w:rsidR="00440610" w:rsidRPr="005C0965" w:rsidRDefault="00CF64F3" w:rsidP="00440610">
      <w:pPr>
        <w:pStyle w:val="ItemHead"/>
      </w:pPr>
      <w:r>
        <w:t>2</w:t>
      </w:r>
      <w:r w:rsidR="00BC1C42">
        <w:t>8</w:t>
      </w:r>
      <w:r w:rsidR="00440610" w:rsidRPr="005C0965">
        <w:t xml:space="preserve">  Paragraph 5(2)(e)</w:t>
      </w:r>
    </w:p>
    <w:p w14:paraId="296F24FE" w14:textId="20350B73" w:rsidR="00440610" w:rsidRDefault="00440610" w:rsidP="00440610">
      <w:pPr>
        <w:pStyle w:val="Item"/>
      </w:pPr>
      <w:r w:rsidRPr="005C0965">
        <w:t>Omit “</w:t>
      </w:r>
      <w:r w:rsidR="00AF2F3F">
        <w:t xml:space="preserve">and the sponsor of the kind of medical device </w:t>
      </w:r>
      <w:r w:rsidRPr="005C0965">
        <w:t>in accordance with the reporting guidelines set out in the SAS Guidance”, substitute “within 15 days of becoming aware of the defect”.</w:t>
      </w:r>
    </w:p>
    <w:p w14:paraId="27EADA73" w14:textId="73EB51B9" w:rsidR="00440610" w:rsidRDefault="00594240" w:rsidP="00440610">
      <w:pPr>
        <w:pStyle w:val="ItemHead"/>
      </w:pPr>
      <w:r>
        <w:t>2</w:t>
      </w:r>
      <w:r w:rsidR="00BC1C42">
        <w:t>9</w:t>
      </w:r>
      <w:r w:rsidR="00440610">
        <w:t xml:space="preserve">  Paragraph 5(4)(a)</w:t>
      </w:r>
    </w:p>
    <w:p w14:paraId="77CB2DC3" w14:textId="3FFC8BC7" w:rsidR="00440610" w:rsidRPr="0029081F" w:rsidRDefault="00440610" w:rsidP="00440610">
      <w:pPr>
        <w:pStyle w:val="Item"/>
      </w:pPr>
      <w:r w:rsidRPr="005C0965">
        <w:t>Omit “</w:t>
      </w:r>
      <w:r w:rsidR="00AF2F3F">
        <w:t xml:space="preserve">and the sponsor of the kind of medical device about the adverse event </w:t>
      </w:r>
      <w:r w:rsidRPr="005C0965">
        <w:t xml:space="preserve">in accordance with the reporting guidelines set out in the SAS Guidance”, substitute “within 15 days of becoming aware of </w:t>
      </w:r>
      <w:r>
        <w:t>the adverse event</w:t>
      </w:r>
      <w:r w:rsidRPr="005C0965">
        <w:t>”.</w:t>
      </w:r>
    </w:p>
    <w:p w14:paraId="48A796B0" w14:textId="1BEBA1E7" w:rsidR="00440610" w:rsidRDefault="00BC1C42" w:rsidP="00440610">
      <w:pPr>
        <w:pStyle w:val="ItemHead"/>
      </w:pPr>
      <w:r>
        <w:t>30</w:t>
      </w:r>
      <w:r w:rsidR="00440610">
        <w:t xml:space="preserve">  Paragraph 5(4)(b)</w:t>
      </w:r>
    </w:p>
    <w:p w14:paraId="33976CA7" w14:textId="55BEFDCB" w:rsidR="00440610" w:rsidRDefault="00440610" w:rsidP="00BB72B3">
      <w:pPr>
        <w:pStyle w:val="Item"/>
        <w:rPr>
          <w:rFonts w:ascii="Arial" w:hAnsi="Arial"/>
          <w:kern w:val="28"/>
          <w:sz w:val="24"/>
        </w:rPr>
      </w:pPr>
      <w:r w:rsidRPr="005C0965">
        <w:t>Omit “</w:t>
      </w:r>
      <w:r w:rsidR="00AF2F3F">
        <w:t xml:space="preserve">and the sponsor of the medical device </w:t>
      </w:r>
      <w:r w:rsidRPr="005C0965">
        <w:t>in accordance with the reporting guidelines set out in the SAS Guidance”, substitute “within 15 days of becoming aware of the defect”.</w:t>
      </w:r>
    </w:p>
    <w:p w14:paraId="178AC83B" w14:textId="77777777" w:rsidR="00440610" w:rsidRDefault="00440610" w:rsidP="00440610">
      <w:pPr>
        <w:pStyle w:val="ActHead9"/>
      </w:pPr>
      <w:bookmarkStart w:id="18" w:name="_Toc206161290"/>
      <w:r>
        <w:t>Therapeutic Goods (Medicines and OTG—Authorised Supply) Rules 2022</w:t>
      </w:r>
      <w:bookmarkEnd w:id="18"/>
    </w:p>
    <w:p w14:paraId="42304485" w14:textId="53C97FBA" w:rsidR="00440610" w:rsidRPr="005C0965" w:rsidRDefault="00CF64F3" w:rsidP="00440610">
      <w:pPr>
        <w:pStyle w:val="ItemHead"/>
      </w:pPr>
      <w:r>
        <w:t>3</w:t>
      </w:r>
      <w:r w:rsidR="00BC1C42">
        <w:t>1</w:t>
      </w:r>
      <w:r w:rsidR="00440610" w:rsidRPr="005C0965">
        <w:t xml:space="preserve">  Section 4</w:t>
      </w:r>
    </w:p>
    <w:p w14:paraId="50C167ED" w14:textId="77777777" w:rsidR="00440610" w:rsidRPr="005C0965" w:rsidRDefault="00440610" w:rsidP="00440610">
      <w:pPr>
        <w:pStyle w:val="Item"/>
        <w:keepNext/>
      </w:pPr>
      <w:r w:rsidRPr="005C0965">
        <w:t>Insert:</w:t>
      </w:r>
    </w:p>
    <w:p w14:paraId="26BCBF1F" w14:textId="77777777" w:rsidR="00440610" w:rsidRDefault="00440610" w:rsidP="00440610">
      <w:pPr>
        <w:pStyle w:val="Definition"/>
        <w:rPr>
          <w:szCs w:val="22"/>
        </w:rPr>
      </w:pPr>
      <w:r w:rsidRPr="006B1C52">
        <w:rPr>
          <w:b/>
          <w:i/>
          <w:szCs w:val="22"/>
        </w:rPr>
        <w:t>adverse event</w:t>
      </w:r>
      <w:r w:rsidRPr="00CD4095">
        <w:rPr>
          <w:bCs/>
          <w:iCs/>
          <w:szCs w:val="22"/>
        </w:rPr>
        <w:t xml:space="preserve"> </w:t>
      </w:r>
      <w:r w:rsidRPr="006B1C52">
        <w:rPr>
          <w:szCs w:val="22"/>
        </w:rPr>
        <w:t>means</w:t>
      </w:r>
      <w:r>
        <w:rPr>
          <w:szCs w:val="22"/>
        </w:rPr>
        <w:t xml:space="preserve"> the following:</w:t>
      </w:r>
    </w:p>
    <w:p w14:paraId="31FCE1CD" w14:textId="77777777" w:rsidR="00440610" w:rsidRPr="008F3C51" w:rsidRDefault="00440610" w:rsidP="00440610">
      <w:pPr>
        <w:pStyle w:val="paragraph"/>
      </w:pPr>
      <w:r>
        <w:tab/>
      </w:r>
      <w:r w:rsidRPr="008F3C51">
        <w:t>(a)</w:t>
      </w:r>
      <w:r w:rsidRPr="008F3C51">
        <w:tab/>
        <w:t>in relation to a medicine</w:t>
      </w:r>
      <w:r>
        <w:t>—</w:t>
      </w:r>
      <w:r w:rsidRPr="008F3C51">
        <w:t>an adverse event that occurs in relation to a person</w:t>
      </w:r>
      <w:r>
        <w:t xml:space="preserve"> in Australia</w:t>
      </w:r>
      <w:r w:rsidRPr="008F3C51">
        <w:t xml:space="preserve"> following the administration of a medicine</w:t>
      </w:r>
      <w:r>
        <w:t>;</w:t>
      </w:r>
    </w:p>
    <w:p w14:paraId="4D6F51A2" w14:textId="14C66EDC" w:rsidR="00440610" w:rsidRPr="008F3C51" w:rsidRDefault="00440610" w:rsidP="00440610">
      <w:pPr>
        <w:pStyle w:val="paragraph"/>
      </w:pPr>
      <w:r>
        <w:tab/>
      </w:r>
      <w:r w:rsidRPr="008F3C51">
        <w:t>(b)</w:t>
      </w:r>
      <w:r w:rsidRPr="008F3C51">
        <w:tab/>
        <w:t xml:space="preserve">in relation to </w:t>
      </w:r>
      <w:r>
        <w:t>a therapeutic good</w:t>
      </w:r>
      <w:r w:rsidR="000E705A">
        <w:t xml:space="preserve"> that is not a medicine</w:t>
      </w:r>
      <w:r>
        <w:t>—</w:t>
      </w:r>
      <w:r w:rsidRPr="008F3C51">
        <w:t xml:space="preserve">an </w:t>
      </w:r>
      <w:r>
        <w:t xml:space="preserve">adverse </w:t>
      </w:r>
      <w:r w:rsidRPr="008F3C51">
        <w:t>event that</w:t>
      </w:r>
      <w:r>
        <w:t xml:space="preserve"> occurs in relation to a person in Australia following</w:t>
      </w:r>
      <w:r w:rsidR="000E705A">
        <w:t xml:space="preserve"> the</w:t>
      </w:r>
      <w:r>
        <w:t xml:space="preserve"> use of </w:t>
      </w:r>
      <w:r w:rsidR="000E705A">
        <w:t>the</w:t>
      </w:r>
      <w:r>
        <w:t xml:space="preserve"> therapeutic good</w:t>
      </w:r>
      <w:r w:rsidRPr="008E78B7">
        <w:t xml:space="preserve"> that led</w:t>
      </w:r>
      <w:r>
        <w:t>, or might have led,</w:t>
      </w:r>
      <w:r w:rsidRPr="008E78B7">
        <w:t xml:space="preserve"> to the death of, a serious injury to, or serious deterioration in the health of, that person</w:t>
      </w:r>
      <w:r>
        <w:t>.</w:t>
      </w:r>
    </w:p>
    <w:p w14:paraId="429B9DBA" w14:textId="77777777" w:rsidR="00440610" w:rsidRDefault="00440610" w:rsidP="00440610">
      <w:pPr>
        <w:pStyle w:val="notetext"/>
      </w:pPr>
      <w:r w:rsidRPr="00BD5490">
        <w:t>Note:</w:t>
      </w:r>
      <w:r w:rsidRPr="00BD5490">
        <w:tab/>
      </w:r>
      <w:r w:rsidRPr="00AB2A05">
        <w:t>An adverse event</w:t>
      </w:r>
      <w:r>
        <w:t xml:space="preserve"> may</w:t>
      </w:r>
      <w:r w:rsidRPr="00AB2A05">
        <w:t xml:space="preserve"> not </w:t>
      </w:r>
      <w:r w:rsidRPr="00BD5490">
        <w:t>necessar</w:t>
      </w:r>
      <w:r w:rsidRPr="00AB2A05">
        <w:t>il</w:t>
      </w:r>
      <w:r w:rsidRPr="00BD5490">
        <w:t xml:space="preserve">y </w:t>
      </w:r>
      <w:r w:rsidRPr="00AB2A05">
        <w:t>have a caus</w:t>
      </w:r>
      <w:r w:rsidRPr="003C7FC1">
        <w:t>al relationship</w:t>
      </w:r>
      <w:r w:rsidRPr="00AB2A05">
        <w:t xml:space="preserve"> with the administration </w:t>
      </w:r>
      <w:r>
        <w:t>or use of the therapeutic good.</w:t>
      </w:r>
    </w:p>
    <w:p w14:paraId="02CC0047" w14:textId="25B66DFD" w:rsidR="004B3E58" w:rsidRPr="005C0965" w:rsidRDefault="004B3E58" w:rsidP="004B3E58">
      <w:pPr>
        <w:pStyle w:val="ItemHead"/>
      </w:pPr>
      <w:r>
        <w:t>3</w:t>
      </w:r>
      <w:r w:rsidR="00BC1C42">
        <w:t>2</w:t>
      </w:r>
      <w:r w:rsidRPr="005C0965">
        <w:t xml:space="preserve">  Section 4 (definition of </w:t>
      </w:r>
      <w:r w:rsidRPr="005C0965">
        <w:rPr>
          <w:i/>
          <w:iCs/>
        </w:rPr>
        <w:t>SAS Guidance</w:t>
      </w:r>
      <w:r w:rsidRPr="005C0965">
        <w:t>)</w:t>
      </w:r>
    </w:p>
    <w:p w14:paraId="67336641" w14:textId="77777777" w:rsidR="004B3E58" w:rsidRDefault="004B3E58" w:rsidP="004B3E58">
      <w:pPr>
        <w:pStyle w:val="Item"/>
      </w:pPr>
      <w:r w:rsidRPr="005C0965">
        <w:t>Repeal the definition.</w:t>
      </w:r>
    </w:p>
    <w:p w14:paraId="1C715B0D" w14:textId="3F2B4291" w:rsidR="00440610" w:rsidRDefault="00A3292D" w:rsidP="00440610">
      <w:pPr>
        <w:pStyle w:val="ItemHead"/>
      </w:pPr>
      <w:r>
        <w:lastRenderedPageBreak/>
        <w:t>3</w:t>
      </w:r>
      <w:r w:rsidR="00BC1C42">
        <w:t>3</w:t>
      </w:r>
      <w:r w:rsidR="00440610">
        <w:t xml:space="preserve">  Paragraph 5(2)(d)</w:t>
      </w:r>
    </w:p>
    <w:p w14:paraId="43BEC5AF" w14:textId="6BDB36F7" w:rsidR="00440610" w:rsidRDefault="00440610" w:rsidP="00440610">
      <w:pPr>
        <w:pStyle w:val="Item"/>
      </w:pPr>
      <w:r w:rsidRPr="00661F6F">
        <w:t>Omit “</w:t>
      </w:r>
      <w:r w:rsidR="00AF2F3F">
        <w:t xml:space="preserve">and the sponsor of the medicine </w:t>
      </w:r>
      <w:r w:rsidR="00DA7CAD">
        <w:t xml:space="preserve">about the adverse event </w:t>
      </w:r>
      <w:r>
        <w:t>in accordance with the reporting guidelines set out in the SAS Guidance”, substitute “within 15 days of becoming aware of the adverse event”.</w:t>
      </w:r>
    </w:p>
    <w:p w14:paraId="08B29AC0" w14:textId="0749BBD7" w:rsidR="00440610" w:rsidRDefault="00A3292D" w:rsidP="00440610">
      <w:pPr>
        <w:pStyle w:val="ItemHead"/>
      </w:pPr>
      <w:r>
        <w:t>3</w:t>
      </w:r>
      <w:r w:rsidR="00BC1C42">
        <w:t>4</w:t>
      </w:r>
      <w:r w:rsidR="00440610">
        <w:t xml:space="preserve">  Paragraph 5(2)(e)</w:t>
      </w:r>
    </w:p>
    <w:p w14:paraId="46E778DD" w14:textId="7A6547B6" w:rsidR="00440610" w:rsidRDefault="00440610" w:rsidP="00440610">
      <w:pPr>
        <w:pStyle w:val="Item"/>
      </w:pPr>
      <w:r w:rsidRPr="00661F6F">
        <w:t>Omit “</w:t>
      </w:r>
      <w:r w:rsidR="006923D6">
        <w:t xml:space="preserve">and the sponsor of the medicine </w:t>
      </w:r>
      <w:r>
        <w:t>in accordance with the reporting guidelines set out in the SAS Guidance”, substitute “within 15 calendar days of becoming aware of the defect”.</w:t>
      </w:r>
    </w:p>
    <w:p w14:paraId="39148A35" w14:textId="4FC21EA5" w:rsidR="00440610" w:rsidRDefault="00A3292D" w:rsidP="00440610">
      <w:pPr>
        <w:pStyle w:val="ItemHead"/>
      </w:pPr>
      <w:r>
        <w:t>3</w:t>
      </w:r>
      <w:r w:rsidR="00BC1C42">
        <w:t>5</w:t>
      </w:r>
      <w:r w:rsidR="00440610">
        <w:t xml:space="preserve">  Paragraph 5(4)(a)</w:t>
      </w:r>
    </w:p>
    <w:p w14:paraId="6406D783" w14:textId="54624BE1" w:rsidR="00440610" w:rsidRDefault="00440610" w:rsidP="00440610">
      <w:pPr>
        <w:pStyle w:val="Item"/>
      </w:pPr>
      <w:r w:rsidRPr="00661F6F">
        <w:t>Omit “</w:t>
      </w:r>
      <w:r w:rsidR="006923D6">
        <w:t xml:space="preserve">and the sponsor of the medicine about the adverse event </w:t>
      </w:r>
      <w:r>
        <w:t>in accordance with the reporting guidelines set out in the SAS Guidance”, substitute “within 15 days of becoming aware of the adverse event”.</w:t>
      </w:r>
    </w:p>
    <w:p w14:paraId="7586A8A2" w14:textId="02ECDC0D" w:rsidR="00440610" w:rsidRDefault="00A3292D" w:rsidP="00440610">
      <w:pPr>
        <w:pStyle w:val="ItemHead"/>
      </w:pPr>
      <w:r>
        <w:t>3</w:t>
      </w:r>
      <w:r w:rsidR="00BC1C42">
        <w:t>6</w:t>
      </w:r>
      <w:r w:rsidR="00440610">
        <w:t xml:space="preserve">  Paragraph 5(4)(b)</w:t>
      </w:r>
    </w:p>
    <w:p w14:paraId="4A004C35" w14:textId="79A12C62" w:rsidR="00440610" w:rsidRDefault="00440610" w:rsidP="00440610">
      <w:pPr>
        <w:pStyle w:val="Item"/>
      </w:pPr>
      <w:r w:rsidRPr="00661F6F">
        <w:t>Omit “</w:t>
      </w:r>
      <w:r w:rsidR="006923D6">
        <w:t xml:space="preserve">and the sponsor of the medicine </w:t>
      </w:r>
      <w:r>
        <w:t>in accordance with the reporting guidelines set out in the SAS Guidance”, substitute “within 15 days of becoming aware of the defect”.</w:t>
      </w:r>
    </w:p>
    <w:p w14:paraId="16AC86A9" w14:textId="057FE6E0" w:rsidR="00C13E30" w:rsidRDefault="00C34945" w:rsidP="00C13E30">
      <w:pPr>
        <w:pStyle w:val="ItemHead"/>
      </w:pPr>
      <w:r>
        <w:t>3</w:t>
      </w:r>
      <w:r w:rsidR="00BC1C42">
        <w:t>7</w:t>
      </w:r>
      <w:r w:rsidR="00C13E30">
        <w:t xml:space="preserve">  Paragraph 5A(2)(d)</w:t>
      </w:r>
    </w:p>
    <w:p w14:paraId="0F4C7CC4" w14:textId="06D8A121" w:rsidR="00C13E30" w:rsidRDefault="00C13E30" w:rsidP="00C13E30">
      <w:pPr>
        <w:pStyle w:val="Item"/>
      </w:pPr>
      <w:r w:rsidRPr="00661F6F">
        <w:t>Omit “</w:t>
      </w:r>
      <w:r w:rsidR="006923D6">
        <w:t xml:space="preserve">and the sponsor of the therapeutic good about the adverse event </w:t>
      </w:r>
      <w:r>
        <w:t>in accordance with the reporting guidelines set out in the SAS Guidance”, substitute “within 15 days of becoming aware of the adverse event”.</w:t>
      </w:r>
    </w:p>
    <w:p w14:paraId="2F868595" w14:textId="5937EDA9" w:rsidR="00C13E30" w:rsidRDefault="00E574B0" w:rsidP="00C13E30">
      <w:pPr>
        <w:pStyle w:val="ItemHead"/>
      </w:pPr>
      <w:r>
        <w:t>3</w:t>
      </w:r>
      <w:r w:rsidR="00BC1C42">
        <w:t>8</w:t>
      </w:r>
      <w:r w:rsidR="00C13E30">
        <w:t xml:space="preserve">  Paragraph 5A(2)(e)</w:t>
      </w:r>
    </w:p>
    <w:p w14:paraId="13FF5E29" w14:textId="6EC7BFD3" w:rsidR="00C13E30" w:rsidRDefault="00C13E30" w:rsidP="00C13E30">
      <w:pPr>
        <w:pStyle w:val="Item"/>
      </w:pPr>
      <w:r w:rsidRPr="00661F6F">
        <w:t>Omit “</w:t>
      </w:r>
      <w:r w:rsidR="006923D6">
        <w:t xml:space="preserve">and the sponsor of the therapeutic good </w:t>
      </w:r>
      <w:r>
        <w:t>in accordance with the reporting guidelines set out in the SAS Guidance”, substitute “within 15 days of becoming aware of the defect”.</w:t>
      </w:r>
    </w:p>
    <w:p w14:paraId="331F3571" w14:textId="103E6141" w:rsidR="00C13E30" w:rsidRDefault="00E574B0" w:rsidP="00C13E30">
      <w:pPr>
        <w:pStyle w:val="ItemHead"/>
      </w:pPr>
      <w:r>
        <w:t>3</w:t>
      </w:r>
      <w:r w:rsidR="00BC1C42">
        <w:t>9</w:t>
      </w:r>
      <w:r w:rsidR="00C13E30">
        <w:t xml:space="preserve">  Paragraph 5A(4)(a)</w:t>
      </w:r>
    </w:p>
    <w:p w14:paraId="30D7B473" w14:textId="16BB23A6" w:rsidR="00C13E30" w:rsidRDefault="00C13E30" w:rsidP="00C13E30">
      <w:pPr>
        <w:pStyle w:val="Item"/>
      </w:pPr>
      <w:r w:rsidRPr="00661F6F">
        <w:t>Omit “</w:t>
      </w:r>
      <w:r w:rsidR="002A0BED">
        <w:t xml:space="preserve">and the sponsor of the therapeutic good about the adverse event </w:t>
      </w:r>
      <w:r>
        <w:t>in accordance with the reporting guidelines set out in the SAS Guidance”, substitute “within 15 days of becoming aware of the adverse event”.</w:t>
      </w:r>
    </w:p>
    <w:p w14:paraId="0D59E627" w14:textId="18B35061" w:rsidR="00C13E30" w:rsidRDefault="00BC1C42" w:rsidP="00C13E30">
      <w:pPr>
        <w:pStyle w:val="ItemHead"/>
      </w:pPr>
      <w:r>
        <w:t>40</w:t>
      </w:r>
      <w:r w:rsidR="00CF64F3">
        <w:t xml:space="preserve"> </w:t>
      </w:r>
      <w:r w:rsidR="00C13E30">
        <w:t xml:space="preserve"> Paragraph 5A(4)(b)</w:t>
      </w:r>
    </w:p>
    <w:p w14:paraId="6FA489E9" w14:textId="139DEE8B" w:rsidR="00C13E30" w:rsidRDefault="00C13E30" w:rsidP="00C13E30">
      <w:pPr>
        <w:pStyle w:val="Item"/>
      </w:pPr>
      <w:r w:rsidRPr="00661F6F">
        <w:t>Omit “</w:t>
      </w:r>
      <w:r w:rsidR="002A0BED">
        <w:t xml:space="preserve">and the sponsor of the therapeutic good </w:t>
      </w:r>
      <w:r>
        <w:t>in accordance with the reporting guidelines set out in the SAS Guidance”, substitute “within 15 days of becoming aware of the defect”.</w:t>
      </w:r>
    </w:p>
    <w:p w14:paraId="460443DC" w14:textId="221AE150" w:rsidR="00C13E30" w:rsidRDefault="004B3E58" w:rsidP="00C13E30">
      <w:pPr>
        <w:pStyle w:val="ItemHead"/>
      </w:pPr>
      <w:r>
        <w:t>4</w:t>
      </w:r>
      <w:r w:rsidR="00BC1C42">
        <w:t>1</w:t>
      </w:r>
      <w:r w:rsidR="00C13E30">
        <w:t xml:space="preserve">  Paragraph 5A(6)(f)</w:t>
      </w:r>
    </w:p>
    <w:p w14:paraId="1B108274" w14:textId="0B6DC841" w:rsidR="00C13E30" w:rsidRDefault="00C13E30" w:rsidP="00C13E30">
      <w:pPr>
        <w:pStyle w:val="Item"/>
      </w:pPr>
      <w:r w:rsidRPr="00661F6F">
        <w:t>Omit “</w:t>
      </w:r>
      <w:r w:rsidR="002A0BED">
        <w:t xml:space="preserve">and the sponsor of the therapeutic good about the adverse event </w:t>
      </w:r>
      <w:r>
        <w:t>in accordance with the reporting guidelines set out in the SAS Guidance”, substitute “within 15 days of becoming aware of the adverse event”.</w:t>
      </w:r>
    </w:p>
    <w:p w14:paraId="29A872ED" w14:textId="1A0573CC" w:rsidR="00C13E30" w:rsidRDefault="00E574B0" w:rsidP="00C13E30">
      <w:pPr>
        <w:pStyle w:val="ItemHead"/>
      </w:pPr>
      <w:r>
        <w:t>4</w:t>
      </w:r>
      <w:r w:rsidR="00BC1C42">
        <w:t>2</w:t>
      </w:r>
      <w:r w:rsidR="00C13E30">
        <w:t xml:space="preserve">  Paragraph 5A(6)(g)</w:t>
      </w:r>
    </w:p>
    <w:p w14:paraId="11B08A4B" w14:textId="32D25BF9" w:rsidR="00DA7F41" w:rsidRPr="00DA7F41" w:rsidRDefault="00C13E30" w:rsidP="007773C9">
      <w:pPr>
        <w:pStyle w:val="Item"/>
      </w:pPr>
      <w:r w:rsidRPr="00661F6F">
        <w:t>Omit “</w:t>
      </w:r>
      <w:r w:rsidR="002A0BED">
        <w:t xml:space="preserve">and the sponsor of the therapeutic good </w:t>
      </w:r>
      <w:r>
        <w:t>in accordance with the reporting guidelines set out in the SAS Guidance”, substitute “within 15 days of becoming aware of the defect”.</w:t>
      </w:r>
    </w:p>
    <w:sectPr w:rsidR="00DA7F41" w:rsidRPr="00DA7F41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5BF8" w14:textId="77777777" w:rsidR="005B5B63" w:rsidRDefault="005B5B63" w:rsidP="0048364F">
      <w:pPr>
        <w:spacing w:line="240" w:lineRule="auto"/>
      </w:pPr>
      <w:r>
        <w:separator/>
      </w:r>
    </w:p>
  </w:endnote>
  <w:endnote w:type="continuationSeparator" w:id="0">
    <w:p w14:paraId="513A6151" w14:textId="77777777" w:rsidR="005B5B63" w:rsidRDefault="005B5B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D4B66FE" w14:textId="77777777">
      <w:tc>
        <w:tcPr>
          <w:tcW w:w="5000" w:type="pct"/>
        </w:tcPr>
        <w:p w14:paraId="395B43F9" w14:textId="77777777" w:rsidR="009278C1" w:rsidRDefault="009278C1">
          <w:pPr>
            <w:rPr>
              <w:sz w:val="18"/>
            </w:rPr>
          </w:pPr>
        </w:p>
      </w:tc>
    </w:tr>
  </w:tbl>
  <w:p w14:paraId="50BB1FA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33D911F" w14:textId="77777777">
      <w:tc>
        <w:tcPr>
          <w:tcW w:w="5000" w:type="pct"/>
        </w:tcPr>
        <w:p w14:paraId="61AF0AC8" w14:textId="77777777" w:rsidR="00B20990" w:rsidRDefault="00B20990">
          <w:pPr>
            <w:rPr>
              <w:sz w:val="18"/>
            </w:rPr>
          </w:pPr>
        </w:p>
      </w:tc>
    </w:tr>
  </w:tbl>
  <w:p w14:paraId="3BF50C68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E8D7" w14:textId="77777777" w:rsidR="00B20990" w:rsidRDefault="00B2099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CD1F572" w14:textId="77777777">
      <w:tc>
        <w:tcPr>
          <w:tcW w:w="5000" w:type="pct"/>
        </w:tcPr>
        <w:p w14:paraId="5E6C53A6" w14:textId="77777777" w:rsidR="00B20990" w:rsidRDefault="00B20990">
          <w:pPr>
            <w:rPr>
              <w:sz w:val="18"/>
            </w:rPr>
          </w:pPr>
        </w:p>
      </w:tc>
    </w:tr>
  </w:tbl>
  <w:p w14:paraId="1DC2171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6183" w14:textId="77777777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B966E27" w14:textId="7777777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A499810" w14:textId="77777777" w:rsidR="00B20990" w:rsidRDefault="00B209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5B5D80" w14:textId="51F1478F" w:rsidR="00B20990" w:rsidRDefault="00B2099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B3E58">
            <w:rPr>
              <w:i/>
              <w:noProof/>
              <w:sz w:val="18"/>
            </w:rPr>
            <w:t>Therapeutic Goods (Authorised Supply)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01EE07B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33FA1A6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50CB31A" w14:textId="77777777" w:rsidR="00B20990" w:rsidRDefault="00B20990">
          <w:pPr>
            <w:jc w:val="right"/>
            <w:rPr>
              <w:sz w:val="18"/>
            </w:rPr>
          </w:pPr>
        </w:p>
      </w:tc>
    </w:tr>
  </w:tbl>
  <w:p w14:paraId="5B290F6E" w14:textId="77777777" w:rsidR="00B20990" w:rsidRPr="00ED79B6" w:rsidRDefault="00B2099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EFDF" w14:textId="77777777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84"/>
      <w:gridCol w:w="7422"/>
      <w:gridCol w:w="607"/>
    </w:tblGrid>
    <w:tr w:rsidR="00B20990" w14:paraId="60EAA8FF" w14:textId="77777777" w:rsidTr="00460729">
      <w:tc>
        <w:tcPr>
          <w:tcW w:w="171" w:type="pct"/>
          <w:tcBorders>
            <w:top w:val="nil"/>
            <w:left w:val="nil"/>
            <w:bottom w:val="nil"/>
            <w:right w:val="nil"/>
          </w:tcBorders>
        </w:tcPr>
        <w:p w14:paraId="2C912BDC" w14:textId="77777777" w:rsidR="00B20990" w:rsidRDefault="00B20990">
          <w:pPr>
            <w:spacing w:line="0" w:lineRule="atLeast"/>
            <w:rPr>
              <w:sz w:val="18"/>
            </w:rPr>
          </w:pPr>
        </w:p>
      </w:tc>
      <w:tc>
        <w:tcPr>
          <w:tcW w:w="4464" w:type="pct"/>
          <w:tcBorders>
            <w:top w:val="nil"/>
            <w:left w:val="nil"/>
            <w:bottom w:val="nil"/>
            <w:right w:val="nil"/>
          </w:tcBorders>
        </w:tcPr>
        <w:p w14:paraId="584C5556" w14:textId="4EBB2A93" w:rsidR="00B20990" w:rsidRPr="00B20990" w:rsidRDefault="00B20990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7220C">
            <w:rPr>
              <w:i/>
              <w:noProof/>
              <w:sz w:val="18"/>
            </w:rPr>
            <w:t>Therapeutic Goods (Authorised Supply)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372A9D9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006E9D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621D33" w14:textId="77777777" w:rsidR="00B20990" w:rsidRDefault="00B20990">
          <w:pPr>
            <w:rPr>
              <w:sz w:val="18"/>
            </w:rPr>
          </w:pPr>
        </w:p>
      </w:tc>
    </w:tr>
  </w:tbl>
  <w:p w14:paraId="6445E5C6" w14:textId="77777777" w:rsidR="00B20990" w:rsidRPr="00ED79B6" w:rsidRDefault="00B2099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C9A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276"/>
      <w:gridCol w:w="5954"/>
      <w:gridCol w:w="1242"/>
    </w:tblGrid>
    <w:tr w:rsidR="00EE57E8" w14:paraId="31944165" w14:textId="77777777" w:rsidTr="005C4F5D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1380CFE3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4FB3E95E" w14:textId="422F691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7220C">
            <w:rPr>
              <w:i/>
              <w:noProof/>
              <w:sz w:val="18"/>
            </w:rPr>
            <w:t>Therapeutic Goods (Authorised Supply)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14:paraId="440C93F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92C69B3" w14:textId="77777777" w:rsidTr="0046072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9D860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7DFF51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82A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284"/>
      <w:gridCol w:w="7479"/>
      <w:gridCol w:w="709"/>
    </w:tblGrid>
    <w:tr w:rsidR="00EE57E8" w14:paraId="2C07F281" w14:textId="77777777" w:rsidTr="00460729"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7DD6E2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7479" w:type="dxa"/>
          <w:tcBorders>
            <w:top w:val="nil"/>
            <w:left w:val="nil"/>
            <w:bottom w:val="nil"/>
            <w:right w:val="nil"/>
          </w:tcBorders>
        </w:tcPr>
        <w:p w14:paraId="74D6AE91" w14:textId="4841CF4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7220C">
            <w:rPr>
              <w:i/>
              <w:noProof/>
              <w:sz w:val="18"/>
            </w:rPr>
            <w:t>Therapeutic Goods (Authorised Supply) Amendment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F3F4E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6F5ECB5" w14:textId="77777777" w:rsidTr="0046072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EF0093" w14:textId="77777777" w:rsidR="00EE57E8" w:rsidRDefault="00EE57E8" w:rsidP="00EE57E8">
          <w:pPr>
            <w:rPr>
              <w:sz w:val="18"/>
            </w:rPr>
          </w:pPr>
        </w:p>
      </w:tc>
    </w:tr>
  </w:tbl>
  <w:p w14:paraId="1386A56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00D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5FF02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91D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A90016" w14:textId="167FF37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3E5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753F0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C040EC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165D3F" w14:textId="2FCA816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B3E58">
            <w:rPr>
              <w:i/>
              <w:noProof/>
              <w:sz w:val="18"/>
            </w:rPr>
            <w:t>C:\Users\smilau\AppData\Local\Microsoft\Windows\INetCache\Content.Outlook\SXEVYD3C\DRAFT Therapeutic Goods (Authorised Supply) Amendment Rules 2025 - for client review (002).docx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7220C">
            <w:rPr>
              <w:i/>
              <w:noProof/>
              <w:sz w:val="18"/>
            </w:rPr>
            <w:t>19/8/2025 1:03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B7E0C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8704" w14:textId="77777777" w:rsidR="005B5B63" w:rsidRDefault="005B5B63" w:rsidP="0048364F">
      <w:pPr>
        <w:spacing w:line="240" w:lineRule="auto"/>
      </w:pPr>
      <w:r>
        <w:separator/>
      </w:r>
    </w:p>
  </w:footnote>
  <w:footnote w:type="continuationSeparator" w:id="0">
    <w:p w14:paraId="5B6EB192" w14:textId="77777777" w:rsidR="005B5B63" w:rsidRDefault="005B5B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43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575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678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5026" w14:textId="77777777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B41C" w14:textId="77777777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608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D5F7" w14:textId="77777777" w:rsidR="00EE57E8" w:rsidRPr="00A961C4" w:rsidRDefault="00EE57E8" w:rsidP="0048364F">
    <w:pPr>
      <w:rPr>
        <w:b/>
        <w:sz w:val="20"/>
      </w:rPr>
    </w:pPr>
  </w:p>
  <w:p w14:paraId="70684383" w14:textId="77777777" w:rsidR="00EE57E8" w:rsidRPr="00A961C4" w:rsidRDefault="00EE57E8" w:rsidP="0048364F">
    <w:pPr>
      <w:rPr>
        <w:b/>
        <w:sz w:val="20"/>
      </w:rPr>
    </w:pPr>
  </w:p>
  <w:p w14:paraId="6AF2F02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31E9" w14:textId="77777777" w:rsidR="00EE57E8" w:rsidRPr="00A961C4" w:rsidRDefault="00EE57E8" w:rsidP="0048364F">
    <w:pPr>
      <w:jc w:val="right"/>
      <w:rPr>
        <w:sz w:val="20"/>
      </w:rPr>
    </w:pPr>
  </w:p>
  <w:p w14:paraId="5756881E" w14:textId="77777777" w:rsidR="00EE57E8" w:rsidRPr="00A961C4" w:rsidRDefault="00EE57E8" w:rsidP="0048364F">
    <w:pPr>
      <w:jc w:val="right"/>
      <w:rPr>
        <w:b/>
        <w:sz w:val="20"/>
      </w:rPr>
    </w:pPr>
  </w:p>
  <w:p w14:paraId="2DB0C3E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25646"/>
    <w:multiLevelType w:val="hybridMultilevel"/>
    <w:tmpl w:val="08F2A68A"/>
    <w:lvl w:ilvl="0" w:tplc="2CA06C1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125DD8"/>
    <w:multiLevelType w:val="hybridMultilevel"/>
    <w:tmpl w:val="9AEA8FA0"/>
    <w:lvl w:ilvl="0" w:tplc="18224AA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9570DA"/>
    <w:multiLevelType w:val="hybridMultilevel"/>
    <w:tmpl w:val="776625C8"/>
    <w:lvl w:ilvl="0" w:tplc="29CCC544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7CC6FFE"/>
    <w:multiLevelType w:val="hybridMultilevel"/>
    <w:tmpl w:val="EACE6EEA"/>
    <w:lvl w:ilvl="0" w:tplc="A4B4F5DE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15F5D13"/>
    <w:multiLevelType w:val="hybridMultilevel"/>
    <w:tmpl w:val="A1E07F72"/>
    <w:lvl w:ilvl="0" w:tplc="39700336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51600E80"/>
    <w:multiLevelType w:val="hybridMultilevel"/>
    <w:tmpl w:val="6CD83C04"/>
    <w:lvl w:ilvl="0" w:tplc="DDD48D98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4EE321A"/>
    <w:multiLevelType w:val="hybridMultilevel"/>
    <w:tmpl w:val="F2DEB19E"/>
    <w:lvl w:ilvl="0" w:tplc="F70AF4C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55543471">
    <w:abstractNumId w:val="9"/>
  </w:num>
  <w:num w:numId="2" w16cid:durableId="68505449">
    <w:abstractNumId w:val="7"/>
  </w:num>
  <w:num w:numId="3" w16cid:durableId="1294408721">
    <w:abstractNumId w:val="6"/>
  </w:num>
  <w:num w:numId="4" w16cid:durableId="1834753961">
    <w:abstractNumId w:val="5"/>
  </w:num>
  <w:num w:numId="5" w16cid:durableId="479006167">
    <w:abstractNumId w:val="4"/>
  </w:num>
  <w:num w:numId="6" w16cid:durableId="413748504">
    <w:abstractNumId w:val="8"/>
  </w:num>
  <w:num w:numId="7" w16cid:durableId="475680639">
    <w:abstractNumId w:val="3"/>
  </w:num>
  <w:num w:numId="8" w16cid:durableId="650788057">
    <w:abstractNumId w:val="2"/>
  </w:num>
  <w:num w:numId="9" w16cid:durableId="1886327607">
    <w:abstractNumId w:val="1"/>
  </w:num>
  <w:num w:numId="10" w16cid:durableId="2060863981">
    <w:abstractNumId w:val="0"/>
  </w:num>
  <w:num w:numId="11" w16cid:durableId="1865706004">
    <w:abstractNumId w:val="16"/>
  </w:num>
  <w:num w:numId="12" w16cid:durableId="838081316">
    <w:abstractNumId w:val="10"/>
  </w:num>
  <w:num w:numId="13" w16cid:durableId="2019650293">
    <w:abstractNumId w:val="13"/>
  </w:num>
  <w:num w:numId="14" w16cid:durableId="553198754">
    <w:abstractNumId w:val="12"/>
  </w:num>
  <w:num w:numId="15" w16cid:durableId="1903328857">
    <w:abstractNumId w:val="18"/>
  </w:num>
  <w:num w:numId="16" w16cid:durableId="758674006">
    <w:abstractNumId w:val="11"/>
  </w:num>
  <w:num w:numId="17" w16cid:durableId="492179563">
    <w:abstractNumId w:val="19"/>
  </w:num>
  <w:num w:numId="18" w16cid:durableId="535041769">
    <w:abstractNumId w:val="14"/>
  </w:num>
  <w:num w:numId="19" w16cid:durableId="654837803">
    <w:abstractNumId w:val="17"/>
  </w:num>
  <w:num w:numId="20" w16cid:durableId="1671369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F3"/>
    <w:rsid w:val="00000263"/>
    <w:rsid w:val="000032F7"/>
    <w:rsid w:val="00004374"/>
    <w:rsid w:val="00007C46"/>
    <w:rsid w:val="000113BC"/>
    <w:rsid w:val="00011E61"/>
    <w:rsid w:val="00012794"/>
    <w:rsid w:val="00012D3E"/>
    <w:rsid w:val="000136AF"/>
    <w:rsid w:val="0001746A"/>
    <w:rsid w:val="00020308"/>
    <w:rsid w:val="00026B44"/>
    <w:rsid w:val="0003582C"/>
    <w:rsid w:val="00037BC6"/>
    <w:rsid w:val="0004044E"/>
    <w:rsid w:val="000432C2"/>
    <w:rsid w:val="00046D53"/>
    <w:rsid w:val="000501EE"/>
    <w:rsid w:val="0005120E"/>
    <w:rsid w:val="00053D74"/>
    <w:rsid w:val="00054577"/>
    <w:rsid w:val="00054DEF"/>
    <w:rsid w:val="000614BF"/>
    <w:rsid w:val="00063179"/>
    <w:rsid w:val="0007169C"/>
    <w:rsid w:val="00076BE9"/>
    <w:rsid w:val="00077593"/>
    <w:rsid w:val="00082E17"/>
    <w:rsid w:val="0008328B"/>
    <w:rsid w:val="00083318"/>
    <w:rsid w:val="00083F48"/>
    <w:rsid w:val="00086D21"/>
    <w:rsid w:val="000A273E"/>
    <w:rsid w:val="000A479A"/>
    <w:rsid w:val="000A5894"/>
    <w:rsid w:val="000A65B8"/>
    <w:rsid w:val="000A7DF9"/>
    <w:rsid w:val="000D05EF"/>
    <w:rsid w:val="000D2EF3"/>
    <w:rsid w:val="000D3FB9"/>
    <w:rsid w:val="000D5485"/>
    <w:rsid w:val="000D7533"/>
    <w:rsid w:val="000E598E"/>
    <w:rsid w:val="000E5A3D"/>
    <w:rsid w:val="000E705A"/>
    <w:rsid w:val="000E7A69"/>
    <w:rsid w:val="000F0ADA"/>
    <w:rsid w:val="000F0B59"/>
    <w:rsid w:val="000F21C1"/>
    <w:rsid w:val="000F62E7"/>
    <w:rsid w:val="000F7380"/>
    <w:rsid w:val="000F73D4"/>
    <w:rsid w:val="00103DD9"/>
    <w:rsid w:val="001056E1"/>
    <w:rsid w:val="0010745C"/>
    <w:rsid w:val="001122FF"/>
    <w:rsid w:val="00117659"/>
    <w:rsid w:val="00121995"/>
    <w:rsid w:val="0014755D"/>
    <w:rsid w:val="00150A4F"/>
    <w:rsid w:val="00160BD7"/>
    <w:rsid w:val="001643C9"/>
    <w:rsid w:val="00165568"/>
    <w:rsid w:val="00166082"/>
    <w:rsid w:val="00166C2F"/>
    <w:rsid w:val="001716C9"/>
    <w:rsid w:val="00174174"/>
    <w:rsid w:val="00177ABD"/>
    <w:rsid w:val="00183807"/>
    <w:rsid w:val="00184261"/>
    <w:rsid w:val="00185329"/>
    <w:rsid w:val="00191106"/>
    <w:rsid w:val="00193461"/>
    <w:rsid w:val="001939E1"/>
    <w:rsid w:val="0019452E"/>
    <w:rsid w:val="00195382"/>
    <w:rsid w:val="001A3706"/>
    <w:rsid w:val="001A3B9F"/>
    <w:rsid w:val="001A5520"/>
    <w:rsid w:val="001A5F4D"/>
    <w:rsid w:val="001A65C0"/>
    <w:rsid w:val="001B1B17"/>
    <w:rsid w:val="001B44CB"/>
    <w:rsid w:val="001B6E55"/>
    <w:rsid w:val="001B7A5D"/>
    <w:rsid w:val="001C07AD"/>
    <w:rsid w:val="001C421A"/>
    <w:rsid w:val="001C69C4"/>
    <w:rsid w:val="001D11B3"/>
    <w:rsid w:val="001D1615"/>
    <w:rsid w:val="001D3A05"/>
    <w:rsid w:val="001E0A8D"/>
    <w:rsid w:val="001E3590"/>
    <w:rsid w:val="001E7407"/>
    <w:rsid w:val="001F1A46"/>
    <w:rsid w:val="00201D27"/>
    <w:rsid w:val="002100B7"/>
    <w:rsid w:val="0021153A"/>
    <w:rsid w:val="00211E47"/>
    <w:rsid w:val="002170CD"/>
    <w:rsid w:val="00220B04"/>
    <w:rsid w:val="00223433"/>
    <w:rsid w:val="002245A6"/>
    <w:rsid w:val="0022551B"/>
    <w:rsid w:val="002260A0"/>
    <w:rsid w:val="002302EA"/>
    <w:rsid w:val="00232032"/>
    <w:rsid w:val="00237614"/>
    <w:rsid w:val="00240749"/>
    <w:rsid w:val="002468D7"/>
    <w:rsid w:val="00247E97"/>
    <w:rsid w:val="0025143C"/>
    <w:rsid w:val="00254BE7"/>
    <w:rsid w:val="00256C81"/>
    <w:rsid w:val="0026122D"/>
    <w:rsid w:val="00263CAC"/>
    <w:rsid w:val="00265328"/>
    <w:rsid w:val="0026693C"/>
    <w:rsid w:val="00273F87"/>
    <w:rsid w:val="00281CF6"/>
    <w:rsid w:val="00285CDD"/>
    <w:rsid w:val="0029081F"/>
    <w:rsid w:val="00291167"/>
    <w:rsid w:val="0029489E"/>
    <w:rsid w:val="00297ECB"/>
    <w:rsid w:val="002A0BED"/>
    <w:rsid w:val="002A426F"/>
    <w:rsid w:val="002A5AD4"/>
    <w:rsid w:val="002A71D3"/>
    <w:rsid w:val="002B6AFD"/>
    <w:rsid w:val="002C152A"/>
    <w:rsid w:val="002D043A"/>
    <w:rsid w:val="002D09A3"/>
    <w:rsid w:val="002D1F5E"/>
    <w:rsid w:val="002D711C"/>
    <w:rsid w:val="002F1703"/>
    <w:rsid w:val="002F26BC"/>
    <w:rsid w:val="002F35D5"/>
    <w:rsid w:val="00306D67"/>
    <w:rsid w:val="00314504"/>
    <w:rsid w:val="0031713F"/>
    <w:rsid w:val="003222D1"/>
    <w:rsid w:val="00324244"/>
    <w:rsid w:val="0032750F"/>
    <w:rsid w:val="00333C84"/>
    <w:rsid w:val="00335ED7"/>
    <w:rsid w:val="00340C8A"/>
    <w:rsid w:val="00340EBA"/>
    <w:rsid w:val="003415D3"/>
    <w:rsid w:val="00342009"/>
    <w:rsid w:val="00342383"/>
    <w:rsid w:val="003442F6"/>
    <w:rsid w:val="00345C9F"/>
    <w:rsid w:val="00346335"/>
    <w:rsid w:val="00352B0F"/>
    <w:rsid w:val="003561B0"/>
    <w:rsid w:val="00360261"/>
    <w:rsid w:val="00360B70"/>
    <w:rsid w:val="00360B89"/>
    <w:rsid w:val="00361B40"/>
    <w:rsid w:val="00362EAD"/>
    <w:rsid w:val="00363E12"/>
    <w:rsid w:val="00387D45"/>
    <w:rsid w:val="0039010E"/>
    <w:rsid w:val="00390B8A"/>
    <w:rsid w:val="00397893"/>
    <w:rsid w:val="003A15AC"/>
    <w:rsid w:val="003A26E4"/>
    <w:rsid w:val="003A4BCE"/>
    <w:rsid w:val="003A6B08"/>
    <w:rsid w:val="003B0627"/>
    <w:rsid w:val="003B0DD4"/>
    <w:rsid w:val="003B4BB0"/>
    <w:rsid w:val="003B5CBA"/>
    <w:rsid w:val="003C25A9"/>
    <w:rsid w:val="003C5F2B"/>
    <w:rsid w:val="003C61BA"/>
    <w:rsid w:val="003C7D35"/>
    <w:rsid w:val="003D0BFE"/>
    <w:rsid w:val="003D145A"/>
    <w:rsid w:val="003D3003"/>
    <w:rsid w:val="003D5700"/>
    <w:rsid w:val="003F6F52"/>
    <w:rsid w:val="003F7069"/>
    <w:rsid w:val="004022CA"/>
    <w:rsid w:val="004116CD"/>
    <w:rsid w:val="00414ADE"/>
    <w:rsid w:val="004154E8"/>
    <w:rsid w:val="00420DCF"/>
    <w:rsid w:val="00422517"/>
    <w:rsid w:val="00424CA9"/>
    <w:rsid w:val="004257BB"/>
    <w:rsid w:val="00440610"/>
    <w:rsid w:val="0044267A"/>
    <w:rsid w:val="0044291A"/>
    <w:rsid w:val="0045107D"/>
    <w:rsid w:val="004600B0"/>
    <w:rsid w:val="00460499"/>
    <w:rsid w:val="00460729"/>
    <w:rsid w:val="00460D17"/>
    <w:rsid w:val="00460D73"/>
    <w:rsid w:val="00460FBA"/>
    <w:rsid w:val="00474835"/>
    <w:rsid w:val="004819C7"/>
    <w:rsid w:val="0048364F"/>
    <w:rsid w:val="00487501"/>
    <w:rsid w:val="004877FC"/>
    <w:rsid w:val="00490F2E"/>
    <w:rsid w:val="00496F97"/>
    <w:rsid w:val="004A0818"/>
    <w:rsid w:val="004A53EA"/>
    <w:rsid w:val="004B27F1"/>
    <w:rsid w:val="004B35E7"/>
    <w:rsid w:val="004B3E58"/>
    <w:rsid w:val="004B642F"/>
    <w:rsid w:val="004B697D"/>
    <w:rsid w:val="004C33EB"/>
    <w:rsid w:val="004C5720"/>
    <w:rsid w:val="004F1FAC"/>
    <w:rsid w:val="004F47F5"/>
    <w:rsid w:val="004F50D6"/>
    <w:rsid w:val="004F676E"/>
    <w:rsid w:val="004F6E92"/>
    <w:rsid w:val="004F71C0"/>
    <w:rsid w:val="00507216"/>
    <w:rsid w:val="00510BC8"/>
    <w:rsid w:val="00516B8D"/>
    <w:rsid w:val="00520D80"/>
    <w:rsid w:val="00525A73"/>
    <w:rsid w:val="0052756C"/>
    <w:rsid w:val="00530230"/>
    <w:rsid w:val="00530CC9"/>
    <w:rsid w:val="00531B46"/>
    <w:rsid w:val="00533D09"/>
    <w:rsid w:val="00534808"/>
    <w:rsid w:val="005358B5"/>
    <w:rsid w:val="00537FBC"/>
    <w:rsid w:val="00541D73"/>
    <w:rsid w:val="00541DE0"/>
    <w:rsid w:val="00543469"/>
    <w:rsid w:val="00544671"/>
    <w:rsid w:val="005446CA"/>
    <w:rsid w:val="0054494A"/>
    <w:rsid w:val="00544A42"/>
    <w:rsid w:val="00546FA3"/>
    <w:rsid w:val="00551258"/>
    <w:rsid w:val="00557C7A"/>
    <w:rsid w:val="005608AA"/>
    <w:rsid w:val="00560FB2"/>
    <w:rsid w:val="00562482"/>
    <w:rsid w:val="00562A58"/>
    <w:rsid w:val="0056541A"/>
    <w:rsid w:val="00574A7E"/>
    <w:rsid w:val="00581211"/>
    <w:rsid w:val="00583353"/>
    <w:rsid w:val="00584811"/>
    <w:rsid w:val="005875D7"/>
    <w:rsid w:val="00592D5D"/>
    <w:rsid w:val="00593AA6"/>
    <w:rsid w:val="00594161"/>
    <w:rsid w:val="00594240"/>
    <w:rsid w:val="00594749"/>
    <w:rsid w:val="00594956"/>
    <w:rsid w:val="005A5026"/>
    <w:rsid w:val="005A6473"/>
    <w:rsid w:val="005B1555"/>
    <w:rsid w:val="005B4067"/>
    <w:rsid w:val="005B4B17"/>
    <w:rsid w:val="005B5B63"/>
    <w:rsid w:val="005C0965"/>
    <w:rsid w:val="005C1935"/>
    <w:rsid w:val="005C3F41"/>
    <w:rsid w:val="005C4EEB"/>
    <w:rsid w:val="005C4EF0"/>
    <w:rsid w:val="005C4F5D"/>
    <w:rsid w:val="005C70F7"/>
    <w:rsid w:val="005C72F7"/>
    <w:rsid w:val="005D5EA1"/>
    <w:rsid w:val="005E0331"/>
    <w:rsid w:val="005E098C"/>
    <w:rsid w:val="005E1F8D"/>
    <w:rsid w:val="005E317F"/>
    <w:rsid w:val="005E3B5F"/>
    <w:rsid w:val="005E42D5"/>
    <w:rsid w:val="005E5715"/>
    <w:rsid w:val="005E61D3"/>
    <w:rsid w:val="005E7175"/>
    <w:rsid w:val="005E74A7"/>
    <w:rsid w:val="00600219"/>
    <w:rsid w:val="006065DA"/>
    <w:rsid w:val="00606AA4"/>
    <w:rsid w:val="00613CC9"/>
    <w:rsid w:val="00633D50"/>
    <w:rsid w:val="00640402"/>
    <w:rsid w:val="00640F78"/>
    <w:rsid w:val="00643EA2"/>
    <w:rsid w:val="006551AB"/>
    <w:rsid w:val="00655D6A"/>
    <w:rsid w:val="00656DE9"/>
    <w:rsid w:val="0065767F"/>
    <w:rsid w:val="00661C0E"/>
    <w:rsid w:val="00661F6F"/>
    <w:rsid w:val="0066280D"/>
    <w:rsid w:val="00664951"/>
    <w:rsid w:val="00672876"/>
    <w:rsid w:val="00677CC2"/>
    <w:rsid w:val="00685F42"/>
    <w:rsid w:val="00687187"/>
    <w:rsid w:val="00691C2A"/>
    <w:rsid w:val="0069207B"/>
    <w:rsid w:val="006922BF"/>
    <w:rsid w:val="006923D6"/>
    <w:rsid w:val="006A110B"/>
    <w:rsid w:val="006A304E"/>
    <w:rsid w:val="006A5F13"/>
    <w:rsid w:val="006A6624"/>
    <w:rsid w:val="006B7006"/>
    <w:rsid w:val="006C059F"/>
    <w:rsid w:val="006C6F96"/>
    <w:rsid w:val="006C7820"/>
    <w:rsid w:val="006C7F8C"/>
    <w:rsid w:val="006D7AB9"/>
    <w:rsid w:val="006E6BC6"/>
    <w:rsid w:val="006F028C"/>
    <w:rsid w:val="006F3DBC"/>
    <w:rsid w:val="00700B2C"/>
    <w:rsid w:val="00701545"/>
    <w:rsid w:val="00701A13"/>
    <w:rsid w:val="00704885"/>
    <w:rsid w:val="007053D2"/>
    <w:rsid w:val="00712233"/>
    <w:rsid w:val="00713084"/>
    <w:rsid w:val="00716C7F"/>
    <w:rsid w:val="00717463"/>
    <w:rsid w:val="00720FC2"/>
    <w:rsid w:val="00722AD6"/>
    <w:rsid w:val="00722E89"/>
    <w:rsid w:val="0072438C"/>
    <w:rsid w:val="00727052"/>
    <w:rsid w:val="00731E00"/>
    <w:rsid w:val="007339C7"/>
    <w:rsid w:val="00741214"/>
    <w:rsid w:val="007440B7"/>
    <w:rsid w:val="0074564C"/>
    <w:rsid w:val="00747993"/>
    <w:rsid w:val="007573CF"/>
    <w:rsid w:val="007577A9"/>
    <w:rsid w:val="007634AD"/>
    <w:rsid w:val="007715C9"/>
    <w:rsid w:val="00772C57"/>
    <w:rsid w:val="00774EDD"/>
    <w:rsid w:val="007757EC"/>
    <w:rsid w:val="007773C9"/>
    <w:rsid w:val="007915A0"/>
    <w:rsid w:val="007915D1"/>
    <w:rsid w:val="00796A22"/>
    <w:rsid w:val="007A2216"/>
    <w:rsid w:val="007A2A92"/>
    <w:rsid w:val="007A4D2F"/>
    <w:rsid w:val="007A6863"/>
    <w:rsid w:val="007B21CE"/>
    <w:rsid w:val="007C0D66"/>
    <w:rsid w:val="007C23EE"/>
    <w:rsid w:val="007C2A0A"/>
    <w:rsid w:val="007C78B4"/>
    <w:rsid w:val="007C78D1"/>
    <w:rsid w:val="007D5941"/>
    <w:rsid w:val="007E32B6"/>
    <w:rsid w:val="007E486B"/>
    <w:rsid w:val="007E5572"/>
    <w:rsid w:val="007E7D4A"/>
    <w:rsid w:val="007F2F97"/>
    <w:rsid w:val="007F48ED"/>
    <w:rsid w:val="007F5E3F"/>
    <w:rsid w:val="007F64CF"/>
    <w:rsid w:val="00801892"/>
    <w:rsid w:val="00805B8B"/>
    <w:rsid w:val="0081034E"/>
    <w:rsid w:val="00810AF4"/>
    <w:rsid w:val="00811D13"/>
    <w:rsid w:val="00812F45"/>
    <w:rsid w:val="00815151"/>
    <w:rsid w:val="00823535"/>
    <w:rsid w:val="008320B1"/>
    <w:rsid w:val="008343F5"/>
    <w:rsid w:val="0083452C"/>
    <w:rsid w:val="00834DEB"/>
    <w:rsid w:val="00836FE9"/>
    <w:rsid w:val="0084172C"/>
    <w:rsid w:val="00843D3C"/>
    <w:rsid w:val="00846EE2"/>
    <w:rsid w:val="0084709F"/>
    <w:rsid w:val="00850F53"/>
    <w:rsid w:val="0085175E"/>
    <w:rsid w:val="00852C92"/>
    <w:rsid w:val="0085339B"/>
    <w:rsid w:val="00856A31"/>
    <w:rsid w:val="008754D0"/>
    <w:rsid w:val="00876C1C"/>
    <w:rsid w:val="00877C69"/>
    <w:rsid w:val="00877D48"/>
    <w:rsid w:val="0088345B"/>
    <w:rsid w:val="008870F7"/>
    <w:rsid w:val="008A16A5"/>
    <w:rsid w:val="008A542B"/>
    <w:rsid w:val="008A5C57"/>
    <w:rsid w:val="008A630E"/>
    <w:rsid w:val="008A6FA5"/>
    <w:rsid w:val="008A7883"/>
    <w:rsid w:val="008B04D3"/>
    <w:rsid w:val="008B441B"/>
    <w:rsid w:val="008B7F13"/>
    <w:rsid w:val="008C0629"/>
    <w:rsid w:val="008C29B9"/>
    <w:rsid w:val="008D0EE0"/>
    <w:rsid w:val="008D4463"/>
    <w:rsid w:val="008D4AF5"/>
    <w:rsid w:val="008D7A27"/>
    <w:rsid w:val="008E4702"/>
    <w:rsid w:val="008E4D96"/>
    <w:rsid w:val="008E69AA"/>
    <w:rsid w:val="008E776F"/>
    <w:rsid w:val="008F4F1C"/>
    <w:rsid w:val="008F5CFA"/>
    <w:rsid w:val="00903F38"/>
    <w:rsid w:val="009069AD"/>
    <w:rsid w:val="00910E64"/>
    <w:rsid w:val="00920BA9"/>
    <w:rsid w:val="00922764"/>
    <w:rsid w:val="009278C1"/>
    <w:rsid w:val="00932377"/>
    <w:rsid w:val="009346E3"/>
    <w:rsid w:val="0093665F"/>
    <w:rsid w:val="0094523D"/>
    <w:rsid w:val="00954B61"/>
    <w:rsid w:val="00956A8E"/>
    <w:rsid w:val="0097220C"/>
    <w:rsid w:val="00976A63"/>
    <w:rsid w:val="00981470"/>
    <w:rsid w:val="009846C8"/>
    <w:rsid w:val="0099411F"/>
    <w:rsid w:val="009B2490"/>
    <w:rsid w:val="009B50E5"/>
    <w:rsid w:val="009C0E32"/>
    <w:rsid w:val="009C3431"/>
    <w:rsid w:val="009C5540"/>
    <w:rsid w:val="009C5989"/>
    <w:rsid w:val="009C5E66"/>
    <w:rsid w:val="009C6A32"/>
    <w:rsid w:val="009D08DA"/>
    <w:rsid w:val="009D7DBE"/>
    <w:rsid w:val="009F2753"/>
    <w:rsid w:val="009F6ABA"/>
    <w:rsid w:val="009F7306"/>
    <w:rsid w:val="00A054C7"/>
    <w:rsid w:val="00A05E51"/>
    <w:rsid w:val="00A06301"/>
    <w:rsid w:val="00A06860"/>
    <w:rsid w:val="00A10B42"/>
    <w:rsid w:val="00A136F5"/>
    <w:rsid w:val="00A16E0D"/>
    <w:rsid w:val="00A1798A"/>
    <w:rsid w:val="00A22407"/>
    <w:rsid w:val="00A231E2"/>
    <w:rsid w:val="00A24AE5"/>
    <w:rsid w:val="00A2550D"/>
    <w:rsid w:val="00A261B7"/>
    <w:rsid w:val="00A26D92"/>
    <w:rsid w:val="00A27BAA"/>
    <w:rsid w:val="00A3292D"/>
    <w:rsid w:val="00A34D3D"/>
    <w:rsid w:val="00A379BB"/>
    <w:rsid w:val="00A4169B"/>
    <w:rsid w:val="00A42AD0"/>
    <w:rsid w:val="00A50D55"/>
    <w:rsid w:val="00A525C2"/>
    <w:rsid w:val="00A52FDA"/>
    <w:rsid w:val="00A634C1"/>
    <w:rsid w:val="00A64912"/>
    <w:rsid w:val="00A70A74"/>
    <w:rsid w:val="00A71DD6"/>
    <w:rsid w:val="00A732C5"/>
    <w:rsid w:val="00A84001"/>
    <w:rsid w:val="00A86BB3"/>
    <w:rsid w:val="00A8734B"/>
    <w:rsid w:val="00A9231A"/>
    <w:rsid w:val="00A95BC7"/>
    <w:rsid w:val="00AA0343"/>
    <w:rsid w:val="00AA05CB"/>
    <w:rsid w:val="00AA6B44"/>
    <w:rsid w:val="00AA78CE"/>
    <w:rsid w:val="00AA7B26"/>
    <w:rsid w:val="00AB0C63"/>
    <w:rsid w:val="00AB0E4C"/>
    <w:rsid w:val="00AC1D66"/>
    <w:rsid w:val="00AC767C"/>
    <w:rsid w:val="00AD1D89"/>
    <w:rsid w:val="00AD3467"/>
    <w:rsid w:val="00AD469C"/>
    <w:rsid w:val="00AD5641"/>
    <w:rsid w:val="00AE48F2"/>
    <w:rsid w:val="00AF2F3F"/>
    <w:rsid w:val="00AF33DB"/>
    <w:rsid w:val="00AF3DBA"/>
    <w:rsid w:val="00AF7195"/>
    <w:rsid w:val="00B01B23"/>
    <w:rsid w:val="00B032D8"/>
    <w:rsid w:val="00B03A5F"/>
    <w:rsid w:val="00B05D72"/>
    <w:rsid w:val="00B1595E"/>
    <w:rsid w:val="00B20990"/>
    <w:rsid w:val="00B211A7"/>
    <w:rsid w:val="00B23FAF"/>
    <w:rsid w:val="00B33B3C"/>
    <w:rsid w:val="00B35CA7"/>
    <w:rsid w:val="00B40D74"/>
    <w:rsid w:val="00B42649"/>
    <w:rsid w:val="00B42E9A"/>
    <w:rsid w:val="00B434B6"/>
    <w:rsid w:val="00B452BA"/>
    <w:rsid w:val="00B46467"/>
    <w:rsid w:val="00B52663"/>
    <w:rsid w:val="00B56DCB"/>
    <w:rsid w:val="00B57F22"/>
    <w:rsid w:val="00B61728"/>
    <w:rsid w:val="00B6787A"/>
    <w:rsid w:val="00B679B3"/>
    <w:rsid w:val="00B770D2"/>
    <w:rsid w:val="00B84432"/>
    <w:rsid w:val="00B8750C"/>
    <w:rsid w:val="00B93516"/>
    <w:rsid w:val="00B96395"/>
    <w:rsid w:val="00B96776"/>
    <w:rsid w:val="00B973E5"/>
    <w:rsid w:val="00BA47A3"/>
    <w:rsid w:val="00BA5026"/>
    <w:rsid w:val="00BA6372"/>
    <w:rsid w:val="00BA7B5B"/>
    <w:rsid w:val="00BB336A"/>
    <w:rsid w:val="00BB391E"/>
    <w:rsid w:val="00BB400A"/>
    <w:rsid w:val="00BB6E79"/>
    <w:rsid w:val="00BB72B3"/>
    <w:rsid w:val="00BC1C42"/>
    <w:rsid w:val="00BE15EF"/>
    <w:rsid w:val="00BE3F90"/>
    <w:rsid w:val="00BE42C5"/>
    <w:rsid w:val="00BE548D"/>
    <w:rsid w:val="00BE5579"/>
    <w:rsid w:val="00BE719A"/>
    <w:rsid w:val="00BE720A"/>
    <w:rsid w:val="00BF0723"/>
    <w:rsid w:val="00BF0A96"/>
    <w:rsid w:val="00BF6650"/>
    <w:rsid w:val="00BF719A"/>
    <w:rsid w:val="00C067E5"/>
    <w:rsid w:val="00C1152C"/>
    <w:rsid w:val="00C124B2"/>
    <w:rsid w:val="00C1388E"/>
    <w:rsid w:val="00C13E30"/>
    <w:rsid w:val="00C164CA"/>
    <w:rsid w:val="00C21493"/>
    <w:rsid w:val="00C26051"/>
    <w:rsid w:val="00C31D5B"/>
    <w:rsid w:val="00C34945"/>
    <w:rsid w:val="00C35AB3"/>
    <w:rsid w:val="00C363B1"/>
    <w:rsid w:val="00C42BF8"/>
    <w:rsid w:val="00C43EBA"/>
    <w:rsid w:val="00C460AE"/>
    <w:rsid w:val="00C460B7"/>
    <w:rsid w:val="00C50043"/>
    <w:rsid w:val="00C5015F"/>
    <w:rsid w:val="00C50A0F"/>
    <w:rsid w:val="00C50F4A"/>
    <w:rsid w:val="00C677E5"/>
    <w:rsid w:val="00C72CF9"/>
    <w:rsid w:val="00C72D10"/>
    <w:rsid w:val="00C730B4"/>
    <w:rsid w:val="00C7573B"/>
    <w:rsid w:val="00C76CF3"/>
    <w:rsid w:val="00C86DB9"/>
    <w:rsid w:val="00C86DC9"/>
    <w:rsid w:val="00C92209"/>
    <w:rsid w:val="00C93205"/>
    <w:rsid w:val="00C945DC"/>
    <w:rsid w:val="00C9470D"/>
    <w:rsid w:val="00CA3B77"/>
    <w:rsid w:val="00CA7844"/>
    <w:rsid w:val="00CB2FF1"/>
    <w:rsid w:val="00CB58EF"/>
    <w:rsid w:val="00CB6207"/>
    <w:rsid w:val="00CC639F"/>
    <w:rsid w:val="00CC7B56"/>
    <w:rsid w:val="00CD4095"/>
    <w:rsid w:val="00CD6351"/>
    <w:rsid w:val="00CD78A6"/>
    <w:rsid w:val="00CE0A93"/>
    <w:rsid w:val="00CE5002"/>
    <w:rsid w:val="00CE796E"/>
    <w:rsid w:val="00CE7DAB"/>
    <w:rsid w:val="00CF0BB2"/>
    <w:rsid w:val="00CF50FA"/>
    <w:rsid w:val="00CF64F3"/>
    <w:rsid w:val="00CF6D97"/>
    <w:rsid w:val="00CF7B69"/>
    <w:rsid w:val="00D024C7"/>
    <w:rsid w:val="00D12B0D"/>
    <w:rsid w:val="00D13441"/>
    <w:rsid w:val="00D16351"/>
    <w:rsid w:val="00D243A3"/>
    <w:rsid w:val="00D33440"/>
    <w:rsid w:val="00D34D48"/>
    <w:rsid w:val="00D370DD"/>
    <w:rsid w:val="00D44153"/>
    <w:rsid w:val="00D510A7"/>
    <w:rsid w:val="00D52EFE"/>
    <w:rsid w:val="00D56A0D"/>
    <w:rsid w:val="00D63EF6"/>
    <w:rsid w:val="00D66518"/>
    <w:rsid w:val="00D66E00"/>
    <w:rsid w:val="00D70DFB"/>
    <w:rsid w:val="00D71EEA"/>
    <w:rsid w:val="00D72C09"/>
    <w:rsid w:val="00D735CD"/>
    <w:rsid w:val="00D766DF"/>
    <w:rsid w:val="00D8433D"/>
    <w:rsid w:val="00D86978"/>
    <w:rsid w:val="00D90841"/>
    <w:rsid w:val="00DA2439"/>
    <w:rsid w:val="00DA2BF2"/>
    <w:rsid w:val="00DA6F05"/>
    <w:rsid w:val="00DA7CAD"/>
    <w:rsid w:val="00DA7F41"/>
    <w:rsid w:val="00DB1652"/>
    <w:rsid w:val="00DB53EB"/>
    <w:rsid w:val="00DB64FC"/>
    <w:rsid w:val="00DD12ED"/>
    <w:rsid w:val="00DD5432"/>
    <w:rsid w:val="00DE149E"/>
    <w:rsid w:val="00DE5147"/>
    <w:rsid w:val="00DE7AF3"/>
    <w:rsid w:val="00E034DB"/>
    <w:rsid w:val="00E05704"/>
    <w:rsid w:val="00E070F3"/>
    <w:rsid w:val="00E103C1"/>
    <w:rsid w:val="00E12F1A"/>
    <w:rsid w:val="00E13213"/>
    <w:rsid w:val="00E1467B"/>
    <w:rsid w:val="00E149E6"/>
    <w:rsid w:val="00E2287D"/>
    <w:rsid w:val="00E22935"/>
    <w:rsid w:val="00E27C3A"/>
    <w:rsid w:val="00E31633"/>
    <w:rsid w:val="00E36629"/>
    <w:rsid w:val="00E3697C"/>
    <w:rsid w:val="00E4721C"/>
    <w:rsid w:val="00E54292"/>
    <w:rsid w:val="00E55D76"/>
    <w:rsid w:val="00E574B0"/>
    <w:rsid w:val="00E57E78"/>
    <w:rsid w:val="00E60191"/>
    <w:rsid w:val="00E618C5"/>
    <w:rsid w:val="00E63882"/>
    <w:rsid w:val="00E63C1C"/>
    <w:rsid w:val="00E67730"/>
    <w:rsid w:val="00E74DC7"/>
    <w:rsid w:val="00E80EA2"/>
    <w:rsid w:val="00E87699"/>
    <w:rsid w:val="00E92E27"/>
    <w:rsid w:val="00E9586B"/>
    <w:rsid w:val="00E969C4"/>
    <w:rsid w:val="00E97334"/>
    <w:rsid w:val="00EA23EA"/>
    <w:rsid w:val="00EA27C0"/>
    <w:rsid w:val="00EA3B0D"/>
    <w:rsid w:val="00EB3A99"/>
    <w:rsid w:val="00EB65F8"/>
    <w:rsid w:val="00EC6F53"/>
    <w:rsid w:val="00ED475A"/>
    <w:rsid w:val="00ED4928"/>
    <w:rsid w:val="00ED5046"/>
    <w:rsid w:val="00ED79DC"/>
    <w:rsid w:val="00EE1A1C"/>
    <w:rsid w:val="00EE3B8E"/>
    <w:rsid w:val="00EE3FFE"/>
    <w:rsid w:val="00EE57E8"/>
    <w:rsid w:val="00EE6190"/>
    <w:rsid w:val="00EF14FD"/>
    <w:rsid w:val="00EF2E3A"/>
    <w:rsid w:val="00EF6402"/>
    <w:rsid w:val="00F015C1"/>
    <w:rsid w:val="00F047E2"/>
    <w:rsid w:val="00F04C88"/>
    <w:rsid w:val="00F04D57"/>
    <w:rsid w:val="00F0573C"/>
    <w:rsid w:val="00F078DC"/>
    <w:rsid w:val="00F11F47"/>
    <w:rsid w:val="00F13E86"/>
    <w:rsid w:val="00F15579"/>
    <w:rsid w:val="00F20B52"/>
    <w:rsid w:val="00F210BB"/>
    <w:rsid w:val="00F21CCA"/>
    <w:rsid w:val="00F231D4"/>
    <w:rsid w:val="00F2784B"/>
    <w:rsid w:val="00F32FCB"/>
    <w:rsid w:val="00F33523"/>
    <w:rsid w:val="00F33A84"/>
    <w:rsid w:val="00F37CEB"/>
    <w:rsid w:val="00F408C1"/>
    <w:rsid w:val="00F45E19"/>
    <w:rsid w:val="00F5544E"/>
    <w:rsid w:val="00F556D7"/>
    <w:rsid w:val="00F5623F"/>
    <w:rsid w:val="00F57E1C"/>
    <w:rsid w:val="00F63821"/>
    <w:rsid w:val="00F675CF"/>
    <w:rsid w:val="00F677A9"/>
    <w:rsid w:val="00F8121C"/>
    <w:rsid w:val="00F84CF5"/>
    <w:rsid w:val="00F85392"/>
    <w:rsid w:val="00F8612E"/>
    <w:rsid w:val="00F94583"/>
    <w:rsid w:val="00FA2FD8"/>
    <w:rsid w:val="00FA420B"/>
    <w:rsid w:val="00FA7A80"/>
    <w:rsid w:val="00FB438E"/>
    <w:rsid w:val="00FB524D"/>
    <w:rsid w:val="00FB5922"/>
    <w:rsid w:val="00FB6AEE"/>
    <w:rsid w:val="00FB754A"/>
    <w:rsid w:val="00FB7C81"/>
    <w:rsid w:val="00FC3EAC"/>
    <w:rsid w:val="00FD3ABE"/>
    <w:rsid w:val="00FE3ED3"/>
    <w:rsid w:val="00FF005B"/>
    <w:rsid w:val="00FF39DE"/>
    <w:rsid w:val="00FF4D38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55F00"/>
  <w15:docId w15:val="{C2EF9DE5-4944-4543-A9C5-71ADF493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65767F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61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B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B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B40"/>
    <w:rPr>
      <w:b/>
      <w:bCs/>
    </w:rPr>
  </w:style>
  <w:style w:type="paragraph" w:styleId="Revision">
    <w:name w:val="Revision"/>
    <w:hidden/>
    <w:uiPriority w:val="99"/>
    <w:semiHidden/>
    <w:rsid w:val="00F5544E"/>
    <w:rPr>
      <w:sz w:val="22"/>
    </w:rPr>
  </w:style>
  <w:style w:type="character" w:styleId="Hyperlink">
    <w:name w:val="Hyperlink"/>
    <w:basedOn w:val="DefaultParagraphFont"/>
    <w:uiPriority w:val="99"/>
    <w:unhideWhenUsed/>
    <w:rsid w:val="00C730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ITC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233C-4E1C-4FFF-8319-A1583F33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0</TotalTime>
  <Pages>11</Pages>
  <Words>1795</Words>
  <Characters>9785</Characters>
  <Application>Microsoft Office Word</Application>
  <DocSecurity>4</DocSecurity>
  <Lines>489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PANITSIDIS, Christina</dc:creator>
  <cp:keywords/>
  <dc:description/>
  <cp:lastModifiedBy>PANITSIDIS, Christina</cp:lastModifiedBy>
  <cp:revision>2</cp:revision>
  <dcterms:created xsi:type="dcterms:W3CDTF">2025-08-19T03:03:00Z</dcterms:created>
  <dcterms:modified xsi:type="dcterms:W3CDTF">2025-08-19T03:03:00Z</dcterms:modified>
</cp:coreProperties>
</file>