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2D124" w14:textId="57508D89" w:rsidR="00A1739A" w:rsidRPr="00E82E6D" w:rsidRDefault="00FA6784" w:rsidP="00E82E6D">
      <w:pPr>
        <w:pStyle w:val="H3"/>
        <w:jc w:val="center"/>
        <w:rPr>
          <w:sz w:val="24"/>
          <w:szCs w:val="24"/>
        </w:rPr>
      </w:pPr>
      <w:r w:rsidRPr="00C85162">
        <w:rPr>
          <w:sz w:val="24"/>
          <w:szCs w:val="24"/>
        </w:rPr>
        <w:t>EXPLANATORY STATEMENT</w:t>
      </w:r>
    </w:p>
    <w:p w14:paraId="5BE83832" w14:textId="77777777" w:rsidR="00C23B22" w:rsidRPr="007A2015" w:rsidRDefault="00C23B22" w:rsidP="00C23B22">
      <w:pPr>
        <w:jc w:val="center"/>
        <w:rPr>
          <w:sz w:val="20"/>
        </w:rPr>
      </w:pPr>
    </w:p>
    <w:p w14:paraId="76C0AB94" w14:textId="77777777" w:rsidR="00C23B22" w:rsidRPr="00C85162" w:rsidRDefault="00C23B22" w:rsidP="00C23B22">
      <w:pPr>
        <w:jc w:val="center"/>
        <w:rPr>
          <w:i/>
          <w:iCs/>
        </w:rPr>
      </w:pPr>
      <w:r w:rsidRPr="00C85162">
        <w:rPr>
          <w:i/>
          <w:iCs/>
        </w:rPr>
        <w:t>Health Insurance Act 1973</w:t>
      </w:r>
    </w:p>
    <w:p w14:paraId="58834FAA" w14:textId="3584F477" w:rsidR="00C23B22" w:rsidRPr="007A2015" w:rsidRDefault="00C23B22" w:rsidP="6270D379">
      <w:pPr>
        <w:rPr>
          <w:highlight w:val="yellow"/>
        </w:rPr>
      </w:pPr>
    </w:p>
    <w:p w14:paraId="4094132F" w14:textId="3C63CD0C" w:rsidR="76A989BF" w:rsidRPr="00E82E6D" w:rsidRDefault="00F83675" w:rsidP="6270D379">
      <w:pPr>
        <w:ind w:right="84"/>
        <w:jc w:val="center"/>
        <w:rPr>
          <w:highlight w:val="yellow"/>
        </w:rPr>
      </w:pPr>
      <w:bookmarkStart w:id="0" w:name="_Hlk206063226"/>
      <w:r w:rsidRPr="00F83675">
        <w:rPr>
          <w:i/>
          <w:iCs/>
        </w:rPr>
        <w:t>Health Insurance Legislation Amendments (Usual Medical Practitioner) Determination 2025</w:t>
      </w:r>
      <w:bookmarkEnd w:id="0"/>
    </w:p>
    <w:p w14:paraId="0BB0D788" w14:textId="76871F34" w:rsidR="6270D379" w:rsidRDefault="6270D379" w:rsidP="6270D379">
      <w:pPr>
        <w:tabs>
          <w:tab w:val="left" w:pos="1008"/>
          <w:tab w:val="left" w:pos="2160"/>
          <w:tab w:val="left" w:pos="3312"/>
          <w:tab w:val="left" w:pos="4464"/>
          <w:tab w:val="left" w:pos="5616"/>
          <w:tab w:val="left" w:pos="6768"/>
          <w:tab w:val="left" w:pos="7920"/>
          <w:tab w:val="left" w:pos="9072"/>
          <w:tab w:val="right" w:pos="9504"/>
        </w:tabs>
        <w:spacing w:line="279" w:lineRule="exact"/>
        <w:rPr>
          <w:color w:val="000000" w:themeColor="text1"/>
        </w:rPr>
      </w:pPr>
    </w:p>
    <w:p w14:paraId="1A492DA3" w14:textId="58EF7759" w:rsidR="00C23B22" w:rsidRPr="00E82E6D"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r w:rsidRPr="00D87426">
        <w:rPr>
          <w:color w:val="000000"/>
          <w:shd w:val="clear" w:color="auto" w:fill="FFFFFF"/>
        </w:rPr>
        <w:t>Subsection 3</w:t>
      </w:r>
      <w:proofErr w:type="gramStart"/>
      <w:r w:rsidRPr="00D87426">
        <w:rPr>
          <w:color w:val="000000"/>
          <w:shd w:val="clear" w:color="auto" w:fill="FFFFFF"/>
        </w:rPr>
        <w:t>C(</w:t>
      </w:r>
      <w:proofErr w:type="gramEnd"/>
      <w:r w:rsidRPr="00D87426">
        <w:rPr>
          <w:color w:val="000000"/>
          <w:shd w:val="clear" w:color="auto" w:fill="FFFFFF"/>
        </w:rPr>
        <w:t xml:space="preserve">1) of the </w:t>
      </w:r>
      <w:r w:rsidRPr="00D87426">
        <w:rPr>
          <w:i/>
          <w:color w:val="000000"/>
          <w:shd w:val="clear" w:color="auto" w:fill="FFFFFF"/>
        </w:rPr>
        <w:t>Health Insurance Act 1973</w:t>
      </w:r>
      <w:r w:rsidRPr="00D87426">
        <w:rPr>
          <w:color w:val="000000"/>
          <w:shd w:val="clear" w:color="auto" w:fill="FFFFFF"/>
        </w:rPr>
        <w:t xml:space="preserve"> (the Act) </w:t>
      </w:r>
      <w:r>
        <w:rPr>
          <w:color w:val="000000"/>
          <w:shd w:val="clear" w:color="auto" w:fill="FFFFFF"/>
        </w:rPr>
        <w:t xml:space="preserve">provides that </w:t>
      </w:r>
      <w:r w:rsidRPr="00D87426">
        <w:rPr>
          <w:color w:val="000000"/>
          <w:shd w:val="clear" w:color="auto" w:fill="FFFFFF"/>
        </w:rPr>
        <w:t xml:space="preserve">the Minister </w:t>
      </w:r>
      <w:r w:rsidRPr="00E82E6D">
        <w:rPr>
          <w:shd w:val="clear" w:color="auto" w:fill="FFFFFF"/>
        </w:rPr>
        <w:t xml:space="preserve">may, by legislative instrument, determine that a health service not specified in an item in the </w:t>
      </w:r>
      <w:r w:rsidR="00E82E6D" w:rsidRPr="00E82E6D">
        <w:rPr>
          <w:shd w:val="clear" w:color="auto" w:fill="FFFFFF"/>
        </w:rPr>
        <w:t xml:space="preserve">general medical services table </w:t>
      </w:r>
      <w:r w:rsidRPr="00E82E6D">
        <w:rPr>
          <w:shd w:val="clear" w:color="auto" w:fill="FFFFFF"/>
        </w:rPr>
        <w:t xml:space="preserve">(the </w:t>
      </w:r>
      <w:r w:rsidR="00B16465">
        <w:rPr>
          <w:shd w:val="clear" w:color="auto" w:fill="FFFFFF"/>
        </w:rPr>
        <w:t>GMST</w:t>
      </w:r>
      <w:r w:rsidRPr="00E82E6D">
        <w:rPr>
          <w:shd w:val="clear" w:color="auto" w:fill="FFFFFF"/>
        </w:rPr>
        <w:t xml:space="preserve">) shall, in specified circumstances and for specified statutory provisions, be treated as if it were specified in the </w:t>
      </w:r>
      <w:r w:rsidR="00B16465">
        <w:rPr>
          <w:shd w:val="clear" w:color="auto" w:fill="FFFFFF"/>
        </w:rPr>
        <w:t>GMST</w:t>
      </w:r>
      <w:r w:rsidRPr="00E82E6D">
        <w:rPr>
          <w:shd w:val="clear" w:color="auto" w:fill="FFFFFF"/>
        </w:rPr>
        <w:t>.</w:t>
      </w:r>
    </w:p>
    <w:p w14:paraId="046886A8" w14:textId="77777777" w:rsidR="00C23B22" w:rsidRPr="00E82E6D"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p>
    <w:p w14:paraId="3902969A" w14:textId="448ED83B" w:rsidR="00C23B22" w:rsidRPr="00E82E6D"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E82E6D">
        <w:t xml:space="preserve">The </w:t>
      </w:r>
      <w:r w:rsidR="00661C70">
        <w:t>GMST</w:t>
      </w:r>
      <w:r w:rsidRPr="00E82E6D">
        <w:t xml:space="preserve"> is set out in the regulations made under subsection 4</w:t>
      </w:r>
      <w:r w:rsidR="00E82E6D" w:rsidRPr="00E82E6D">
        <w:t>(1)</w:t>
      </w:r>
      <w:r w:rsidRPr="00E82E6D">
        <w:t xml:space="preserve"> of the Act.  The most recent version of the </w:t>
      </w:r>
      <w:r w:rsidR="005B1F56">
        <w:t>GMST is set out in</w:t>
      </w:r>
      <w:r w:rsidRPr="00E82E6D">
        <w:t xml:space="preserve"> the </w:t>
      </w:r>
      <w:r w:rsidR="00E82E6D" w:rsidRPr="00E82E6D">
        <w:rPr>
          <w:i/>
          <w:iCs/>
        </w:rPr>
        <w:t>Health Insurance (General Medical Services Table) Regulations 2021</w:t>
      </w:r>
      <w:r w:rsidR="00E82E6D" w:rsidRPr="00E82E6D">
        <w:t>.</w:t>
      </w:r>
    </w:p>
    <w:p w14:paraId="335854EF" w14:textId="77777777" w:rsidR="00C23B22" w:rsidRPr="00E82E6D"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2510DC4F" w14:textId="77777777" w:rsidR="00E63E16" w:rsidRPr="00E63E16" w:rsidRDefault="00E63E16" w:rsidP="00E63E16">
      <w:pPr>
        <w:autoSpaceDE w:val="0"/>
        <w:autoSpaceDN w:val="0"/>
        <w:adjustRightInd w:val="0"/>
        <w:ind w:right="-483"/>
      </w:pPr>
      <w:r w:rsidRPr="00E63E16">
        <w:t xml:space="preserve">This instrument is made under subsection 33(3) of the </w:t>
      </w:r>
      <w:r w:rsidRPr="00E63E16">
        <w:rPr>
          <w:i/>
        </w:rPr>
        <w:t>Acts Interpretation Act 1901</w:t>
      </w:r>
      <w:r w:rsidRPr="00E63E16">
        <w:t xml:space="preserve"> (AIA), which provides that a power to make a legislative or administrative instrument includes the power to repeal, rescind, revoke amend, or vary any that instrument in the same manner and subject to the same conditions.</w:t>
      </w:r>
    </w:p>
    <w:p w14:paraId="2412D129" w14:textId="2D4AC742" w:rsidR="008C5F1C" w:rsidRPr="00EB601D" w:rsidRDefault="008C5F1C" w:rsidP="00D33180">
      <w:pPr>
        <w:autoSpaceDE w:val="0"/>
        <w:autoSpaceDN w:val="0"/>
        <w:adjustRightInd w:val="0"/>
        <w:ind w:right="-483"/>
        <w:rPr>
          <w:szCs w:val="24"/>
          <w:highlight w:val="yellow"/>
        </w:rPr>
      </w:pPr>
    </w:p>
    <w:p w14:paraId="2412D12A" w14:textId="77777777" w:rsidR="00BB00BA" w:rsidRPr="00CD4A21" w:rsidRDefault="00A1739A" w:rsidP="00BB00BA">
      <w:pPr>
        <w:rPr>
          <w:b/>
          <w:szCs w:val="24"/>
          <w:lang w:val="en-US" w:eastAsia="en-US"/>
        </w:rPr>
      </w:pPr>
      <w:r w:rsidRPr="00CD4A21">
        <w:rPr>
          <w:b/>
          <w:szCs w:val="24"/>
          <w:lang w:val="en-US" w:eastAsia="en-US"/>
        </w:rPr>
        <w:t>Purpose</w:t>
      </w:r>
    </w:p>
    <w:p w14:paraId="2B5326A4" w14:textId="6D421A4F" w:rsidR="00D65847" w:rsidRPr="009511AC" w:rsidRDefault="00D65847" w:rsidP="0039170C">
      <w:pPr>
        <w:ind w:right="-483"/>
        <w:rPr>
          <w:szCs w:val="24"/>
        </w:rPr>
      </w:pPr>
      <w:r w:rsidRPr="00BD6BAA">
        <w:rPr>
          <w:szCs w:val="24"/>
        </w:rPr>
        <w:t xml:space="preserve">The </w:t>
      </w:r>
      <w:r w:rsidR="00661C70">
        <w:rPr>
          <w:szCs w:val="24"/>
        </w:rPr>
        <w:t>p</w:t>
      </w:r>
      <w:r w:rsidRPr="00BD6BAA">
        <w:rPr>
          <w:szCs w:val="24"/>
        </w:rPr>
        <w:t xml:space="preserve">urpose of the </w:t>
      </w:r>
      <w:r w:rsidR="00F83675" w:rsidRPr="00F83675">
        <w:rPr>
          <w:i/>
          <w:iCs/>
          <w:szCs w:val="24"/>
        </w:rPr>
        <w:t xml:space="preserve">Health Insurance Legislation Amendments (Usual Medical Practitioner) Determination 2025 </w:t>
      </w:r>
      <w:r w:rsidRPr="00BD6BAA">
        <w:rPr>
          <w:szCs w:val="24"/>
        </w:rPr>
        <w:t xml:space="preserve">(Amendment </w:t>
      </w:r>
      <w:r w:rsidR="009511AC">
        <w:rPr>
          <w:szCs w:val="24"/>
        </w:rPr>
        <w:t>D</w:t>
      </w:r>
      <w:r w:rsidRPr="00BD6BAA">
        <w:rPr>
          <w:szCs w:val="24"/>
        </w:rPr>
        <w:t>etermination) is to</w:t>
      </w:r>
      <w:r w:rsidR="00AA5B6A">
        <w:rPr>
          <w:szCs w:val="24"/>
        </w:rPr>
        <w:t xml:space="preserve"> retrospectively</w:t>
      </w:r>
      <w:r w:rsidRPr="00BD6BAA">
        <w:rPr>
          <w:szCs w:val="24"/>
        </w:rPr>
        <w:t xml:space="preserve"> amend the </w:t>
      </w:r>
      <w:r w:rsidR="00BD6BAA" w:rsidRPr="00BD6BAA">
        <w:rPr>
          <w:i/>
          <w:iCs/>
          <w:noProof/>
        </w:rPr>
        <w:t xml:space="preserve">Health Insurance (Section 3C General Medical Services - COVID-19 Telehealth and Telephone Attendances) Determination 2020 </w:t>
      </w:r>
      <w:r w:rsidR="00BD6BAA" w:rsidRPr="00BD6BAA">
        <w:rPr>
          <w:noProof/>
        </w:rPr>
        <w:t xml:space="preserve">(COVID-19 Determination) and the </w:t>
      </w:r>
      <w:r w:rsidR="00BD6BAA" w:rsidRPr="00BD6BAA">
        <w:rPr>
          <w:i/>
          <w:iCs/>
          <w:szCs w:val="24"/>
        </w:rPr>
        <w:t xml:space="preserve">Health Insurance (Section 3C General Medical Services – Telehealth Attendances) Determination 2021 </w:t>
      </w:r>
      <w:r w:rsidRPr="00BD6BAA">
        <w:rPr>
          <w:szCs w:val="24"/>
        </w:rPr>
        <w:t>(</w:t>
      </w:r>
      <w:r w:rsidR="00BD6BAA" w:rsidRPr="00BD6BAA">
        <w:rPr>
          <w:szCs w:val="24"/>
        </w:rPr>
        <w:t xml:space="preserve">Telehealth </w:t>
      </w:r>
      <w:r w:rsidR="00401386">
        <w:rPr>
          <w:szCs w:val="24"/>
        </w:rPr>
        <w:t>D</w:t>
      </w:r>
      <w:r w:rsidRPr="00BD6BAA">
        <w:rPr>
          <w:szCs w:val="24"/>
        </w:rPr>
        <w:t>etermination</w:t>
      </w:r>
      <w:r w:rsidRPr="009511AC">
        <w:rPr>
          <w:szCs w:val="24"/>
        </w:rPr>
        <w:t>)</w:t>
      </w:r>
      <w:r w:rsidR="005B7C95" w:rsidRPr="009511AC">
        <w:rPr>
          <w:szCs w:val="24"/>
        </w:rPr>
        <w:t xml:space="preserve">. </w:t>
      </w:r>
    </w:p>
    <w:p w14:paraId="23097D18" w14:textId="5D4ABE25" w:rsidR="00D65847" w:rsidRDefault="00D65847" w:rsidP="0039170C">
      <w:pPr>
        <w:ind w:right="-483"/>
        <w:rPr>
          <w:szCs w:val="24"/>
        </w:rPr>
      </w:pPr>
    </w:p>
    <w:p w14:paraId="23AD7DB3" w14:textId="6E37405F" w:rsidR="00D65847" w:rsidRPr="00837202" w:rsidRDefault="009511AC" w:rsidP="00837202">
      <w:pPr>
        <w:rPr>
          <w:bCs/>
          <w:iCs/>
          <w:color w:val="002060"/>
          <w:szCs w:val="24"/>
        </w:rPr>
      </w:pPr>
      <w:r w:rsidRPr="009511AC">
        <w:rPr>
          <w:szCs w:val="24"/>
        </w:rPr>
        <w:t xml:space="preserve">Schedule 1 reinserts </w:t>
      </w:r>
      <w:r w:rsidRPr="009511AC">
        <w:rPr>
          <w:noProof/>
        </w:rPr>
        <w:t>paragraphs 8(11)(c), (d) and (e) into the COVID-19 Determination</w:t>
      </w:r>
      <w:r w:rsidR="00743F6B">
        <w:rPr>
          <w:noProof/>
        </w:rPr>
        <w:t>, which</w:t>
      </w:r>
      <w:r w:rsidRPr="009511AC">
        <w:rPr>
          <w:noProof/>
        </w:rPr>
        <w:t xml:space="preserve"> were</w:t>
      </w:r>
      <w:r w:rsidR="003211B4">
        <w:rPr>
          <w:noProof/>
        </w:rPr>
        <w:t xml:space="preserve"> previously</w:t>
      </w:r>
      <w:r w:rsidRPr="009511AC">
        <w:rPr>
          <w:noProof/>
        </w:rPr>
        <w:t xml:space="preserve"> removed by the </w:t>
      </w:r>
      <w:r w:rsidRPr="009511AC">
        <w:rPr>
          <w:i/>
          <w:iCs/>
          <w:noProof/>
        </w:rPr>
        <w:t>Health Insurance Legislation Amendment (Section 3C General Medical Services – Medicare Indexation and Extension of Remote Service Options) Determination 2021</w:t>
      </w:r>
      <w:r>
        <w:rPr>
          <w:noProof/>
        </w:rPr>
        <w:t xml:space="preserve"> </w:t>
      </w:r>
      <w:r w:rsidR="00A55819">
        <w:rPr>
          <w:noProof/>
        </w:rPr>
        <w:t xml:space="preserve">(COVID-19 Amendment Determination) </w:t>
      </w:r>
      <w:r w:rsidR="00837202">
        <w:rPr>
          <w:noProof/>
        </w:rPr>
        <w:t>f</w:t>
      </w:r>
      <w:r w:rsidR="00401386">
        <w:rPr>
          <w:noProof/>
        </w:rPr>
        <w:t>r</w:t>
      </w:r>
      <w:r w:rsidR="00837202">
        <w:rPr>
          <w:noProof/>
        </w:rPr>
        <w:t>om 1 July 2021</w:t>
      </w:r>
      <w:r>
        <w:rPr>
          <w:noProof/>
        </w:rPr>
        <w:t xml:space="preserve">. </w:t>
      </w:r>
      <w:r w:rsidR="00837202" w:rsidRPr="00837202">
        <w:rPr>
          <w:szCs w:val="24"/>
        </w:rPr>
        <w:t xml:space="preserve">At the time, the change was made as the </w:t>
      </w:r>
      <w:r w:rsidR="00811918">
        <w:rPr>
          <w:szCs w:val="24"/>
        </w:rPr>
        <w:t>paragraphs</w:t>
      </w:r>
      <w:r w:rsidR="00837202" w:rsidRPr="00837202">
        <w:rPr>
          <w:szCs w:val="24"/>
        </w:rPr>
        <w:t xml:space="preserve"> </w:t>
      </w:r>
      <w:proofErr w:type="gramStart"/>
      <w:r w:rsidR="00837202" w:rsidRPr="00837202">
        <w:rPr>
          <w:szCs w:val="24"/>
        </w:rPr>
        <w:t xml:space="preserve">were considered </w:t>
      </w:r>
      <w:r w:rsidR="00811918">
        <w:rPr>
          <w:szCs w:val="24"/>
        </w:rPr>
        <w:t>to be</w:t>
      </w:r>
      <w:proofErr w:type="gramEnd"/>
      <w:r w:rsidR="00811918">
        <w:rPr>
          <w:szCs w:val="24"/>
        </w:rPr>
        <w:t xml:space="preserve"> </w:t>
      </w:r>
      <w:r w:rsidR="001F5E48">
        <w:rPr>
          <w:szCs w:val="24"/>
        </w:rPr>
        <w:t>redundant</w:t>
      </w:r>
      <w:r w:rsidR="00837202" w:rsidRPr="00837202">
        <w:rPr>
          <w:szCs w:val="24"/>
        </w:rPr>
        <w:t>, and</w:t>
      </w:r>
      <w:r w:rsidR="00115C15">
        <w:rPr>
          <w:szCs w:val="24"/>
        </w:rPr>
        <w:t xml:space="preserve"> it was considered that</w:t>
      </w:r>
      <w:r w:rsidR="00837202" w:rsidRPr="00837202">
        <w:rPr>
          <w:szCs w:val="24"/>
        </w:rPr>
        <w:t xml:space="preserve"> appropriate </w:t>
      </w:r>
      <w:r w:rsidR="006614B5" w:rsidRPr="00C65DB9">
        <w:rPr>
          <w:szCs w:val="24"/>
        </w:rPr>
        <w:t>Approved</w:t>
      </w:r>
      <w:r w:rsidR="00F4183B" w:rsidRPr="00F4183B">
        <w:rPr>
          <w:szCs w:val="24"/>
        </w:rPr>
        <w:t xml:space="preserve"> </w:t>
      </w:r>
      <w:r w:rsidR="00F4183B">
        <w:rPr>
          <w:szCs w:val="24"/>
        </w:rPr>
        <w:t>and accredited</w:t>
      </w:r>
      <w:r w:rsidR="006614B5" w:rsidRPr="00C65DB9">
        <w:rPr>
          <w:szCs w:val="24"/>
        </w:rPr>
        <w:t xml:space="preserve"> Medical Deputising Services </w:t>
      </w:r>
      <w:r w:rsidR="006614B5">
        <w:rPr>
          <w:szCs w:val="24"/>
        </w:rPr>
        <w:t>(</w:t>
      </w:r>
      <w:r w:rsidR="00837202" w:rsidRPr="006614B5">
        <w:rPr>
          <w:szCs w:val="24"/>
        </w:rPr>
        <w:t>AMDS</w:t>
      </w:r>
      <w:r w:rsidR="006614B5" w:rsidRPr="006614B5">
        <w:rPr>
          <w:szCs w:val="24"/>
        </w:rPr>
        <w:t>)</w:t>
      </w:r>
      <w:r w:rsidR="00837202" w:rsidRPr="00837202">
        <w:rPr>
          <w:szCs w:val="24"/>
        </w:rPr>
        <w:t xml:space="preserve"> telehealth access would be covered under Subgroup 29 (GP and Other Medical Practitioner </w:t>
      </w:r>
      <w:r w:rsidR="00837202" w:rsidRPr="00837202">
        <w:rPr>
          <w:szCs w:val="24"/>
        </w:rPr>
        <w:noBreakHyphen/>
        <w:t xml:space="preserve"> Urgent After-Hours Service in Unsociable Hours </w:t>
      </w:r>
      <w:r w:rsidR="00837202" w:rsidRPr="00837202">
        <w:rPr>
          <w:szCs w:val="24"/>
        </w:rPr>
        <w:noBreakHyphen/>
        <w:t xml:space="preserve"> Video Services). </w:t>
      </w:r>
      <w:r w:rsidR="003E3953">
        <w:rPr>
          <w:szCs w:val="24"/>
        </w:rPr>
        <w:t>However, it was subsequently identified that this change inadvertently impacted AMDS access to non-urgent after-hours</w:t>
      </w:r>
      <w:r w:rsidR="00113215">
        <w:rPr>
          <w:szCs w:val="24"/>
        </w:rPr>
        <w:t xml:space="preserve"> telehealth services (services other than those in Subgroup 29). </w:t>
      </w:r>
    </w:p>
    <w:p w14:paraId="106E8C0B" w14:textId="77777777" w:rsidR="009511AC" w:rsidRDefault="009511AC" w:rsidP="0039170C">
      <w:pPr>
        <w:ind w:right="-483"/>
        <w:rPr>
          <w:noProof/>
        </w:rPr>
      </w:pPr>
    </w:p>
    <w:p w14:paraId="61504AC3" w14:textId="12801578" w:rsidR="007708B3" w:rsidRDefault="009511AC" w:rsidP="0039170C">
      <w:pPr>
        <w:ind w:right="-483"/>
        <w:rPr>
          <w:noProof/>
          <w:color w:val="000000" w:themeColor="text1"/>
        </w:rPr>
      </w:pPr>
      <w:r w:rsidRPr="009511AC">
        <w:rPr>
          <w:szCs w:val="24"/>
        </w:rPr>
        <w:t xml:space="preserve">Schedule </w:t>
      </w:r>
      <w:r>
        <w:rPr>
          <w:szCs w:val="24"/>
        </w:rPr>
        <w:t>2</w:t>
      </w:r>
      <w:r w:rsidRPr="009511AC">
        <w:rPr>
          <w:szCs w:val="24"/>
        </w:rPr>
        <w:t xml:space="preserve"> </w:t>
      </w:r>
      <w:r>
        <w:rPr>
          <w:szCs w:val="24"/>
        </w:rPr>
        <w:t>inserts</w:t>
      </w:r>
      <w:r w:rsidRPr="009511AC">
        <w:rPr>
          <w:szCs w:val="24"/>
        </w:rPr>
        <w:t xml:space="preserve"> </w:t>
      </w:r>
      <w:r w:rsidRPr="009511AC">
        <w:rPr>
          <w:noProof/>
        </w:rPr>
        <w:t xml:space="preserve">paragraphs </w:t>
      </w:r>
      <w:r>
        <w:rPr>
          <w:noProof/>
        </w:rPr>
        <w:t>7</w:t>
      </w:r>
      <w:r w:rsidRPr="009511AC">
        <w:rPr>
          <w:noProof/>
        </w:rPr>
        <w:t>(</w:t>
      </w:r>
      <w:r>
        <w:rPr>
          <w:noProof/>
        </w:rPr>
        <w:t>7</w:t>
      </w:r>
      <w:r w:rsidRPr="009511AC">
        <w:rPr>
          <w:noProof/>
        </w:rPr>
        <w:t>)(</w:t>
      </w:r>
      <w:r>
        <w:rPr>
          <w:noProof/>
        </w:rPr>
        <w:t>b</w:t>
      </w:r>
      <w:r w:rsidRPr="009511AC">
        <w:rPr>
          <w:noProof/>
        </w:rPr>
        <w:t>), (</w:t>
      </w:r>
      <w:r>
        <w:rPr>
          <w:noProof/>
        </w:rPr>
        <w:t>c</w:t>
      </w:r>
      <w:r w:rsidRPr="009511AC">
        <w:rPr>
          <w:noProof/>
        </w:rPr>
        <w:t>) and (</w:t>
      </w:r>
      <w:r>
        <w:rPr>
          <w:noProof/>
        </w:rPr>
        <w:t>d</w:t>
      </w:r>
      <w:r w:rsidRPr="009511AC">
        <w:rPr>
          <w:noProof/>
        </w:rPr>
        <w:t xml:space="preserve">) into the </w:t>
      </w:r>
      <w:r>
        <w:rPr>
          <w:noProof/>
        </w:rPr>
        <w:t>Telehealth</w:t>
      </w:r>
      <w:r w:rsidRPr="009511AC">
        <w:rPr>
          <w:noProof/>
        </w:rPr>
        <w:t xml:space="preserve"> Determinatio</w:t>
      </w:r>
      <w:r w:rsidR="0027785E">
        <w:rPr>
          <w:noProof/>
        </w:rPr>
        <w:t xml:space="preserve">n from </w:t>
      </w:r>
      <w:r w:rsidR="00F856D5">
        <w:rPr>
          <w:noProof/>
        </w:rPr>
        <w:t xml:space="preserve">the date of </w:t>
      </w:r>
      <w:r w:rsidR="0027785E">
        <w:rPr>
          <w:noProof/>
        </w:rPr>
        <w:t>its com</w:t>
      </w:r>
      <w:r w:rsidR="00F856D5">
        <w:rPr>
          <w:noProof/>
        </w:rPr>
        <w:t>m</w:t>
      </w:r>
      <w:r w:rsidR="0027785E">
        <w:rPr>
          <w:noProof/>
        </w:rPr>
        <w:t>encement</w:t>
      </w:r>
      <w:r w:rsidR="00F856D5">
        <w:rPr>
          <w:noProof/>
        </w:rPr>
        <w:t xml:space="preserve"> on </w:t>
      </w:r>
      <w:r w:rsidR="00D23223">
        <w:rPr>
          <w:noProof/>
        </w:rPr>
        <w:t>1 January 2022</w:t>
      </w:r>
      <w:r>
        <w:rPr>
          <w:noProof/>
        </w:rPr>
        <w:t xml:space="preserve">. </w:t>
      </w:r>
      <w:r w:rsidR="00C83F8F">
        <w:rPr>
          <w:noProof/>
        </w:rPr>
        <w:t xml:space="preserve">These paragraphs are identical to those being inserted into the COVID-19 Determination. </w:t>
      </w:r>
      <w:r>
        <w:rPr>
          <w:noProof/>
        </w:rPr>
        <w:t xml:space="preserve">When </w:t>
      </w:r>
      <w:r w:rsidR="00401386">
        <w:rPr>
          <w:noProof/>
        </w:rPr>
        <w:t>v</w:t>
      </w:r>
      <w:r>
        <w:rPr>
          <w:noProof/>
        </w:rPr>
        <w:t xml:space="preserve">ideo and </w:t>
      </w:r>
      <w:r w:rsidR="00401386">
        <w:rPr>
          <w:noProof/>
        </w:rPr>
        <w:t>p</w:t>
      </w:r>
      <w:r>
        <w:rPr>
          <w:noProof/>
        </w:rPr>
        <w:t xml:space="preserve">hone MBS services became </w:t>
      </w:r>
      <w:r w:rsidR="00782CA6" w:rsidRPr="00782CA6">
        <w:rPr>
          <w:noProof/>
        </w:rPr>
        <w:t>permanent</w:t>
      </w:r>
      <w:r w:rsidR="00C83F8F">
        <w:rPr>
          <w:noProof/>
        </w:rPr>
        <w:t xml:space="preserve"> rather than temporary,</w:t>
      </w:r>
      <w:r w:rsidR="00782CA6" w:rsidRPr="00782CA6">
        <w:rPr>
          <w:noProof/>
        </w:rPr>
        <w:t xml:space="preserve"> </w:t>
      </w:r>
      <w:r>
        <w:rPr>
          <w:noProof/>
        </w:rPr>
        <w:t>the Teleh</w:t>
      </w:r>
      <w:r w:rsidR="00A84E96">
        <w:rPr>
          <w:noProof/>
        </w:rPr>
        <w:t>e</w:t>
      </w:r>
      <w:r>
        <w:rPr>
          <w:noProof/>
        </w:rPr>
        <w:t>alth Dete</w:t>
      </w:r>
      <w:r w:rsidR="00A84E96">
        <w:rPr>
          <w:noProof/>
        </w:rPr>
        <w:t>r</w:t>
      </w:r>
      <w:r>
        <w:rPr>
          <w:noProof/>
        </w:rPr>
        <w:t xml:space="preserve">mination was </w:t>
      </w:r>
      <w:r w:rsidR="00C15270">
        <w:rPr>
          <w:noProof/>
        </w:rPr>
        <w:t>implemented</w:t>
      </w:r>
      <w:r>
        <w:rPr>
          <w:noProof/>
        </w:rPr>
        <w:t xml:space="preserve"> and the COVID-19 </w:t>
      </w:r>
      <w:r w:rsidR="0027785E">
        <w:rPr>
          <w:noProof/>
        </w:rPr>
        <w:t>D</w:t>
      </w:r>
      <w:r>
        <w:rPr>
          <w:noProof/>
        </w:rPr>
        <w:t>etermination was ceased</w:t>
      </w:r>
      <w:r w:rsidR="00EC45DE">
        <w:rPr>
          <w:noProof/>
        </w:rPr>
        <w:t xml:space="preserve"> </w:t>
      </w:r>
      <w:r w:rsidR="002E4F2C">
        <w:rPr>
          <w:noProof/>
        </w:rPr>
        <w:t>on 31 December 2021</w:t>
      </w:r>
      <w:r w:rsidR="00C15270">
        <w:rPr>
          <w:noProof/>
        </w:rPr>
        <w:t xml:space="preserve">. </w:t>
      </w:r>
      <w:r w:rsidR="00865077">
        <w:rPr>
          <w:noProof/>
        </w:rPr>
        <w:t xml:space="preserve">However, </w:t>
      </w:r>
      <w:r w:rsidR="00C417F6">
        <w:rPr>
          <w:noProof/>
        </w:rPr>
        <w:t>the</w:t>
      </w:r>
      <w:r w:rsidR="004628F5">
        <w:rPr>
          <w:noProof/>
        </w:rPr>
        <w:t xml:space="preserve">se paragraphs </w:t>
      </w:r>
      <w:r w:rsidR="00E17E8E">
        <w:rPr>
          <w:noProof/>
        </w:rPr>
        <w:t xml:space="preserve">were not included in the Telehealth Determination when it was introduced, as they were not </w:t>
      </w:r>
      <w:r w:rsidR="00C15270">
        <w:rPr>
          <w:noProof/>
        </w:rPr>
        <w:t xml:space="preserve">in the </w:t>
      </w:r>
      <w:r w:rsidR="0027785E">
        <w:rPr>
          <w:noProof/>
        </w:rPr>
        <w:t>COVID-19 Determin</w:t>
      </w:r>
      <w:r w:rsidR="00113215">
        <w:rPr>
          <w:noProof/>
        </w:rPr>
        <w:t>a</w:t>
      </w:r>
      <w:r w:rsidR="0027785E">
        <w:rPr>
          <w:noProof/>
        </w:rPr>
        <w:t>tion</w:t>
      </w:r>
      <w:r w:rsidR="00401386">
        <w:rPr>
          <w:noProof/>
        </w:rPr>
        <w:t xml:space="preserve"> at the time i</w:t>
      </w:r>
      <w:r w:rsidR="00E17E8E">
        <w:rPr>
          <w:noProof/>
        </w:rPr>
        <w:t>t</w:t>
      </w:r>
      <w:r w:rsidR="00401386">
        <w:rPr>
          <w:noProof/>
        </w:rPr>
        <w:t xml:space="preserve"> was ceased</w:t>
      </w:r>
      <w:r w:rsidR="00C15270">
        <w:rPr>
          <w:noProof/>
        </w:rPr>
        <w:t xml:space="preserve">. </w:t>
      </w:r>
      <w:r w:rsidR="00E17E8E">
        <w:rPr>
          <w:noProof/>
        </w:rPr>
        <w:t>As such, t</w:t>
      </w:r>
      <w:r w:rsidR="00C15270">
        <w:rPr>
          <w:noProof/>
        </w:rPr>
        <w:t xml:space="preserve">his amendment will </w:t>
      </w:r>
      <w:r w:rsidR="00C15270" w:rsidRPr="00401386">
        <w:rPr>
          <w:noProof/>
          <w:color w:val="000000" w:themeColor="text1"/>
        </w:rPr>
        <w:t>introduce</w:t>
      </w:r>
      <w:r w:rsidR="0027785E" w:rsidRPr="00401386">
        <w:rPr>
          <w:noProof/>
          <w:color w:val="000000" w:themeColor="text1"/>
        </w:rPr>
        <w:t xml:space="preserve"> the p</w:t>
      </w:r>
      <w:r w:rsidR="00113215">
        <w:rPr>
          <w:noProof/>
          <w:color w:val="000000" w:themeColor="text1"/>
        </w:rPr>
        <w:t>a</w:t>
      </w:r>
      <w:r w:rsidR="0027785E" w:rsidRPr="00401386">
        <w:rPr>
          <w:noProof/>
          <w:color w:val="000000" w:themeColor="text1"/>
        </w:rPr>
        <w:t>ragraph</w:t>
      </w:r>
      <w:r w:rsidR="00401386" w:rsidRPr="00401386">
        <w:rPr>
          <w:noProof/>
          <w:color w:val="000000" w:themeColor="text1"/>
        </w:rPr>
        <w:t>s</w:t>
      </w:r>
      <w:r w:rsidR="00C15270" w:rsidRPr="00401386">
        <w:rPr>
          <w:noProof/>
          <w:color w:val="000000" w:themeColor="text1"/>
        </w:rPr>
        <w:t xml:space="preserve"> as if they </w:t>
      </w:r>
      <w:r w:rsidR="00C464B8" w:rsidRPr="00401386">
        <w:rPr>
          <w:noProof/>
          <w:color w:val="000000" w:themeColor="text1"/>
        </w:rPr>
        <w:t>ha</w:t>
      </w:r>
      <w:r w:rsidR="00E17E8E">
        <w:rPr>
          <w:noProof/>
          <w:color w:val="000000" w:themeColor="text1"/>
        </w:rPr>
        <w:t>d</w:t>
      </w:r>
      <w:r w:rsidR="00C464B8" w:rsidRPr="00401386">
        <w:rPr>
          <w:noProof/>
          <w:color w:val="000000" w:themeColor="text1"/>
        </w:rPr>
        <w:t xml:space="preserve"> been in the </w:t>
      </w:r>
      <w:r w:rsidR="00E17E8E">
        <w:rPr>
          <w:noProof/>
          <w:color w:val="000000" w:themeColor="text1"/>
        </w:rPr>
        <w:t>Telehealth Determination</w:t>
      </w:r>
      <w:r w:rsidR="00C464B8" w:rsidRPr="00401386">
        <w:rPr>
          <w:noProof/>
          <w:color w:val="000000" w:themeColor="text1"/>
        </w:rPr>
        <w:t xml:space="preserve"> from com</w:t>
      </w:r>
      <w:r w:rsidR="00113215">
        <w:rPr>
          <w:noProof/>
          <w:color w:val="000000" w:themeColor="text1"/>
        </w:rPr>
        <w:t>m</w:t>
      </w:r>
      <w:r w:rsidR="00C464B8" w:rsidRPr="00401386">
        <w:rPr>
          <w:noProof/>
          <w:color w:val="000000" w:themeColor="text1"/>
        </w:rPr>
        <w:t>encement.</w:t>
      </w:r>
    </w:p>
    <w:p w14:paraId="2FF71919" w14:textId="77777777" w:rsidR="00DE2A33" w:rsidRDefault="00DE2A33" w:rsidP="0039170C">
      <w:pPr>
        <w:ind w:right="-483"/>
        <w:rPr>
          <w:noProof/>
          <w:color w:val="000000" w:themeColor="text1"/>
        </w:rPr>
      </w:pPr>
    </w:p>
    <w:p w14:paraId="242AE950" w14:textId="5AACDC41" w:rsidR="00DE2A33" w:rsidRPr="00E17E8E" w:rsidRDefault="00DE2A33" w:rsidP="0039170C">
      <w:pPr>
        <w:ind w:right="-483"/>
        <w:rPr>
          <w:noProof/>
        </w:rPr>
      </w:pPr>
      <w:r>
        <w:rPr>
          <w:noProof/>
          <w:color w:val="000000" w:themeColor="text1"/>
        </w:rPr>
        <w:t>Although the amendments have retrospective effect, the</w:t>
      </w:r>
      <w:r w:rsidR="007E6896">
        <w:rPr>
          <w:noProof/>
          <w:color w:val="000000" w:themeColor="text1"/>
        </w:rPr>
        <w:t xml:space="preserve"> retrospectivity will not </w:t>
      </w:r>
      <w:r w:rsidR="009F04AD">
        <w:rPr>
          <w:noProof/>
          <w:color w:val="000000" w:themeColor="text1"/>
        </w:rPr>
        <w:t xml:space="preserve">disadvantage any person’s rights or impose liabilities on a person other than the Commonwealth. Instead, </w:t>
      </w:r>
      <w:r w:rsidR="005724E0">
        <w:rPr>
          <w:noProof/>
          <w:color w:val="000000" w:themeColor="text1"/>
        </w:rPr>
        <w:t>the retrospective operation will address any inadvertent impacts on AMDS access to non-urgent after-hours telehealth services</w:t>
      </w:r>
      <w:r w:rsidR="00B4737F">
        <w:rPr>
          <w:noProof/>
          <w:color w:val="000000" w:themeColor="text1"/>
        </w:rPr>
        <w:t xml:space="preserve">, and will ensure that any </w:t>
      </w:r>
      <w:r w:rsidR="00EB4499">
        <w:rPr>
          <w:noProof/>
          <w:color w:val="000000" w:themeColor="text1"/>
        </w:rPr>
        <w:t>claims of affected MBS telehealth items</w:t>
      </w:r>
      <w:r w:rsidR="00876002">
        <w:rPr>
          <w:noProof/>
          <w:color w:val="000000" w:themeColor="text1"/>
        </w:rPr>
        <w:t xml:space="preserve"> based on the AMDS clauses that were inadvertently removed</w:t>
      </w:r>
      <w:r w:rsidR="00EB4499">
        <w:rPr>
          <w:noProof/>
          <w:color w:val="000000" w:themeColor="text1"/>
        </w:rPr>
        <w:t xml:space="preserve"> will be validated. </w:t>
      </w:r>
      <w:r w:rsidR="00B621C4">
        <w:rPr>
          <w:noProof/>
          <w:color w:val="000000" w:themeColor="text1"/>
        </w:rPr>
        <w:t xml:space="preserve">As such, the </w:t>
      </w:r>
      <w:r w:rsidR="0051508F">
        <w:rPr>
          <w:noProof/>
          <w:color w:val="000000" w:themeColor="text1"/>
        </w:rPr>
        <w:t>Amendment Determination</w:t>
      </w:r>
      <w:r w:rsidR="00B621C4">
        <w:rPr>
          <w:noProof/>
          <w:color w:val="000000" w:themeColor="text1"/>
        </w:rPr>
        <w:t xml:space="preserve"> does not trespass unduly on personal rights and liberties, in alignment </w:t>
      </w:r>
      <w:r w:rsidR="00B621C4" w:rsidRPr="00E63E16">
        <w:rPr>
          <w:color w:val="000000"/>
          <w:szCs w:val="24"/>
        </w:rPr>
        <w:t>with principle (</w:t>
      </w:r>
      <w:r w:rsidR="00B621C4">
        <w:rPr>
          <w:color w:val="000000"/>
          <w:szCs w:val="24"/>
        </w:rPr>
        <w:t>h</w:t>
      </w:r>
      <w:r w:rsidR="00B621C4" w:rsidRPr="00E63E16">
        <w:rPr>
          <w:color w:val="000000"/>
          <w:szCs w:val="24"/>
        </w:rPr>
        <w:t>) of the Senate Standing Committee for the Scrutiny of Delegated Legislation</w:t>
      </w:r>
      <w:r w:rsidR="00B621C4">
        <w:rPr>
          <w:color w:val="000000"/>
          <w:szCs w:val="24"/>
        </w:rPr>
        <w:t xml:space="preserve"> Guidelines (the Guidelines).</w:t>
      </w:r>
    </w:p>
    <w:p w14:paraId="2412D131" w14:textId="27EF2D7D" w:rsidR="001865F8" w:rsidRPr="00C67BC7" w:rsidRDefault="00A1739A" w:rsidP="00D46EB9">
      <w:pPr>
        <w:shd w:val="clear" w:color="auto" w:fill="FFFFFF"/>
        <w:spacing w:before="100" w:beforeAutospacing="1"/>
        <w:rPr>
          <w:rFonts w:ascii="Helvetica Neue" w:hAnsi="Helvetica Neue"/>
          <w:szCs w:val="24"/>
          <w:lang w:val="en-US"/>
        </w:rPr>
      </w:pPr>
      <w:r w:rsidRPr="00A853D1">
        <w:rPr>
          <w:b/>
        </w:rPr>
        <w:t>Consultation</w:t>
      </w:r>
    </w:p>
    <w:p w14:paraId="39B9C0AB" w14:textId="36617E6F" w:rsidR="00E63E16" w:rsidRPr="00E63E16" w:rsidRDefault="00E63E16" w:rsidP="00E63E16">
      <w:pPr>
        <w:shd w:val="clear" w:color="auto" w:fill="FFFFFF"/>
        <w:rPr>
          <w:color w:val="000000"/>
          <w:szCs w:val="24"/>
        </w:rPr>
      </w:pPr>
      <w:r w:rsidRPr="00E63E16">
        <w:rPr>
          <w:color w:val="000000"/>
          <w:szCs w:val="24"/>
        </w:rPr>
        <w:t xml:space="preserve">Consultation was not undertaken in relation to this change, as </w:t>
      </w:r>
      <w:r>
        <w:rPr>
          <w:color w:val="000000"/>
          <w:szCs w:val="24"/>
        </w:rPr>
        <w:t xml:space="preserve">the amendments are considered </w:t>
      </w:r>
      <w:r>
        <w:rPr>
          <w:bCs/>
          <w:iCs/>
          <w:szCs w:val="24"/>
        </w:rPr>
        <w:t>administrative in nature</w:t>
      </w:r>
      <w:r w:rsidR="00BD0A2D">
        <w:rPr>
          <w:bCs/>
          <w:iCs/>
          <w:szCs w:val="24"/>
        </w:rPr>
        <w:t xml:space="preserve"> and are giving effect to the original policy intent</w:t>
      </w:r>
      <w:r w:rsidRPr="00E63E16">
        <w:rPr>
          <w:color w:val="000000"/>
          <w:szCs w:val="24"/>
        </w:rPr>
        <w:t xml:space="preserve">. There is no impact on the practical arrangements for services provided under </w:t>
      </w:r>
      <w:r>
        <w:rPr>
          <w:color w:val="000000"/>
          <w:szCs w:val="24"/>
        </w:rPr>
        <w:t xml:space="preserve">restrictions to a </w:t>
      </w:r>
      <w:r w:rsidR="00401386">
        <w:rPr>
          <w:color w:val="000000"/>
          <w:szCs w:val="24"/>
        </w:rPr>
        <w:t>patient’s</w:t>
      </w:r>
      <w:r>
        <w:rPr>
          <w:color w:val="000000"/>
          <w:szCs w:val="24"/>
        </w:rPr>
        <w:t xml:space="preserve"> u</w:t>
      </w:r>
      <w:r w:rsidRPr="00E63E16">
        <w:rPr>
          <w:color w:val="000000"/>
          <w:szCs w:val="24"/>
        </w:rPr>
        <w:t xml:space="preserve">sual </w:t>
      </w:r>
      <w:r>
        <w:rPr>
          <w:color w:val="000000"/>
          <w:szCs w:val="24"/>
        </w:rPr>
        <w:t>m</w:t>
      </w:r>
      <w:r w:rsidRPr="00E63E16">
        <w:rPr>
          <w:color w:val="000000"/>
          <w:szCs w:val="24"/>
        </w:rPr>
        <w:t xml:space="preserve">edical </w:t>
      </w:r>
      <w:r>
        <w:rPr>
          <w:color w:val="000000"/>
          <w:szCs w:val="24"/>
        </w:rPr>
        <w:t>p</w:t>
      </w:r>
      <w:r w:rsidRPr="00E63E16">
        <w:rPr>
          <w:color w:val="000000"/>
          <w:szCs w:val="24"/>
        </w:rPr>
        <w:t>ractitioner, and Medicare will continue to subsidise these services.</w:t>
      </w:r>
      <w:r w:rsidR="00DC72DD">
        <w:rPr>
          <w:color w:val="000000"/>
          <w:szCs w:val="24"/>
        </w:rPr>
        <w:t xml:space="preserve"> </w:t>
      </w:r>
      <w:r w:rsidRPr="00E63E16">
        <w:rPr>
          <w:color w:val="000000"/>
          <w:szCs w:val="24"/>
        </w:rPr>
        <w:t xml:space="preserve">This aligns with principle (d) of the </w:t>
      </w:r>
      <w:r w:rsidR="001B17EB">
        <w:rPr>
          <w:color w:val="000000"/>
          <w:szCs w:val="24"/>
        </w:rPr>
        <w:t>Guidelines</w:t>
      </w:r>
      <w:r w:rsidRPr="00E63E16">
        <w:rPr>
          <w:color w:val="000000"/>
          <w:szCs w:val="24"/>
        </w:rPr>
        <w:t>, which requires justification where consultation has not occurred with stakeholders likely to be affected.</w:t>
      </w:r>
    </w:p>
    <w:p w14:paraId="237ACAE6" w14:textId="77777777" w:rsidR="00E63E16" w:rsidRDefault="00E63E16" w:rsidP="002806A1">
      <w:pPr>
        <w:shd w:val="clear" w:color="auto" w:fill="FFFFFF"/>
        <w:rPr>
          <w:color w:val="000000"/>
          <w:szCs w:val="24"/>
        </w:rPr>
      </w:pPr>
    </w:p>
    <w:p w14:paraId="2412D134" w14:textId="2AA9F85C" w:rsidR="00967E51" w:rsidRPr="00A853D1" w:rsidRDefault="005C394E" w:rsidP="000337CB">
      <w:pPr>
        <w:rPr>
          <w:szCs w:val="24"/>
        </w:rPr>
      </w:pPr>
      <w:r>
        <w:rPr>
          <w:szCs w:val="24"/>
        </w:rPr>
        <w:t>T</w:t>
      </w:r>
      <w:r w:rsidRPr="00A853D1">
        <w:rPr>
          <w:szCs w:val="24"/>
        </w:rPr>
        <w:t xml:space="preserve">he </w:t>
      </w:r>
      <w:r w:rsidR="00A46210">
        <w:rPr>
          <w:szCs w:val="24"/>
        </w:rPr>
        <w:t xml:space="preserve">Amendment </w:t>
      </w:r>
      <w:r w:rsidRPr="00A853D1">
        <w:rPr>
          <w:szCs w:val="24"/>
        </w:rPr>
        <w:t xml:space="preserve">Determination is a legislative instrument for the purposes of the </w:t>
      </w:r>
      <w:r w:rsidRPr="00A853D1">
        <w:rPr>
          <w:i/>
        </w:rPr>
        <w:t>Legislation Act 2003</w:t>
      </w:r>
      <w:r w:rsidRPr="00A853D1">
        <w:rPr>
          <w:szCs w:val="24"/>
        </w:rPr>
        <w:t>.</w:t>
      </w:r>
    </w:p>
    <w:p w14:paraId="3BD705BF" w14:textId="04D26253" w:rsidR="00E63E16" w:rsidRPr="00E63E16" w:rsidRDefault="00E63E16" w:rsidP="006C138D">
      <w:pPr>
        <w:tabs>
          <w:tab w:val="left" w:pos="567"/>
        </w:tabs>
        <w:spacing w:before="240"/>
        <w:rPr>
          <w:szCs w:val="24"/>
        </w:rPr>
      </w:pPr>
      <w:r w:rsidRPr="00E63E16">
        <w:rPr>
          <w:szCs w:val="24"/>
        </w:rPr>
        <w:t>Sections 1 to 4 of the Amendment Determination will commence the day after the registration of this instrument. Schedule 1</w:t>
      </w:r>
      <w:r>
        <w:rPr>
          <w:szCs w:val="24"/>
        </w:rPr>
        <w:t xml:space="preserve"> </w:t>
      </w:r>
      <w:r w:rsidR="002B346A">
        <w:rPr>
          <w:szCs w:val="24"/>
        </w:rPr>
        <w:t xml:space="preserve">is taken to have </w:t>
      </w:r>
      <w:r w:rsidRPr="00E63E16">
        <w:rPr>
          <w:szCs w:val="24"/>
        </w:rPr>
        <w:t>commence</w:t>
      </w:r>
      <w:r w:rsidR="002B346A">
        <w:rPr>
          <w:szCs w:val="24"/>
        </w:rPr>
        <w:t>d</w:t>
      </w:r>
      <w:r w:rsidRPr="00E63E16">
        <w:rPr>
          <w:szCs w:val="24"/>
        </w:rPr>
        <w:t xml:space="preserve"> immediately after</w:t>
      </w:r>
      <w:r>
        <w:rPr>
          <w:szCs w:val="24"/>
        </w:rPr>
        <w:t xml:space="preserve"> the commencement of </w:t>
      </w:r>
      <w:r w:rsidRPr="00E63E16">
        <w:rPr>
          <w:szCs w:val="24"/>
        </w:rPr>
        <w:t>the</w:t>
      </w:r>
      <w:r w:rsidR="00882A19">
        <w:rPr>
          <w:szCs w:val="24"/>
        </w:rPr>
        <w:t xml:space="preserve"> COVID-19 Amendment Determination</w:t>
      </w:r>
      <w:r w:rsidR="00945C9E">
        <w:rPr>
          <w:szCs w:val="24"/>
        </w:rPr>
        <w:t>, which was on 1 July 2021</w:t>
      </w:r>
      <w:r w:rsidRPr="00E63E16">
        <w:rPr>
          <w:szCs w:val="24"/>
        </w:rPr>
        <w:t xml:space="preserve">. Schedule 2 </w:t>
      </w:r>
      <w:r w:rsidR="00945C9E">
        <w:rPr>
          <w:szCs w:val="24"/>
        </w:rPr>
        <w:t xml:space="preserve">is taken to have </w:t>
      </w:r>
      <w:r w:rsidRPr="00E63E16">
        <w:rPr>
          <w:szCs w:val="24"/>
        </w:rPr>
        <w:t>commence</w:t>
      </w:r>
      <w:r w:rsidR="00945C9E">
        <w:rPr>
          <w:szCs w:val="24"/>
        </w:rPr>
        <w:t>d</w:t>
      </w:r>
      <w:r w:rsidRPr="00E63E16">
        <w:rPr>
          <w:szCs w:val="24"/>
        </w:rPr>
        <w:t xml:space="preserve"> immediately after commencement of the </w:t>
      </w:r>
      <w:r w:rsidR="00882A19">
        <w:rPr>
          <w:szCs w:val="24"/>
        </w:rPr>
        <w:t xml:space="preserve">Telehealth Determination, </w:t>
      </w:r>
      <w:r w:rsidR="00945C9E">
        <w:rPr>
          <w:szCs w:val="24"/>
        </w:rPr>
        <w:t>which was on 1 January 2022</w:t>
      </w:r>
      <w:r>
        <w:rPr>
          <w:szCs w:val="24"/>
        </w:rPr>
        <w:t>.</w:t>
      </w:r>
    </w:p>
    <w:p w14:paraId="2412D135" w14:textId="5C02FC3F" w:rsidR="006C138D" w:rsidRPr="00A853D1" w:rsidRDefault="005C394E" w:rsidP="006C138D">
      <w:pPr>
        <w:tabs>
          <w:tab w:val="left" w:pos="567"/>
        </w:tabs>
        <w:spacing w:before="240"/>
        <w:rPr>
          <w:szCs w:val="24"/>
        </w:rPr>
      </w:pPr>
      <w:r w:rsidRPr="00A853D1">
        <w:rPr>
          <w:szCs w:val="24"/>
        </w:rPr>
        <w:t xml:space="preserve">Details of the </w:t>
      </w:r>
      <w:r w:rsidR="00A46210">
        <w:rPr>
          <w:szCs w:val="24"/>
        </w:rPr>
        <w:t xml:space="preserve">Amendment </w:t>
      </w:r>
      <w:r w:rsidRPr="00A853D1">
        <w:rPr>
          <w:szCs w:val="24"/>
        </w:rPr>
        <w:t xml:space="preserve">Determination are set out in the </w:t>
      </w:r>
      <w:r w:rsidRPr="00A853D1">
        <w:rPr>
          <w:szCs w:val="24"/>
          <w:u w:val="single"/>
        </w:rPr>
        <w:t>Attachment</w:t>
      </w:r>
      <w:r w:rsidRPr="00A853D1">
        <w:rPr>
          <w:szCs w:val="24"/>
        </w:rPr>
        <w:t>.</w:t>
      </w:r>
    </w:p>
    <w:p w14:paraId="6FA5EA70" w14:textId="77777777" w:rsidR="005C394E" w:rsidRPr="00A853D1" w:rsidRDefault="005C394E" w:rsidP="00574E71">
      <w:pPr>
        <w:rPr>
          <w:szCs w:val="24"/>
        </w:rPr>
      </w:pPr>
    </w:p>
    <w:p w14:paraId="2412D139" w14:textId="21476EBD" w:rsidR="00A1739A" w:rsidRPr="00A853D1" w:rsidRDefault="00A1739A" w:rsidP="005C394E">
      <w:pPr>
        <w:rPr>
          <w:szCs w:val="24"/>
        </w:rPr>
      </w:pPr>
      <w:r w:rsidRPr="00A853D1">
        <w:rPr>
          <w:szCs w:val="24"/>
        </w:rPr>
        <w:t xml:space="preserve">        </w:t>
      </w:r>
    </w:p>
    <w:p w14:paraId="2412D13A" w14:textId="77777777" w:rsidR="00A1739A" w:rsidRPr="00A853D1" w:rsidRDefault="00A1739A" w:rsidP="000337CB">
      <w:pPr>
        <w:ind w:left="6663" w:hanging="3119"/>
        <w:rPr>
          <w:szCs w:val="24"/>
        </w:rPr>
      </w:pPr>
      <w:r w:rsidRPr="00A853D1">
        <w:rPr>
          <w:szCs w:val="24"/>
          <w:u w:val="single"/>
        </w:rPr>
        <w:t>Authority</w:t>
      </w:r>
      <w:r w:rsidR="00967E51" w:rsidRPr="00A853D1">
        <w:rPr>
          <w:szCs w:val="24"/>
        </w:rPr>
        <w:t xml:space="preserve">:     Subsection </w:t>
      </w:r>
      <w:r w:rsidRPr="00A853D1">
        <w:rPr>
          <w:szCs w:val="24"/>
        </w:rPr>
        <w:t>3</w:t>
      </w:r>
      <w:proofErr w:type="gramStart"/>
      <w:r w:rsidR="00967E51" w:rsidRPr="00A853D1">
        <w:rPr>
          <w:szCs w:val="24"/>
        </w:rPr>
        <w:t>C</w:t>
      </w:r>
      <w:r w:rsidRPr="00A853D1">
        <w:rPr>
          <w:szCs w:val="24"/>
        </w:rPr>
        <w:t>(</w:t>
      </w:r>
      <w:proofErr w:type="gramEnd"/>
      <w:r w:rsidRPr="00A853D1">
        <w:rPr>
          <w:szCs w:val="24"/>
        </w:rPr>
        <w:t xml:space="preserve">1) of the </w:t>
      </w:r>
    </w:p>
    <w:p w14:paraId="2412D13B" w14:textId="0596CD30" w:rsidR="00A1739A" w:rsidRPr="00A853D1" w:rsidRDefault="00A1739A" w:rsidP="000337CB">
      <w:pPr>
        <w:tabs>
          <w:tab w:val="left" w:pos="4820"/>
        </w:tabs>
        <w:rPr>
          <w:szCs w:val="24"/>
        </w:rPr>
        <w:sectPr w:rsidR="00A1739A" w:rsidRPr="00A853D1" w:rsidSect="00235B6C">
          <w:headerReference w:type="even" r:id="rId11"/>
          <w:headerReference w:type="default" r:id="rId12"/>
          <w:footerReference w:type="even" r:id="rId13"/>
          <w:headerReference w:type="first" r:id="rId14"/>
          <w:footerReference w:type="first" r:id="rId15"/>
          <w:pgSz w:w="11906" w:h="16838"/>
          <w:pgMar w:top="1440" w:right="1800" w:bottom="1135" w:left="1800" w:header="708" w:footer="708" w:gutter="0"/>
          <w:pgNumType w:start="1"/>
          <w:cols w:space="708"/>
          <w:docGrid w:linePitch="360"/>
        </w:sectPr>
      </w:pPr>
      <w:r w:rsidRPr="00A853D1">
        <w:rPr>
          <w:i/>
          <w:szCs w:val="24"/>
        </w:rPr>
        <w:tab/>
        <w:t>Health Insurance Act 1973</w:t>
      </w:r>
    </w:p>
    <w:p w14:paraId="2412D13D" w14:textId="77777777" w:rsidR="006D5816" w:rsidRPr="00215191" w:rsidRDefault="006D5816" w:rsidP="000337CB">
      <w:pPr>
        <w:pStyle w:val="BodyText"/>
        <w:jc w:val="right"/>
        <w:rPr>
          <w:szCs w:val="24"/>
        </w:rPr>
      </w:pPr>
      <w:r w:rsidRPr="00215191">
        <w:rPr>
          <w:szCs w:val="24"/>
        </w:rPr>
        <w:lastRenderedPageBreak/>
        <w:t>ATTACHMENT</w:t>
      </w:r>
    </w:p>
    <w:p w14:paraId="2412D13E" w14:textId="77777777" w:rsidR="006D5816" w:rsidRPr="00A971E1" w:rsidRDefault="006D5816" w:rsidP="000337CB">
      <w:pPr>
        <w:pStyle w:val="BodyText"/>
        <w:rPr>
          <w:b w:val="0"/>
          <w:bCs/>
          <w:szCs w:val="24"/>
          <w:u w:val="single"/>
        </w:rPr>
      </w:pPr>
    </w:p>
    <w:p w14:paraId="5B0C808A" w14:textId="3F110CD4" w:rsidR="00215191" w:rsidRPr="00291852" w:rsidRDefault="00A41364" w:rsidP="00186752">
      <w:pPr>
        <w:pStyle w:val="BodyText"/>
        <w:rPr>
          <w:i/>
          <w:iCs/>
        </w:rPr>
      </w:pPr>
      <w:r w:rsidRPr="00291852">
        <w:rPr>
          <w:szCs w:val="24"/>
        </w:rPr>
        <w:t xml:space="preserve">Details of the </w:t>
      </w:r>
      <w:r w:rsidR="00F83675" w:rsidRPr="00F83675">
        <w:rPr>
          <w:i/>
          <w:iCs/>
        </w:rPr>
        <w:t>Health Insurance Legislation Amendments (Usual Medical Practitioner) Determination 2025</w:t>
      </w:r>
    </w:p>
    <w:p w14:paraId="7BBEB147" w14:textId="720F9678" w:rsidR="00E70355" w:rsidRPr="00A971E1" w:rsidRDefault="00E70355" w:rsidP="000337CB">
      <w:pPr>
        <w:pStyle w:val="BodyText"/>
        <w:rPr>
          <w:b w:val="0"/>
          <w:iCs/>
          <w:szCs w:val="24"/>
        </w:rPr>
      </w:pPr>
    </w:p>
    <w:p w14:paraId="2412D141" w14:textId="7C34D5F4" w:rsidR="00FE02C2" w:rsidRPr="00291852" w:rsidRDefault="001B0111" w:rsidP="000337CB">
      <w:pPr>
        <w:pStyle w:val="BodyText"/>
        <w:rPr>
          <w:b w:val="0"/>
          <w:szCs w:val="24"/>
          <w:u w:val="single"/>
        </w:rPr>
      </w:pPr>
      <w:r w:rsidRPr="00291852">
        <w:rPr>
          <w:b w:val="0"/>
          <w:szCs w:val="24"/>
          <w:u w:val="single"/>
        </w:rPr>
        <w:t>Section 1 – Name</w:t>
      </w:r>
    </w:p>
    <w:p w14:paraId="2412D142" w14:textId="77777777" w:rsidR="00FE02C2" w:rsidRPr="00291852" w:rsidRDefault="00FE02C2" w:rsidP="000337CB">
      <w:pPr>
        <w:pStyle w:val="BodyText"/>
        <w:rPr>
          <w:b w:val="0"/>
          <w:szCs w:val="24"/>
          <w:u w:val="single"/>
        </w:rPr>
      </w:pPr>
    </w:p>
    <w:p w14:paraId="2412D144" w14:textId="052F5736" w:rsidR="00F83B6F" w:rsidRPr="00291852" w:rsidRDefault="00BC7397" w:rsidP="47F77DFF">
      <w:pPr>
        <w:pStyle w:val="BodyText"/>
      </w:pPr>
      <w:r w:rsidRPr="00291852">
        <w:rPr>
          <w:b w:val="0"/>
        </w:rPr>
        <w:t>S</w:t>
      </w:r>
      <w:r w:rsidR="00FE02C2" w:rsidRPr="00291852">
        <w:rPr>
          <w:b w:val="0"/>
        </w:rPr>
        <w:t xml:space="preserve">ection </w:t>
      </w:r>
      <w:r w:rsidRPr="00291852">
        <w:rPr>
          <w:b w:val="0"/>
        </w:rPr>
        <w:t xml:space="preserve">1 </w:t>
      </w:r>
      <w:r w:rsidR="00FE02C2" w:rsidRPr="00291852">
        <w:rPr>
          <w:b w:val="0"/>
        </w:rPr>
        <w:t>provides</w:t>
      </w:r>
      <w:r w:rsidR="008B683E" w:rsidRPr="00291852">
        <w:rPr>
          <w:b w:val="0"/>
        </w:rPr>
        <w:t xml:space="preserve"> for the </w:t>
      </w:r>
      <w:r w:rsidR="008B2094" w:rsidRPr="00291852">
        <w:rPr>
          <w:b w:val="0"/>
        </w:rPr>
        <w:t>Determination</w:t>
      </w:r>
      <w:r w:rsidR="00FE02C2" w:rsidRPr="00291852">
        <w:rPr>
          <w:b w:val="0"/>
        </w:rPr>
        <w:t xml:space="preserve"> to be referred to as the </w:t>
      </w:r>
      <w:r w:rsidR="00F83675" w:rsidRPr="00F83675">
        <w:rPr>
          <w:b w:val="0"/>
          <w:i/>
          <w:iCs/>
        </w:rPr>
        <w:t>Health Insurance Legislation Amendments (Usual Medical Practitioner) Determination 2025</w:t>
      </w:r>
      <w:r w:rsidR="00A46210">
        <w:rPr>
          <w:b w:val="0"/>
          <w:i/>
          <w:iCs/>
        </w:rPr>
        <w:t xml:space="preserve"> </w:t>
      </w:r>
      <w:r w:rsidR="00A46210">
        <w:rPr>
          <w:b w:val="0"/>
        </w:rPr>
        <w:t>(Amendment Determination)</w:t>
      </w:r>
      <w:r w:rsidR="00D65847" w:rsidRPr="00291852">
        <w:rPr>
          <w:b w:val="0"/>
        </w:rPr>
        <w:t>.</w:t>
      </w:r>
    </w:p>
    <w:p w14:paraId="68DAA207" w14:textId="77777777" w:rsidR="00FD602D" w:rsidRPr="00FD602D" w:rsidRDefault="00FD602D" w:rsidP="00FD602D"/>
    <w:p w14:paraId="49D1E050" w14:textId="77777777" w:rsidR="007A4089" w:rsidRPr="00215191" w:rsidRDefault="00FE02C2" w:rsidP="000337CB">
      <w:pPr>
        <w:pStyle w:val="BodyText"/>
        <w:rPr>
          <w:b w:val="0"/>
          <w:szCs w:val="24"/>
          <w:u w:val="single"/>
        </w:rPr>
      </w:pPr>
      <w:r w:rsidRPr="00215191">
        <w:rPr>
          <w:b w:val="0"/>
          <w:szCs w:val="24"/>
          <w:u w:val="single"/>
        </w:rPr>
        <w:t xml:space="preserve">Section 2 – Commencement </w:t>
      </w:r>
    </w:p>
    <w:p w14:paraId="2DCE2ED0" w14:textId="77777777" w:rsidR="007A4089" w:rsidRPr="00215191" w:rsidRDefault="007A4089" w:rsidP="000337CB">
      <w:pPr>
        <w:pStyle w:val="BodyText"/>
        <w:rPr>
          <w:b w:val="0"/>
          <w:szCs w:val="24"/>
          <w:u w:val="single"/>
        </w:rPr>
      </w:pPr>
    </w:p>
    <w:p w14:paraId="63BE565D" w14:textId="639B0946" w:rsidR="00BD6BAA" w:rsidRDefault="00BD6BAA" w:rsidP="000337CB">
      <w:pPr>
        <w:pStyle w:val="BodyText"/>
        <w:rPr>
          <w:b w:val="0"/>
          <w:szCs w:val="24"/>
        </w:rPr>
      </w:pPr>
      <w:r w:rsidRPr="00BD6BAA">
        <w:rPr>
          <w:b w:val="0"/>
          <w:szCs w:val="24"/>
        </w:rPr>
        <w:t>Section 2 provides for sections 1 to 4 (together with anything in the Amendment Determination not elsewhere covered by this section) to commence the day after registration of this instrument. Schedule</w:t>
      </w:r>
      <w:r>
        <w:rPr>
          <w:b w:val="0"/>
          <w:szCs w:val="24"/>
        </w:rPr>
        <w:t xml:space="preserve"> 1 </w:t>
      </w:r>
      <w:r w:rsidR="008559F4">
        <w:rPr>
          <w:b w:val="0"/>
          <w:szCs w:val="24"/>
        </w:rPr>
        <w:t xml:space="preserve">is taken to have </w:t>
      </w:r>
      <w:r>
        <w:rPr>
          <w:b w:val="0"/>
          <w:szCs w:val="24"/>
        </w:rPr>
        <w:t>commence</w:t>
      </w:r>
      <w:r w:rsidR="008559F4">
        <w:rPr>
          <w:b w:val="0"/>
          <w:szCs w:val="24"/>
        </w:rPr>
        <w:t>d</w:t>
      </w:r>
      <w:r>
        <w:rPr>
          <w:b w:val="0"/>
          <w:szCs w:val="24"/>
        </w:rPr>
        <w:t xml:space="preserve"> immediately after the</w:t>
      </w:r>
      <w:r w:rsidRPr="00BD6BAA">
        <w:rPr>
          <w:b w:val="0"/>
          <w:szCs w:val="24"/>
        </w:rPr>
        <w:t xml:space="preserve"> commencement of the </w:t>
      </w:r>
      <w:r w:rsidRPr="00BD6BAA">
        <w:rPr>
          <w:b w:val="0"/>
          <w:i/>
          <w:iCs/>
          <w:szCs w:val="24"/>
        </w:rPr>
        <w:t>Health Insurance Legislation Amendment (Section 3C General Medical Services – Medicare Indexation and Extension of Remote Service Options) Determination 2021</w:t>
      </w:r>
      <w:r w:rsidR="008559F4">
        <w:rPr>
          <w:b w:val="0"/>
          <w:szCs w:val="24"/>
        </w:rPr>
        <w:t>, on 1 July 2021</w:t>
      </w:r>
      <w:r>
        <w:rPr>
          <w:b w:val="0"/>
          <w:szCs w:val="24"/>
        </w:rPr>
        <w:t xml:space="preserve">. </w:t>
      </w:r>
      <w:r w:rsidRPr="00BD6BAA">
        <w:rPr>
          <w:b w:val="0"/>
          <w:szCs w:val="24"/>
        </w:rPr>
        <w:t>Schedule</w:t>
      </w:r>
      <w:r>
        <w:rPr>
          <w:b w:val="0"/>
          <w:szCs w:val="24"/>
        </w:rPr>
        <w:t xml:space="preserve"> 2</w:t>
      </w:r>
      <w:r w:rsidR="008559F4">
        <w:rPr>
          <w:b w:val="0"/>
          <w:szCs w:val="24"/>
        </w:rPr>
        <w:t xml:space="preserve"> is taken to have</w:t>
      </w:r>
      <w:r>
        <w:rPr>
          <w:b w:val="0"/>
          <w:szCs w:val="24"/>
        </w:rPr>
        <w:t xml:space="preserve"> commence</w:t>
      </w:r>
      <w:r w:rsidR="008559F4">
        <w:rPr>
          <w:b w:val="0"/>
          <w:szCs w:val="24"/>
        </w:rPr>
        <w:t>d</w:t>
      </w:r>
      <w:r>
        <w:rPr>
          <w:b w:val="0"/>
          <w:szCs w:val="24"/>
        </w:rPr>
        <w:t xml:space="preserve"> immediately after the</w:t>
      </w:r>
      <w:r w:rsidRPr="00BD6BAA">
        <w:rPr>
          <w:b w:val="0"/>
          <w:szCs w:val="24"/>
        </w:rPr>
        <w:t xml:space="preserve"> commencement of the </w:t>
      </w:r>
      <w:r w:rsidRPr="00BD6BAA">
        <w:rPr>
          <w:b w:val="0"/>
          <w:i/>
          <w:iCs/>
          <w:szCs w:val="24"/>
        </w:rPr>
        <w:t xml:space="preserve">Health Insurance (Section 3C General Medical Services – Telehealth and Telephone Attendances) Determination </w:t>
      </w:r>
      <w:r w:rsidRPr="008559F4">
        <w:rPr>
          <w:b w:val="0"/>
          <w:i/>
          <w:iCs/>
          <w:szCs w:val="24"/>
        </w:rPr>
        <w:t>2021</w:t>
      </w:r>
      <w:r w:rsidR="00C418AC">
        <w:rPr>
          <w:b w:val="0"/>
          <w:i/>
          <w:iCs/>
          <w:szCs w:val="24"/>
        </w:rPr>
        <w:t xml:space="preserve"> </w:t>
      </w:r>
      <w:r w:rsidR="00C418AC">
        <w:rPr>
          <w:b w:val="0"/>
          <w:szCs w:val="24"/>
        </w:rPr>
        <w:t>(Telehealth Determination)</w:t>
      </w:r>
      <w:r w:rsidR="008559F4">
        <w:rPr>
          <w:b w:val="0"/>
          <w:szCs w:val="24"/>
        </w:rPr>
        <w:t>, on 1 January 2022</w:t>
      </w:r>
      <w:r>
        <w:rPr>
          <w:b w:val="0"/>
          <w:szCs w:val="24"/>
        </w:rPr>
        <w:t>.</w:t>
      </w:r>
    </w:p>
    <w:p w14:paraId="6FBEDE9C" w14:textId="77777777" w:rsidR="00BD6BAA" w:rsidRDefault="00BD6BAA" w:rsidP="000337CB">
      <w:pPr>
        <w:pStyle w:val="BodyText"/>
        <w:rPr>
          <w:b w:val="0"/>
          <w:szCs w:val="24"/>
        </w:rPr>
      </w:pPr>
    </w:p>
    <w:p w14:paraId="005D5660" w14:textId="180415A3" w:rsidR="007A4089" w:rsidRPr="00215191" w:rsidRDefault="00FE02C2" w:rsidP="000337CB">
      <w:pPr>
        <w:pStyle w:val="BodyText"/>
        <w:rPr>
          <w:b w:val="0"/>
          <w:szCs w:val="24"/>
          <w:u w:val="single"/>
        </w:rPr>
      </w:pPr>
      <w:r w:rsidRPr="00BD6BAA">
        <w:rPr>
          <w:b w:val="0"/>
          <w:szCs w:val="24"/>
          <w:u w:val="single"/>
        </w:rPr>
        <w:t>Section</w:t>
      </w:r>
      <w:r w:rsidRPr="00215191">
        <w:rPr>
          <w:b w:val="0"/>
          <w:szCs w:val="24"/>
          <w:u w:val="single"/>
        </w:rPr>
        <w:t xml:space="preserve"> 3 – </w:t>
      </w:r>
      <w:r w:rsidR="00E5798A" w:rsidRPr="00215191">
        <w:rPr>
          <w:b w:val="0"/>
          <w:szCs w:val="24"/>
          <w:u w:val="single"/>
        </w:rPr>
        <w:t>Authority</w:t>
      </w:r>
    </w:p>
    <w:p w14:paraId="53BFA098" w14:textId="77777777" w:rsidR="007A4089" w:rsidRPr="00215191" w:rsidRDefault="007A4089" w:rsidP="000337CB">
      <w:pPr>
        <w:pStyle w:val="BodyText"/>
        <w:rPr>
          <w:b w:val="0"/>
          <w:szCs w:val="24"/>
          <w:u w:val="single"/>
        </w:rPr>
      </w:pPr>
    </w:p>
    <w:p w14:paraId="2412D14B" w14:textId="5C72C78D" w:rsidR="00FE02C2" w:rsidRPr="00215191" w:rsidRDefault="00F83B6F" w:rsidP="000337CB">
      <w:pPr>
        <w:pStyle w:val="BodyText"/>
        <w:rPr>
          <w:b w:val="0"/>
        </w:rPr>
      </w:pPr>
      <w:r w:rsidRPr="00215191">
        <w:rPr>
          <w:b w:val="0"/>
        </w:rPr>
        <w:t>Section 3 provides that the</w:t>
      </w:r>
      <w:r w:rsidR="00A46210">
        <w:rPr>
          <w:b w:val="0"/>
        </w:rPr>
        <w:t xml:space="preserve"> Amendment</w:t>
      </w:r>
      <w:r w:rsidRPr="00215191">
        <w:rPr>
          <w:b w:val="0"/>
        </w:rPr>
        <w:t xml:space="preserve"> </w:t>
      </w:r>
      <w:r w:rsidR="008B2094">
        <w:rPr>
          <w:b w:val="0"/>
          <w:szCs w:val="24"/>
        </w:rPr>
        <w:t>Determination</w:t>
      </w:r>
      <w:r w:rsidR="008B2094" w:rsidRPr="00215191">
        <w:rPr>
          <w:b w:val="0"/>
          <w:szCs w:val="24"/>
        </w:rPr>
        <w:t xml:space="preserve"> </w:t>
      </w:r>
      <w:r w:rsidR="00E5798A" w:rsidRPr="00215191">
        <w:rPr>
          <w:b w:val="0"/>
        </w:rPr>
        <w:t xml:space="preserve">is made under </w:t>
      </w:r>
      <w:r w:rsidR="00367440" w:rsidRPr="00215191">
        <w:rPr>
          <w:b w:val="0"/>
        </w:rPr>
        <w:t xml:space="preserve">subsection </w:t>
      </w:r>
      <w:r w:rsidR="00E5798A" w:rsidRPr="00215191">
        <w:rPr>
          <w:b w:val="0"/>
        </w:rPr>
        <w:t>3</w:t>
      </w:r>
      <w:proofErr w:type="gramStart"/>
      <w:r w:rsidR="00E5798A" w:rsidRPr="00215191">
        <w:rPr>
          <w:b w:val="0"/>
        </w:rPr>
        <w:t>C(</w:t>
      </w:r>
      <w:proofErr w:type="gramEnd"/>
      <w:r w:rsidR="00E5798A" w:rsidRPr="00215191">
        <w:rPr>
          <w:b w:val="0"/>
        </w:rPr>
        <w:t xml:space="preserve">1) of the </w:t>
      </w:r>
      <w:r w:rsidR="00E5798A" w:rsidRPr="00215191">
        <w:rPr>
          <w:b w:val="0"/>
          <w:i/>
        </w:rPr>
        <w:t>Health Insurance Act 1973</w:t>
      </w:r>
      <w:r w:rsidR="00E5798A" w:rsidRPr="00215191">
        <w:rPr>
          <w:b w:val="0"/>
        </w:rPr>
        <w:t>.</w:t>
      </w:r>
      <w:r w:rsidR="00E63E16" w:rsidRPr="00E63E16">
        <w:rPr>
          <w:b w:val="0"/>
        </w:rPr>
        <w:t xml:space="preserve"> This authorises the Minister to determine health services for inclusion in the Medicare Benefits Schedule (MBS) via legislative instrument.</w:t>
      </w:r>
    </w:p>
    <w:p w14:paraId="0DBF1241" w14:textId="77777777" w:rsidR="00E70355" w:rsidRPr="00215191" w:rsidRDefault="00E70355" w:rsidP="000337CB">
      <w:pPr>
        <w:pStyle w:val="BodyText"/>
        <w:rPr>
          <w:b w:val="0"/>
        </w:rPr>
      </w:pPr>
    </w:p>
    <w:p w14:paraId="20CBF84A" w14:textId="77777777" w:rsidR="00C63FDC" w:rsidRPr="00627FDA" w:rsidRDefault="00C63FDC" w:rsidP="00C63FDC">
      <w:pPr>
        <w:pStyle w:val="BodyText"/>
        <w:rPr>
          <w:b w:val="0"/>
          <w:szCs w:val="24"/>
          <w:highlight w:val="yellow"/>
          <w:u w:val="single"/>
        </w:rPr>
      </w:pPr>
      <w:r>
        <w:rPr>
          <w:b w:val="0"/>
          <w:szCs w:val="24"/>
          <w:u w:val="single"/>
        </w:rPr>
        <w:t>Section 4</w:t>
      </w:r>
      <w:r w:rsidRPr="00076B61">
        <w:rPr>
          <w:b w:val="0"/>
          <w:szCs w:val="24"/>
          <w:u w:val="single"/>
        </w:rPr>
        <w:t xml:space="preserve"> – Schedules</w:t>
      </w:r>
    </w:p>
    <w:p w14:paraId="4C010161" w14:textId="77777777" w:rsidR="00C63FDC" w:rsidRPr="00627FDA" w:rsidRDefault="00C63FDC" w:rsidP="00C63FDC">
      <w:pPr>
        <w:pStyle w:val="BodyText"/>
        <w:rPr>
          <w:b w:val="0"/>
          <w:szCs w:val="24"/>
          <w:highlight w:val="yellow"/>
          <w:u w:val="single"/>
        </w:rPr>
      </w:pPr>
    </w:p>
    <w:p w14:paraId="5D9EBF8D" w14:textId="3134E3A7" w:rsidR="00C63FDC" w:rsidRDefault="00C63FDC" w:rsidP="00C63FDC">
      <w:pPr>
        <w:pStyle w:val="BodyText"/>
        <w:rPr>
          <w:b w:val="0"/>
          <w:szCs w:val="24"/>
        </w:rPr>
      </w:pPr>
      <w:r w:rsidRPr="00D21765">
        <w:rPr>
          <w:b w:val="0"/>
          <w:szCs w:val="24"/>
        </w:rPr>
        <w:t>Section 4 provides that each instrument that is specified in a Schedule to th</w:t>
      </w:r>
      <w:r w:rsidR="004F3EF7">
        <w:rPr>
          <w:b w:val="0"/>
          <w:szCs w:val="24"/>
        </w:rPr>
        <w:t>e</w:t>
      </w:r>
      <w:r w:rsidRPr="00D21765">
        <w:rPr>
          <w:b w:val="0"/>
          <w:szCs w:val="24"/>
        </w:rPr>
        <w:t xml:space="preserve"> </w:t>
      </w:r>
      <w:r w:rsidR="00E53484">
        <w:rPr>
          <w:b w:val="0"/>
          <w:szCs w:val="24"/>
        </w:rPr>
        <w:t xml:space="preserve">Amendment </w:t>
      </w:r>
      <w:r>
        <w:rPr>
          <w:b w:val="0"/>
          <w:szCs w:val="24"/>
        </w:rPr>
        <w:t>Determination</w:t>
      </w:r>
      <w:r w:rsidRPr="00D21765">
        <w:rPr>
          <w:b w:val="0"/>
          <w:szCs w:val="24"/>
        </w:rPr>
        <w:t xml:space="preserve"> is amended or repealed as set out in the applicable items in the Schedule concerned, and any other item in a Schedule to </w:t>
      </w:r>
      <w:r w:rsidR="004F3EF7">
        <w:rPr>
          <w:b w:val="0"/>
          <w:szCs w:val="24"/>
        </w:rPr>
        <w:t xml:space="preserve">the Amendment </w:t>
      </w:r>
      <w:r>
        <w:rPr>
          <w:b w:val="0"/>
          <w:szCs w:val="24"/>
        </w:rPr>
        <w:t>Determination</w:t>
      </w:r>
      <w:r w:rsidRPr="00D21765">
        <w:rPr>
          <w:b w:val="0"/>
          <w:szCs w:val="24"/>
        </w:rPr>
        <w:t xml:space="preserve"> has effect according to its terms.</w:t>
      </w:r>
    </w:p>
    <w:p w14:paraId="17D2CF69" w14:textId="77777777" w:rsidR="007E0017" w:rsidRPr="00EB601D" w:rsidRDefault="007E0017" w:rsidP="00404F11">
      <w:pPr>
        <w:pStyle w:val="BodyText"/>
        <w:rPr>
          <w:b w:val="0"/>
          <w:szCs w:val="24"/>
          <w:highlight w:val="yellow"/>
        </w:rPr>
      </w:pPr>
    </w:p>
    <w:p w14:paraId="768D340E" w14:textId="68C5EAB7" w:rsidR="00C63FDC" w:rsidRDefault="00E977CD" w:rsidP="00C63FDC">
      <w:pPr>
        <w:pStyle w:val="Header"/>
        <w:tabs>
          <w:tab w:val="num" w:pos="1080"/>
        </w:tabs>
        <w:rPr>
          <w:szCs w:val="24"/>
          <w:u w:val="single"/>
        </w:rPr>
      </w:pPr>
      <w:r w:rsidRPr="00E977CD">
        <w:rPr>
          <w:szCs w:val="24"/>
          <w:u w:val="single"/>
        </w:rPr>
        <w:t>Schedule 1—COVID-19 Telehealth and Telephone Amendments</w:t>
      </w:r>
    </w:p>
    <w:p w14:paraId="2212E577" w14:textId="77777777" w:rsidR="00C63FDC" w:rsidRPr="00D65847" w:rsidRDefault="00C63FDC" w:rsidP="00C63FDC">
      <w:pPr>
        <w:pStyle w:val="Header"/>
        <w:tabs>
          <w:tab w:val="num" w:pos="1080"/>
        </w:tabs>
        <w:rPr>
          <w:szCs w:val="24"/>
        </w:rPr>
      </w:pPr>
    </w:p>
    <w:p w14:paraId="0C7E649E" w14:textId="49628143" w:rsidR="00C63FDC" w:rsidRPr="003B1FB4" w:rsidRDefault="00E977CD" w:rsidP="00C63FDC">
      <w:pPr>
        <w:pStyle w:val="Header"/>
        <w:tabs>
          <w:tab w:val="num" w:pos="1080"/>
        </w:tabs>
        <w:rPr>
          <w:szCs w:val="24"/>
        </w:rPr>
      </w:pPr>
      <w:r w:rsidRPr="00E977CD">
        <w:rPr>
          <w:i/>
          <w:iCs/>
          <w:szCs w:val="24"/>
        </w:rPr>
        <w:t>Health Insurance (Section 3C General Medical Services - COVID-19 Telehealth and Telephone Attendances) Determination 2020</w:t>
      </w:r>
      <w:r w:rsidR="003B1FB4">
        <w:rPr>
          <w:szCs w:val="24"/>
        </w:rPr>
        <w:t xml:space="preserve"> (COVID-19 Determination)</w:t>
      </w:r>
    </w:p>
    <w:p w14:paraId="42709270" w14:textId="77777777" w:rsidR="00E977CD" w:rsidRDefault="00E977CD" w:rsidP="00C63FDC">
      <w:pPr>
        <w:pStyle w:val="Header"/>
        <w:tabs>
          <w:tab w:val="num" w:pos="1080"/>
        </w:tabs>
        <w:rPr>
          <w:szCs w:val="24"/>
        </w:rPr>
      </w:pPr>
    </w:p>
    <w:p w14:paraId="6D44D3A2" w14:textId="364A0766" w:rsidR="00E977CD" w:rsidRPr="00E977CD" w:rsidRDefault="00E977CD" w:rsidP="00C63FDC">
      <w:pPr>
        <w:pStyle w:val="Header"/>
        <w:tabs>
          <w:tab w:val="num" w:pos="1080"/>
        </w:tabs>
        <w:rPr>
          <w:szCs w:val="24"/>
        </w:rPr>
      </w:pPr>
      <w:r w:rsidRPr="00E977CD">
        <w:rPr>
          <w:b/>
          <w:bCs/>
          <w:szCs w:val="24"/>
        </w:rPr>
        <w:t>Item 1</w:t>
      </w:r>
      <w:r>
        <w:rPr>
          <w:szCs w:val="24"/>
        </w:rPr>
        <w:t xml:space="preserve"> amends </w:t>
      </w:r>
      <w:r w:rsidR="003B1FB4">
        <w:rPr>
          <w:szCs w:val="24"/>
        </w:rPr>
        <w:t>s</w:t>
      </w:r>
      <w:r>
        <w:rPr>
          <w:szCs w:val="24"/>
        </w:rPr>
        <w:t xml:space="preserve">ubsection 8(11) in the </w:t>
      </w:r>
      <w:r w:rsidR="003B1FB4">
        <w:rPr>
          <w:szCs w:val="24"/>
        </w:rPr>
        <w:t>COVID-19</w:t>
      </w:r>
      <w:r>
        <w:rPr>
          <w:szCs w:val="24"/>
        </w:rPr>
        <w:t xml:space="preserve"> </w:t>
      </w:r>
      <w:r w:rsidR="003B1FB4">
        <w:rPr>
          <w:szCs w:val="24"/>
        </w:rPr>
        <w:t>D</w:t>
      </w:r>
      <w:r>
        <w:rPr>
          <w:szCs w:val="24"/>
        </w:rPr>
        <w:t xml:space="preserve">etermination to </w:t>
      </w:r>
      <w:r w:rsidR="00932596">
        <w:rPr>
          <w:szCs w:val="24"/>
        </w:rPr>
        <w:t xml:space="preserve">reinstate paragraphs (c), (d) and (e), which were </w:t>
      </w:r>
      <w:r w:rsidR="00932596">
        <w:rPr>
          <w:noProof/>
        </w:rPr>
        <w:t>previously</w:t>
      </w:r>
      <w:r w:rsidR="00932596" w:rsidRPr="009511AC">
        <w:rPr>
          <w:noProof/>
        </w:rPr>
        <w:t xml:space="preserve"> removed by the </w:t>
      </w:r>
      <w:r w:rsidR="00932596" w:rsidRPr="009511AC">
        <w:rPr>
          <w:i/>
          <w:iCs/>
          <w:noProof/>
        </w:rPr>
        <w:t>Health Insurance Legislation Amendment (Section 3C General Medical Services – Medicare Indexation and Extension of Remote Service Options) Determination 2021</w:t>
      </w:r>
      <w:r w:rsidR="00932596">
        <w:rPr>
          <w:noProof/>
        </w:rPr>
        <w:t>.</w:t>
      </w:r>
      <w:r w:rsidR="00932596">
        <w:rPr>
          <w:szCs w:val="24"/>
        </w:rPr>
        <w:t xml:space="preserve"> This is intended to </w:t>
      </w:r>
      <w:r>
        <w:rPr>
          <w:szCs w:val="24"/>
        </w:rPr>
        <w:t>maintain the</w:t>
      </w:r>
      <w:r w:rsidR="00932596">
        <w:rPr>
          <w:szCs w:val="24"/>
        </w:rPr>
        <w:t xml:space="preserve"> </w:t>
      </w:r>
      <w:r>
        <w:rPr>
          <w:szCs w:val="24"/>
        </w:rPr>
        <w:t>definition of a “patient</w:t>
      </w:r>
      <w:r w:rsidR="0022159A">
        <w:rPr>
          <w:szCs w:val="24"/>
        </w:rPr>
        <w:t>’</w:t>
      </w:r>
      <w:r>
        <w:rPr>
          <w:szCs w:val="24"/>
        </w:rPr>
        <w:t>s usual</w:t>
      </w:r>
      <w:r w:rsidR="0022159A">
        <w:rPr>
          <w:szCs w:val="24"/>
        </w:rPr>
        <w:t xml:space="preserve"> medical</w:t>
      </w:r>
      <w:r>
        <w:rPr>
          <w:szCs w:val="24"/>
        </w:rPr>
        <w:t xml:space="preserve"> practitioner”</w:t>
      </w:r>
      <w:r w:rsidR="004F3EF7">
        <w:rPr>
          <w:szCs w:val="24"/>
        </w:rPr>
        <w:t xml:space="preserve"> in line with original policy intent</w:t>
      </w:r>
      <w:r>
        <w:rPr>
          <w:szCs w:val="24"/>
        </w:rPr>
        <w:t>.</w:t>
      </w:r>
    </w:p>
    <w:p w14:paraId="0D461DED" w14:textId="77777777" w:rsidR="00E977CD" w:rsidRPr="00E977CD" w:rsidRDefault="00E977CD" w:rsidP="00C63FDC">
      <w:pPr>
        <w:pStyle w:val="Header"/>
        <w:tabs>
          <w:tab w:val="num" w:pos="1080"/>
        </w:tabs>
        <w:rPr>
          <w:szCs w:val="24"/>
        </w:rPr>
      </w:pPr>
    </w:p>
    <w:p w14:paraId="092C308D" w14:textId="6AA44E78" w:rsidR="00E977CD" w:rsidRDefault="00E977CD" w:rsidP="00E977CD">
      <w:pPr>
        <w:pStyle w:val="Header"/>
        <w:tabs>
          <w:tab w:val="num" w:pos="1080"/>
        </w:tabs>
        <w:rPr>
          <w:szCs w:val="24"/>
          <w:u w:val="single"/>
        </w:rPr>
      </w:pPr>
      <w:r w:rsidRPr="00E977CD">
        <w:rPr>
          <w:szCs w:val="24"/>
          <w:u w:val="single"/>
        </w:rPr>
        <w:t>Schedule 2—Telehealth Amendments</w:t>
      </w:r>
    </w:p>
    <w:p w14:paraId="7F4F3675" w14:textId="77777777" w:rsidR="00E977CD" w:rsidRPr="00D65847" w:rsidRDefault="00E977CD" w:rsidP="00E977CD">
      <w:pPr>
        <w:pStyle w:val="Header"/>
        <w:tabs>
          <w:tab w:val="num" w:pos="1080"/>
        </w:tabs>
        <w:rPr>
          <w:szCs w:val="24"/>
        </w:rPr>
      </w:pPr>
    </w:p>
    <w:p w14:paraId="39140D31" w14:textId="3C836C09" w:rsidR="00E977CD" w:rsidRPr="00A55819" w:rsidRDefault="00E977CD" w:rsidP="00E977CD">
      <w:pPr>
        <w:pStyle w:val="Header"/>
        <w:tabs>
          <w:tab w:val="num" w:pos="1080"/>
        </w:tabs>
        <w:rPr>
          <w:szCs w:val="24"/>
        </w:rPr>
      </w:pPr>
      <w:r w:rsidRPr="00E977CD">
        <w:rPr>
          <w:i/>
          <w:iCs/>
          <w:szCs w:val="24"/>
        </w:rPr>
        <w:t>Health Insurance (Section 3C General Medical Services – Telehealth Attendances) Determination 2021</w:t>
      </w:r>
    </w:p>
    <w:p w14:paraId="37492C05" w14:textId="77777777" w:rsidR="00E977CD" w:rsidRPr="00A971E1" w:rsidRDefault="00E977CD" w:rsidP="00C63FDC">
      <w:pPr>
        <w:pStyle w:val="Header"/>
        <w:tabs>
          <w:tab w:val="num" w:pos="1080"/>
        </w:tabs>
        <w:rPr>
          <w:iCs/>
          <w:szCs w:val="24"/>
        </w:rPr>
      </w:pPr>
    </w:p>
    <w:p w14:paraId="21DF9DDC" w14:textId="2A88628A" w:rsidR="00331752" w:rsidRDefault="00E977CD" w:rsidP="00E63E16">
      <w:pPr>
        <w:pStyle w:val="Header"/>
        <w:tabs>
          <w:tab w:val="num" w:pos="1080"/>
        </w:tabs>
        <w:rPr>
          <w:szCs w:val="24"/>
          <w:u w:val="single"/>
        </w:rPr>
      </w:pPr>
      <w:r w:rsidRPr="00E977CD">
        <w:rPr>
          <w:b/>
          <w:bCs/>
          <w:szCs w:val="24"/>
        </w:rPr>
        <w:lastRenderedPageBreak/>
        <w:t>Item 1</w:t>
      </w:r>
      <w:r>
        <w:rPr>
          <w:szCs w:val="24"/>
        </w:rPr>
        <w:t xml:space="preserve"> amends </w:t>
      </w:r>
      <w:r w:rsidR="00A55819">
        <w:rPr>
          <w:szCs w:val="24"/>
        </w:rPr>
        <w:t>s</w:t>
      </w:r>
      <w:r>
        <w:rPr>
          <w:szCs w:val="24"/>
        </w:rPr>
        <w:t xml:space="preserve">ubsection 7(7) in the </w:t>
      </w:r>
      <w:r w:rsidR="0055716E">
        <w:rPr>
          <w:szCs w:val="24"/>
        </w:rPr>
        <w:t>Telehealth Determination</w:t>
      </w:r>
      <w:r>
        <w:rPr>
          <w:szCs w:val="24"/>
        </w:rPr>
        <w:t xml:space="preserve"> to insert </w:t>
      </w:r>
      <w:r w:rsidR="0055716E">
        <w:rPr>
          <w:szCs w:val="24"/>
        </w:rPr>
        <w:t>paragraphs (c), (d) and (e)</w:t>
      </w:r>
      <w:r w:rsidR="00362F68">
        <w:rPr>
          <w:szCs w:val="24"/>
        </w:rPr>
        <w:t xml:space="preserve">, which are identical to the paragraphs being inserted into the COVID-19 Determination by item 1 of Schedule 1. </w:t>
      </w:r>
      <w:r w:rsidR="00E63E16">
        <w:rPr>
          <w:szCs w:val="24"/>
        </w:rPr>
        <w:t xml:space="preserve">This amendment is necessary to </w:t>
      </w:r>
      <w:r w:rsidR="00B06A23">
        <w:rPr>
          <w:szCs w:val="24"/>
        </w:rPr>
        <w:t xml:space="preserve">align with the original policy intent of </w:t>
      </w:r>
      <w:r w:rsidR="00E63E16">
        <w:rPr>
          <w:szCs w:val="24"/>
        </w:rPr>
        <w:t>allow</w:t>
      </w:r>
      <w:r w:rsidR="00B06A23">
        <w:rPr>
          <w:szCs w:val="24"/>
        </w:rPr>
        <w:t>ing</w:t>
      </w:r>
      <w:r w:rsidR="00E63E16">
        <w:rPr>
          <w:szCs w:val="24"/>
        </w:rPr>
        <w:t xml:space="preserve"> </w:t>
      </w:r>
      <w:r w:rsidR="00362F68" w:rsidRPr="004F3D2D">
        <w:t xml:space="preserve">Approved </w:t>
      </w:r>
      <w:r w:rsidR="00F4183B">
        <w:t xml:space="preserve">and accredited </w:t>
      </w:r>
      <w:r w:rsidR="00362F68" w:rsidRPr="004F3D2D">
        <w:t xml:space="preserve">Medical Deputising Service </w:t>
      </w:r>
      <w:r w:rsidR="00362F68">
        <w:t>(AMDS)</w:t>
      </w:r>
      <w:r w:rsidR="00E63E16">
        <w:rPr>
          <w:szCs w:val="24"/>
        </w:rPr>
        <w:t xml:space="preserve"> programs and providers</w:t>
      </w:r>
      <w:r w:rsidR="00D8163B">
        <w:rPr>
          <w:szCs w:val="24"/>
        </w:rPr>
        <w:t xml:space="preserve">, as approved providers for the purposes of the definition of a “patient’s usual </w:t>
      </w:r>
      <w:r w:rsidR="001F5E48">
        <w:rPr>
          <w:szCs w:val="24"/>
        </w:rPr>
        <w:t xml:space="preserve">medical </w:t>
      </w:r>
      <w:r w:rsidR="00D8163B">
        <w:rPr>
          <w:szCs w:val="24"/>
        </w:rPr>
        <w:t>practitioner”,</w:t>
      </w:r>
      <w:r w:rsidR="00E63E16">
        <w:rPr>
          <w:szCs w:val="24"/>
        </w:rPr>
        <w:t xml:space="preserve"> to bill appropriate and clinically relevant services.</w:t>
      </w:r>
      <w:r w:rsidR="00331752">
        <w:rPr>
          <w:szCs w:val="24"/>
          <w:u w:val="single"/>
        </w:rPr>
        <w:br w:type="page"/>
      </w:r>
    </w:p>
    <w:p w14:paraId="2412D14E" w14:textId="632B4BE9" w:rsidR="00A17F2C" w:rsidRPr="00806020" w:rsidRDefault="00A17F2C" w:rsidP="008D136F">
      <w:pPr>
        <w:pStyle w:val="Header"/>
        <w:tabs>
          <w:tab w:val="num" w:pos="1080"/>
        </w:tabs>
        <w:jc w:val="center"/>
        <w:rPr>
          <w:b/>
          <w:sz w:val="28"/>
          <w:szCs w:val="28"/>
        </w:rPr>
      </w:pPr>
      <w:r w:rsidRPr="00806020">
        <w:rPr>
          <w:b/>
          <w:sz w:val="28"/>
          <w:szCs w:val="28"/>
        </w:rPr>
        <w:lastRenderedPageBreak/>
        <w:t>Statement of Compatibility with Human Rights</w:t>
      </w:r>
    </w:p>
    <w:p w14:paraId="2412D14F" w14:textId="77777777" w:rsidR="00A17F2C" w:rsidRPr="00E63E16" w:rsidRDefault="00A17F2C" w:rsidP="000337CB">
      <w:pPr>
        <w:spacing w:before="120" w:after="120"/>
        <w:jc w:val="center"/>
        <w:rPr>
          <w:color w:val="000000" w:themeColor="text1"/>
          <w:szCs w:val="24"/>
        </w:rPr>
      </w:pPr>
      <w:r w:rsidRPr="00E63E16">
        <w:rPr>
          <w:i/>
          <w:color w:val="000000" w:themeColor="text1"/>
          <w:szCs w:val="24"/>
        </w:rPr>
        <w:t>Prepared in accordance with Part 3 of the Human Rights (Parliamentary Scrutiny) Act 2011</w:t>
      </w:r>
    </w:p>
    <w:p w14:paraId="751DE726" w14:textId="77777777" w:rsidR="002A6C77" w:rsidRPr="00A971E1" w:rsidRDefault="002A6C77" w:rsidP="000337CB">
      <w:pPr>
        <w:tabs>
          <w:tab w:val="left" w:pos="1418"/>
        </w:tabs>
        <w:ind w:left="851"/>
        <w:jc w:val="center"/>
        <w:rPr>
          <w:bCs/>
          <w:color w:val="000000" w:themeColor="text1"/>
        </w:rPr>
      </w:pPr>
    </w:p>
    <w:p w14:paraId="3A52A4B2" w14:textId="1182324B" w:rsidR="00C6094D" w:rsidRPr="00F83675" w:rsidRDefault="00F83675" w:rsidP="007708B3">
      <w:pPr>
        <w:tabs>
          <w:tab w:val="left" w:pos="1418"/>
        </w:tabs>
        <w:jc w:val="center"/>
        <w:rPr>
          <w:i/>
          <w:color w:val="000000" w:themeColor="text1"/>
        </w:rPr>
      </w:pPr>
      <w:r w:rsidRPr="00F83675">
        <w:rPr>
          <w:i/>
          <w:color w:val="000000" w:themeColor="text1"/>
        </w:rPr>
        <w:t>Health Insurance Legislation Amendments (Usual Medical Practitioner) Determination 2025</w:t>
      </w:r>
    </w:p>
    <w:p w14:paraId="1BF56C38" w14:textId="77777777" w:rsidR="007708B3" w:rsidRPr="00A971E1" w:rsidRDefault="007708B3" w:rsidP="000337CB">
      <w:pPr>
        <w:tabs>
          <w:tab w:val="left" w:pos="1418"/>
        </w:tabs>
        <w:ind w:left="851"/>
        <w:jc w:val="center"/>
        <w:rPr>
          <w:bCs/>
          <w:iCs/>
          <w:color w:val="000000" w:themeColor="text1"/>
          <w:szCs w:val="24"/>
        </w:rPr>
      </w:pPr>
    </w:p>
    <w:p w14:paraId="2412D153" w14:textId="7AFD921D" w:rsidR="00A17F2C" w:rsidRPr="00806020" w:rsidRDefault="00A17F2C" w:rsidP="000337CB">
      <w:pPr>
        <w:jc w:val="center"/>
        <w:rPr>
          <w:szCs w:val="24"/>
        </w:rPr>
      </w:pPr>
      <w:r w:rsidRPr="00E63E16">
        <w:rPr>
          <w:color w:val="000000" w:themeColor="text1"/>
          <w:szCs w:val="24"/>
        </w:rPr>
        <w:t xml:space="preserve">This </w:t>
      </w:r>
      <w:r w:rsidR="0046022A" w:rsidRPr="00E63E16">
        <w:rPr>
          <w:color w:val="000000" w:themeColor="text1"/>
          <w:szCs w:val="24"/>
        </w:rPr>
        <w:t>instrument</w:t>
      </w:r>
      <w:r w:rsidRPr="00E63E16">
        <w:rPr>
          <w:color w:val="000000" w:themeColor="text1"/>
          <w:szCs w:val="24"/>
        </w:rPr>
        <w:t xml:space="preserve"> is compatible with the human rights and freedoms recognised or declared in the </w:t>
      </w:r>
      <w:r w:rsidRPr="00806020">
        <w:rPr>
          <w:szCs w:val="24"/>
        </w:rPr>
        <w:t xml:space="preserve">international instruments listed in section 3 of the </w:t>
      </w:r>
      <w:r w:rsidRPr="00806020">
        <w:rPr>
          <w:i/>
          <w:szCs w:val="24"/>
        </w:rPr>
        <w:t>Human Rights (Parliamentary Scrutiny) Act 2011</w:t>
      </w:r>
      <w:r w:rsidRPr="00806020">
        <w:rPr>
          <w:szCs w:val="24"/>
        </w:rPr>
        <w:t>.</w:t>
      </w:r>
    </w:p>
    <w:p w14:paraId="7EDA9098" w14:textId="306A78E1" w:rsidR="006E6BBF" w:rsidRPr="00806020" w:rsidRDefault="006E6BBF" w:rsidP="008734F5">
      <w:pPr>
        <w:spacing w:before="120" w:after="120"/>
        <w:rPr>
          <w:b/>
          <w:szCs w:val="24"/>
        </w:rPr>
      </w:pPr>
      <w:r w:rsidRPr="00806020">
        <w:rPr>
          <w:b/>
          <w:szCs w:val="24"/>
        </w:rPr>
        <w:t xml:space="preserve">Overview of the </w:t>
      </w:r>
      <w:r w:rsidR="00B86A9F" w:rsidRPr="00806020">
        <w:rPr>
          <w:b/>
          <w:szCs w:val="24"/>
        </w:rPr>
        <w:t>Determination</w:t>
      </w:r>
    </w:p>
    <w:p w14:paraId="4FD13A6B" w14:textId="0AC25876" w:rsidR="00C543E0" w:rsidRPr="009511AC" w:rsidRDefault="00C543E0" w:rsidP="00C543E0">
      <w:pPr>
        <w:ind w:right="-483"/>
        <w:rPr>
          <w:szCs w:val="24"/>
        </w:rPr>
      </w:pPr>
      <w:r w:rsidRPr="00BD6BAA">
        <w:rPr>
          <w:szCs w:val="24"/>
        </w:rPr>
        <w:t xml:space="preserve">The </w:t>
      </w:r>
      <w:r>
        <w:rPr>
          <w:szCs w:val="24"/>
        </w:rPr>
        <w:t>p</w:t>
      </w:r>
      <w:r w:rsidRPr="00BD6BAA">
        <w:rPr>
          <w:szCs w:val="24"/>
        </w:rPr>
        <w:t xml:space="preserve">urpose of the </w:t>
      </w:r>
      <w:r w:rsidR="00F83675" w:rsidRPr="00F83675">
        <w:rPr>
          <w:i/>
          <w:iCs/>
        </w:rPr>
        <w:t>Health Insurance Legislation Amendments (Usual Medical Practitioner) Determination 2025</w:t>
      </w:r>
      <w:r w:rsidR="00F83675" w:rsidRPr="00BD6BAA">
        <w:rPr>
          <w:szCs w:val="24"/>
        </w:rPr>
        <w:t xml:space="preserve"> </w:t>
      </w:r>
      <w:r w:rsidRPr="00BD6BAA">
        <w:rPr>
          <w:szCs w:val="24"/>
        </w:rPr>
        <w:t xml:space="preserve">(Amendment </w:t>
      </w:r>
      <w:r>
        <w:rPr>
          <w:szCs w:val="24"/>
        </w:rPr>
        <w:t>D</w:t>
      </w:r>
      <w:r w:rsidRPr="00BD6BAA">
        <w:rPr>
          <w:szCs w:val="24"/>
        </w:rPr>
        <w:t>etermination) is to</w:t>
      </w:r>
      <w:r>
        <w:rPr>
          <w:szCs w:val="24"/>
        </w:rPr>
        <w:t xml:space="preserve"> retrospectively</w:t>
      </w:r>
      <w:r w:rsidRPr="00BD6BAA">
        <w:rPr>
          <w:szCs w:val="24"/>
        </w:rPr>
        <w:t xml:space="preserve"> amend the </w:t>
      </w:r>
      <w:r w:rsidRPr="00BD6BAA">
        <w:rPr>
          <w:i/>
          <w:iCs/>
          <w:noProof/>
        </w:rPr>
        <w:t xml:space="preserve">Health Insurance (Section 3C General Medical Services - COVID-19 Telehealth and Telephone Attendances) Determination 2020 </w:t>
      </w:r>
      <w:r w:rsidRPr="00BD6BAA">
        <w:rPr>
          <w:noProof/>
        </w:rPr>
        <w:t xml:space="preserve">(COVID-19 Determination) and the </w:t>
      </w:r>
      <w:r w:rsidRPr="00BD6BAA">
        <w:rPr>
          <w:i/>
          <w:iCs/>
          <w:szCs w:val="24"/>
        </w:rPr>
        <w:t xml:space="preserve">Health Insurance (Section 3C General Medical Services – Telehealth Attendances) Determination 2021 </w:t>
      </w:r>
      <w:r w:rsidRPr="00BD6BAA">
        <w:rPr>
          <w:szCs w:val="24"/>
        </w:rPr>
        <w:t xml:space="preserve">(Telehealth </w:t>
      </w:r>
      <w:r>
        <w:rPr>
          <w:szCs w:val="24"/>
        </w:rPr>
        <w:t>D</w:t>
      </w:r>
      <w:r w:rsidRPr="00BD6BAA">
        <w:rPr>
          <w:szCs w:val="24"/>
        </w:rPr>
        <w:t>etermination</w:t>
      </w:r>
      <w:r w:rsidRPr="009511AC">
        <w:rPr>
          <w:szCs w:val="24"/>
        </w:rPr>
        <w:t xml:space="preserve">). </w:t>
      </w:r>
    </w:p>
    <w:p w14:paraId="28BAF370" w14:textId="77777777" w:rsidR="00C543E0" w:rsidRDefault="00C543E0" w:rsidP="00C543E0">
      <w:pPr>
        <w:ind w:right="-483"/>
        <w:rPr>
          <w:szCs w:val="24"/>
        </w:rPr>
      </w:pPr>
    </w:p>
    <w:p w14:paraId="2719DDFD" w14:textId="77777777" w:rsidR="00C543E0" w:rsidRPr="00837202" w:rsidRDefault="00C543E0" w:rsidP="00C543E0">
      <w:pPr>
        <w:rPr>
          <w:bCs/>
          <w:iCs/>
          <w:color w:val="002060"/>
          <w:szCs w:val="24"/>
        </w:rPr>
      </w:pPr>
      <w:r w:rsidRPr="009511AC">
        <w:rPr>
          <w:szCs w:val="24"/>
        </w:rPr>
        <w:t xml:space="preserve">Schedule 1 reinserts </w:t>
      </w:r>
      <w:r w:rsidRPr="009511AC">
        <w:rPr>
          <w:noProof/>
        </w:rPr>
        <w:t>paragraphs 8(11)(c), (d) and (e) into the COVID-19 Determination</w:t>
      </w:r>
      <w:r>
        <w:rPr>
          <w:noProof/>
        </w:rPr>
        <w:t>, which</w:t>
      </w:r>
      <w:r w:rsidRPr="009511AC">
        <w:rPr>
          <w:noProof/>
        </w:rPr>
        <w:t xml:space="preserve"> were</w:t>
      </w:r>
      <w:r>
        <w:rPr>
          <w:noProof/>
        </w:rPr>
        <w:t xml:space="preserve"> previously</w:t>
      </w:r>
      <w:r w:rsidRPr="009511AC">
        <w:rPr>
          <w:noProof/>
        </w:rPr>
        <w:t xml:space="preserve"> removed by the </w:t>
      </w:r>
      <w:r w:rsidRPr="009511AC">
        <w:rPr>
          <w:i/>
          <w:iCs/>
          <w:noProof/>
        </w:rPr>
        <w:t>Health Insurance Legislation Amendment (Section 3C General Medical Services – Medicare Indexation and Extension of Remote Service Options) Determination 2021</w:t>
      </w:r>
      <w:r>
        <w:rPr>
          <w:noProof/>
        </w:rPr>
        <w:t xml:space="preserve"> (COVID-19 Amendment Determination) from 1 July 2021. </w:t>
      </w:r>
      <w:r w:rsidRPr="00837202">
        <w:rPr>
          <w:szCs w:val="24"/>
        </w:rPr>
        <w:t xml:space="preserve">At the time, the change was made as the </w:t>
      </w:r>
      <w:r>
        <w:rPr>
          <w:szCs w:val="24"/>
        </w:rPr>
        <w:t>paragraphs</w:t>
      </w:r>
      <w:r w:rsidRPr="00837202">
        <w:rPr>
          <w:szCs w:val="24"/>
        </w:rPr>
        <w:t xml:space="preserve"> </w:t>
      </w:r>
      <w:proofErr w:type="gramStart"/>
      <w:r w:rsidRPr="00837202">
        <w:rPr>
          <w:szCs w:val="24"/>
        </w:rPr>
        <w:t xml:space="preserve">were considered </w:t>
      </w:r>
      <w:r>
        <w:rPr>
          <w:szCs w:val="24"/>
        </w:rPr>
        <w:t>to be</w:t>
      </w:r>
      <w:proofErr w:type="gramEnd"/>
      <w:r>
        <w:rPr>
          <w:szCs w:val="24"/>
        </w:rPr>
        <w:t xml:space="preserve"> redundant</w:t>
      </w:r>
      <w:r w:rsidRPr="00837202">
        <w:rPr>
          <w:szCs w:val="24"/>
        </w:rPr>
        <w:t>, and</w:t>
      </w:r>
      <w:r>
        <w:rPr>
          <w:szCs w:val="24"/>
        </w:rPr>
        <w:t xml:space="preserve"> it was considered that</w:t>
      </w:r>
      <w:r w:rsidRPr="00837202">
        <w:rPr>
          <w:szCs w:val="24"/>
        </w:rPr>
        <w:t xml:space="preserve"> appropriate </w:t>
      </w:r>
      <w:r w:rsidRPr="00C65DB9">
        <w:rPr>
          <w:szCs w:val="24"/>
        </w:rPr>
        <w:t>Approved</w:t>
      </w:r>
      <w:r w:rsidRPr="00F4183B">
        <w:rPr>
          <w:szCs w:val="24"/>
        </w:rPr>
        <w:t xml:space="preserve"> </w:t>
      </w:r>
      <w:r>
        <w:rPr>
          <w:szCs w:val="24"/>
        </w:rPr>
        <w:t>and accredited</w:t>
      </w:r>
      <w:r w:rsidRPr="00C65DB9">
        <w:rPr>
          <w:szCs w:val="24"/>
        </w:rPr>
        <w:t xml:space="preserve"> Medical Deputising Services </w:t>
      </w:r>
      <w:r>
        <w:rPr>
          <w:szCs w:val="24"/>
        </w:rPr>
        <w:t>(</w:t>
      </w:r>
      <w:r w:rsidRPr="006614B5">
        <w:rPr>
          <w:szCs w:val="24"/>
        </w:rPr>
        <w:t>AMDS)</w:t>
      </w:r>
      <w:r w:rsidRPr="00837202">
        <w:rPr>
          <w:szCs w:val="24"/>
        </w:rPr>
        <w:t xml:space="preserve"> telehealth access would be covered under Subgroup 29 (GP and Other Medical Practitioner </w:t>
      </w:r>
      <w:r w:rsidRPr="00837202">
        <w:rPr>
          <w:szCs w:val="24"/>
        </w:rPr>
        <w:noBreakHyphen/>
        <w:t xml:space="preserve"> Urgent After-Hours Service in Unsociable Hours </w:t>
      </w:r>
      <w:r w:rsidRPr="00837202">
        <w:rPr>
          <w:szCs w:val="24"/>
        </w:rPr>
        <w:noBreakHyphen/>
        <w:t xml:space="preserve"> Video Services). </w:t>
      </w:r>
      <w:r>
        <w:rPr>
          <w:szCs w:val="24"/>
        </w:rPr>
        <w:t xml:space="preserve">However, it was subsequently identified that this change inadvertently impacted AMDS access to non-urgent after-hours telehealth services (services other than those in Subgroup 29). </w:t>
      </w:r>
    </w:p>
    <w:p w14:paraId="266605A2" w14:textId="77777777" w:rsidR="00C543E0" w:rsidRDefault="00C543E0" w:rsidP="00C543E0">
      <w:pPr>
        <w:ind w:right="-483"/>
        <w:rPr>
          <w:noProof/>
        </w:rPr>
      </w:pPr>
    </w:p>
    <w:p w14:paraId="32F2DFB5" w14:textId="77777777" w:rsidR="00C543E0" w:rsidRDefault="00C543E0" w:rsidP="00C543E0">
      <w:pPr>
        <w:ind w:right="-483"/>
        <w:rPr>
          <w:noProof/>
          <w:color w:val="000000" w:themeColor="text1"/>
        </w:rPr>
      </w:pPr>
      <w:r w:rsidRPr="009511AC">
        <w:rPr>
          <w:szCs w:val="24"/>
        </w:rPr>
        <w:t xml:space="preserve">Schedule </w:t>
      </w:r>
      <w:r>
        <w:rPr>
          <w:szCs w:val="24"/>
        </w:rPr>
        <w:t>2</w:t>
      </w:r>
      <w:r w:rsidRPr="009511AC">
        <w:rPr>
          <w:szCs w:val="24"/>
        </w:rPr>
        <w:t xml:space="preserve"> </w:t>
      </w:r>
      <w:r>
        <w:rPr>
          <w:szCs w:val="24"/>
        </w:rPr>
        <w:t>inserts</w:t>
      </w:r>
      <w:r w:rsidRPr="009511AC">
        <w:rPr>
          <w:szCs w:val="24"/>
        </w:rPr>
        <w:t xml:space="preserve"> </w:t>
      </w:r>
      <w:r w:rsidRPr="009511AC">
        <w:rPr>
          <w:noProof/>
        </w:rPr>
        <w:t xml:space="preserve">paragraphs </w:t>
      </w:r>
      <w:r>
        <w:rPr>
          <w:noProof/>
        </w:rPr>
        <w:t>7</w:t>
      </w:r>
      <w:r w:rsidRPr="009511AC">
        <w:rPr>
          <w:noProof/>
        </w:rPr>
        <w:t>(</w:t>
      </w:r>
      <w:r>
        <w:rPr>
          <w:noProof/>
        </w:rPr>
        <w:t>7</w:t>
      </w:r>
      <w:r w:rsidRPr="009511AC">
        <w:rPr>
          <w:noProof/>
        </w:rPr>
        <w:t>)(</w:t>
      </w:r>
      <w:r>
        <w:rPr>
          <w:noProof/>
        </w:rPr>
        <w:t>b</w:t>
      </w:r>
      <w:r w:rsidRPr="009511AC">
        <w:rPr>
          <w:noProof/>
        </w:rPr>
        <w:t>), (</w:t>
      </w:r>
      <w:r>
        <w:rPr>
          <w:noProof/>
        </w:rPr>
        <w:t>c</w:t>
      </w:r>
      <w:r w:rsidRPr="009511AC">
        <w:rPr>
          <w:noProof/>
        </w:rPr>
        <w:t>) and (</w:t>
      </w:r>
      <w:r>
        <w:rPr>
          <w:noProof/>
        </w:rPr>
        <w:t>d</w:t>
      </w:r>
      <w:r w:rsidRPr="009511AC">
        <w:rPr>
          <w:noProof/>
        </w:rPr>
        <w:t xml:space="preserve">) into the </w:t>
      </w:r>
      <w:r>
        <w:rPr>
          <w:noProof/>
        </w:rPr>
        <w:t>Telehealth</w:t>
      </w:r>
      <w:r w:rsidRPr="009511AC">
        <w:rPr>
          <w:noProof/>
        </w:rPr>
        <w:t xml:space="preserve"> Determinatio</w:t>
      </w:r>
      <w:r>
        <w:rPr>
          <w:noProof/>
        </w:rPr>
        <w:t xml:space="preserve">n from the date of its commencement on 1 January 2022. These paragraphs are identical to those being inserted into the COVID-19 Determination. When video and phone MBS services became </w:t>
      </w:r>
      <w:r w:rsidRPr="00782CA6">
        <w:rPr>
          <w:noProof/>
        </w:rPr>
        <w:t>permanent</w:t>
      </w:r>
      <w:r>
        <w:rPr>
          <w:noProof/>
        </w:rPr>
        <w:t xml:space="preserve"> rather than temporary,</w:t>
      </w:r>
      <w:r w:rsidRPr="00782CA6">
        <w:rPr>
          <w:noProof/>
        </w:rPr>
        <w:t xml:space="preserve"> </w:t>
      </w:r>
      <w:r>
        <w:rPr>
          <w:noProof/>
        </w:rPr>
        <w:t xml:space="preserve">the Telehealth Determination was implemented and the COVID-19 Determination was ceased on 31 December 2021. However, these paragraphs were not included in the Telehealth Determination when it was introduced, as they were not in the COVID-19 Determination at the time it was ceased. As such, this amendment will </w:t>
      </w:r>
      <w:r w:rsidRPr="00401386">
        <w:rPr>
          <w:noProof/>
          <w:color w:val="000000" w:themeColor="text1"/>
        </w:rPr>
        <w:t>introduce the p</w:t>
      </w:r>
      <w:r>
        <w:rPr>
          <w:noProof/>
          <w:color w:val="000000" w:themeColor="text1"/>
        </w:rPr>
        <w:t>a</w:t>
      </w:r>
      <w:r w:rsidRPr="00401386">
        <w:rPr>
          <w:noProof/>
          <w:color w:val="000000" w:themeColor="text1"/>
        </w:rPr>
        <w:t>ragraphs as if they ha</w:t>
      </w:r>
      <w:r>
        <w:rPr>
          <w:noProof/>
          <w:color w:val="000000" w:themeColor="text1"/>
        </w:rPr>
        <w:t>d</w:t>
      </w:r>
      <w:r w:rsidRPr="00401386">
        <w:rPr>
          <w:noProof/>
          <w:color w:val="000000" w:themeColor="text1"/>
        </w:rPr>
        <w:t xml:space="preserve"> been in the </w:t>
      </w:r>
      <w:r>
        <w:rPr>
          <w:noProof/>
          <w:color w:val="000000" w:themeColor="text1"/>
        </w:rPr>
        <w:t>Telehealth Determination</w:t>
      </w:r>
      <w:r w:rsidRPr="00401386">
        <w:rPr>
          <w:noProof/>
          <w:color w:val="000000" w:themeColor="text1"/>
        </w:rPr>
        <w:t xml:space="preserve"> from com</w:t>
      </w:r>
      <w:r>
        <w:rPr>
          <w:noProof/>
          <w:color w:val="000000" w:themeColor="text1"/>
        </w:rPr>
        <w:t>m</w:t>
      </w:r>
      <w:r w:rsidRPr="00401386">
        <w:rPr>
          <w:noProof/>
          <w:color w:val="000000" w:themeColor="text1"/>
        </w:rPr>
        <w:t>encement.</w:t>
      </w:r>
    </w:p>
    <w:p w14:paraId="31515278" w14:textId="28FBF7FC" w:rsidR="007708B3" w:rsidRDefault="007708B3" w:rsidP="002A6C77">
      <w:pPr>
        <w:ind w:right="-482"/>
        <w:rPr>
          <w:iCs/>
        </w:rPr>
      </w:pPr>
    </w:p>
    <w:p w14:paraId="2412D15C" w14:textId="50D38E8B" w:rsidR="00A17F2C" w:rsidRPr="00806020" w:rsidRDefault="00A17F2C" w:rsidP="002A6C77">
      <w:pPr>
        <w:ind w:right="-482"/>
        <w:rPr>
          <w:b/>
          <w:szCs w:val="24"/>
        </w:rPr>
      </w:pPr>
      <w:r w:rsidRPr="00806020">
        <w:rPr>
          <w:b/>
          <w:szCs w:val="24"/>
        </w:rPr>
        <w:t>Human rights implications</w:t>
      </w:r>
    </w:p>
    <w:p w14:paraId="449665F0" w14:textId="2ED3F54B" w:rsidR="00806020" w:rsidRPr="00806020" w:rsidRDefault="00806020" w:rsidP="00806020">
      <w:pPr>
        <w:spacing w:before="120" w:after="120"/>
        <w:rPr>
          <w:szCs w:val="24"/>
        </w:rPr>
      </w:pPr>
      <w:r w:rsidRPr="00806020">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806020" w:rsidRDefault="00A17F2C" w:rsidP="00806020">
      <w:pPr>
        <w:spacing w:before="120" w:after="120"/>
        <w:rPr>
          <w:i/>
          <w:szCs w:val="24"/>
        </w:rPr>
      </w:pPr>
      <w:r w:rsidRPr="00806020">
        <w:rPr>
          <w:i/>
          <w:szCs w:val="24"/>
        </w:rPr>
        <w:t>The Right to Health</w:t>
      </w:r>
    </w:p>
    <w:p w14:paraId="2412D15F" w14:textId="77777777" w:rsidR="00A17F2C" w:rsidRPr="00806020" w:rsidRDefault="00A17F2C" w:rsidP="000337CB">
      <w:pPr>
        <w:spacing w:before="120" w:after="120"/>
        <w:rPr>
          <w:szCs w:val="24"/>
        </w:rPr>
      </w:pPr>
      <w:r w:rsidRPr="00806020">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w:t>
      </w:r>
      <w:proofErr w:type="gramStart"/>
      <w:r w:rsidRPr="00806020">
        <w:rPr>
          <w:szCs w:val="24"/>
        </w:rPr>
        <w:t>each individual</w:t>
      </w:r>
      <w:proofErr w:type="gramEnd"/>
      <w:r w:rsidRPr="00806020">
        <w:rPr>
          <w:szCs w:val="24"/>
        </w:rPr>
        <w:t xml:space="preserve"> to be </w:t>
      </w:r>
      <w:proofErr w:type="gramStart"/>
      <w:r w:rsidRPr="00806020">
        <w:rPr>
          <w:szCs w:val="24"/>
        </w:rPr>
        <w:t>healthy, but</w:t>
      </w:r>
      <w:proofErr w:type="gramEnd"/>
      <w:r w:rsidRPr="00806020">
        <w:rPr>
          <w:szCs w:val="24"/>
        </w:rPr>
        <w:t xml:space="preserve"> is a right to a system of health protection which provides equality of opportunity for people to enjoy the highest attainable level of health. </w:t>
      </w:r>
    </w:p>
    <w:p w14:paraId="2412D160" w14:textId="77777777" w:rsidR="00A17F2C" w:rsidRPr="00806020" w:rsidRDefault="00A17F2C" w:rsidP="000337CB">
      <w:pPr>
        <w:spacing w:before="120" w:after="120"/>
        <w:rPr>
          <w:szCs w:val="24"/>
        </w:rPr>
      </w:pPr>
      <w:r w:rsidRPr="00806020">
        <w:rPr>
          <w:szCs w:val="24"/>
        </w:rPr>
        <w:t xml:space="preserve">The Committee reports that the </w:t>
      </w:r>
      <w:r w:rsidRPr="00806020">
        <w:rPr>
          <w:i/>
          <w:szCs w:val="24"/>
        </w:rPr>
        <w:t>‘highest attainable standard of health’</w:t>
      </w:r>
      <w:r w:rsidRPr="00806020">
        <w:rPr>
          <w:szCs w:val="24"/>
        </w:rPr>
        <w:t xml:space="preserve"> </w:t>
      </w:r>
      <w:proofErr w:type="gramStart"/>
      <w:r w:rsidRPr="00806020">
        <w:rPr>
          <w:szCs w:val="24"/>
        </w:rPr>
        <w:t>takes into account</w:t>
      </w:r>
      <w:proofErr w:type="gramEnd"/>
      <w:r w:rsidRPr="00806020">
        <w:rPr>
          <w:szCs w:val="24"/>
        </w:rPr>
        <w:t xml:space="preserve"> the country’s available resources. This right may be understood as a right of access to a variety of </w:t>
      </w:r>
      <w:r w:rsidRPr="00806020">
        <w:rPr>
          <w:szCs w:val="24"/>
        </w:rPr>
        <w:lastRenderedPageBreak/>
        <w:t xml:space="preserve">public health and health care facilities, goods, services, programs, and conditions necessary for the realisation of the highest attainable standard of health. </w:t>
      </w:r>
    </w:p>
    <w:p w14:paraId="2412D161" w14:textId="0585490B" w:rsidR="00A17F2C" w:rsidRPr="00806020" w:rsidRDefault="00A17F2C" w:rsidP="000337CB">
      <w:pPr>
        <w:spacing w:before="120" w:after="120"/>
        <w:rPr>
          <w:i/>
          <w:szCs w:val="24"/>
        </w:rPr>
      </w:pPr>
      <w:r w:rsidRPr="00806020">
        <w:rPr>
          <w:i/>
          <w:szCs w:val="24"/>
        </w:rPr>
        <w:t xml:space="preserve">The Right to Social Security </w:t>
      </w:r>
    </w:p>
    <w:p w14:paraId="2412D162" w14:textId="77777777" w:rsidR="00A17F2C" w:rsidRPr="00806020" w:rsidRDefault="00A17F2C" w:rsidP="000337CB">
      <w:pPr>
        <w:spacing w:before="120" w:after="120"/>
        <w:rPr>
          <w:szCs w:val="24"/>
        </w:rPr>
      </w:pPr>
      <w:r w:rsidRPr="00806020">
        <w:rPr>
          <w:szCs w:val="24"/>
        </w:rPr>
        <w:t>The right to social security is contained in Article 9 of the ICESCR. It requires that a country must, within its maximum available resources, ensure access to a social security scheme that</w:t>
      </w:r>
      <w:r w:rsidR="00BA69CB" w:rsidRPr="00806020">
        <w:rPr>
          <w:szCs w:val="24"/>
        </w:rPr>
        <w:t xml:space="preserve"> </w:t>
      </w:r>
      <w:r w:rsidRPr="00806020">
        <w:rPr>
          <w:szCs w:val="24"/>
        </w:rPr>
        <w:t xml:space="preserve">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806020">
        <w:rPr>
          <w:szCs w:val="24"/>
        </w:rPr>
        <w:t>in an effort to</w:t>
      </w:r>
      <w:proofErr w:type="gramEnd"/>
      <w:r w:rsidRPr="00806020">
        <w:rPr>
          <w:szCs w:val="24"/>
        </w:rPr>
        <w:t xml:space="preserve"> satisfy, as a matter of priority, this minimum obligation.</w:t>
      </w:r>
    </w:p>
    <w:p w14:paraId="0345FFEA" w14:textId="2A5A9406" w:rsidR="00A46B56" w:rsidRDefault="00A17F2C" w:rsidP="000337CB">
      <w:pPr>
        <w:spacing w:before="120" w:after="120"/>
        <w:rPr>
          <w:szCs w:val="24"/>
        </w:rPr>
      </w:pPr>
      <w:r w:rsidRPr="00806020">
        <w:rPr>
          <w:szCs w:val="24"/>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806020">
        <w:rPr>
          <w:szCs w:val="24"/>
        </w:rPr>
        <w:t>Government</w:t>
      </w:r>
      <w:proofErr w:type="gramEnd"/>
      <w:r w:rsidRPr="00806020">
        <w:rPr>
          <w:szCs w:val="24"/>
        </w:rPr>
        <w:t xml:space="preserve"> to re-direct its limited resources in ways that it considers to be more effective at meeting the general health needs of all society, particularly the needs of the more disadvantaged members of society.</w:t>
      </w:r>
    </w:p>
    <w:p w14:paraId="6F845A27" w14:textId="0151647E" w:rsidR="00A46B56" w:rsidRPr="00A70F35" w:rsidRDefault="00A46B56" w:rsidP="00A46B56">
      <w:pPr>
        <w:shd w:val="clear" w:color="auto" w:fill="FFFFFF"/>
        <w:spacing w:before="120" w:after="120"/>
        <w:rPr>
          <w:color w:val="000000"/>
          <w:szCs w:val="24"/>
        </w:rPr>
      </w:pPr>
      <w:r w:rsidRPr="00A70F35">
        <w:rPr>
          <w:i/>
          <w:iCs/>
          <w:color w:val="000000"/>
          <w:szCs w:val="24"/>
        </w:rPr>
        <w:t xml:space="preserve">The </w:t>
      </w:r>
      <w:r w:rsidR="00D9648D">
        <w:rPr>
          <w:i/>
          <w:iCs/>
          <w:color w:val="000000"/>
          <w:szCs w:val="24"/>
        </w:rPr>
        <w:t>R</w:t>
      </w:r>
      <w:r w:rsidRPr="00A70F35">
        <w:rPr>
          <w:i/>
          <w:iCs/>
          <w:color w:val="000000"/>
          <w:szCs w:val="24"/>
        </w:rPr>
        <w:t xml:space="preserve">ight of </w:t>
      </w:r>
      <w:r w:rsidR="00D9648D">
        <w:rPr>
          <w:i/>
          <w:iCs/>
          <w:color w:val="000000"/>
          <w:szCs w:val="24"/>
        </w:rPr>
        <w:t>E</w:t>
      </w:r>
      <w:r w:rsidRPr="00A70F35">
        <w:rPr>
          <w:i/>
          <w:iCs/>
          <w:color w:val="000000"/>
          <w:szCs w:val="24"/>
        </w:rPr>
        <w:t xml:space="preserve">quality and </w:t>
      </w:r>
      <w:r w:rsidR="00D9648D">
        <w:rPr>
          <w:i/>
          <w:iCs/>
          <w:color w:val="000000"/>
          <w:szCs w:val="24"/>
        </w:rPr>
        <w:t>N</w:t>
      </w:r>
      <w:r w:rsidRPr="00A70F35">
        <w:rPr>
          <w:i/>
          <w:iCs/>
          <w:color w:val="000000"/>
          <w:szCs w:val="24"/>
        </w:rPr>
        <w:t>on-</w:t>
      </w:r>
      <w:r w:rsidR="00D9648D">
        <w:rPr>
          <w:i/>
          <w:iCs/>
          <w:color w:val="000000"/>
          <w:szCs w:val="24"/>
        </w:rPr>
        <w:t>D</w:t>
      </w:r>
      <w:r w:rsidRPr="00A70F35">
        <w:rPr>
          <w:i/>
          <w:iCs/>
          <w:color w:val="000000"/>
          <w:szCs w:val="24"/>
        </w:rPr>
        <w:t>iscrimination</w:t>
      </w:r>
    </w:p>
    <w:p w14:paraId="11907FD2" w14:textId="797D3079" w:rsidR="00A46B56" w:rsidRPr="00806020" w:rsidRDefault="00A46B56" w:rsidP="00A46B56">
      <w:pPr>
        <w:spacing w:before="120" w:after="120"/>
        <w:rPr>
          <w:szCs w:val="24"/>
        </w:rPr>
      </w:pPr>
      <w:r w:rsidRPr="00A70F35">
        <w:rPr>
          <w:color w:val="000000"/>
          <w:szCs w:val="24"/>
        </w:rPr>
        <w:t xml:space="preserve">The rights of equality and non-discrimination are contained in </w:t>
      </w:r>
      <w:r w:rsidR="00207914">
        <w:rPr>
          <w:color w:val="000000"/>
          <w:szCs w:val="24"/>
        </w:rPr>
        <w:t>A</w:t>
      </w:r>
      <w:r w:rsidRPr="00A70F35">
        <w:rPr>
          <w:color w:val="000000"/>
          <w:szCs w:val="24"/>
        </w:rPr>
        <w:t>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2412D164" w14:textId="1BF78036" w:rsidR="00A17F2C" w:rsidRPr="00E63E16" w:rsidRDefault="00A17F2C" w:rsidP="000337CB">
      <w:pPr>
        <w:spacing w:before="120" w:after="120"/>
        <w:rPr>
          <w:color w:val="000000" w:themeColor="text1"/>
          <w:szCs w:val="24"/>
          <w:u w:val="single"/>
        </w:rPr>
      </w:pPr>
      <w:r w:rsidRPr="00E63E16">
        <w:rPr>
          <w:color w:val="000000" w:themeColor="text1"/>
          <w:szCs w:val="24"/>
          <w:u w:val="single"/>
        </w:rPr>
        <w:t xml:space="preserve">Analysis </w:t>
      </w:r>
    </w:p>
    <w:p w14:paraId="5CED5F70" w14:textId="018CAFF5" w:rsidR="0079191B" w:rsidRPr="00E63E16" w:rsidRDefault="00806020" w:rsidP="00302F5C">
      <w:pPr>
        <w:rPr>
          <w:color w:val="000000" w:themeColor="text1"/>
          <w:szCs w:val="24"/>
        </w:rPr>
      </w:pPr>
      <w:r w:rsidRPr="00E63E16">
        <w:rPr>
          <w:color w:val="000000" w:themeColor="text1"/>
          <w:szCs w:val="24"/>
        </w:rPr>
        <w:t xml:space="preserve">This instrument will </w:t>
      </w:r>
      <w:r w:rsidR="00B15781" w:rsidRPr="00E63E16">
        <w:rPr>
          <w:color w:val="000000" w:themeColor="text1"/>
          <w:szCs w:val="24"/>
        </w:rPr>
        <w:t xml:space="preserve">reflect </w:t>
      </w:r>
      <w:r w:rsidR="00B15781" w:rsidRPr="00E63E16">
        <w:rPr>
          <w:color w:val="000000" w:themeColor="text1"/>
        </w:rPr>
        <w:t>contemporary clinical practice</w:t>
      </w:r>
      <w:r w:rsidR="00B15781" w:rsidRPr="00E63E16">
        <w:rPr>
          <w:color w:val="000000" w:themeColor="text1"/>
          <w:szCs w:val="24"/>
        </w:rPr>
        <w:t xml:space="preserve"> </w:t>
      </w:r>
      <w:r w:rsidR="00713F0F">
        <w:rPr>
          <w:color w:val="000000" w:themeColor="text1"/>
          <w:szCs w:val="24"/>
        </w:rPr>
        <w:t>b</w:t>
      </w:r>
      <w:r w:rsidR="000C308F">
        <w:rPr>
          <w:color w:val="000000" w:themeColor="text1"/>
          <w:szCs w:val="24"/>
        </w:rPr>
        <w:t xml:space="preserve">y reinstating paragraphs into the definition of “patient’s usual medical practitioner” to align the definition with the policy intention, </w:t>
      </w:r>
      <w:r w:rsidR="00C12CA8">
        <w:rPr>
          <w:color w:val="000000" w:themeColor="text1"/>
          <w:szCs w:val="24"/>
        </w:rPr>
        <w:t>to</w:t>
      </w:r>
      <w:r w:rsidR="00B15781" w:rsidRPr="00E63E16">
        <w:rPr>
          <w:color w:val="000000" w:themeColor="text1"/>
          <w:szCs w:val="24"/>
        </w:rPr>
        <w:t xml:space="preserve"> ensure that patients </w:t>
      </w:r>
      <w:r w:rsidR="007C7403" w:rsidRPr="00E63E16">
        <w:rPr>
          <w:color w:val="000000" w:themeColor="text1"/>
          <w:szCs w:val="24"/>
        </w:rPr>
        <w:t xml:space="preserve">continue to </w:t>
      </w:r>
      <w:r w:rsidR="00B15781" w:rsidRPr="00E63E16">
        <w:rPr>
          <w:color w:val="000000" w:themeColor="text1"/>
          <w:szCs w:val="24"/>
        </w:rPr>
        <w:t>have access to</w:t>
      </w:r>
      <w:r w:rsidRPr="00E63E16">
        <w:rPr>
          <w:color w:val="000000" w:themeColor="text1"/>
          <w:szCs w:val="24"/>
        </w:rPr>
        <w:t xml:space="preserve"> health and social security </w:t>
      </w:r>
      <w:r w:rsidR="00B15781" w:rsidRPr="00E63E16">
        <w:rPr>
          <w:color w:val="000000" w:themeColor="text1"/>
          <w:szCs w:val="24"/>
        </w:rPr>
        <w:t xml:space="preserve">through relevant </w:t>
      </w:r>
      <w:r w:rsidR="00C67BC7" w:rsidRPr="00E63E16">
        <w:rPr>
          <w:color w:val="000000" w:themeColor="text1"/>
          <w:szCs w:val="24"/>
        </w:rPr>
        <w:t xml:space="preserve">subsidised pathology services </w:t>
      </w:r>
      <w:r w:rsidR="0039170C" w:rsidRPr="00E63E16">
        <w:rPr>
          <w:color w:val="000000" w:themeColor="text1"/>
          <w:szCs w:val="24"/>
        </w:rPr>
        <w:t xml:space="preserve">on the Medicare Benefits Schedule. </w:t>
      </w:r>
    </w:p>
    <w:p w14:paraId="7AF63E21" w14:textId="77777777" w:rsidR="00872BA4" w:rsidRDefault="00872BA4" w:rsidP="00302F5C">
      <w:pPr>
        <w:rPr>
          <w:color w:val="000000" w:themeColor="text1"/>
          <w:szCs w:val="24"/>
        </w:rPr>
      </w:pPr>
    </w:p>
    <w:p w14:paraId="2FF00C2C" w14:textId="22D0DA23" w:rsidR="00872BA4" w:rsidRDefault="00872BA4" w:rsidP="0027018C">
      <w:pPr>
        <w:rPr>
          <w:noProof/>
          <w:color w:val="000000" w:themeColor="text1"/>
        </w:rPr>
      </w:pPr>
      <w:r>
        <w:rPr>
          <w:noProof/>
          <w:color w:val="000000" w:themeColor="text1"/>
        </w:rPr>
        <w:t xml:space="preserve">Although the amendments have retrospective effect, the retrospectivity will not disadvantage any person’s rights or impose liabilities on a person other than the Commonwealth. Instead, the retrospective operation will address any inadvertent impacts on AMDS access to non-urgent after-hours telehealth services, and will ensure that any inadvertent claims of affected MBS telehealth items based on the AMDS clauses that were inadvertently removed will be validated. </w:t>
      </w:r>
      <w:r w:rsidR="000C308F">
        <w:rPr>
          <w:noProof/>
          <w:color w:val="000000" w:themeColor="text1"/>
        </w:rPr>
        <w:t xml:space="preserve">As such, the Amendment </w:t>
      </w:r>
      <w:r w:rsidR="006C0AFE">
        <w:rPr>
          <w:noProof/>
          <w:color w:val="000000" w:themeColor="text1"/>
        </w:rPr>
        <w:t xml:space="preserve">Determination </w:t>
      </w:r>
      <w:r w:rsidR="000C308F">
        <w:rPr>
          <w:noProof/>
          <w:color w:val="000000" w:themeColor="text1"/>
        </w:rPr>
        <w:t xml:space="preserve">does not trespass unduly on personal rights and liberties, in alignment </w:t>
      </w:r>
      <w:r w:rsidR="000C308F" w:rsidRPr="00E63E16">
        <w:rPr>
          <w:color w:val="000000"/>
          <w:szCs w:val="24"/>
        </w:rPr>
        <w:t>with principle (</w:t>
      </w:r>
      <w:r w:rsidR="000C308F">
        <w:rPr>
          <w:color w:val="000000"/>
          <w:szCs w:val="24"/>
        </w:rPr>
        <w:t>h</w:t>
      </w:r>
      <w:r w:rsidR="000C308F" w:rsidRPr="00E63E16">
        <w:rPr>
          <w:color w:val="000000"/>
          <w:szCs w:val="24"/>
        </w:rPr>
        <w:t>) of the Senate Standing Committee for the Scrutiny of Delegated Legislation</w:t>
      </w:r>
      <w:r w:rsidR="000C308F">
        <w:rPr>
          <w:color w:val="000000"/>
          <w:szCs w:val="24"/>
        </w:rPr>
        <w:t xml:space="preserve"> Guidelines.</w:t>
      </w:r>
    </w:p>
    <w:p w14:paraId="00931A48" w14:textId="77777777" w:rsidR="0027018C" w:rsidRPr="00E63E16" w:rsidRDefault="0027018C" w:rsidP="0027018C">
      <w:pPr>
        <w:rPr>
          <w:color w:val="000000" w:themeColor="text1"/>
          <w:szCs w:val="24"/>
        </w:rPr>
      </w:pPr>
    </w:p>
    <w:p w14:paraId="2412D166" w14:textId="1973400E" w:rsidR="00A17F2C" w:rsidRPr="00E63E16" w:rsidRDefault="00A17F2C" w:rsidP="0027018C">
      <w:pPr>
        <w:spacing w:line="276" w:lineRule="auto"/>
        <w:rPr>
          <w:rFonts w:eastAsia="Calibri"/>
          <w:b/>
          <w:color w:val="000000" w:themeColor="text1"/>
          <w:szCs w:val="24"/>
          <w:lang w:eastAsia="en-US"/>
        </w:rPr>
      </w:pPr>
      <w:r w:rsidRPr="00E63E16">
        <w:rPr>
          <w:rFonts w:eastAsia="Calibri"/>
          <w:b/>
          <w:color w:val="000000" w:themeColor="text1"/>
          <w:szCs w:val="24"/>
          <w:lang w:eastAsia="en-US"/>
        </w:rPr>
        <w:t xml:space="preserve">Conclusion </w:t>
      </w:r>
    </w:p>
    <w:p w14:paraId="2412D168" w14:textId="635212C4" w:rsidR="00F15284" w:rsidRPr="00850636" w:rsidRDefault="006E6BBF" w:rsidP="000337CB">
      <w:pPr>
        <w:rPr>
          <w:color w:val="000000" w:themeColor="text1"/>
          <w:szCs w:val="24"/>
        </w:rPr>
      </w:pPr>
      <w:r w:rsidRPr="00E63E16">
        <w:rPr>
          <w:color w:val="000000" w:themeColor="text1"/>
          <w:szCs w:val="24"/>
        </w:rPr>
        <w:t xml:space="preserve">This </w:t>
      </w:r>
      <w:r w:rsidR="0046022A" w:rsidRPr="00E63E16">
        <w:rPr>
          <w:color w:val="000000" w:themeColor="text1"/>
          <w:szCs w:val="24"/>
        </w:rPr>
        <w:t>instrument</w:t>
      </w:r>
      <w:r w:rsidRPr="00E63E16">
        <w:rPr>
          <w:color w:val="000000" w:themeColor="text1"/>
          <w:szCs w:val="24"/>
        </w:rPr>
        <w:t xml:space="preserve"> </w:t>
      </w:r>
      <w:r w:rsidR="00F15284" w:rsidRPr="00E63E16">
        <w:rPr>
          <w:color w:val="000000" w:themeColor="text1"/>
          <w:szCs w:val="24"/>
        </w:rPr>
        <w:t xml:space="preserve">is compatible with human rights as it </w:t>
      </w:r>
      <w:r w:rsidR="007C7403" w:rsidRPr="00E63E16">
        <w:rPr>
          <w:color w:val="000000" w:themeColor="text1"/>
          <w:szCs w:val="24"/>
        </w:rPr>
        <w:t xml:space="preserve">maintains the </w:t>
      </w:r>
      <w:r w:rsidR="00910EF6" w:rsidRPr="00E63E16">
        <w:rPr>
          <w:color w:val="000000" w:themeColor="text1"/>
          <w:szCs w:val="24"/>
        </w:rPr>
        <w:t>right to health and the right to social security</w:t>
      </w:r>
      <w:r w:rsidR="005C394E" w:rsidRPr="00E63E16">
        <w:rPr>
          <w:color w:val="000000" w:themeColor="text1"/>
          <w:szCs w:val="24"/>
        </w:rPr>
        <w:t xml:space="preserve"> </w:t>
      </w:r>
      <w:bookmarkStart w:id="1" w:name="_Hlk129952180"/>
      <w:r w:rsidR="005C394E" w:rsidRPr="00E63E16">
        <w:rPr>
          <w:color w:val="000000" w:themeColor="text1"/>
          <w:szCs w:val="24"/>
        </w:rPr>
        <w:t>and the right of equality and non-discrimination</w:t>
      </w:r>
      <w:bookmarkEnd w:id="1"/>
      <w:r w:rsidR="00910EF6" w:rsidRPr="00E63E16">
        <w:rPr>
          <w:color w:val="000000" w:themeColor="text1"/>
          <w:szCs w:val="24"/>
        </w:rPr>
        <w:t xml:space="preserve">. </w:t>
      </w:r>
    </w:p>
    <w:p w14:paraId="75A46380" w14:textId="77777777" w:rsidR="00C67BC7" w:rsidRPr="00A971E1" w:rsidRDefault="00C67BC7" w:rsidP="000F2948">
      <w:pPr>
        <w:jc w:val="center"/>
        <w:rPr>
          <w:color w:val="000000" w:themeColor="text1"/>
        </w:rPr>
      </w:pPr>
    </w:p>
    <w:p w14:paraId="44E3C48D" w14:textId="77777777" w:rsidR="0027018C" w:rsidRPr="00A971E1" w:rsidRDefault="0027018C" w:rsidP="000F2948">
      <w:pPr>
        <w:jc w:val="center"/>
        <w:rPr>
          <w:color w:val="000000" w:themeColor="text1"/>
        </w:rPr>
      </w:pPr>
    </w:p>
    <w:p w14:paraId="56D639F5" w14:textId="47430442" w:rsidR="00BD6BAA" w:rsidRPr="00BD6BAA" w:rsidRDefault="00BD6BAA" w:rsidP="00BD6BAA">
      <w:pPr>
        <w:jc w:val="center"/>
        <w:rPr>
          <w:b/>
          <w:bCs/>
        </w:rPr>
      </w:pPr>
      <w:r w:rsidRPr="00BD6BAA">
        <w:rPr>
          <w:b/>
          <w:bCs/>
        </w:rPr>
        <w:t>Louise Riley</w:t>
      </w:r>
    </w:p>
    <w:p w14:paraId="737A4B76" w14:textId="77777777" w:rsidR="00BD6BAA" w:rsidRPr="00BD6BAA" w:rsidRDefault="00BD6BAA" w:rsidP="00BD6BAA">
      <w:pPr>
        <w:jc w:val="center"/>
        <w:rPr>
          <w:b/>
          <w:bCs/>
        </w:rPr>
      </w:pPr>
      <w:r w:rsidRPr="00BD6BAA">
        <w:rPr>
          <w:b/>
          <w:bCs/>
        </w:rPr>
        <w:t>Assistant Secretary</w:t>
      </w:r>
    </w:p>
    <w:p w14:paraId="35ADD771" w14:textId="77777777" w:rsidR="00BD6BAA" w:rsidRPr="00BD6BAA" w:rsidRDefault="00BD6BAA" w:rsidP="00BD6BAA">
      <w:pPr>
        <w:jc w:val="center"/>
        <w:rPr>
          <w:b/>
          <w:bCs/>
        </w:rPr>
      </w:pPr>
      <w:r w:rsidRPr="00BD6BAA">
        <w:rPr>
          <w:b/>
          <w:bCs/>
        </w:rPr>
        <w:t>MBS Policy and Reviews Branch</w:t>
      </w:r>
    </w:p>
    <w:p w14:paraId="692EE157" w14:textId="77777777" w:rsidR="00BD6BAA" w:rsidRPr="00BD6BAA" w:rsidRDefault="00BD6BAA" w:rsidP="00BD6BAA">
      <w:pPr>
        <w:jc w:val="center"/>
        <w:rPr>
          <w:b/>
          <w:bCs/>
        </w:rPr>
      </w:pPr>
      <w:r w:rsidRPr="00BD6BAA">
        <w:rPr>
          <w:b/>
          <w:bCs/>
        </w:rPr>
        <w:lastRenderedPageBreak/>
        <w:t>Medicare Benefits and Digital Health Division</w:t>
      </w:r>
    </w:p>
    <w:p w14:paraId="4687B7E6" w14:textId="77777777" w:rsidR="00BD6BAA" w:rsidRPr="00BD6BAA" w:rsidRDefault="00BD6BAA" w:rsidP="00BD6BAA">
      <w:pPr>
        <w:jc w:val="center"/>
        <w:rPr>
          <w:b/>
          <w:bCs/>
        </w:rPr>
      </w:pPr>
      <w:r w:rsidRPr="00BD6BAA">
        <w:rPr>
          <w:b/>
          <w:bCs/>
        </w:rPr>
        <w:t>Health Resourcing Group</w:t>
      </w:r>
    </w:p>
    <w:p w14:paraId="2412D16E" w14:textId="6F60F0B9" w:rsidR="00636C51" w:rsidRPr="0020245D" w:rsidRDefault="000F2948" w:rsidP="61DF509E">
      <w:pPr>
        <w:jc w:val="center"/>
        <w:rPr>
          <w:rFonts w:eastAsia="Calibri"/>
          <w:lang w:eastAsia="en-US"/>
        </w:rPr>
      </w:pPr>
      <w:r w:rsidRPr="61DF509E">
        <w:rPr>
          <w:b/>
          <w:bCs/>
        </w:rPr>
        <w:t>Department of Health</w:t>
      </w:r>
      <w:r w:rsidR="2D84EE07" w:rsidRPr="61DF509E">
        <w:rPr>
          <w:b/>
          <w:bCs/>
        </w:rPr>
        <w:t>, Disability and Ageing</w:t>
      </w:r>
    </w:p>
    <w:sectPr w:rsidR="00636C51" w:rsidRPr="0020245D" w:rsidSect="00B15781">
      <w:headerReference w:type="even" r:id="rId16"/>
      <w:headerReference w:type="default" r:id="rId17"/>
      <w:footerReference w:type="even" r:id="rId18"/>
      <w:footerReference w:type="default" r:id="rId19"/>
      <w:headerReference w:type="first" r:id="rId20"/>
      <w:footerReference w:type="first" r:id="rId21"/>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65E64" w14:textId="77777777" w:rsidR="00B9267B" w:rsidRDefault="00B9267B">
      <w:r>
        <w:separator/>
      </w:r>
    </w:p>
  </w:endnote>
  <w:endnote w:type="continuationSeparator" w:id="0">
    <w:p w14:paraId="41684FC1" w14:textId="77777777" w:rsidR="00B9267B" w:rsidRDefault="00B9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B100" w14:textId="616FEAC7" w:rsidR="00E82E6D" w:rsidRDefault="00E82E6D">
    <w:pPr>
      <w:pStyle w:val="Footer"/>
    </w:pPr>
    <w:r>
      <w:rPr>
        <w:noProof/>
      </w:rPr>
      <mc:AlternateContent>
        <mc:Choice Requires="wps">
          <w:drawing>
            <wp:anchor distT="0" distB="0" distL="0" distR="0" simplePos="0" relativeHeight="251658244" behindDoc="0" locked="0" layoutInCell="1" allowOverlap="1" wp14:anchorId="1D8EB2DB" wp14:editId="4345E42B">
              <wp:simplePos x="635" y="635"/>
              <wp:positionH relativeFrom="page">
                <wp:align>center</wp:align>
              </wp:positionH>
              <wp:positionV relativeFrom="page">
                <wp:align>bottom</wp:align>
              </wp:positionV>
              <wp:extent cx="1143635" cy="376555"/>
              <wp:effectExtent l="0" t="0" r="18415" b="0"/>
              <wp:wrapNone/>
              <wp:docPr id="235080012" name="Text Box 8"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3635" cy="376555"/>
                      </a:xfrm>
                      <a:prstGeom prst="rect">
                        <a:avLst/>
                      </a:prstGeom>
                      <a:noFill/>
                      <a:ln>
                        <a:noFill/>
                      </a:ln>
                    </wps:spPr>
                    <wps:txbx>
                      <w:txbxContent>
                        <w:p w14:paraId="4FCEEF0A" w14:textId="50B526B4" w:rsidR="00E82E6D" w:rsidRPr="00E82E6D" w:rsidRDefault="00E82E6D" w:rsidP="00E82E6D">
                          <w:pPr>
                            <w:rPr>
                              <w:rFonts w:ascii="Calibri" w:eastAsia="Calibri" w:hAnsi="Calibri" w:cs="Calibri"/>
                              <w:noProof/>
                              <w:color w:val="FF0000"/>
                              <w:szCs w:val="24"/>
                            </w:rPr>
                          </w:pPr>
                          <w:r w:rsidRPr="00E82E6D">
                            <w:rPr>
                              <w:rFonts w:ascii="Calibri" w:eastAsia="Calibri" w:hAnsi="Calibri" w:cs="Calibri"/>
                              <w:noProof/>
                              <w:color w:val="FF0000"/>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8EB2DB" id="_x0000_t202" coordsize="21600,21600" o:spt="202" path="m,l,21600r21600,l21600,xe">
              <v:stroke joinstyle="miter"/>
              <v:path gradientshapeok="t" o:connecttype="rect"/>
            </v:shapetype>
            <v:shape id="Text Box 8" o:spid="_x0000_s1027" type="#_x0000_t202" alt="OFFICIAL:Sensitive" style="position:absolute;margin-left:0;margin-top:0;width:90.0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" filled="f" stroked="f">
              <v:textbox style="mso-fit-shape-to-text:t" inset="0,0,0,15pt">
                <w:txbxContent>
                  <w:p w14:paraId="4FCEEF0A" w14:textId="50B526B4" w:rsidR="00E82E6D" w:rsidRPr="00E82E6D" w:rsidRDefault="00E82E6D" w:rsidP="00E82E6D">
                    <w:pPr>
                      <w:rPr>
                        <w:rFonts w:ascii="Calibri" w:eastAsia="Calibri" w:hAnsi="Calibri" w:cs="Calibri"/>
                        <w:noProof/>
                        <w:color w:val="FF0000"/>
                        <w:szCs w:val="24"/>
                      </w:rPr>
                    </w:pPr>
                    <w:r w:rsidRPr="00E82E6D">
                      <w:rPr>
                        <w:rFonts w:ascii="Calibri" w:eastAsia="Calibri" w:hAnsi="Calibri" w:cs="Calibri"/>
                        <w:noProof/>
                        <w:color w:val="FF0000"/>
                        <w:szCs w:val="24"/>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A4F5" w14:textId="521D5F20" w:rsidR="00E82E6D" w:rsidRDefault="00E82E6D">
    <w:pPr>
      <w:pStyle w:val="Footer"/>
    </w:pPr>
    <w:r>
      <w:rPr>
        <w:noProof/>
      </w:rPr>
      <mc:AlternateContent>
        <mc:Choice Requires="wps">
          <w:drawing>
            <wp:anchor distT="0" distB="0" distL="0" distR="0" simplePos="0" relativeHeight="251658243" behindDoc="0" locked="0" layoutInCell="1" allowOverlap="1" wp14:anchorId="4BD73833" wp14:editId="7312DBEF">
              <wp:simplePos x="635" y="635"/>
              <wp:positionH relativeFrom="page">
                <wp:align>center</wp:align>
              </wp:positionH>
              <wp:positionV relativeFrom="page">
                <wp:align>bottom</wp:align>
              </wp:positionV>
              <wp:extent cx="1143635" cy="376555"/>
              <wp:effectExtent l="0" t="0" r="18415" b="0"/>
              <wp:wrapNone/>
              <wp:docPr id="1152053239" name="Text Box 7"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3635" cy="376555"/>
                      </a:xfrm>
                      <a:prstGeom prst="rect">
                        <a:avLst/>
                      </a:prstGeom>
                      <a:noFill/>
                      <a:ln>
                        <a:noFill/>
                      </a:ln>
                    </wps:spPr>
                    <wps:txbx>
                      <w:txbxContent>
                        <w:p w14:paraId="0BACC882" w14:textId="7E94E456" w:rsidR="00E82E6D" w:rsidRPr="00E82E6D" w:rsidRDefault="00E82E6D" w:rsidP="00E82E6D">
                          <w:pPr>
                            <w:rPr>
                              <w:rFonts w:ascii="Calibri" w:eastAsia="Calibri" w:hAnsi="Calibri" w:cs="Calibri"/>
                              <w:noProof/>
                              <w:color w:val="FF0000"/>
                              <w:szCs w:val="24"/>
                            </w:rPr>
                          </w:pPr>
                          <w:r w:rsidRPr="00E82E6D">
                            <w:rPr>
                              <w:rFonts w:ascii="Calibri" w:eastAsia="Calibri" w:hAnsi="Calibri" w:cs="Calibri"/>
                              <w:noProof/>
                              <w:color w:val="FF0000"/>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D73833" id="_x0000_t202" coordsize="21600,21600" o:spt="202" path="m,l,21600r21600,l21600,xe">
              <v:stroke joinstyle="miter"/>
              <v:path gradientshapeok="t" o:connecttype="rect"/>
            </v:shapetype>
            <v:shape id="Text Box 7" o:spid="_x0000_s1029" type="#_x0000_t202" alt="OFFICIAL:Sensitive" style="position:absolute;margin-left:0;margin-top:0;width:90.0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" filled="f" stroked="f">
              <v:textbox style="mso-fit-shape-to-text:t" inset="0,0,0,15pt">
                <w:txbxContent>
                  <w:p w14:paraId="0BACC882" w14:textId="7E94E456" w:rsidR="00E82E6D" w:rsidRPr="00E82E6D" w:rsidRDefault="00E82E6D" w:rsidP="00E82E6D">
                    <w:pPr>
                      <w:rPr>
                        <w:rFonts w:ascii="Calibri" w:eastAsia="Calibri" w:hAnsi="Calibri" w:cs="Calibri"/>
                        <w:noProof/>
                        <w:color w:val="FF0000"/>
                        <w:szCs w:val="24"/>
                      </w:rPr>
                    </w:pPr>
                    <w:r w:rsidRPr="00E82E6D">
                      <w:rPr>
                        <w:rFonts w:ascii="Calibri" w:eastAsia="Calibri" w:hAnsi="Calibri" w:cs="Calibri"/>
                        <w:noProof/>
                        <w:color w:val="FF0000"/>
                        <w:szCs w:val="24"/>
                      </w:rPr>
                      <w:t>OFFICIAL:Sensitive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F801" w14:textId="7834CFE7" w:rsidR="00E82E6D" w:rsidRDefault="00E82E6D">
    <w:pPr>
      <w:pStyle w:val="Footer"/>
    </w:pPr>
    <w:r>
      <w:rPr>
        <w:noProof/>
      </w:rPr>
      <mc:AlternateContent>
        <mc:Choice Requires="wps">
          <w:drawing>
            <wp:anchor distT="0" distB="0" distL="0" distR="0" simplePos="0" relativeHeight="251658245" behindDoc="0" locked="0" layoutInCell="1" allowOverlap="1" wp14:anchorId="1D18D5EB" wp14:editId="1E6B8A6D">
              <wp:simplePos x="635" y="635"/>
              <wp:positionH relativeFrom="page">
                <wp:align>center</wp:align>
              </wp:positionH>
              <wp:positionV relativeFrom="page">
                <wp:align>bottom</wp:align>
              </wp:positionV>
              <wp:extent cx="1143635" cy="376555"/>
              <wp:effectExtent l="0" t="0" r="18415" b="0"/>
              <wp:wrapNone/>
              <wp:docPr id="2132457619" name="Text Box 11"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3635" cy="376555"/>
                      </a:xfrm>
                      <a:prstGeom prst="rect">
                        <a:avLst/>
                      </a:prstGeom>
                      <a:noFill/>
                      <a:ln>
                        <a:noFill/>
                      </a:ln>
                    </wps:spPr>
                    <wps:txbx>
                      <w:txbxContent>
                        <w:p w14:paraId="5CF10012" w14:textId="249CA9D4" w:rsidR="00E82E6D" w:rsidRPr="00E82E6D" w:rsidRDefault="00E82E6D" w:rsidP="00E82E6D">
                          <w:pPr>
                            <w:rPr>
                              <w:rFonts w:ascii="Calibri" w:eastAsia="Calibri" w:hAnsi="Calibri" w:cs="Calibri"/>
                              <w:noProof/>
                              <w:color w:val="FF0000"/>
                              <w:szCs w:val="24"/>
                            </w:rPr>
                          </w:pPr>
                          <w:r w:rsidRPr="00E82E6D">
                            <w:rPr>
                              <w:rFonts w:ascii="Calibri" w:eastAsia="Calibri" w:hAnsi="Calibri" w:cs="Calibri"/>
                              <w:noProof/>
                              <w:color w:val="FF0000"/>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18D5EB" id="_x0000_t202" coordsize="21600,21600" o:spt="202" path="m,l,21600r21600,l21600,xe">
              <v:stroke joinstyle="miter"/>
              <v:path gradientshapeok="t" o:connecttype="rect"/>
            </v:shapetype>
            <v:shape id="Text Box 11" o:spid="_x0000_s1031" type="#_x0000_t202" alt="OFFICIAL:Sensitive" style="position:absolute;margin-left:0;margin-top:0;width:90.0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" filled="f" stroked="f">
              <v:textbox style="mso-fit-shape-to-text:t" inset="0,0,0,15pt">
                <w:txbxContent>
                  <w:p w14:paraId="5CF10012" w14:textId="249CA9D4" w:rsidR="00E82E6D" w:rsidRPr="00E82E6D" w:rsidRDefault="00E82E6D" w:rsidP="00E82E6D">
                    <w:pPr>
                      <w:rPr>
                        <w:rFonts w:ascii="Calibri" w:eastAsia="Calibri" w:hAnsi="Calibri" w:cs="Calibri"/>
                        <w:noProof/>
                        <w:color w:val="FF0000"/>
                        <w:szCs w:val="24"/>
                      </w:rPr>
                    </w:pPr>
                    <w:r w:rsidRPr="00E82E6D">
                      <w:rPr>
                        <w:rFonts w:ascii="Calibri" w:eastAsia="Calibri" w:hAnsi="Calibri" w:cs="Calibri"/>
                        <w:noProof/>
                        <w:color w:val="FF0000"/>
                        <w:szCs w:val="24"/>
                      </w:rPr>
                      <w:t>OFFICIAL:Sensitive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2447" w14:textId="21DE97FA" w:rsidR="00E82E6D" w:rsidRDefault="00E82E6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ED6FD" w14:textId="11E1E36D" w:rsidR="00E82E6D" w:rsidRDefault="00E82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D9469" w14:textId="77777777" w:rsidR="00B9267B" w:rsidRDefault="00B9267B">
      <w:r>
        <w:separator/>
      </w:r>
    </w:p>
  </w:footnote>
  <w:footnote w:type="continuationSeparator" w:id="0">
    <w:p w14:paraId="0AA4AB0E" w14:textId="77777777" w:rsidR="00B9267B" w:rsidRDefault="00B92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75EAA" w14:textId="69C7B8DD" w:rsidR="00E82E6D" w:rsidRDefault="00E82E6D">
    <w:pPr>
      <w:pStyle w:val="Header"/>
    </w:pPr>
    <w:r>
      <w:rPr>
        <w:noProof/>
      </w:rPr>
      <mc:AlternateContent>
        <mc:Choice Requires="wps">
          <w:drawing>
            <wp:anchor distT="0" distB="0" distL="0" distR="0" simplePos="0" relativeHeight="251658241" behindDoc="0" locked="0" layoutInCell="1" allowOverlap="1" wp14:anchorId="2E0BF06B" wp14:editId="687CE19B">
              <wp:simplePos x="635" y="635"/>
              <wp:positionH relativeFrom="page">
                <wp:align>center</wp:align>
              </wp:positionH>
              <wp:positionV relativeFrom="page">
                <wp:align>top</wp:align>
              </wp:positionV>
              <wp:extent cx="1143635" cy="376555"/>
              <wp:effectExtent l="0" t="0" r="18415" b="4445"/>
              <wp:wrapNone/>
              <wp:docPr id="1203208658"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3635" cy="376555"/>
                      </a:xfrm>
                      <a:prstGeom prst="rect">
                        <a:avLst/>
                      </a:prstGeom>
                      <a:noFill/>
                      <a:ln>
                        <a:noFill/>
                      </a:ln>
                    </wps:spPr>
                    <wps:txbx>
                      <w:txbxContent>
                        <w:p w14:paraId="0EDC539F" w14:textId="3580B0DC" w:rsidR="00E82E6D" w:rsidRPr="00E82E6D" w:rsidRDefault="00E82E6D" w:rsidP="00E82E6D">
                          <w:pPr>
                            <w:rPr>
                              <w:rFonts w:ascii="Calibri" w:eastAsia="Calibri" w:hAnsi="Calibri" w:cs="Calibri"/>
                              <w:noProof/>
                              <w:color w:val="FF0000"/>
                              <w:szCs w:val="24"/>
                            </w:rPr>
                          </w:pPr>
                          <w:r w:rsidRPr="00E82E6D">
                            <w:rPr>
                              <w:rFonts w:ascii="Calibri" w:eastAsia="Calibri" w:hAnsi="Calibri" w:cs="Calibri"/>
                              <w:noProof/>
                              <w:color w:val="FF0000"/>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0BF06B" id="_x0000_t202" coordsize="21600,21600" o:spt="202" path="m,l,21600r21600,l21600,xe">
              <v:stroke joinstyle="miter"/>
              <v:path gradientshapeok="t" o:connecttype="rect"/>
            </v:shapetype>
            <v:shape id="Text Box 2" o:spid="_x0000_s1026" type="#_x0000_t202" alt="OFFICIAL:Sensitive" style="position:absolute;margin-left:0;margin-top:0;width:90.0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" filled="f" stroked="f">
              <v:textbox style="mso-fit-shape-to-text:t" inset="0,15pt,0,0">
                <w:txbxContent>
                  <w:p w14:paraId="0EDC539F" w14:textId="3580B0DC" w:rsidR="00E82E6D" w:rsidRPr="00E82E6D" w:rsidRDefault="00E82E6D" w:rsidP="00E82E6D">
                    <w:pPr>
                      <w:rPr>
                        <w:rFonts w:ascii="Calibri" w:eastAsia="Calibri" w:hAnsi="Calibri" w:cs="Calibri"/>
                        <w:noProof/>
                        <w:color w:val="FF0000"/>
                        <w:szCs w:val="24"/>
                      </w:rPr>
                    </w:pPr>
                    <w:r w:rsidRPr="00E82E6D">
                      <w:rPr>
                        <w:rFonts w:ascii="Calibri" w:eastAsia="Calibri" w:hAnsi="Calibri" w:cs="Calibri"/>
                        <w:noProof/>
                        <w:color w:val="FF0000"/>
                        <w:szCs w:val="24"/>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D176" w14:textId="1B144B8B" w:rsidR="00A1739A" w:rsidRDefault="00A1739A" w:rsidP="00BD6F5F">
    <w:pPr>
      <w:pStyle w:val="Header"/>
      <w:jc w:val="center"/>
    </w:pPr>
    <w:r>
      <w:fldChar w:fldCharType="begin"/>
    </w:r>
    <w:r>
      <w:instrText xml:space="preserve"> PAGE  \* Arabic  \* MERGEFORMAT </w:instrText>
    </w:r>
    <w:r>
      <w:fldChar w:fldCharType="separate"/>
    </w:r>
    <w:r w:rsidR="00476510">
      <w:rPr>
        <w:noProof/>
      </w:rPr>
      <w:t>1</w:t>
    </w:r>
    <w:r>
      <w:fldChar w:fldCharType="end"/>
    </w:r>
  </w:p>
  <w:p w14:paraId="2412D177" w14:textId="77777777" w:rsidR="00A1739A" w:rsidRDefault="00A17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0E77" w14:textId="264376AD" w:rsidR="00E82E6D" w:rsidRDefault="00E82E6D">
    <w:pPr>
      <w:pStyle w:val="Header"/>
    </w:pPr>
    <w:r>
      <w:rPr>
        <w:noProof/>
      </w:rPr>
      <mc:AlternateContent>
        <mc:Choice Requires="wps">
          <w:drawing>
            <wp:anchor distT="0" distB="0" distL="0" distR="0" simplePos="0" relativeHeight="251658240" behindDoc="0" locked="0" layoutInCell="1" allowOverlap="1" wp14:anchorId="052C95B4" wp14:editId="6DE6E64C">
              <wp:simplePos x="635" y="635"/>
              <wp:positionH relativeFrom="page">
                <wp:align>center</wp:align>
              </wp:positionH>
              <wp:positionV relativeFrom="page">
                <wp:align>top</wp:align>
              </wp:positionV>
              <wp:extent cx="1143635" cy="376555"/>
              <wp:effectExtent l="0" t="0" r="18415" b="4445"/>
              <wp:wrapNone/>
              <wp:docPr id="198140598"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3635" cy="376555"/>
                      </a:xfrm>
                      <a:prstGeom prst="rect">
                        <a:avLst/>
                      </a:prstGeom>
                      <a:noFill/>
                      <a:ln>
                        <a:noFill/>
                      </a:ln>
                    </wps:spPr>
                    <wps:txbx>
                      <w:txbxContent>
                        <w:p w14:paraId="3A274A7C" w14:textId="10615097" w:rsidR="00E82E6D" w:rsidRPr="00E82E6D" w:rsidRDefault="00E82E6D" w:rsidP="00E82E6D">
                          <w:pPr>
                            <w:rPr>
                              <w:rFonts w:ascii="Calibri" w:eastAsia="Calibri" w:hAnsi="Calibri" w:cs="Calibri"/>
                              <w:noProof/>
                              <w:color w:val="FF0000"/>
                              <w:szCs w:val="24"/>
                            </w:rPr>
                          </w:pPr>
                          <w:r w:rsidRPr="00E82E6D">
                            <w:rPr>
                              <w:rFonts w:ascii="Calibri" w:eastAsia="Calibri" w:hAnsi="Calibri" w:cs="Calibri"/>
                              <w:noProof/>
                              <w:color w:val="FF0000"/>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2C95B4" id="_x0000_t202" coordsize="21600,21600" o:spt="202" path="m,l,21600r21600,l21600,xe">
              <v:stroke joinstyle="miter"/>
              <v:path gradientshapeok="t" o:connecttype="rect"/>
            </v:shapetype>
            <v:shape id="Text Box 1" o:spid="_x0000_s1028" type="#_x0000_t202" alt="OFFICIAL:Sensitive" style="position:absolute;margin-left:0;margin-top:0;width:90.0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" filled="f" stroked="f">
              <v:textbox style="mso-fit-shape-to-text:t" inset="0,15pt,0,0">
                <w:txbxContent>
                  <w:p w14:paraId="3A274A7C" w14:textId="10615097" w:rsidR="00E82E6D" w:rsidRPr="00E82E6D" w:rsidRDefault="00E82E6D" w:rsidP="00E82E6D">
                    <w:pPr>
                      <w:rPr>
                        <w:rFonts w:ascii="Calibri" w:eastAsia="Calibri" w:hAnsi="Calibri" w:cs="Calibri"/>
                        <w:noProof/>
                        <w:color w:val="FF0000"/>
                        <w:szCs w:val="24"/>
                      </w:rPr>
                    </w:pPr>
                    <w:r w:rsidRPr="00E82E6D">
                      <w:rPr>
                        <w:rFonts w:ascii="Calibri" w:eastAsia="Calibri" w:hAnsi="Calibri" w:cs="Calibri"/>
                        <w:noProof/>
                        <w:color w:val="FF0000"/>
                        <w:szCs w:val="24"/>
                      </w:rPr>
                      <w:t>OFFICIAL:Sensitive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D178" w14:textId="24C3C8BA" w:rsidR="001C35BC" w:rsidRDefault="00E82E6D" w:rsidP="009D3773">
    <w:pPr>
      <w:pStyle w:val="Header"/>
      <w:framePr w:wrap="around" w:vAnchor="text" w:hAnchor="margin" w:xAlign="center" w:y="1"/>
      <w:rPr>
        <w:rStyle w:val="PageNumber"/>
      </w:rPr>
    </w:pPr>
    <w:r>
      <w:rPr>
        <w:noProof/>
      </w:rPr>
      <mc:AlternateContent>
        <mc:Choice Requires="wps">
          <w:drawing>
            <wp:anchor distT="0" distB="0" distL="0" distR="0" simplePos="0" relativeHeight="251658242" behindDoc="0" locked="0" layoutInCell="1" allowOverlap="1" wp14:anchorId="05F84E88" wp14:editId="2B2C8F43">
              <wp:simplePos x="635" y="635"/>
              <wp:positionH relativeFrom="page">
                <wp:align>center</wp:align>
              </wp:positionH>
              <wp:positionV relativeFrom="page">
                <wp:align>top</wp:align>
              </wp:positionV>
              <wp:extent cx="1143635" cy="376555"/>
              <wp:effectExtent l="0" t="0" r="18415" b="4445"/>
              <wp:wrapNone/>
              <wp:docPr id="1659685651" name="Text Box 5"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3635" cy="376555"/>
                      </a:xfrm>
                      <a:prstGeom prst="rect">
                        <a:avLst/>
                      </a:prstGeom>
                      <a:noFill/>
                      <a:ln>
                        <a:noFill/>
                      </a:ln>
                    </wps:spPr>
                    <wps:txbx>
                      <w:txbxContent>
                        <w:p w14:paraId="768D378D" w14:textId="22991370" w:rsidR="00E82E6D" w:rsidRPr="00E82E6D" w:rsidRDefault="00E82E6D" w:rsidP="00E82E6D">
                          <w:pPr>
                            <w:rPr>
                              <w:rFonts w:ascii="Calibri" w:eastAsia="Calibri" w:hAnsi="Calibri" w:cs="Calibri"/>
                              <w:noProof/>
                              <w:color w:val="FF0000"/>
                              <w:szCs w:val="24"/>
                            </w:rPr>
                          </w:pPr>
                          <w:r w:rsidRPr="00E82E6D">
                            <w:rPr>
                              <w:rFonts w:ascii="Calibri" w:eastAsia="Calibri" w:hAnsi="Calibri" w:cs="Calibri"/>
                              <w:noProof/>
                              <w:color w:val="FF0000"/>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F84E88" id="_x0000_t202" coordsize="21600,21600" o:spt="202" path="m,l,21600r21600,l21600,xe">
              <v:stroke joinstyle="miter"/>
              <v:path gradientshapeok="t" o:connecttype="rect"/>
            </v:shapetype>
            <v:shape id="Text Box 5" o:spid="_x0000_s1030" type="#_x0000_t202" alt="OFFICIAL:Sensitive" style="position:absolute;margin-left:0;margin-top:0;width:90.0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" filled="f" stroked="f">
              <v:textbox style="mso-fit-shape-to-text:t" inset="0,15pt,0,0">
                <w:txbxContent>
                  <w:p w14:paraId="768D378D" w14:textId="22991370" w:rsidR="00E82E6D" w:rsidRPr="00E82E6D" w:rsidRDefault="00E82E6D" w:rsidP="00E82E6D">
                    <w:pPr>
                      <w:rPr>
                        <w:rFonts w:ascii="Calibri" w:eastAsia="Calibri" w:hAnsi="Calibri" w:cs="Calibri"/>
                        <w:noProof/>
                        <w:color w:val="FF0000"/>
                        <w:szCs w:val="24"/>
                      </w:rPr>
                    </w:pPr>
                    <w:r w:rsidRPr="00E82E6D">
                      <w:rPr>
                        <w:rFonts w:ascii="Calibri" w:eastAsia="Calibri" w:hAnsi="Calibri" w:cs="Calibri"/>
                        <w:noProof/>
                        <w:color w:val="FF0000"/>
                        <w:szCs w:val="24"/>
                      </w:rPr>
                      <w:t>OFFICIAL:Sensitive</w:t>
                    </w:r>
                  </w:p>
                </w:txbxContent>
              </v:textbox>
              <w10:wrap anchorx="page" anchory="page"/>
            </v:shape>
          </w:pict>
        </mc:Fallback>
      </mc:AlternateContent>
    </w:r>
    <w:r w:rsidR="001C35BC">
      <w:rPr>
        <w:rStyle w:val="PageNumber"/>
      </w:rPr>
      <w:fldChar w:fldCharType="begin"/>
    </w:r>
    <w:r w:rsidR="001C35BC">
      <w:rPr>
        <w:rStyle w:val="PageNumber"/>
      </w:rPr>
      <w:instrText xml:space="preserve">PAGE  </w:instrText>
    </w:r>
    <w:r w:rsidR="001C35BC">
      <w:rPr>
        <w:rStyle w:val="PageNumber"/>
      </w:rPr>
      <w:fldChar w:fldCharType="separate"/>
    </w:r>
    <w:r w:rsidR="001C35BC">
      <w:rPr>
        <w:rStyle w:val="PageNumber"/>
        <w:noProof/>
      </w:rPr>
      <w:t>3</w:t>
    </w:r>
    <w:r w:rsidR="001C35BC">
      <w:rPr>
        <w:rStyle w:val="PageNumber"/>
      </w:rPr>
      <w:fldChar w:fldCharType="end"/>
    </w:r>
  </w:p>
  <w:p w14:paraId="2412D179" w14:textId="77777777" w:rsidR="001C35BC" w:rsidRDefault="001C35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D17A" w14:textId="283B9C24" w:rsidR="00E23B6B" w:rsidRDefault="00000000">
    <w:pPr>
      <w:pStyle w:val="Header"/>
      <w:jc w:val="center"/>
    </w:pPr>
    <w:sdt>
      <w:sdtPr>
        <w:id w:val="-581527589"/>
        <w:docPartObj>
          <w:docPartGallery w:val="Page Numbers (Top of Page)"/>
          <w:docPartUnique/>
        </w:docPartObj>
      </w:sdtPr>
      <w:sdtEndPr>
        <w:rPr>
          <w:noProof/>
        </w:rPr>
      </w:sdtEndPr>
      <w:sdtContent>
        <w:r w:rsidR="00E23B6B">
          <w:fldChar w:fldCharType="begin"/>
        </w:r>
        <w:r w:rsidR="00E23B6B">
          <w:instrText xml:space="preserve"> PAGE   \* MERGEFORMAT </w:instrText>
        </w:r>
        <w:r w:rsidR="00E23B6B">
          <w:fldChar w:fldCharType="separate"/>
        </w:r>
        <w:r w:rsidR="00476510">
          <w:rPr>
            <w:noProof/>
          </w:rPr>
          <w:t>4</w:t>
        </w:r>
        <w:r w:rsidR="00E23B6B">
          <w:rPr>
            <w:noProof/>
          </w:rPr>
          <w:fldChar w:fldCharType="end"/>
        </w:r>
      </w:sdtContent>
    </w:sdt>
  </w:p>
  <w:p w14:paraId="2412D17B" w14:textId="77777777" w:rsidR="001C35BC" w:rsidRDefault="001C35BC" w:rsidP="00E23B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D17C" w14:textId="74A2E517" w:rsidR="00E23B6B" w:rsidRDefault="00000000">
    <w:pPr>
      <w:pStyle w:val="Header"/>
      <w:jc w:val="center"/>
    </w:pPr>
    <w:sdt>
      <w:sdtPr>
        <w:id w:val="-412389212"/>
        <w:docPartObj>
          <w:docPartGallery w:val="Page Numbers (Top of Page)"/>
          <w:docPartUnique/>
        </w:docPartObj>
      </w:sdtPr>
      <w:sdtEndPr>
        <w:rPr>
          <w:noProof/>
        </w:rPr>
      </w:sdtEndPr>
      <w:sdtContent>
        <w:r w:rsidR="00E23B6B">
          <w:fldChar w:fldCharType="begin"/>
        </w:r>
        <w:r w:rsidR="00E23B6B">
          <w:instrText xml:space="preserve"> PAGE   \* MERGEFORMAT </w:instrText>
        </w:r>
        <w:r w:rsidR="00E23B6B">
          <w:fldChar w:fldCharType="separate"/>
        </w:r>
        <w:r w:rsidR="00476510">
          <w:rPr>
            <w:noProof/>
          </w:rPr>
          <w:t>3</w:t>
        </w:r>
        <w:r w:rsidR="00E23B6B">
          <w:rPr>
            <w:noProof/>
          </w:rPr>
          <w:fldChar w:fldCharType="end"/>
        </w:r>
      </w:sdtContent>
    </w:sdt>
  </w:p>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19"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6"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0241375">
    <w:abstractNumId w:val="23"/>
  </w:num>
  <w:num w:numId="2" w16cid:durableId="1478650442">
    <w:abstractNumId w:val="1"/>
  </w:num>
  <w:num w:numId="3" w16cid:durableId="542795663">
    <w:abstractNumId w:val="2"/>
  </w:num>
  <w:num w:numId="4" w16cid:durableId="695539186">
    <w:abstractNumId w:val="11"/>
  </w:num>
  <w:num w:numId="5" w16cid:durableId="1793354121">
    <w:abstractNumId w:val="17"/>
  </w:num>
  <w:num w:numId="6" w16cid:durableId="252931692">
    <w:abstractNumId w:val="9"/>
  </w:num>
  <w:num w:numId="7" w16cid:durableId="333385231">
    <w:abstractNumId w:val="28"/>
  </w:num>
  <w:num w:numId="8" w16cid:durableId="912423338">
    <w:abstractNumId w:val="6"/>
  </w:num>
  <w:num w:numId="9" w16cid:durableId="1259754796">
    <w:abstractNumId w:val="5"/>
  </w:num>
  <w:num w:numId="10" w16cid:durableId="350451591">
    <w:abstractNumId w:val="30"/>
  </w:num>
  <w:num w:numId="11" w16cid:durableId="1025398855">
    <w:abstractNumId w:val="27"/>
  </w:num>
  <w:num w:numId="12" w16cid:durableId="306083609">
    <w:abstractNumId w:val="12"/>
  </w:num>
  <w:num w:numId="13" w16cid:durableId="297031166">
    <w:abstractNumId w:val="14"/>
  </w:num>
  <w:num w:numId="14" w16cid:durableId="1185092839">
    <w:abstractNumId w:val="25"/>
  </w:num>
  <w:num w:numId="15" w16cid:durableId="128716072">
    <w:abstractNumId w:val="7"/>
  </w:num>
  <w:num w:numId="16" w16cid:durableId="774250596">
    <w:abstractNumId w:val="19"/>
  </w:num>
  <w:num w:numId="17" w16cid:durableId="210730486">
    <w:abstractNumId w:val="22"/>
  </w:num>
  <w:num w:numId="18" w16cid:durableId="1421097922">
    <w:abstractNumId w:val="20"/>
  </w:num>
  <w:num w:numId="19" w16cid:durableId="2006663611">
    <w:abstractNumId w:val="3"/>
  </w:num>
  <w:num w:numId="20" w16cid:durableId="1626157786">
    <w:abstractNumId w:val="10"/>
  </w:num>
  <w:num w:numId="21" w16cid:durableId="11206100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6742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5645195">
    <w:abstractNumId w:val="0"/>
  </w:num>
  <w:num w:numId="24" w16cid:durableId="1067072385">
    <w:abstractNumId w:val="21"/>
  </w:num>
  <w:num w:numId="25" w16cid:durableId="258949771">
    <w:abstractNumId w:val="8"/>
  </w:num>
  <w:num w:numId="26" w16cid:durableId="1419014754">
    <w:abstractNumId w:val="4"/>
  </w:num>
  <w:num w:numId="27" w16cid:durableId="1506507350">
    <w:abstractNumId w:val="15"/>
  </w:num>
  <w:num w:numId="28" w16cid:durableId="509835511">
    <w:abstractNumId w:val="29"/>
  </w:num>
  <w:num w:numId="29" w16cid:durableId="1954551523">
    <w:abstractNumId w:val="16"/>
  </w:num>
  <w:num w:numId="30" w16cid:durableId="465708331">
    <w:abstractNumId w:val="26"/>
  </w:num>
  <w:num w:numId="31" w16cid:durableId="338965905">
    <w:abstractNumId w:val="13"/>
  </w:num>
  <w:num w:numId="32" w16cid:durableId="168761406">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375A"/>
    <w:rsid w:val="00014639"/>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41849"/>
    <w:rsid w:val="0004426E"/>
    <w:rsid w:val="00044A2A"/>
    <w:rsid w:val="00050623"/>
    <w:rsid w:val="000509BA"/>
    <w:rsid w:val="0005224B"/>
    <w:rsid w:val="00054F46"/>
    <w:rsid w:val="0005533C"/>
    <w:rsid w:val="00063242"/>
    <w:rsid w:val="000640CF"/>
    <w:rsid w:val="00064BA4"/>
    <w:rsid w:val="00065C90"/>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5BF7"/>
    <w:rsid w:val="000A6FB3"/>
    <w:rsid w:val="000A7B9B"/>
    <w:rsid w:val="000B208E"/>
    <w:rsid w:val="000B3452"/>
    <w:rsid w:val="000C1226"/>
    <w:rsid w:val="000C12EE"/>
    <w:rsid w:val="000C308F"/>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19F"/>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F36"/>
    <w:rsid w:val="0011066E"/>
    <w:rsid w:val="00110D12"/>
    <w:rsid w:val="00113215"/>
    <w:rsid w:val="00113B2E"/>
    <w:rsid w:val="00115C15"/>
    <w:rsid w:val="00120766"/>
    <w:rsid w:val="00121189"/>
    <w:rsid w:val="00121A66"/>
    <w:rsid w:val="00127D9B"/>
    <w:rsid w:val="00132087"/>
    <w:rsid w:val="00134B27"/>
    <w:rsid w:val="00135D0D"/>
    <w:rsid w:val="00137371"/>
    <w:rsid w:val="001400C4"/>
    <w:rsid w:val="00141323"/>
    <w:rsid w:val="00141E8C"/>
    <w:rsid w:val="00143685"/>
    <w:rsid w:val="00143943"/>
    <w:rsid w:val="001448F2"/>
    <w:rsid w:val="00145918"/>
    <w:rsid w:val="00145D25"/>
    <w:rsid w:val="00145DED"/>
    <w:rsid w:val="001519E4"/>
    <w:rsid w:val="00154FC4"/>
    <w:rsid w:val="001551FE"/>
    <w:rsid w:val="0015521F"/>
    <w:rsid w:val="00155549"/>
    <w:rsid w:val="001603DB"/>
    <w:rsid w:val="001641C0"/>
    <w:rsid w:val="00164A69"/>
    <w:rsid w:val="0016646C"/>
    <w:rsid w:val="00167DA1"/>
    <w:rsid w:val="001717C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17EB"/>
    <w:rsid w:val="001B3714"/>
    <w:rsid w:val="001B5ED9"/>
    <w:rsid w:val="001B6095"/>
    <w:rsid w:val="001B66AF"/>
    <w:rsid w:val="001B7092"/>
    <w:rsid w:val="001C1B86"/>
    <w:rsid w:val="001C35B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1F5E48"/>
    <w:rsid w:val="00200145"/>
    <w:rsid w:val="002003CA"/>
    <w:rsid w:val="002003F7"/>
    <w:rsid w:val="00200971"/>
    <w:rsid w:val="0020245D"/>
    <w:rsid w:val="00203952"/>
    <w:rsid w:val="00203F23"/>
    <w:rsid w:val="0020410D"/>
    <w:rsid w:val="00204413"/>
    <w:rsid w:val="00207914"/>
    <w:rsid w:val="00210EE7"/>
    <w:rsid w:val="00213177"/>
    <w:rsid w:val="00215191"/>
    <w:rsid w:val="00216C44"/>
    <w:rsid w:val="00217EBF"/>
    <w:rsid w:val="00220EE3"/>
    <w:rsid w:val="0022159A"/>
    <w:rsid w:val="00221C4B"/>
    <w:rsid w:val="002227DF"/>
    <w:rsid w:val="0022342C"/>
    <w:rsid w:val="0022384B"/>
    <w:rsid w:val="00225B50"/>
    <w:rsid w:val="00225D8E"/>
    <w:rsid w:val="002264F4"/>
    <w:rsid w:val="002322A8"/>
    <w:rsid w:val="0023311C"/>
    <w:rsid w:val="00233BEB"/>
    <w:rsid w:val="00235B6C"/>
    <w:rsid w:val="00236957"/>
    <w:rsid w:val="00236DF2"/>
    <w:rsid w:val="0024152E"/>
    <w:rsid w:val="002425E1"/>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43FC"/>
    <w:rsid w:val="0027018C"/>
    <w:rsid w:val="00274073"/>
    <w:rsid w:val="0027545F"/>
    <w:rsid w:val="0027610D"/>
    <w:rsid w:val="0027785E"/>
    <w:rsid w:val="002806A1"/>
    <w:rsid w:val="00281918"/>
    <w:rsid w:val="00284483"/>
    <w:rsid w:val="00284749"/>
    <w:rsid w:val="00285256"/>
    <w:rsid w:val="00287AEF"/>
    <w:rsid w:val="00287B08"/>
    <w:rsid w:val="00290B98"/>
    <w:rsid w:val="00291852"/>
    <w:rsid w:val="002944D4"/>
    <w:rsid w:val="00296763"/>
    <w:rsid w:val="00296D57"/>
    <w:rsid w:val="0029737E"/>
    <w:rsid w:val="00297AD0"/>
    <w:rsid w:val="002A0CC8"/>
    <w:rsid w:val="002A1E2C"/>
    <w:rsid w:val="002A3243"/>
    <w:rsid w:val="002A5CDF"/>
    <w:rsid w:val="002A68B3"/>
    <w:rsid w:val="002A6C77"/>
    <w:rsid w:val="002B2AC5"/>
    <w:rsid w:val="002B2E78"/>
    <w:rsid w:val="002B346A"/>
    <w:rsid w:val="002B49DE"/>
    <w:rsid w:val="002B4E4D"/>
    <w:rsid w:val="002B53D3"/>
    <w:rsid w:val="002B7177"/>
    <w:rsid w:val="002B7283"/>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4F2C"/>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7B55"/>
    <w:rsid w:val="003211B4"/>
    <w:rsid w:val="0032155B"/>
    <w:rsid w:val="003239D0"/>
    <w:rsid w:val="00324908"/>
    <w:rsid w:val="00331752"/>
    <w:rsid w:val="00332AF9"/>
    <w:rsid w:val="003332C9"/>
    <w:rsid w:val="0033493D"/>
    <w:rsid w:val="00337DE1"/>
    <w:rsid w:val="00340BDB"/>
    <w:rsid w:val="00340E39"/>
    <w:rsid w:val="00341145"/>
    <w:rsid w:val="003412CB"/>
    <w:rsid w:val="00341B30"/>
    <w:rsid w:val="0035214B"/>
    <w:rsid w:val="003527D6"/>
    <w:rsid w:val="00353351"/>
    <w:rsid w:val="00353622"/>
    <w:rsid w:val="0035389C"/>
    <w:rsid w:val="00357CD8"/>
    <w:rsid w:val="0036001E"/>
    <w:rsid w:val="0036105C"/>
    <w:rsid w:val="00361ADE"/>
    <w:rsid w:val="00362F68"/>
    <w:rsid w:val="00363306"/>
    <w:rsid w:val="0036495A"/>
    <w:rsid w:val="00366990"/>
    <w:rsid w:val="00366C2C"/>
    <w:rsid w:val="00367440"/>
    <w:rsid w:val="00370BE6"/>
    <w:rsid w:val="00371F67"/>
    <w:rsid w:val="00375E39"/>
    <w:rsid w:val="00376051"/>
    <w:rsid w:val="003760ED"/>
    <w:rsid w:val="003764AE"/>
    <w:rsid w:val="003775D7"/>
    <w:rsid w:val="00380204"/>
    <w:rsid w:val="00380CBA"/>
    <w:rsid w:val="00381278"/>
    <w:rsid w:val="0038127E"/>
    <w:rsid w:val="00384080"/>
    <w:rsid w:val="00386C22"/>
    <w:rsid w:val="003876E6"/>
    <w:rsid w:val="0039170C"/>
    <w:rsid w:val="00391AFA"/>
    <w:rsid w:val="003937EF"/>
    <w:rsid w:val="00393E9B"/>
    <w:rsid w:val="00397A97"/>
    <w:rsid w:val="003A280D"/>
    <w:rsid w:val="003A5A70"/>
    <w:rsid w:val="003A6230"/>
    <w:rsid w:val="003A6299"/>
    <w:rsid w:val="003B1976"/>
    <w:rsid w:val="003B1D46"/>
    <w:rsid w:val="003B1FB4"/>
    <w:rsid w:val="003B27BA"/>
    <w:rsid w:val="003B366C"/>
    <w:rsid w:val="003B38C1"/>
    <w:rsid w:val="003B59A9"/>
    <w:rsid w:val="003B6B63"/>
    <w:rsid w:val="003B7C31"/>
    <w:rsid w:val="003C02D4"/>
    <w:rsid w:val="003C37E3"/>
    <w:rsid w:val="003C4680"/>
    <w:rsid w:val="003C4CBD"/>
    <w:rsid w:val="003C546B"/>
    <w:rsid w:val="003C7719"/>
    <w:rsid w:val="003D0FBD"/>
    <w:rsid w:val="003D2A6D"/>
    <w:rsid w:val="003E005B"/>
    <w:rsid w:val="003E04DA"/>
    <w:rsid w:val="003E1249"/>
    <w:rsid w:val="003E3544"/>
    <w:rsid w:val="003E35A8"/>
    <w:rsid w:val="003E3953"/>
    <w:rsid w:val="003E4F2D"/>
    <w:rsid w:val="003E57BE"/>
    <w:rsid w:val="003E77CB"/>
    <w:rsid w:val="003F47FD"/>
    <w:rsid w:val="003F4B52"/>
    <w:rsid w:val="003F73BA"/>
    <w:rsid w:val="003F73F0"/>
    <w:rsid w:val="00401386"/>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18BA"/>
    <w:rsid w:val="004628F5"/>
    <w:rsid w:val="004636B4"/>
    <w:rsid w:val="004641DC"/>
    <w:rsid w:val="00464AC7"/>
    <w:rsid w:val="004669A4"/>
    <w:rsid w:val="00466A5B"/>
    <w:rsid w:val="0046799A"/>
    <w:rsid w:val="0047494B"/>
    <w:rsid w:val="00475A85"/>
    <w:rsid w:val="00476510"/>
    <w:rsid w:val="00476F13"/>
    <w:rsid w:val="00477C74"/>
    <w:rsid w:val="00480561"/>
    <w:rsid w:val="004806B3"/>
    <w:rsid w:val="00481E5E"/>
    <w:rsid w:val="004828A9"/>
    <w:rsid w:val="004849DE"/>
    <w:rsid w:val="00484A65"/>
    <w:rsid w:val="00484E4F"/>
    <w:rsid w:val="004876DF"/>
    <w:rsid w:val="00490C01"/>
    <w:rsid w:val="00492341"/>
    <w:rsid w:val="00492DBE"/>
    <w:rsid w:val="004962CC"/>
    <w:rsid w:val="00497EC1"/>
    <w:rsid w:val="004A0313"/>
    <w:rsid w:val="004A0959"/>
    <w:rsid w:val="004A0A89"/>
    <w:rsid w:val="004A0BE6"/>
    <w:rsid w:val="004A2249"/>
    <w:rsid w:val="004A26E0"/>
    <w:rsid w:val="004A524A"/>
    <w:rsid w:val="004A56D3"/>
    <w:rsid w:val="004A6B0F"/>
    <w:rsid w:val="004B1ECE"/>
    <w:rsid w:val="004B38C8"/>
    <w:rsid w:val="004B5C2E"/>
    <w:rsid w:val="004B7CB9"/>
    <w:rsid w:val="004C10BA"/>
    <w:rsid w:val="004C2561"/>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3EF7"/>
    <w:rsid w:val="004F4BAD"/>
    <w:rsid w:val="004F7682"/>
    <w:rsid w:val="005012BC"/>
    <w:rsid w:val="00502156"/>
    <w:rsid w:val="00502277"/>
    <w:rsid w:val="005035FD"/>
    <w:rsid w:val="005042B5"/>
    <w:rsid w:val="00505C67"/>
    <w:rsid w:val="00505F9A"/>
    <w:rsid w:val="00510A4F"/>
    <w:rsid w:val="005119E9"/>
    <w:rsid w:val="00512A65"/>
    <w:rsid w:val="005130BE"/>
    <w:rsid w:val="005140F2"/>
    <w:rsid w:val="0051508F"/>
    <w:rsid w:val="0051709B"/>
    <w:rsid w:val="0052165A"/>
    <w:rsid w:val="00521802"/>
    <w:rsid w:val="0052181A"/>
    <w:rsid w:val="0052430B"/>
    <w:rsid w:val="00525D51"/>
    <w:rsid w:val="00532CD3"/>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5716E"/>
    <w:rsid w:val="005642D9"/>
    <w:rsid w:val="00564C2B"/>
    <w:rsid w:val="00564C37"/>
    <w:rsid w:val="00564D84"/>
    <w:rsid w:val="00570F2B"/>
    <w:rsid w:val="005724E0"/>
    <w:rsid w:val="0057258C"/>
    <w:rsid w:val="00573651"/>
    <w:rsid w:val="00574E71"/>
    <w:rsid w:val="005811D8"/>
    <w:rsid w:val="005814A7"/>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A66D2"/>
    <w:rsid w:val="005A7647"/>
    <w:rsid w:val="005B0EA3"/>
    <w:rsid w:val="005B1B0A"/>
    <w:rsid w:val="005B1F56"/>
    <w:rsid w:val="005B5062"/>
    <w:rsid w:val="005B6234"/>
    <w:rsid w:val="005B7596"/>
    <w:rsid w:val="005B7C95"/>
    <w:rsid w:val="005C394E"/>
    <w:rsid w:val="005C4A91"/>
    <w:rsid w:val="005C5824"/>
    <w:rsid w:val="005C6118"/>
    <w:rsid w:val="005D3575"/>
    <w:rsid w:val="005D3CED"/>
    <w:rsid w:val="005D538F"/>
    <w:rsid w:val="005D63D9"/>
    <w:rsid w:val="005D68D1"/>
    <w:rsid w:val="005E293A"/>
    <w:rsid w:val="005E44A6"/>
    <w:rsid w:val="005E49E7"/>
    <w:rsid w:val="005E4ED0"/>
    <w:rsid w:val="005E56FE"/>
    <w:rsid w:val="005E62D6"/>
    <w:rsid w:val="005E6A82"/>
    <w:rsid w:val="005E7398"/>
    <w:rsid w:val="005F04DC"/>
    <w:rsid w:val="005F0F6C"/>
    <w:rsid w:val="005F1A7F"/>
    <w:rsid w:val="005F245F"/>
    <w:rsid w:val="00601165"/>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36F32"/>
    <w:rsid w:val="006407FA"/>
    <w:rsid w:val="00642537"/>
    <w:rsid w:val="006427B2"/>
    <w:rsid w:val="00642BEB"/>
    <w:rsid w:val="00647077"/>
    <w:rsid w:val="00647426"/>
    <w:rsid w:val="00647590"/>
    <w:rsid w:val="00651991"/>
    <w:rsid w:val="006526F5"/>
    <w:rsid w:val="00656275"/>
    <w:rsid w:val="00657702"/>
    <w:rsid w:val="006614B5"/>
    <w:rsid w:val="006619F5"/>
    <w:rsid w:val="00661C70"/>
    <w:rsid w:val="006629F9"/>
    <w:rsid w:val="006639F0"/>
    <w:rsid w:val="0066562D"/>
    <w:rsid w:val="00666047"/>
    <w:rsid w:val="0066727B"/>
    <w:rsid w:val="006673F0"/>
    <w:rsid w:val="00670998"/>
    <w:rsid w:val="00672050"/>
    <w:rsid w:val="00673872"/>
    <w:rsid w:val="006749A2"/>
    <w:rsid w:val="00674A34"/>
    <w:rsid w:val="00685515"/>
    <w:rsid w:val="0068642A"/>
    <w:rsid w:val="00694C76"/>
    <w:rsid w:val="00694F4A"/>
    <w:rsid w:val="006A029B"/>
    <w:rsid w:val="006A17A1"/>
    <w:rsid w:val="006A391E"/>
    <w:rsid w:val="006A61C5"/>
    <w:rsid w:val="006B0F31"/>
    <w:rsid w:val="006B13BC"/>
    <w:rsid w:val="006B32FE"/>
    <w:rsid w:val="006B3959"/>
    <w:rsid w:val="006B4B58"/>
    <w:rsid w:val="006B6925"/>
    <w:rsid w:val="006C026A"/>
    <w:rsid w:val="006C0AFE"/>
    <w:rsid w:val="006C138D"/>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4CE9"/>
    <w:rsid w:val="00705833"/>
    <w:rsid w:val="00705924"/>
    <w:rsid w:val="00707B77"/>
    <w:rsid w:val="00707CE9"/>
    <w:rsid w:val="00710055"/>
    <w:rsid w:val="007103BC"/>
    <w:rsid w:val="0071184F"/>
    <w:rsid w:val="00712189"/>
    <w:rsid w:val="007134A2"/>
    <w:rsid w:val="00713F0F"/>
    <w:rsid w:val="00713FB2"/>
    <w:rsid w:val="00717B45"/>
    <w:rsid w:val="007202C4"/>
    <w:rsid w:val="0072331C"/>
    <w:rsid w:val="00726CFA"/>
    <w:rsid w:val="0072758A"/>
    <w:rsid w:val="007304D5"/>
    <w:rsid w:val="00730965"/>
    <w:rsid w:val="00733599"/>
    <w:rsid w:val="00733F09"/>
    <w:rsid w:val="00735753"/>
    <w:rsid w:val="00735CCC"/>
    <w:rsid w:val="007368DC"/>
    <w:rsid w:val="00736AC9"/>
    <w:rsid w:val="00741A4E"/>
    <w:rsid w:val="00742E97"/>
    <w:rsid w:val="00743F6B"/>
    <w:rsid w:val="007452E0"/>
    <w:rsid w:val="00745BD4"/>
    <w:rsid w:val="007469BA"/>
    <w:rsid w:val="00750378"/>
    <w:rsid w:val="007505FB"/>
    <w:rsid w:val="007524B0"/>
    <w:rsid w:val="00752997"/>
    <w:rsid w:val="007533EC"/>
    <w:rsid w:val="00756910"/>
    <w:rsid w:val="00756FEA"/>
    <w:rsid w:val="00757618"/>
    <w:rsid w:val="007614DB"/>
    <w:rsid w:val="00762606"/>
    <w:rsid w:val="00762B45"/>
    <w:rsid w:val="0076544A"/>
    <w:rsid w:val="00767402"/>
    <w:rsid w:val="0077044D"/>
    <w:rsid w:val="007708B3"/>
    <w:rsid w:val="007710A8"/>
    <w:rsid w:val="007721B6"/>
    <w:rsid w:val="00774454"/>
    <w:rsid w:val="00774ABF"/>
    <w:rsid w:val="00776E17"/>
    <w:rsid w:val="00782CA6"/>
    <w:rsid w:val="00782D07"/>
    <w:rsid w:val="007859F8"/>
    <w:rsid w:val="00787E2C"/>
    <w:rsid w:val="007909C0"/>
    <w:rsid w:val="00791384"/>
    <w:rsid w:val="0079191B"/>
    <w:rsid w:val="00791C27"/>
    <w:rsid w:val="0079239C"/>
    <w:rsid w:val="007934F3"/>
    <w:rsid w:val="00795A80"/>
    <w:rsid w:val="00796464"/>
    <w:rsid w:val="00796F15"/>
    <w:rsid w:val="007A0403"/>
    <w:rsid w:val="007A12F5"/>
    <w:rsid w:val="007A2015"/>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489A"/>
    <w:rsid w:val="007E4B14"/>
    <w:rsid w:val="007E4B4C"/>
    <w:rsid w:val="007E6896"/>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1918"/>
    <w:rsid w:val="008129B1"/>
    <w:rsid w:val="00817A12"/>
    <w:rsid w:val="00820870"/>
    <w:rsid w:val="0082437E"/>
    <w:rsid w:val="008259FD"/>
    <w:rsid w:val="00825B2C"/>
    <w:rsid w:val="00825D67"/>
    <w:rsid w:val="00826C1C"/>
    <w:rsid w:val="00832E86"/>
    <w:rsid w:val="00833BAB"/>
    <w:rsid w:val="00833FCC"/>
    <w:rsid w:val="008356E6"/>
    <w:rsid w:val="008360AA"/>
    <w:rsid w:val="00837202"/>
    <w:rsid w:val="00837412"/>
    <w:rsid w:val="00840877"/>
    <w:rsid w:val="0084180A"/>
    <w:rsid w:val="0084197A"/>
    <w:rsid w:val="00841EDA"/>
    <w:rsid w:val="00843425"/>
    <w:rsid w:val="00845708"/>
    <w:rsid w:val="00846239"/>
    <w:rsid w:val="00846484"/>
    <w:rsid w:val="008478EE"/>
    <w:rsid w:val="00850636"/>
    <w:rsid w:val="00852FB1"/>
    <w:rsid w:val="0085475F"/>
    <w:rsid w:val="008559F4"/>
    <w:rsid w:val="00855C39"/>
    <w:rsid w:val="00856225"/>
    <w:rsid w:val="0085681C"/>
    <w:rsid w:val="008604B1"/>
    <w:rsid w:val="008609B1"/>
    <w:rsid w:val="008645C4"/>
    <w:rsid w:val="00865077"/>
    <w:rsid w:val="00867884"/>
    <w:rsid w:val="00872BA4"/>
    <w:rsid w:val="008734F5"/>
    <w:rsid w:val="008743B9"/>
    <w:rsid w:val="00874DE6"/>
    <w:rsid w:val="00875104"/>
    <w:rsid w:val="00876002"/>
    <w:rsid w:val="008774D2"/>
    <w:rsid w:val="00880E40"/>
    <w:rsid w:val="00882A19"/>
    <w:rsid w:val="00883771"/>
    <w:rsid w:val="00883C9D"/>
    <w:rsid w:val="00883EFE"/>
    <w:rsid w:val="008869CA"/>
    <w:rsid w:val="008870CD"/>
    <w:rsid w:val="008905BA"/>
    <w:rsid w:val="0089375C"/>
    <w:rsid w:val="0089513F"/>
    <w:rsid w:val="00895699"/>
    <w:rsid w:val="008A153F"/>
    <w:rsid w:val="008A54A9"/>
    <w:rsid w:val="008A6188"/>
    <w:rsid w:val="008A79C6"/>
    <w:rsid w:val="008B2094"/>
    <w:rsid w:val="008B28F2"/>
    <w:rsid w:val="008B444F"/>
    <w:rsid w:val="008B683E"/>
    <w:rsid w:val="008C0EF7"/>
    <w:rsid w:val="008C1178"/>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1AA9"/>
    <w:rsid w:val="008F7C5B"/>
    <w:rsid w:val="00901C4E"/>
    <w:rsid w:val="00904502"/>
    <w:rsid w:val="009049C0"/>
    <w:rsid w:val="00906257"/>
    <w:rsid w:val="009069D6"/>
    <w:rsid w:val="00910EF6"/>
    <w:rsid w:val="00912380"/>
    <w:rsid w:val="009124F6"/>
    <w:rsid w:val="00912BC1"/>
    <w:rsid w:val="00913B67"/>
    <w:rsid w:val="0091520D"/>
    <w:rsid w:val="00915B08"/>
    <w:rsid w:val="00921DD1"/>
    <w:rsid w:val="009225FE"/>
    <w:rsid w:val="00923D31"/>
    <w:rsid w:val="00923F94"/>
    <w:rsid w:val="00926DD3"/>
    <w:rsid w:val="00932596"/>
    <w:rsid w:val="00935308"/>
    <w:rsid w:val="009361FD"/>
    <w:rsid w:val="009406D2"/>
    <w:rsid w:val="00940F17"/>
    <w:rsid w:val="009414C5"/>
    <w:rsid w:val="009427F2"/>
    <w:rsid w:val="00944F64"/>
    <w:rsid w:val="00945C9E"/>
    <w:rsid w:val="00945CE1"/>
    <w:rsid w:val="009467A8"/>
    <w:rsid w:val="009511AC"/>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BF2"/>
    <w:rsid w:val="009A222A"/>
    <w:rsid w:val="009A26CA"/>
    <w:rsid w:val="009A6FE7"/>
    <w:rsid w:val="009B1BCA"/>
    <w:rsid w:val="009B1FD2"/>
    <w:rsid w:val="009B2168"/>
    <w:rsid w:val="009B3AEB"/>
    <w:rsid w:val="009B7AE2"/>
    <w:rsid w:val="009C3EB5"/>
    <w:rsid w:val="009C42BD"/>
    <w:rsid w:val="009C444B"/>
    <w:rsid w:val="009D3773"/>
    <w:rsid w:val="009D499D"/>
    <w:rsid w:val="009D72AA"/>
    <w:rsid w:val="009D7484"/>
    <w:rsid w:val="009D774C"/>
    <w:rsid w:val="009E0078"/>
    <w:rsid w:val="009E14BA"/>
    <w:rsid w:val="009E2AEA"/>
    <w:rsid w:val="009E3183"/>
    <w:rsid w:val="009E36E1"/>
    <w:rsid w:val="009E3783"/>
    <w:rsid w:val="009E3EA3"/>
    <w:rsid w:val="009E3ED4"/>
    <w:rsid w:val="009F04AD"/>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46210"/>
    <w:rsid w:val="00A46B56"/>
    <w:rsid w:val="00A54891"/>
    <w:rsid w:val="00A54CA1"/>
    <w:rsid w:val="00A55819"/>
    <w:rsid w:val="00A56516"/>
    <w:rsid w:val="00A62031"/>
    <w:rsid w:val="00A65D80"/>
    <w:rsid w:val="00A66849"/>
    <w:rsid w:val="00A672A7"/>
    <w:rsid w:val="00A714DD"/>
    <w:rsid w:val="00A73044"/>
    <w:rsid w:val="00A7379C"/>
    <w:rsid w:val="00A73CF1"/>
    <w:rsid w:val="00A75C9A"/>
    <w:rsid w:val="00A77EB0"/>
    <w:rsid w:val="00A835D4"/>
    <w:rsid w:val="00A84E96"/>
    <w:rsid w:val="00A853D1"/>
    <w:rsid w:val="00A85AA3"/>
    <w:rsid w:val="00A86302"/>
    <w:rsid w:val="00A86D69"/>
    <w:rsid w:val="00A90EE0"/>
    <w:rsid w:val="00A9123D"/>
    <w:rsid w:val="00A918D2"/>
    <w:rsid w:val="00A91DC0"/>
    <w:rsid w:val="00A91EEC"/>
    <w:rsid w:val="00A92534"/>
    <w:rsid w:val="00A927C4"/>
    <w:rsid w:val="00A92BCA"/>
    <w:rsid w:val="00A93B9E"/>
    <w:rsid w:val="00A971E1"/>
    <w:rsid w:val="00AA0F9E"/>
    <w:rsid w:val="00AA2734"/>
    <w:rsid w:val="00AA3015"/>
    <w:rsid w:val="00AA3E46"/>
    <w:rsid w:val="00AA4399"/>
    <w:rsid w:val="00AA4D97"/>
    <w:rsid w:val="00AA59AF"/>
    <w:rsid w:val="00AA5B6A"/>
    <w:rsid w:val="00AA74B7"/>
    <w:rsid w:val="00AB05D5"/>
    <w:rsid w:val="00AB13CE"/>
    <w:rsid w:val="00AB1416"/>
    <w:rsid w:val="00AB2611"/>
    <w:rsid w:val="00AB35DC"/>
    <w:rsid w:val="00AB419D"/>
    <w:rsid w:val="00AB52D0"/>
    <w:rsid w:val="00AC046B"/>
    <w:rsid w:val="00AC14AA"/>
    <w:rsid w:val="00AC1E16"/>
    <w:rsid w:val="00AC1EDB"/>
    <w:rsid w:val="00AC3A0C"/>
    <w:rsid w:val="00AC3EEC"/>
    <w:rsid w:val="00AC50EE"/>
    <w:rsid w:val="00AC54F8"/>
    <w:rsid w:val="00AC57A5"/>
    <w:rsid w:val="00AC681D"/>
    <w:rsid w:val="00AC6FF1"/>
    <w:rsid w:val="00AD0F67"/>
    <w:rsid w:val="00AD1A30"/>
    <w:rsid w:val="00AD43BC"/>
    <w:rsid w:val="00AD7E8E"/>
    <w:rsid w:val="00AE0487"/>
    <w:rsid w:val="00AE0F81"/>
    <w:rsid w:val="00AE330D"/>
    <w:rsid w:val="00AE7A51"/>
    <w:rsid w:val="00AF134A"/>
    <w:rsid w:val="00AF3563"/>
    <w:rsid w:val="00AF3BCE"/>
    <w:rsid w:val="00AF421C"/>
    <w:rsid w:val="00AF5C05"/>
    <w:rsid w:val="00AF7622"/>
    <w:rsid w:val="00B00238"/>
    <w:rsid w:val="00B019A9"/>
    <w:rsid w:val="00B03218"/>
    <w:rsid w:val="00B03273"/>
    <w:rsid w:val="00B039EC"/>
    <w:rsid w:val="00B06867"/>
    <w:rsid w:val="00B06A23"/>
    <w:rsid w:val="00B07EFF"/>
    <w:rsid w:val="00B10984"/>
    <w:rsid w:val="00B109B2"/>
    <w:rsid w:val="00B10D67"/>
    <w:rsid w:val="00B110B5"/>
    <w:rsid w:val="00B14C3A"/>
    <w:rsid w:val="00B15781"/>
    <w:rsid w:val="00B16465"/>
    <w:rsid w:val="00B167A2"/>
    <w:rsid w:val="00B174E3"/>
    <w:rsid w:val="00B20415"/>
    <w:rsid w:val="00B2772E"/>
    <w:rsid w:val="00B27A5B"/>
    <w:rsid w:val="00B316E7"/>
    <w:rsid w:val="00B3398C"/>
    <w:rsid w:val="00B33D96"/>
    <w:rsid w:val="00B34BDE"/>
    <w:rsid w:val="00B34EF9"/>
    <w:rsid w:val="00B3578F"/>
    <w:rsid w:val="00B35DAD"/>
    <w:rsid w:val="00B36EB3"/>
    <w:rsid w:val="00B40E17"/>
    <w:rsid w:val="00B41AE8"/>
    <w:rsid w:val="00B443DF"/>
    <w:rsid w:val="00B445D0"/>
    <w:rsid w:val="00B45C4D"/>
    <w:rsid w:val="00B4737F"/>
    <w:rsid w:val="00B508A6"/>
    <w:rsid w:val="00B50E59"/>
    <w:rsid w:val="00B53FF2"/>
    <w:rsid w:val="00B54620"/>
    <w:rsid w:val="00B55CDD"/>
    <w:rsid w:val="00B56E4F"/>
    <w:rsid w:val="00B621C4"/>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7799C"/>
    <w:rsid w:val="00B81EB1"/>
    <w:rsid w:val="00B832A3"/>
    <w:rsid w:val="00B83AFF"/>
    <w:rsid w:val="00B84886"/>
    <w:rsid w:val="00B84958"/>
    <w:rsid w:val="00B86A9F"/>
    <w:rsid w:val="00B90E4C"/>
    <w:rsid w:val="00B910E8"/>
    <w:rsid w:val="00B9267B"/>
    <w:rsid w:val="00B93137"/>
    <w:rsid w:val="00B9328C"/>
    <w:rsid w:val="00B94CD8"/>
    <w:rsid w:val="00B96F16"/>
    <w:rsid w:val="00B97A54"/>
    <w:rsid w:val="00BA0974"/>
    <w:rsid w:val="00BA1526"/>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0A2D"/>
    <w:rsid w:val="00BD304A"/>
    <w:rsid w:val="00BD6BA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3101"/>
    <w:rsid w:val="00C05E84"/>
    <w:rsid w:val="00C073E4"/>
    <w:rsid w:val="00C07C34"/>
    <w:rsid w:val="00C12CA8"/>
    <w:rsid w:val="00C13962"/>
    <w:rsid w:val="00C15270"/>
    <w:rsid w:val="00C154E6"/>
    <w:rsid w:val="00C158B5"/>
    <w:rsid w:val="00C16E23"/>
    <w:rsid w:val="00C17ED8"/>
    <w:rsid w:val="00C2082B"/>
    <w:rsid w:val="00C20DBA"/>
    <w:rsid w:val="00C23920"/>
    <w:rsid w:val="00C23B22"/>
    <w:rsid w:val="00C33771"/>
    <w:rsid w:val="00C3411B"/>
    <w:rsid w:val="00C34230"/>
    <w:rsid w:val="00C3661B"/>
    <w:rsid w:val="00C417F6"/>
    <w:rsid w:val="00C418AC"/>
    <w:rsid w:val="00C42112"/>
    <w:rsid w:val="00C435EB"/>
    <w:rsid w:val="00C45768"/>
    <w:rsid w:val="00C464B8"/>
    <w:rsid w:val="00C4692B"/>
    <w:rsid w:val="00C46A0C"/>
    <w:rsid w:val="00C473F7"/>
    <w:rsid w:val="00C501E5"/>
    <w:rsid w:val="00C5100A"/>
    <w:rsid w:val="00C51884"/>
    <w:rsid w:val="00C543E0"/>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3F8F"/>
    <w:rsid w:val="00C84DDE"/>
    <w:rsid w:val="00C85162"/>
    <w:rsid w:val="00C87864"/>
    <w:rsid w:val="00C90EAC"/>
    <w:rsid w:val="00C917FD"/>
    <w:rsid w:val="00C93D01"/>
    <w:rsid w:val="00C958FA"/>
    <w:rsid w:val="00C96958"/>
    <w:rsid w:val="00C96A6B"/>
    <w:rsid w:val="00CA2041"/>
    <w:rsid w:val="00CA62C0"/>
    <w:rsid w:val="00CA73CB"/>
    <w:rsid w:val="00CA79BB"/>
    <w:rsid w:val="00CB4161"/>
    <w:rsid w:val="00CB43A2"/>
    <w:rsid w:val="00CB6DE1"/>
    <w:rsid w:val="00CB7730"/>
    <w:rsid w:val="00CC12A0"/>
    <w:rsid w:val="00CC26A8"/>
    <w:rsid w:val="00CC4CED"/>
    <w:rsid w:val="00CC6EBB"/>
    <w:rsid w:val="00CD4A21"/>
    <w:rsid w:val="00CD6BD1"/>
    <w:rsid w:val="00CE3A6F"/>
    <w:rsid w:val="00CE63F9"/>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114E6"/>
    <w:rsid w:val="00D1198D"/>
    <w:rsid w:val="00D15F17"/>
    <w:rsid w:val="00D161BE"/>
    <w:rsid w:val="00D162D9"/>
    <w:rsid w:val="00D17BDD"/>
    <w:rsid w:val="00D20D4A"/>
    <w:rsid w:val="00D23223"/>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847"/>
    <w:rsid w:val="00D65F8F"/>
    <w:rsid w:val="00D664A9"/>
    <w:rsid w:val="00D66520"/>
    <w:rsid w:val="00D66C5B"/>
    <w:rsid w:val="00D671E2"/>
    <w:rsid w:val="00D67E0A"/>
    <w:rsid w:val="00D712E9"/>
    <w:rsid w:val="00D73EF4"/>
    <w:rsid w:val="00D7553B"/>
    <w:rsid w:val="00D7566A"/>
    <w:rsid w:val="00D8163B"/>
    <w:rsid w:val="00D85008"/>
    <w:rsid w:val="00D87426"/>
    <w:rsid w:val="00D8754D"/>
    <w:rsid w:val="00D92717"/>
    <w:rsid w:val="00D93E05"/>
    <w:rsid w:val="00D9515D"/>
    <w:rsid w:val="00D9648D"/>
    <w:rsid w:val="00DA3A08"/>
    <w:rsid w:val="00DA4715"/>
    <w:rsid w:val="00DA62DF"/>
    <w:rsid w:val="00DA7439"/>
    <w:rsid w:val="00DB0DA9"/>
    <w:rsid w:val="00DB108A"/>
    <w:rsid w:val="00DB52AE"/>
    <w:rsid w:val="00DC1776"/>
    <w:rsid w:val="00DC33A5"/>
    <w:rsid w:val="00DC4340"/>
    <w:rsid w:val="00DC7183"/>
    <w:rsid w:val="00DC72DD"/>
    <w:rsid w:val="00DC7898"/>
    <w:rsid w:val="00DD19F8"/>
    <w:rsid w:val="00DD1C70"/>
    <w:rsid w:val="00DD1E76"/>
    <w:rsid w:val="00DD3239"/>
    <w:rsid w:val="00DE07E4"/>
    <w:rsid w:val="00DE0877"/>
    <w:rsid w:val="00DE0FF8"/>
    <w:rsid w:val="00DE2A33"/>
    <w:rsid w:val="00DE3EBF"/>
    <w:rsid w:val="00DE6D39"/>
    <w:rsid w:val="00DE7345"/>
    <w:rsid w:val="00DE76EB"/>
    <w:rsid w:val="00DF36B4"/>
    <w:rsid w:val="00DF3B60"/>
    <w:rsid w:val="00DF51CA"/>
    <w:rsid w:val="00DF5581"/>
    <w:rsid w:val="00DF7501"/>
    <w:rsid w:val="00DF7936"/>
    <w:rsid w:val="00E004EF"/>
    <w:rsid w:val="00E04B6F"/>
    <w:rsid w:val="00E13833"/>
    <w:rsid w:val="00E1570D"/>
    <w:rsid w:val="00E17001"/>
    <w:rsid w:val="00E17406"/>
    <w:rsid w:val="00E17E8E"/>
    <w:rsid w:val="00E20AE5"/>
    <w:rsid w:val="00E20F00"/>
    <w:rsid w:val="00E21297"/>
    <w:rsid w:val="00E23A38"/>
    <w:rsid w:val="00E23B6B"/>
    <w:rsid w:val="00E24721"/>
    <w:rsid w:val="00E25139"/>
    <w:rsid w:val="00E265A0"/>
    <w:rsid w:val="00E266DE"/>
    <w:rsid w:val="00E311F5"/>
    <w:rsid w:val="00E34BF8"/>
    <w:rsid w:val="00E35B1E"/>
    <w:rsid w:val="00E4250F"/>
    <w:rsid w:val="00E44A7E"/>
    <w:rsid w:val="00E46A7E"/>
    <w:rsid w:val="00E46CE8"/>
    <w:rsid w:val="00E51559"/>
    <w:rsid w:val="00E53484"/>
    <w:rsid w:val="00E548DB"/>
    <w:rsid w:val="00E552BD"/>
    <w:rsid w:val="00E55649"/>
    <w:rsid w:val="00E56A50"/>
    <w:rsid w:val="00E5798A"/>
    <w:rsid w:val="00E57A3E"/>
    <w:rsid w:val="00E628D9"/>
    <w:rsid w:val="00E63ADA"/>
    <w:rsid w:val="00E63E16"/>
    <w:rsid w:val="00E640E0"/>
    <w:rsid w:val="00E645F6"/>
    <w:rsid w:val="00E64C5F"/>
    <w:rsid w:val="00E664F4"/>
    <w:rsid w:val="00E70355"/>
    <w:rsid w:val="00E72855"/>
    <w:rsid w:val="00E72E5D"/>
    <w:rsid w:val="00E7377F"/>
    <w:rsid w:val="00E74710"/>
    <w:rsid w:val="00E74C1D"/>
    <w:rsid w:val="00E75ACC"/>
    <w:rsid w:val="00E81B2F"/>
    <w:rsid w:val="00E82E6D"/>
    <w:rsid w:val="00E844ED"/>
    <w:rsid w:val="00E85810"/>
    <w:rsid w:val="00E85B0A"/>
    <w:rsid w:val="00E90558"/>
    <w:rsid w:val="00E909CD"/>
    <w:rsid w:val="00E92248"/>
    <w:rsid w:val="00E92BD1"/>
    <w:rsid w:val="00E935A1"/>
    <w:rsid w:val="00E93FB6"/>
    <w:rsid w:val="00E94BB6"/>
    <w:rsid w:val="00E977CD"/>
    <w:rsid w:val="00EA1715"/>
    <w:rsid w:val="00EA2EE8"/>
    <w:rsid w:val="00EA31FD"/>
    <w:rsid w:val="00EA4349"/>
    <w:rsid w:val="00EA4EE4"/>
    <w:rsid w:val="00EA5A32"/>
    <w:rsid w:val="00EB2F51"/>
    <w:rsid w:val="00EB3BF0"/>
    <w:rsid w:val="00EB4499"/>
    <w:rsid w:val="00EB4DA6"/>
    <w:rsid w:val="00EB5880"/>
    <w:rsid w:val="00EB601D"/>
    <w:rsid w:val="00EB6CCD"/>
    <w:rsid w:val="00EC0273"/>
    <w:rsid w:val="00EC25BA"/>
    <w:rsid w:val="00EC45DE"/>
    <w:rsid w:val="00ED0AD5"/>
    <w:rsid w:val="00ED1902"/>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183B"/>
    <w:rsid w:val="00F42100"/>
    <w:rsid w:val="00F42A9B"/>
    <w:rsid w:val="00F45470"/>
    <w:rsid w:val="00F464FE"/>
    <w:rsid w:val="00F465F9"/>
    <w:rsid w:val="00F47621"/>
    <w:rsid w:val="00F570AB"/>
    <w:rsid w:val="00F571A5"/>
    <w:rsid w:val="00F57A71"/>
    <w:rsid w:val="00F61C28"/>
    <w:rsid w:val="00F61E69"/>
    <w:rsid w:val="00F633B7"/>
    <w:rsid w:val="00F6352C"/>
    <w:rsid w:val="00F645F1"/>
    <w:rsid w:val="00F6591A"/>
    <w:rsid w:val="00F7001A"/>
    <w:rsid w:val="00F70D35"/>
    <w:rsid w:val="00F7546C"/>
    <w:rsid w:val="00F77B00"/>
    <w:rsid w:val="00F83675"/>
    <w:rsid w:val="00F83B6F"/>
    <w:rsid w:val="00F84470"/>
    <w:rsid w:val="00F856D5"/>
    <w:rsid w:val="00F857BC"/>
    <w:rsid w:val="00F90273"/>
    <w:rsid w:val="00F90BD0"/>
    <w:rsid w:val="00F91A5F"/>
    <w:rsid w:val="00F93ACB"/>
    <w:rsid w:val="00F93C4F"/>
    <w:rsid w:val="00F94FA2"/>
    <w:rsid w:val="00F959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7C25"/>
    <w:rsid w:val="00FD0E4C"/>
    <w:rsid w:val="00FD1C2E"/>
    <w:rsid w:val="00FD3574"/>
    <w:rsid w:val="00FD602D"/>
    <w:rsid w:val="00FD60D2"/>
    <w:rsid w:val="00FD6A7D"/>
    <w:rsid w:val="00FD6FC9"/>
    <w:rsid w:val="00FE02C2"/>
    <w:rsid w:val="00FE2D34"/>
    <w:rsid w:val="00FF26F6"/>
    <w:rsid w:val="00FF35E2"/>
    <w:rsid w:val="00FF7848"/>
    <w:rsid w:val="1A4D75F3"/>
    <w:rsid w:val="2B3FB57B"/>
    <w:rsid w:val="2D84EE07"/>
    <w:rsid w:val="2ED9830C"/>
    <w:rsid w:val="47F77DFF"/>
    <w:rsid w:val="50088904"/>
    <w:rsid w:val="5418D043"/>
    <w:rsid w:val="61DF509E"/>
    <w:rsid w:val="6270D379"/>
    <w:rsid w:val="74C12694"/>
    <w:rsid w:val="76A989B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3E0"/>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character" w:styleId="UnresolvedMention">
    <w:name w:val="Unresolved Mention"/>
    <w:basedOn w:val="DefaultParagraphFont"/>
    <w:uiPriority w:val="99"/>
    <w:semiHidden/>
    <w:unhideWhenUsed/>
    <w:rsid w:val="00E82E6D"/>
    <w:rPr>
      <w:color w:val="605E5C"/>
      <w:shd w:val="clear" w:color="auto" w:fill="E1DFDD"/>
    </w:rPr>
  </w:style>
  <w:style w:type="character" w:styleId="FollowedHyperlink">
    <w:name w:val="FollowedHyperlink"/>
    <w:basedOn w:val="DefaultParagraphFont"/>
    <w:uiPriority w:val="99"/>
    <w:semiHidden/>
    <w:unhideWhenUsed/>
    <w:rsid w:val="00D658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28895250">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565267725">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8300323">
      <w:bodyDiv w:val="1"/>
      <w:marLeft w:val="0"/>
      <w:marRight w:val="0"/>
      <w:marTop w:val="0"/>
      <w:marBottom w:val="0"/>
      <w:divBdr>
        <w:top w:val="none" w:sz="0" w:space="0" w:color="auto"/>
        <w:left w:val="none" w:sz="0" w:space="0" w:color="auto"/>
        <w:bottom w:val="none" w:sz="0" w:space="0" w:color="auto"/>
        <w:right w:val="none" w:sz="0" w:space="0" w:color="auto"/>
      </w:divBdr>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9781591">
      <w:bodyDiv w:val="1"/>
      <w:marLeft w:val="0"/>
      <w:marRight w:val="0"/>
      <w:marTop w:val="0"/>
      <w:marBottom w:val="0"/>
      <w:divBdr>
        <w:top w:val="none" w:sz="0" w:space="0" w:color="auto"/>
        <w:left w:val="none" w:sz="0" w:space="0" w:color="auto"/>
        <w:bottom w:val="none" w:sz="0" w:space="0" w:color="auto"/>
        <w:right w:val="none" w:sz="0" w:space="0" w:color="auto"/>
      </w:divBdr>
    </w:div>
    <w:div w:id="926307677">
      <w:bodyDiv w:val="1"/>
      <w:marLeft w:val="0"/>
      <w:marRight w:val="0"/>
      <w:marTop w:val="0"/>
      <w:marBottom w:val="0"/>
      <w:divBdr>
        <w:top w:val="none" w:sz="0" w:space="0" w:color="auto"/>
        <w:left w:val="none" w:sz="0" w:space="0" w:color="auto"/>
        <w:bottom w:val="none" w:sz="0" w:space="0" w:color="auto"/>
        <w:right w:val="none" w:sz="0" w:space="0" w:color="auto"/>
      </w:divBdr>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3874480">
      <w:bodyDiv w:val="1"/>
      <w:marLeft w:val="0"/>
      <w:marRight w:val="0"/>
      <w:marTop w:val="0"/>
      <w:marBottom w:val="0"/>
      <w:divBdr>
        <w:top w:val="none" w:sz="0" w:space="0" w:color="auto"/>
        <w:left w:val="none" w:sz="0" w:space="0" w:color="auto"/>
        <w:bottom w:val="none" w:sz="0" w:space="0" w:color="auto"/>
        <w:right w:val="none" w:sz="0" w:space="0" w:color="auto"/>
      </w:divBdr>
    </w:div>
    <w:div w:id="1686011086">
      <w:bodyDiv w:val="1"/>
      <w:marLeft w:val="0"/>
      <w:marRight w:val="0"/>
      <w:marTop w:val="0"/>
      <w:marBottom w:val="0"/>
      <w:divBdr>
        <w:top w:val="none" w:sz="0" w:space="0" w:color="auto"/>
        <w:left w:val="none" w:sz="0" w:space="0" w:color="auto"/>
        <w:bottom w:val="none" w:sz="0" w:space="0" w:color="auto"/>
        <w:right w:val="none" w:sz="0" w:space="0" w:color="auto"/>
      </w:divBdr>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1915504246">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10a292-e042-440d-aef8-ab5a9bd10e41" xsi:nil="true"/>
    <lcf76f155ced4ddcb4097134ff3c332f xmlns="f482729e-2cfb-42d6-a767-262eef24571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E0E35EFD4F464680E6AF1C0D13EB20" ma:contentTypeVersion="17" ma:contentTypeDescription="Create a new document." ma:contentTypeScope="" ma:versionID="c0df9632bc0fe4eaa55144c0c8edbfb1">
  <xsd:schema xmlns:xsd="http://www.w3.org/2001/XMLSchema" xmlns:xs="http://www.w3.org/2001/XMLSchema" xmlns:p="http://schemas.microsoft.com/office/2006/metadata/properties" xmlns:ns2="2410a292-e042-440d-aef8-ab5a9bd10e41" xmlns:ns3="f482729e-2cfb-42d6-a767-262eef245714" targetNamespace="http://schemas.microsoft.com/office/2006/metadata/properties" ma:root="true" ma:fieldsID="38ba360e6ffcc520751d64f80753cb72" ns2:_="" ns3:_="">
    <xsd:import namespace="2410a292-e042-440d-aef8-ab5a9bd10e41"/>
    <xsd:import namespace="f482729e-2cfb-42d6-a767-262eef2457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0a292-e042-440d-aef8-ab5a9bd10e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d8873d-5bb8-4886-b080-ba0220c906b5}" ma:internalName="TaxCatchAll" ma:showField="CatchAllData" ma:web="2410a292-e042-440d-aef8-ab5a9bd10e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82729e-2cfb-42d6-a767-262eef2457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3C29E-D991-4DB9-A13E-7C1AA632889D}">
  <ds:schemaRefs>
    <ds:schemaRef ds:uri="http://schemas.microsoft.com/office/2006/metadata/properties"/>
    <ds:schemaRef ds:uri="http://schemas.microsoft.com/office/infopath/2007/PartnerControls"/>
    <ds:schemaRef ds:uri="2410a292-e042-440d-aef8-ab5a9bd10e41"/>
    <ds:schemaRef ds:uri="f482729e-2cfb-42d6-a767-262eef245714"/>
  </ds:schemaRefs>
</ds:datastoreItem>
</file>

<file path=customXml/itemProps2.xml><?xml version="1.0" encoding="utf-8"?>
<ds:datastoreItem xmlns:ds="http://schemas.openxmlformats.org/officeDocument/2006/customXml" ds:itemID="{5C3244E2-8503-4AE0-8C25-B2A32E5088FD}">
  <ds:schemaRefs>
    <ds:schemaRef ds:uri="http://schemas.openxmlformats.org/officeDocument/2006/bibliography"/>
  </ds:schemaRefs>
</ds:datastoreItem>
</file>

<file path=customXml/itemProps3.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4.xml><?xml version="1.0" encoding="utf-8"?>
<ds:datastoreItem xmlns:ds="http://schemas.openxmlformats.org/officeDocument/2006/customXml" ds:itemID="{D9ECECBA-F60B-4E6A-A444-7157185C9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0a292-e042-440d-aef8-ab5a9bd10e41"/>
    <ds:schemaRef ds:uri="f482729e-2cfb-42d6-a767-262eef245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7</Pages>
  <Words>2168</Words>
  <Characters>12362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Diana</cp:lastModifiedBy>
  <cp:revision>131</cp:revision>
  <cp:lastPrinted>2019-09-23T06:46:00Z</cp:lastPrinted>
  <dcterms:created xsi:type="dcterms:W3CDTF">2019-12-23T23:33:00Z</dcterms:created>
  <dcterms:modified xsi:type="dcterms:W3CDTF">2025-08-19T05:47:00Z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0x010100EFE0E35EFD4F464680E6AF1C0D13EB20</vt:lpwstr>
  </property>
  <property fmtid="{D5CDD505-2E9C-101B-9397-08002B2CF9AE}" pid="9" name="MediaServiceImageTags">
    <vt:lpwstr/>
  </property>
  <property fmtid="{D5CDD505-2E9C-101B-9397-08002B2CF9AE}" pid="10" name="ClassificationContentMarkingHeaderShapeIds">
    <vt:lpwstr>bcf62b6,47b781d2,56c9878f,65976076,62eccb13,6511c67a</vt:lpwstr>
  </property>
  <property fmtid="{D5CDD505-2E9C-101B-9397-08002B2CF9AE}" pid="11" name="ClassificationContentMarkingHeaderFontProps">
    <vt:lpwstr>#ff0000,12,Calibri</vt:lpwstr>
  </property>
  <property fmtid="{D5CDD505-2E9C-101B-9397-08002B2CF9AE}" pid="12" name="ClassificationContentMarkingHeaderText">
    <vt:lpwstr>OFFICIAL:Sensitive</vt:lpwstr>
  </property>
  <property fmtid="{D5CDD505-2E9C-101B-9397-08002B2CF9AE}" pid="13" name="ClassificationContentMarkingFooterShapeIds">
    <vt:lpwstr>44aaeff7,e03094c,6d5a4f08,48ebbd18,7f1ab893,43b8a7b8</vt:lpwstr>
  </property>
  <property fmtid="{D5CDD505-2E9C-101B-9397-08002B2CF9AE}" pid="14" name="ClassificationContentMarkingFooterFontProps">
    <vt:lpwstr>#ff0000,12,Calibri</vt:lpwstr>
  </property>
  <property fmtid="{D5CDD505-2E9C-101B-9397-08002B2CF9AE}" pid="15" name="ClassificationContentMarkingFooterText">
    <vt:lpwstr>OFFICIAL:Sensitive</vt:lpwstr>
  </property>
  <property fmtid="{D5CDD505-2E9C-101B-9397-08002B2CF9AE}" pid="16" name="MSIP_Label_39df9c6b-793c-4016-b195-fddba94fa888_Enabled">
    <vt:lpwstr>true</vt:lpwstr>
  </property>
  <property fmtid="{D5CDD505-2E9C-101B-9397-08002B2CF9AE}" pid="17" name="MSIP_Label_39df9c6b-793c-4016-b195-fddba94fa888_SetDate">
    <vt:lpwstr>2025-08-06T05:59:48Z</vt:lpwstr>
  </property>
  <property fmtid="{D5CDD505-2E9C-101B-9397-08002B2CF9AE}" pid="18" name="MSIP_Label_39df9c6b-793c-4016-b195-fddba94fa888_Method">
    <vt:lpwstr>Privileged</vt:lpwstr>
  </property>
  <property fmtid="{D5CDD505-2E9C-101B-9397-08002B2CF9AE}" pid="19" name="MSIP_Label_39df9c6b-793c-4016-b195-fddba94fa888_Name">
    <vt:lpwstr>OS</vt:lpwstr>
  </property>
  <property fmtid="{D5CDD505-2E9C-101B-9397-08002B2CF9AE}" pid="20" name="MSIP_Label_39df9c6b-793c-4016-b195-fddba94fa888_SiteId">
    <vt:lpwstr>34a3929c-73cf-4954-abfe-147dc3517892</vt:lpwstr>
  </property>
  <property fmtid="{D5CDD505-2E9C-101B-9397-08002B2CF9AE}" pid="21" name="MSIP_Label_39df9c6b-793c-4016-b195-fddba94fa888_ActionId">
    <vt:lpwstr>0c2bda63-abf6-4397-98a0-b0b10c926cb5</vt:lpwstr>
  </property>
  <property fmtid="{D5CDD505-2E9C-101B-9397-08002B2CF9AE}" pid="22" name="MSIP_Label_39df9c6b-793c-4016-b195-fddba94fa888_ContentBits">
    <vt:lpwstr>3</vt:lpwstr>
  </property>
  <property fmtid="{D5CDD505-2E9C-101B-9397-08002B2CF9AE}" pid="23" name="MSIP_Label_39df9c6b-793c-4016-b195-fddba94fa888_Tag">
    <vt:lpwstr>10, 0, 1, 1</vt:lpwstr>
  </property>
</Properties>
</file>