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2E39" w14:textId="108175A7" w:rsidR="0094431D" w:rsidRPr="001A29E6" w:rsidRDefault="00BB0EC8" w:rsidP="00E66662">
      <w:pPr>
        <w:widowControl w:val="0"/>
        <w:pBdr>
          <w:top w:val="single" w:sz="6" w:space="5" w:color="auto"/>
          <w:bottom w:val="single" w:sz="4" w:space="8" w:color="auto"/>
        </w:pBdr>
        <w:autoSpaceDE w:val="0"/>
        <w:autoSpaceDN w:val="0"/>
        <w:adjustRightInd w:val="0"/>
        <w:spacing w:before="120" w:after="120"/>
        <w:rPr>
          <w:rFonts w:ascii="Arial Black" w:hAnsi="Arial Black" w:cs="Arial Black"/>
          <w:sz w:val="16"/>
          <w:szCs w:val="16"/>
          <w:lang w:val="en-US"/>
        </w:rPr>
      </w:pPr>
      <w:r w:rsidRPr="00BB0EC8">
        <w:rPr>
          <w:rFonts w:ascii="Arial Black" w:hAnsi="Arial Black" w:cs="Arial Black"/>
          <w:sz w:val="28"/>
          <w:szCs w:val="28"/>
          <w:lang w:val="en-US"/>
        </w:rPr>
        <w:t xml:space="preserve">Explanatory Statement: </w:t>
      </w:r>
      <w:r w:rsidR="00394B1E">
        <w:rPr>
          <w:rFonts w:ascii="Arial Black" w:hAnsi="Arial Black" w:cs="Arial Black"/>
          <w:sz w:val="28"/>
          <w:szCs w:val="28"/>
          <w:lang w:val="en-US"/>
        </w:rPr>
        <w:t xml:space="preserve">Remuneration </w:t>
      </w:r>
      <w:r w:rsidR="00394B1E" w:rsidRPr="00E66662">
        <w:rPr>
          <w:rFonts w:ascii="Arial Black" w:eastAsiaTheme="majorEastAsia" w:hAnsi="Arial Black"/>
          <w:bCs/>
          <w:noProof/>
          <w:color w:val="000000" w:themeColor="text1"/>
          <w:sz w:val="28"/>
          <w:szCs w:val="28"/>
          <w:lang w:eastAsia="en-US"/>
        </w:rPr>
        <w:t xml:space="preserve">Tribunal </w:t>
      </w:r>
      <w:r w:rsidR="00F071FA">
        <w:rPr>
          <w:rFonts w:ascii="Arial Black" w:eastAsiaTheme="majorEastAsia" w:hAnsi="Arial Black"/>
          <w:bCs/>
          <w:noProof/>
          <w:color w:val="000000" w:themeColor="text1"/>
          <w:sz w:val="28"/>
          <w:szCs w:val="28"/>
          <w:lang w:eastAsia="en-US"/>
        </w:rPr>
        <w:t xml:space="preserve">Amendment </w:t>
      </w:r>
      <w:r w:rsidR="00F071FA" w:rsidRPr="001A29E6">
        <w:rPr>
          <w:rFonts w:ascii="Arial Black" w:eastAsiaTheme="majorEastAsia" w:hAnsi="Arial Black"/>
          <w:bCs/>
          <w:noProof/>
          <w:color w:val="000000" w:themeColor="text1"/>
          <w:sz w:val="28"/>
          <w:szCs w:val="28"/>
          <w:lang w:eastAsia="en-US"/>
        </w:rPr>
        <w:t>Determination (No.</w:t>
      </w:r>
      <w:r w:rsidR="00CE7376" w:rsidRPr="001A29E6">
        <w:rPr>
          <w:rFonts w:ascii="Arial Black" w:eastAsiaTheme="majorEastAsia" w:hAnsi="Arial Black"/>
          <w:bCs/>
          <w:noProof/>
          <w:color w:val="000000" w:themeColor="text1"/>
          <w:sz w:val="28"/>
          <w:szCs w:val="28"/>
          <w:lang w:eastAsia="en-US"/>
        </w:rPr>
        <w:t xml:space="preserve"> </w:t>
      </w:r>
      <w:r w:rsidR="00E53FB4">
        <w:rPr>
          <w:rFonts w:ascii="Arial Black" w:eastAsiaTheme="majorEastAsia" w:hAnsi="Arial Black"/>
          <w:bCs/>
          <w:noProof/>
          <w:color w:val="000000" w:themeColor="text1"/>
          <w:sz w:val="28"/>
          <w:szCs w:val="28"/>
          <w:lang w:eastAsia="en-US"/>
        </w:rPr>
        <w:t>4</w:t>
      </w:r>
      <w:r w:rsidR="00F071FA" w:rsidRPr="001A29E6">
        <w:rPr>
          <w:rFonts w:ascii="Arial Black" w:eastAsiaTheme="majorEastAsia" w:hAnsi="Arial Black"/>
          <w:bCs/>
          <w:noProof/>
          <w:color w:val="000000" w:themeColor="text1"/>
          <w:sz w:val="28"/>
          <w:szCs w:val="28"/>
          <w:lang w:eastAsia="en-US"/>
        </w:rPr>
        <w:t xml:space="preserve">) </w:t>
      </w:r>
      <w:r w:rsidR="00BC2F6B" w:rsidRPr="001A29E6">
        <w:rPr>
          <w:rFonts w:ascii="Arial Black" w:eastAsiaTheme="majorEastAsia" w:hAnsi="Arial Black"/>
          <w:bCs/>
          <w:noProof/>
          <w:color w:val="000000" w:themeColor="text1"/>
          <w:sz w:val="28"/>
          <w:szCs w:val="28"/>
          <w:lang w:eastAsia="en-US"/>
        </w:rPr>
        <w:t>20</w:t>
      </w:r>
      <w:r w:rsidR="00857131" w:rsidRPr="001A29E6">
        <w:rPr>
          <w:rFonts w:ascii="Arial Black" w:eastAsiaTheme="majorEastAsia" w:hAnsi="Arial Black"/>
          <w:bCs/>
          <w:noProof/>
          <w:color w:val="000000" w:themeColor="text1"/>
          <w:sz w:val="28"/>
          <w:szCs w:val="28"/>
          <w:lang w:eastAsia="en-US"/>
        </w:rPr>
        <w:t>2</w:t>
      </w:r>
      <w:r w:rsidR="00C43AB9" w:rsidRPr="001A29E6">
        <w:rPr>
          <w:rFonts w:ascii="Arial Black" w:eastAsiaTheme="majorEastAsia" w:hAnsi="Arial Black"/>
          <w:bCs/>
          <w:noProof/>
          <w:color w:val="000000" w:themeColor="text1"/>
          <w:sz w:val="28"/>
          <w:szCs w:val="28"/>
          <w:lang w:eastAsia="en-US"/>
        </w:rPr>
        <w:t>5</w:t>
      </w:r>
    </w:p>
    <w:p w14:paraId="02132E3A" w14:textId="4217193E" w:rsidR="007375C6" w:rsidRPr="001A29E6" w:rsidRDefault="007375C6"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 xml:space="preserve">The </w:t>
      </w:r>
      <w:r w:rsidRPr="001A29E6">
        <w:rPr>
          <w:rFonts w:ascii="Verdana" w:hAnsi="Verdana"/>
          <w:i/>
          <w:iCs/>
          <w:sz w:val="22"/>
          <w:szCs w:val="22"/>
        </w:rPr>
        <w:t>Remuneration Tribunal Act 1973</w:t>
      </w:r>
      <w:r w:rsidRPr="001A29E6">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 These include Judges of Federal Courts and most full-time and part-time holders of public offices, including Specified Statutory Offices. An additional function of the Tribunal is to determine a classification structure for Principal Executive Offices and the terms and conditions applicable to each classification within the structure.</w:t>
      </w:r>
    </w:p>
    <w:p w14:paraId="1CC192E5"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jc w:val="both"/>
        <w:rPr>
          <w:rFonts w:ascii="Verdana" w:hAnsi="Verdana"/>
          <w:sz w:val="22"/>
          <w:szCs w:val="22"/>
        </w:rPr>
      </w:pPr>
      <w:r w:rsidRPr="001A29E6">
        <w:rPr>
          <w:rFonts w:ascii="Verdana" w:hAnsi="Verdana"/>
          <w:sz w:val="22"/>
          <w:szCs w:val="22"/>
        </w:rPr>
        <w:t>Section 11 of the Act advises that in the performance of its functions the Tribunal:</w:t>
      </w:r>
    </w:p>
    <w:p w14:paraId="492D169C"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inform itself in such manner as it thinks fit;</w:t>
      </w:r>
    </w:p>
    <w:p w14:paraId="61C93A15"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receive written or oral statements;</w:t>
      </w:r>
    </w:p>
    <w:p w14:paraId="7FC6288B"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required to conduct any proceeding in a formal manner; and</w:t>
      </w:r>
    </w:p>
    <w:p w14:paraId="700E526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bound by the rules of evidence.</w:t>
      </w:r>
    </w:p>
    <w:p w14:paraId="707D4290"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normally receives submissions on remuneration from a portfolio minister, or a secretary, program manager or employing body (in respect of a Principal Executive Office) with responsibility for the relevant office(s). The Tribunal will normally seek the views of the relevant portfolio minister prior to determining remuneration for an office.</w:t>
      </w:r>
    </w:p>
    <w:p w14:paraId="106F9137"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may reach a decision based on the information provided in the submission and other publicly available information such as portfolio budget statements, annual reports, corporate plans, legislation and media releases. On occasion it may wish to meet with relevant parties or seek further information from the relevant minister or person making the submission.</w:t>
      </w:r>
    </w:p>
    <w:p w14:paraId="2322AB0C"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Amongst other relevant matters in deliberating on appropriate remuneration for an office the Tribunal informs itself on:</w:t>
      </w:r>
    </w:p>
    <w:p w14:paraId="0408AA74"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main functions, responsibilities and accountabilities of the office;</w:t>
      </w:r>
    </w:p>
    <w:p w14:paraId="5B7FD55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organisational structure, budget and workforce;</w:t>
      </w:r>
    </w:p>
    <w:p w14:paraId="52295DF3"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requisite characteristics, skills or qualifications required of the office holder(s); and </w:t>
      </w:r>
    </w:p>
    <w:p w14:paraId="0B3045CE" w14:textId="3936F1C8"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remuneration of similar, comparator, offices within its jurisdiction. </w:t>
      </w:r>
    </w:p>
    <w:p w14:paraId="67F49735" w14:textId="1932C007" w:rsidR="00B71B1D" w:rsidRPr="001A29E6" w:rsidRDefault="00B71B1D" w:rsidP="00BC7B34">
      <w:pPr>
        <w:tabs>
          <w:tab w:val="num" w:pos="426"/>
        </w:tabs>
        <w:spacing w:before="120" w:after="120" w:line="276" w:lineRule="auto"/>
        <w:ind w:left="425" w:hanging="425"/>
        <w:rPr>
          <w:rFonts w:ascii="Verdana" w:hAnsi="Verdana" w:cs="Verdana"/>
          <w:b/>
          <w:sz w:val="22"/>
          <w:szCs w:val="22"/>
        </w:rPr>
      </w:pPr>
      <w:r w:rsidRPr="001A29E6">
        <w:rPr>
          <w:rFonts w:ascii="Verdana" w:hAnsi="Verdana" w:cs="Verdana"/>
          <w:b/>
          <w:sz w:val="22"/>
          <w:szCs w:val="22"/>
        </w:rPr>
        <w:t>Consultation</w:t>
      </w:r>
    </w:p>
    <w:p w14:paraId="31687D98" w14:textId="77777777" w:rsidR="00605963" w:rsidRDefault="00605963" w:rsidP="00605963">
      <w:pPr>
        <w:spacing w:before="120" w:after="120" w:line="276" w:lineRule="auto"/>
        <w:rPr>
          <w:rFonts w:ascii="Segoe UI" w:hAnsi="Segoe UI" w:cs="Segoe UI"/>
          <w:sz w:val="18"/>
          <w:szCs w:val="18"/>
        </w:rPr>
      </w:pPr>
      <w:r w:rsidRPr="70E52CFB">
        <w:rPr>
          <w:rStyle w:val="normaltextrun"/>
          <w:rFonts w:ascii="Verdana" w:eastAsiaTheme="minorEastAsia" w:hAnsi="Verdana" w:cs="Segoe UI"/>
          <w:i/>
          <w:iCs/>
          <w:sz w:val="22"/>
          <w:szCs w:val="22"/>
        </w:rPr>
        <w:t>Updated definitions</w:t>
      </w:r>
      <w:r w:rsidRPr="70E52CFB">
        <w:rPr>
          <w:rStyle w:val="eop"/>
          <w:rFonts w:ascii="Verdana" w:eastAsiaTheme="minorEastAsia" w:hAnsi="Verdana" w:cs="Segoe UI"/>
          <w:sz w:val="22"/>
          <w:szCs w:val="22"/>
        </w:rPr>
        <w:t> </w:t>
      </w:r>
    </w:p>
    <w:p w14:paraId="10A70604" w14:textId="7A22C9CF" w:rsidR="00605963" w:rsidRDefault="00605963" w:rsidP="70E52CFB">
      <w:pPr>
        <w:pStyle w:val="ListParagraph"/>
        <w:numPr>
          <w:ilvl w:val="0"/>
          <w:numId w:val="1"/>
        </w:numPr>
        <w:tabs>
          <w:tab w:val="num" w:pos="426"/>
        </w:tabs>
        <w:spacing w:before="120" w:after="120" w:line="276" w:lineRule="auto"/>
        <w:ind w:left="425" w:hanging="425"/>
        <w:rPr>
          <w:rFonts w:ascii="Verdana" w:hAnsi="Verdana"/>
          <w:sz w:val="22"/>
          <w:szCs w:val="22"/>
        </w:rPr>
      </w:pPr>
      <w:r w:rsidRPr="70E52CFB">
        <w:rPr>
          <w:rFonts w:ascii="Verdana" w:hAnsi="Verdana"/>
          <w:sz w:val="22"/>
          <w:szCs w:val="22"/>
        </w:rPr>
        <w:t>There was no consultation on this matter. Consultation was considered unnecessary on these amendments, which update the definition of ‘official travel determination’ in the Tribunal’s Judicial and Related Offices, Full-time and Part-</w:t>
      </w:r>
      <w:r w:rsidRPr="70E52CFB">
        <w:rPr>
          <w:rFonts w:ascii="Verdana" w:hAnsi="Verdana"/>
          <w:sz w:val="22"/>
          <w:szCs w:val="22"/>
        </w:rPr>
        <w:lastRenderedPageBreak/>
        <w:t>time Office Determinations, to refer to the new principal Remuneration Tribunal (Official Travel) Determination 2025. </w:t>
      </w:r>
    </w:p>
    <w:p w14:paraId="45641AD1" w14:textId="628F4384" w:rsidR="00605963" w:rsidRDefault="00605963" w:rsidP="70E52CFB">
      <w:pPr>
        <w:pStyle w:val="paragraph"/>
        <w:spacing w:before="0" w:beforeAutospacing="0" w:after="0" w:afterAutospacing="0"/>
        <w:textAlignment w:val="baseline"/>
        <w:rPr>
          <w:rFonts w:ascii="Segoe UI" w:hAnsi="Segoe UI" w:cs="Segoe UI"/>
          <w:sz w:val="18"/>
          <w:szCs w:val="18"/>
        </w:rPr>
      </w:pPr>
      <w:r w:rsidRPr="70E52CFB">
        <w:rPr>
          <w:rStyle w:val="normaltextrun"/>
          <w:rFonts w:ascii="Verdana" w:eastAsiaTheme="minorEastAsia" w:hAnsi="Verdana" w:cs="Segoe UI"/>
          <w:i/>
          <w:iCs/>
          <w:sz w:val="22"/>
          <w:szCs w:val="22"/>
        </w:rPr>
        <w:t>Justices of the High Court</w:t>
      </w:r>
    </w:p>
    <w:p w14:paraId="50540608" w14:textId="26AB3E15" w:rsidR="00605963" w:rsidRPr="00201C2F" w:rsidRDefault="00605963" w:rsidP="00201C2F">
      <w:pPr>
        <w:numPr>
          <w:ilvl w:val="0"/>
          <w:numId w:val="1"/>
        </w:numPr>
        <w:tabs>
          <w:tab w:val="num" w:pos="567"/>
        </w:tabs>
        <w:spacing w:before="120" w:after="120" w:line="276" w:lineRule="auto"/>
        <w:ind w:left="425" w:hanging="425"/>
        <w:rPr>
          <w:rFonts w:ascii="Verdana" w:hAnsi="Verdana"/>
        </w:rPr>
      </w:pPr>
      <w:r w:rsidRPr="577914DE">
        <w:rPr>
          <w:rFonts w:ascii="Verdana" w:hAnsi="Verdana"/>
          <w:sz w:val="22"/>
          <w:szCs w:val="22"/>
        </w:rPr>
        <w:t xml:space="preserve">There was no consultation on this matter </w:t>
      </w:r>
      <w:r w:rsidR="002A45E3" w:rsidRPr="69F0BF79">
        <w:rPr>
          <w:rFonts w:ascii="Verdana" w:hAnsi="Verdana"/>
          <w:sz w:val="22"/>
          <w:szCs w:val="22"/>
        </w:rPr>
        <w:t>noting</w:t>
      </w:r>
      <w:r w:rsidRPr="577914DE">
        <w:rPr>
          <w:rFonts w:ascii="Verdana" w:hAnsi="Verdana"/>
          <w:sz w:val="22"/>
          <w:szCs w:val="22"/>
        </w:rPr>
        <w:t xml:space="preserve"> it is the Tribunal’s practice to review each year, the travel and motor vehicle allowances applicable to office holders for which it determines remuneration. Remuneration Tribunal (Official Travel) Determination 2025 applies the majority of the Tribunal’s decisions arising from its review. This determination implements a travel-related decision of the Tribunal peculiar to Justice of the High Court. The allowance for official travel to Canberra is a payment made in lieu of travelling allowances to Justices of the High Court who do not establish a place of residence in Canberra. The Tribunal has adjusted this amount consistent with the Canberra rate of travel specified in Taxation Determination TD2025/4: Income tax: what are the reasonable travel and overtime meal allowance expense amounts for the 2025–26 income year?    </w:t>
      </w:r>
    </w:p>
    <w:p w14:paraId="6A95D8F1" w14:textId="3F133314" w:rsidR="00605963" w:rsidRPr="00717B2A" w:rsidRDefault="00605963" w:rsidP="00201C2F">
      <w:pPr>
        <w:pStyle w:val="ListParagraph"/>
        <w:numPr>
          <w:ilvl w:val="0"/>
          <w:numId w:val="1"/>
        </w:numPr>
        <w:tabs>
          <w:tab w:val="num" w:pos="567"/>
        </w:tabs>
        <w:spacing w:before="120" w:after="120" w:line="276" w:lineRule="auto"/>
        <w:ind w:left="425" w:hanging="425"/>
        <w:rPr>
          <w:rStyle w:val="normaltextrun"/>
          <w:rFonts w:ascii="Verdana" w:eastAsiaTheme="minorEastAsia" w:hAnsi="Verdana"/>
          <w:shd w:val="clear" w:color="auto" w:fill="FFFFFF"/>
        </w:rPr>
      </w:pPr>
      <w:r w:rsidRPr="577914DE">
        <w:rPr>
          <w:rFonts w:ascii="Verdana" w:hAnsi="Verdana"/>
          <w:sz w:val="22"/>
          <w:szCs w:val="22"/>
        </w:rPr>
        <w:t>Amongst other things, the Australian Taxation Office determination sets out the amounts that the Commission of Taxation considers are reasonable for the substantiation exception</w:t>
      </w:r>
      <w:bookmarkStart w:id="0" w:name="_GoBack"/>
      <w:bookmarkEnd w:id="0"/>
      <w:r w:rsidRPr="577914DE">
        <w:rPr>
          <w:rFonts w:ascii="Verdana" w:hAnsi="Verdana"/>
          <w:sz w:val="22"/>
          <w:szCs w:val="22"/>
        </w:rPr>
        <w:t xml:space="preserve"> in Subdivision 900-B of the Income Tax Assessment Act 1997 for the 2025–26 income year in relation to claims made by employees for domestic travel expenses and overseas travel expenses. </w:t>
      </w:r>
      <w:r w:rsidRPr="00605963">
        <w:rPr>
          <w:rFonts w:ascii="Verdana" w:hAnsi="Verdana"/>
          <w:sz w:val="22"/>
          <w:szCs w:val="22"/>
        </w:rPr>
        <w:t xml:space="preserve">TD2025/4 is a public ruling for the purposes of the Taxation Administration Act 1953 and is available online at: </w:t>
      </w:r>
      <w:r w:rsidRPr="00717B2A">
        <w:rPr>
          <w:rStyle w:val="normaltextrun"/>
          <w:rFonts w:ascii="Verdana" w:eastAsiaTheme="minorEastAsia" w:hAnsi="Verdana"/>
          <w:sz w:val="22"/>
          <w:szCs w:val="22"/>
        </w:rPr>
        <w:t>https://www.ato.gov.au/law/view/document?docid=TXD/TD20254/NAT/ATO/00001</w:t>
      </w:r>
    </w:p>
    <w:p w14:paraId="68508B3B" w14:textId="1EDBA000" w:rsidR="00E245E8" w:rsidRPr="00151EA8" w:rsidRDefault="00E53FB4" w:rsidP="00605963">
      <w:pPr>
        <w:spacing w:before="120" w:after="120" w:line="276" w:lineRule="auto"/>
        <w:rPr>
          <w:rFonts w:ascii="Verdana" w:hAnsi="Verdana"/>
          <w:i/>
          <w:iCs/>
          <w:sz w:val="22"/>
          <w:szCs w:val="22"/>
        </w:rPr>
      </w:pPr>
      <w:r>
        <w:rPr>
          <w:rFonts w:ascii="Verdana" w:hAnsi="Verdana"/>
          <w:i/>
          <w:iCs/>
          <w:sz w:val="22"/>
          <w:szCs w:val="22"/>
        </w:rPr>
        <w:t>Australian Naval Nuclear Power Safety Regulator, Director-General and Deputy Director-General</w:t>
      </w:r>
    </w:p>
    <w:p w14:paraId="368AAEC4" w14:textId="167ACF73" w:rsidR="00207835" w:rsidRDefault="00A54FAA" w:rsidP="00E53FB4">
      <w:pPr>
        <w:pStyle w:val="ListParagraph"/>
        <w:numPr>
          <w:ilvl w:val="0"/>
          <w:numId w:val="1"/>
        </w:numPr>
        <w:tabs>
          <w:tab w:val="num" w:pos="426"/>
        </w:tabs>
        <w:spacing w:before="120" w:after="120" w:line="276" w:lineRule="auto"/>
        <w:ind w:left="425" w:hanging="425"/>
        <w:rPr>
          <w:rFonts w:ascii="Verdana" w:hAnsi="Verdana"/>
          <w:sz w:val="22"/>
          <w:szCs w:val="22"/>
        </w:rPr>
      </w:pPr>
      <w:r w:rsidRPr="577914DE">
        <w:rPr>
          <w:rFonts w:ascii="Verdana" w:hAnsi="Verdana"/>
          <w:sz w:val="22"/>
          <w:szCs w:val="22"/>
        </w:rPr>
        <w:t>On 4 July 2025</w:t>
      </w:r>
      <w:r w:rsidR="00E245E8" w:rsidRPr="577914DE">
        <w:rPr>
          <w:rFonts w:ascii="Verdana" w:hAnsi="Verdana"/>
          <w:sz w:val="22"/>
          <w:szCs w:val="22"/>
        </w:rPr>
        <w:t xml:space="preserve">, the </w:t>
      </w:r>
      <w:r w:rsidRPr="577914DE">
        <w:rPr>
          <w:rFonts w:ascii="Verdana" w:hAnsi="Verdana"/>
          <w:sz w:val="22"/>
          <w:szCs w:val="22"/>
        </w:rPr>
        <w:t xml:space="preserve">Hon Pat Conroy MP, </w:t>
      </w:r>
      <w:r w:rsidR="00605963" w:rsidRPr="577914DE">
        <w:rPr>
          <w:rFonts w:ascii="Verdana" w:hAnsi="Verdana"/>
          <w:sz w:val="22"/>
          <w:szCs w:val="22"/>
        </w:rPr>
        <w:t xml:space="preserve">then </w:t>
      </w:r>
      <w:r w:rsidRPr="577914DE">
        <w:rPr>
          <w:rFonts w:ascii="Verdana" w:hAnsi="Verdana"/>
          <w:sz w:val="22"/>
          <w:szCs w:val="22"/>
        </w:rPr>
        <w:t xml:space="preserve">acting Minister for Defence, wrote to the Tribunal seeking a determination of remuneration and travel tier for the new full-time offices of Director-General and Deputy Director-General of the Australian Naval Nuclear Power Safety Regulator. The accompanying submission provided information on the role and responsibilities of the offices, which are established </w:t>
      </w:r>
      <w:r w:rsidR="00207835" w:rsidRPr="577914DE">
        <w:rPr>
          <w:rFonts w:ascii="Verdana" w:hAnsi="Verdana"/>
          <w:sz w:val="22"/>
          <w:szCs w:val="22"/>
        </w:rPr>
        <w:t xml:space="preserve">by the </w:t>
      </w:r>
      <w:r w:rsidR="00207835" w:rsidRPr="577914DE">
        <w:rPr>
          <w:rFonts w:ascii="Verdana" w:hAnsi="Verdana"/>
          <w:i/>
          <w:iCs/>
          <w:sz w:val="22"/>
          <w:szCs w:val="22"/>
        </w:rPr>
        <w:t>Australian Naval Nuclear Power Safety Regulator Act 2024</w:t>
      </w:r>
      <w:r w:rsidR="00207835" w:rsidRPr="577914DE">
        <w:rPr>
          <w:rFonts w:ascii="Verdana" w:hAnsi="Verdana"/>
          <w:sz w:val="22"/>
          <w:szCs w:val="22"/>
        </w:rPr>
        <w:t xml:space="preserve">. </w:t>
      </w:r>
    </w:p>
    <w:p w14:paraId="426DCE71" w14:textId="1819E76C" w:rsidR="00757485" w:rsidRPr="001A29E6" w:rsidRDefault="00E53FB4" w:rsidP="513731D5">
      <w:pPr>
        <w:tabs>
          <w:tab w:val="num" w:pos="426"/>
        </w:tabs>
        <w:spacing w:before="120" w:after="120" w:line="276" w:lineRule="auto"/>
        <w:rPr>
          <w:rFonts w:ascii="Verdana" w:hAnsi="Verdana"/>
          <w:i/>
          <w:iCs/>
          <w:sz w:val="22"/>
          <w:szCs w:val="22"/>
        </w:rPr>
      </w:pPr>
      <w:r>
        <w:rPr>
          <w:rFonts w:ascii="Verdana" w:hAnsi="Verdana"/>
          <w:i/>
          <w:iCs/>
          <w:sz w:val="22"/>
          <w:szCs w:val="22"/>
        </w:rPr>
        <w:t>Defence and Veterans’ Services Commission</w:t>
      </w:r>
      <w:r w:rsidR="001B66C0">
        <w:rPr>
          <w:rFonts w:ascii="Verdana" w:hAnsi="Verdana"/>
          <w:i/>
          <w:iCs/>
          <w:sz w:val="22"/>
          <w:szCs w:val="22"/>
        </w:rPr>
        <w:t>, Commissioner</w:t>
      </w:r>
    </w:p>
    <w:p w14:paraId="146905D3" w14:textId="1FB095AE" w:rsidR="001B66C0" w:rsidRDefault="00757485" w:rsidP="69F0BF79">
      <w:pPr>
        <w:pStyle w:val="ListParagraph"/>
        <w:numPr>
          <w:ilvl w:val="0"/>
          <w:numId w:val="1"/>
        </w:numPr>
        <w:tabs>
          <w:tab w:val="num" w:pos="426"/>
        </w:tabs>
        <w:spacing w:before="120" w:after="120" w:line="276" w:lineRule="auto"/>
        <w:ind w:left="426" w:hanging="426"/>
        <w:rPr>
          <w:rFonts w:ascii="Verdana" w:hAnsi="Verdana"/>
          <w:sz w:val="22"/>
          <w:szCs w:val="22"/>
        </w:rPr>
      </w:pPr>
      <w:r w:rsidRPr="001A29E6">
        <w:rPr>
          <w:rFonts w:ascii="Verdana" w:hAnsi="Verdana"/>
          <w:sz w:val="22"/>
          <w:szCs w:val="22"/>
        </w:rPr>
        <w:t xml:space="preserve">On </w:t>
      </w:r>
      <w:r w:rsidR="00207835">
        <w:rPr>
          <w:rFonts w:ascii="Verdana" w:hAnsi="Verdana"/>
          <w:sz w:val="22"/>
          <w:szCs w:val="22"/>
        </w:rPr>
        <w:t xml:space="preserve">9 July 2025, Mr Michael Manthorpe PSM, Interim Head of the Defence and Veterans’ Services Commission wrote to the Tribunal seeking the determination of remuneration and travel tier for the new full-time office of Commissioner, Defence and Veterans’ Services Commission. The accompanying submission provided information </w:t>
      </w:r>
      <w:r w:rsidR="002A45E3" w:rsidRPr="69F0BF79">
        <w:rPr>
          <w:rFonts w:ascii="Verdana" w:hAnsi="Verdana"/>
          <w:sz w:val="22"/>
          <w:szCs w:val="22"/>
        </w:rPr>
        <w:t>about</w:t>
      </w:r>
      <w:r w:rsidR="00207835">
        <w:rPr>
          <w:rFonts w:ascii="Verdana" w:hAnsi="Verdana"/>
          <w:sz w:val="22"/>
          <w:szCs w:val="22"/>
        </w:rPr>
        <w:t xml:space="preserve"> the role and responsibilities of the office, which is established by the </w:t>
      </w:r>
      <w:r w:rsidR="00207835" w:rsidRPr="001B66C0">
        <w:rPr>
          <w:rFonts w:ascii="Verdana" w:hAnsi="Verdana"/>
          <w:i/>
          <w:sz w:val="22"/>
          <w:szCs w:val="22"/>
        </w:rPr>
        <w:t>Veterans’ Entitlements, Treatment and Support (Simplification and Harmonisation) Act 2025</w:t>
      </w:r>
      <w:r w:rsidR="00207835">
        <w:rPr>
          <w:rFonts w:ascii="Verdana" w:hAnsi="Verdana"/>
          <w:sz w:val="22"/>
          <w:szCs w:val="22"/>
        </w:rPr>
        <w:t xml:space="preserve">. </w:t>
      </w:r>
    </w:p>
    <w:p w14:paraId="6C79B62F" w14:textId="789B734E" w:rsidR="00207835" w:rsidRDefault="00207835" w:rsidP="001B66C0">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 xml:space="preserve">On 14 July 2025, the Hon Matt Keogh MP, Minister for Veterans’ Affairs, wrote to the Tribunal </w:t>
      </w:r>
      <w:r w:rsidR="007252C9">
        <w:rPr>
          <w:rFonts w:ascii="Verdana" w:hAnsi="Verdana"/>
          <w:sz w:val="22"/>
          <w:szCs w:val="22"/>
        </w:rPr>
        <w:t xml:space="preserve">indicating his </w:t>
      </w:r>
      <w:r>
        <w:rPr>
          <w:rFonts w:ascii="Verdana" w:hAnsi="Verdana"/>
          <w:sz w:val="22"/>
          <w:szCs w:val="22"/>
        </w:rPr>
        <w:t>support</w:t>
      </w:r>
      <w:r w:rsidR="007252C9">
        <w:rPr>
          <w:rFonts w:ascii="Verdana" w:hAnsi="Verdana"/>
          <w:sz w:val="22"/>
          <w:szCs w:val="22"/>
        </w:rPr>
        <w:t xml:space="preserve"> for</w:t>
      </w:r>
      <w:r>
        <w:rPr>
          <w:rFonts w:ascii="Verdana" w:hAnsi="Verdana"/>
          <w:sz w:val="22"/>
          <w:szCs w:val="22"/>
        </w:rPr>
        <w:t xml:space="preserve"> the submission made by Mr Manthorpe.</w:t>
      </w:r>
    </w:p>
    <w:p w14:paraId="4A7590C9" w14:textId="268013A3" w:rsidR="00566D25" w:rsidRPr="008B65D3" w:rsidRDefault="00E53FB4" w:rsidP="00BC7B34">
      <w:pPr>
        <w:keepNext/>
        <w:tabs>
          <w:tab w:val="num" w:pos="426"/>
        </w:tabs>
        <w:spacing w:before="120" w:after="120" w:line="276" w:lineRule="auto"/>
        <w:rPr>
          <w:rFonts w:ascii="Verdana" w:hAnsi="Verdana"/>
          <w:i/>
          <w:sz w:val="22"/>
          <w:szCs w:val="22"/>
        </w:rPr>
      </w:pPr>
      <w:r>
        <w:rPr>
          <w:rFonts w:ascii="Verdana" w:hAnsi="Verdana"/>
          <w:i/>
          <w:sz w:val="22"/>
          <w:szCs w:val="22"/>
        </w:rPr>
        <w:lastRenderedPageBreak/>
        <w:t>Veterans’ Review Board, Principal Member</w:t>
      </w:r>
    </w:p>
    <w:p w14:paraId="1B40560C" w14:textId="042F7827" w:rsidR="00566D25" w:rsidRDefault="00207835" w:rsidP="007F0382">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On 24 June 2025, the Veterans’ Review Board advised the Tribunal’s Secreta</w:t>
      </w:r>
      <w:r w:rsidR="001C1709">
        <w:rPr>
          <w:rFonts w:ascii="Verdana" w:hAnsi="Verdana"/>
          <w:sz w:val="22"/>
          <w:szCs w:val="22"/>
        </w:rPr>
        <w:t xml:space="preserve">riat of a drafting error in Remuneration Tribunal (Remuneration and Allowances for Holders of Full-time Pubic Office) Determination 2025. </w:t>
      </w:r>
    </w:p>
    <w:p w14:paraId="426E81BB" w14:textId="66DE71E0" w:rsidR="00E53FB4" w:rsidRPr="001C1709" w:rsidRDefault="00153B71" w:rsidP="00E53FB4">
      <w:pPr>
        <w:keepNext/>
        <w:tabs>
          <w:tab w:val="num" w:pos="426"/>
        </w:tabs>
        <w:spacing w:before="120" w:after="120" w:line="276" w:lineRule="auto"/>
        <w:rPr>
          <w:rFonts w:ascii="Verdana" w:hAnsi="Verdana"/>
          <w:i/>
          <w:sz w:val="22"/>
          <w:szCs w:val="22"/>
        </w:rPr>
      </w:pPr>
      <w:r w:rsidRPr="001C1709">
        <w:rPr>
          <w:rFonts w:ascii="Verdana" w:hAnsi="Verdana"/>
          <w:i/>
          <w:sz w:val="22"/>
          <w:szCs w:val="22"/>
        </w:rPr>
        <w:t>Repatriation Commission, Deputy President</w:t>
      </w:r>
    </w:p>
    <w:p w14:paraId="2473CB50" w14:textId="31ECE6FC" w:rsidR="00E53FB4" w:rsidRDefault="00207835" w:rsidP="00E53FB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There was no consultation on this matter. The amendment removes a personal superannuation </w:t>
      </w:r>
      <w:r w:rsidR="001C1709">
        <w:rPr>
          <w:rFonts w:ascii="Verdana" w:hAnsi="Verdana"/>
          <w:sz w:val="22"/>
          <w:szCs w:val="22"/>
        </w:rPr>
        <w:t>salary for Ms Cath</w:t>
      </w:r>
      <w:r>
        <w:rPr>
          <w:rFonts w:ascii="Verdana" w:hAnsi="Verdana"/>
          <w:sz w:val="22"/>
          <w:szCs w:val="22"/>
        </w:rPr>
        <w:t>ryn Pope whose appointment as the Deputy President of the Repatriation Commission concluded on 5 August 2025.</w:t>
      </w:r>
    </w:p>
    <w:p w14:paraId="590B5420" w14:textId="2BA6978D" w:rsidR="00E53FB4" w:rsidRPr="008B65D3" w:rsidRDefault="001B66C0" w:rsidP="00E53FB4">
      <w:pPr>
        <w:keepNext/>
        <w:tabs>
          <w:tab w:val="num" w:pos="426"/>
        </w:tabs>
        <w:spacing w:before="120" w:after="120" w:line="276" w:lineRule="auto"/>
        <w:rPr>
          <w:rFonts w:ascii="Verdana" w:hAnsi="Verdana"/>
          <w:i/>
          <w:sz w:val="22"/>
          <w:szCs w:val="22"/>
        </w:rPr>
      </w:pPr>
      <w:r>
        <w:rPr>
          <w:rFonts w:ascii="Verdana" w:hAnsi="Verdana"/>
          <w:i/>
          <w:sz w:val="22"/>
          <w:szCs w:val="22"/>
        </w:rPr>
        <w:t>Merit Protection Commissioner</w:t>
      </w:r>
    </w:p>
    <w:p w14:paraId="22A73A40" w14:textId="6E17FDD5" w:rsidR="00E53FB4" w:rsidRDefault="00E53FB4" w:rsidP="00E53FB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51EA8">
        <w:rPr>
          <w:rFonts w:ascii="Verdana" w:hAnsi="Verdana"/>
          <w:sz w:val="22"/>
          <w:szCs w:val="22"/>
        </w:rPr>
        <w:t xml:space="preserve">On </w:t>
      </w:r>
      <w:r w:rsidR="001C1709">
        <w:rPr>
          <w:rFonts w:ascii="Verdana" w:hAnsi="Verdana"/>
          <w:sz w:val="22"/>
          <w:szCs w:val="22"/>
        </w:rPr>
        <w:t>9 July 2025, Dr Rachel Bacon, Deputy Commissioner, Australian Public Service Commission, wrote to the Tribunal seeking a correction to the personal superannuation salary for Ms Jamie Lowe, the Merit Protection Commissioner.</w:t>
      </w:r>
      <w:r w:rsidRPr="00151EA8">
        <w:rPr>
          <w:rFonts w:ascii="Verdana" w:hAnsi="Verdana"/>
          <w:sz w:val="22"/>
          <w:szCs w:val="22"/>
        </w:rPr>
        <w:t xml:space="preserve"> </w:t>
      </w:r>
    </w:p>
    <w:p w14:paraId="64397708" w14:textId="1E73784A" w:rsidR="00E53FB4" w:rsidRPr="008B65D3" w:rsidRDefault="00153B71" w:rsidP="00E53FB4">
      <w:pPr>
        <w:keepNext/>
        <w:tabs>
          <w:tab w:val="num" w:pos="426"/>
        </w:tabs>
        <w:spacing w:before="120" w:after="120" w:line="276" w:lineRule="auto"/>
        <w:rPr>
          <w:rFonts w:ascii="Verdana" w:hAnsi="Verdana"/>
          <w:i/>
          <w:sz w:val="22"/>
          <w:szCs w:val="22"/>
        </w:rPr>
      </w:pPr>
      <w:r>
        <w:rPr>
          <w:rFonts w:ascii="Verdana" w:hAnsi="Verdana"/>
          <w:i/>
          <w:sz w:val="22"/>
          <w:szCs w:val="22"/>
        </w:rPr>
        <w:t>Cancer Australia, Chief Executive Officer</w:t>
      </w:r>
    </w:p>
    <w:p w14:paraId="0B985037" w14:textId="5C08B970" w:rsidR="00E53FB4" w:rsidRDefault="00207835" w:rsidP="00E53FB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There was no consultation on this matter. Th</w:t>
      </w:r>
      <w:r w:rsidR="001B66C0">
        <w:rPr>
          <w:rFonts w:ascii="Verdana" w:hAnsi="Verdana"/>
          <w:sz w:val="22"/>
          <w:szCs w:val="22"/>
        </w:rPr>
        <w:t>ese</w:t>
      </w:r>
      <w:r>
        <w:rPr>
          <w:rFonts w:ascii="Verdana" w:hAnsi="Verdana"/>
          <w:sz w:val="22"/>
          <w:szCs w:val="22"/>
        </w:rPr>
        <w:t xml:space="preserve"> amendment</w:t>
      </w:r>
      <w:r w:rsidR="001B66C0">
        <w:rPr>
          <w:rFonts w:ascii="Verdana" w:hAnsi="Verdana"/>
          <w:sz w:val="22"/>
          <w:szCs w:val="22"/>
        </w:rPr>
        <w:t>s</w:t>
      </w:r>
      <w:r>
        <w:rPr>
          <w:rFonts w:ascii="Verdana" w:hAnsi="Verdana"/>
          <w:sz w:val="22"/>
          <w:szCs w:val="22"/>
        </w:rPr>
        <w:t xml:space="preserve"> remove special provisions for Professor Dorothy Keefe</w:t>
      </w:r>
      <w:r w:rsidR="001C1709">
        <w:rPr>
          <w:rFonts w:ascii="Verdana" w:hAnsi="Verdana"/>
          <w:sz w:val="22"/>
          <w:szCs w:val="22"/>
        </w:rPr>
        <w:t>, Chief Executive Officer, Cancer Australia</w:t>
      </w:r>
      <w:r>
        <w:rPr>
          <w:rFonts w:ascii="Verdana" w:hAnsi="Verdana"/>
          <w:sz w:val="22"/>
          <w:szCs w:val="22"/>
        </w:rPr>
        <w:t xml:space="preserve"> which expired on 2 July 2025.</w:t>
      </w:r>
    </w:p>
    <w:p w14:paraId="25FA4538" w14:textId="08C1FF9E" w:rsidR="00153B71" w:rsidRPr="008B65D3" w:rsidRDefault="00153B71" w:rsidP="00153B71">
      <w:pPr>
        <w:keepNext/>
        <w:tabs>
          <w:tab w:val="num" w:pos="426"/>
        </w:tabs>
        <w:spacing w:before="120" w:after="120" w:line="276" w:lineRule="auto"/>
        <w:rPr>
          <w:rFonts w:ascii="Verdana" w:hAnsi="Verdana"/>
          <w:i/>
          <w:sz w:val="22"/>
          <w:szCs w:val="22"/>
        </w:rPr>
      </w:pPr>
      <w:r>
        <w:rPr>
          <w:rFonts w:ascii="Verdana" w:hAnsi="Verdana"/>
          <w:i/>
          <w:sz w:val="22"/>
          <w:szCs w:val="22"/>
        </w:rPr>
        <w:t xml:space="preserve">Special Broadcasting Service </w:t>
      </w:r>
      <w:r w:rsidR="003036B6">
        <w:rPr>
          <w:rFonts w:ascii="Verdana" w:hAnsi="Verdana"/>
          <w:i/>
          <w:sz w:val="22"/>
          <w:szCs w:val="22"/>
        </w:rPr>
        <w:t xml:space="preserve">(SBS) </w:t>
      </w:r>
      <w:r>
        <w:rPr>
          <w:rFonts w:ascii="Verdana" w:hAnsi="Verdana"/>
          <w:i/>
          <w:sz w:val="22"/>
          <w:szCs w:val="22"/>
        </w:rPr>
        <w:t xml:space="preserve">Board, Chair, Deputy Chair, Member and Audit Committee Chair and Member </w:t>
      </w:r>
    </w:p>
    <w:p w14:paraId="07CC4CB9" w14:textId="2448DD2C" w:rsidR="003036B6" w:rsidRDefault="00153B71" w:rsidP="00153B71">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51EA8">
        <w:rPr>
          <w:rFonts w:ascii="Verdana" w:hAnsi="Verdana"/>
          <w:sz w:val="22"/>
          <w:szCs w:val="22"/>
        </w:rPr>
        <w:t xml:space="preserve">On </w:t>
      </w:r>
      <w:r w:rsidR="003036B6">
        <w:rPr>
          <w:rFonts w:ascii="Verdana" w:hAnsi="Verdana"/>
          <w:sz w:val="22"/>
          <w:szCs w:val="22"/>
        </w:rPr>
        <w:t>12 May 2025, Mr George Savvides AO, Chair of the SBS Board, wrote to the Tribunal seeking a review of remuneration for the part-time office</w:t>
      </w:r>
      <w:r w:rsidR="001B66C0">
        <w:rPr>
          <w:rFonts w:ascii="Verdana" w:hAnsi="Verdana"/>
          <w:sz w:val="22"/>
          <w:szCs w:val="22"/>
        </w:rPr>
        <w:t>s</w:t>
      </w:r>
      <w:r w:rsidR="003036B6">
        <w:rPr>
          <w:rFonts w:ascii="Verdana" w:hAnsi="Verdana"/>
          <w:sz w:val="22"/>
          <w:szCs w:val="22"/>
        </w:rPr>
        <w:t xml:space="preserve"> of Chair, Deputy Chair and Member of the SBS Board and the establishment of audit committee fees for the part-time offices of Chair and Member of the SBS audit committee. </w:t>
      </w:r>
      <w:r w:rsidR="00BF1C25" w:rsidRPr="00151EA8">
        <w:rPr>
          <w:rFonts w:ascii="Verdana" w:hAnsi="Verdana"/>
          <w:sz w:val="22"/>
          <w:szCs w:val="22"/>
        </w:rPr>
        <w:t>The accompanying submission provided</w:t>
      </w:r>
      <w:r w:rsidR="00BF1C25">
        <w:rPr>
          <w:rFonts w:ascii="Verdana" w:hAnsi="Verdana"/>
          <w:sz w:val="22"/>
          <w:szCs w:val="22"/>
        </w:rPr>
        <w:t xml:space="preserve"> updated</w:t>
      </w:r>
      <w:r w:rsidR="00BF1C25" w:rsidRPr="00151EA8">
        <w:rPr>
          <w:rFonts w:ascii="Verdana" w:hAnsi="Verdana"/>
          <w:sz w:val="22"/>
          <w:szCs w:val="22"/>
        </w:rPr>
        <w:t xml:space="preserve"> information on the role and responsibilities of the office</w:t>
      </w:r>
      <w:r w:rsidR="00BF1C25">
        <w:rPr>
          <w:rFonts w:ascii="Verdana" w:hAnsi="Verdana"/>
          <w:sz w:val="22"/>
          <w:szCs w:val="22"/>
        </w:rPr>
        <w:t>s.</w:t>
      </w:r>
    </w:p>
    <w:p w14:paraId="3E5E4025" w14:textId="20B4CCC8" w:rsidR="00153B71" w:rsidRPr="008B65D3" w:rsidRDefault="00153B71" w:rsidP="00153B71">
      <w:pPr>
        <w:keepNext/>
        <w:tabs>
          <w:tab w:val="num" w:pos="426"/>
        </w:tabs>
        <w:spacing w:before="120" w:after="120" w:line="276" w:lineRule="auto"/>
        <w:rPr>
          <w:rFonts w:ascii="Verdana" w:hAnsi="Verdana"/>
          <w:i/>
          <w:sz w:val="22"/>
          <w:szCs w:val="22"/>
        </w:rPr>
      </w:pPr>
      <w:r>
        <w:rPr>
          <w:rFonts w:ascii="Verdana" w:hAnsi="Verdana"/>
          <w:i/>
          <w:sz w:val="22"/>
          <w:szCs w:val="22"/>
        </w:rPr>
        <w:t>Australian Renewable Energy Agency (ARENA) Board, Deputy Chair</w:t>
      </w:r>
    </w:p>
    <w:p w14:paraId="40CFA50E" w14:textId="75FE7D17" w:rsidR="00153B71" w:rsidRDefault="00153B71" w:rsidP="69F0BF79">
      <w:pPr>
        <w:pStyle w:val="ListParagraph"/>
        <w:numPr>
          <w:ilvl w:val="0"/>
          <w:numId w:val="1"/>
        </w:numPr>
        <w:tabs>
          <w:tab w:val="num" w:pos="426"/>
        </w:tabs>
        <w:spacing w:before="120" w:after="120" w:line="276" w:lineRule="auto"/>
        <w:ind w:left="425" w:hanging="425"/>
        <w:rPr>
          <w:rFonts w:ascii="Verdana" w:hAnsi="Verdana"/>
          <w:sz w:val="22"/>
          <w:szCs w:val="22"/>
        </w:rPr>
      </w:pPr>
      <w:r w:rsidRPr="40136DB6">
        <w:rPr>
          <w:rFonts w:ascii="Verdana" w:hAnsi="Verdana"/>
          <w:sz w:val="22"/>
          <w:szCs w:val="22"/>
        </w:rPr>
        <w:t xml:space="preserve">On </w:t>
      </w:r>
      <w:r w:rsidR="003036B6" w:rsidRPr="40136DB6">
        <w:rPr>
          <w:rFonts w:ascii="Verdana" w:hAnsi="Verdana"/>
          <w:sz w:val="22"/>
          <w:szCs w:val="22"/>
        </w:rPr>
        <w:t xml:space="preserve">16 </w:t>
      </w:r>
      <w:r w:rsidRPr="40136DB6">
        <w:rPr>
          <w:rFonts w:ascii="Verdana" w:hAnsi="Verdana"/>
          <w:sz w:val="22"/>
          <w:szCs w:val="22"/>
        </w:rPr>
        <w:t>June 202</w:t>
      </w:r>
      <w:r w:rsidR="003036B6" w:rsidRPr="40136DB6">
        <w:rPr>
          <w:rFonts w:ascii="Verdana" w:hAnsi="Verdana"/>
          <w:sz w:val="22"/>
          <w:szCs w:val="22"/>
        </w:rPr>
        <w:t>5</w:t>
      </w:r>
      <w:r w:rsidRPr="40136DB6">
        <w:rPr>
          <w:rFonts w:ascii="Verdana" w:hAnsi="Verdana"/>
          <w:sz w:val="22"/>
          <w:szCs w:val="22"/>
        </w:rPr>
        <w:t xml:space="preserve">, </w:t>
      </w:r>
      <w:r w:rsidR="003036B6" w:rsidRPr="40136DB6">
        <w:rPr>
          <w:rFonts w:ascii="Verdana" w:hAnsi="Verdana"/>
          <w:sz w:val="22"/>
          <w:szCs w:val="22"/>
        </w:rPr>
        <w:t xml:space="preserve">Mr Justin Punch, Chair of the ARENA Board, wrote to the Tribunal </w:t>
      </w:r>
      <w:r w:rsidR="00992073" w:rsidRPr="40136DB6">
        <w:rPr>
          <w:rFonts w:ascii="Verdana" w:hAnsi="Verdana"/>
          <w:sz w:val="22"/>
          <w:szCs w:val="22"/>
        </w:rPr>
        <w:t>seeking rectification of an anomaly where the Deputy Chair of the Board, who also s</w:t>
      </w:r>
      <w:r w:rsidR="00DF602D" w:rsidRPr="40136DB6">
        <w:rPr>
          <w:rFonts w:ascii="Verdana" w:hAnsi="Verdana"/>
          <w:sz w:val="22"/>
          <w:szCs w:val="22"/>
        </w:rPr>
        <w:t>its</w:t>
      </w:r>
      <w:r w:rsidR="00992073" w:rsidRPr="40136DB6">
        <w:rPr>
          <w:rFonts w:ascii="Verdana" w:hAnsi="Verdana"/>
          <w:sz w:val="22"/>
          <w:szCs w:val="22"/>
        </w:rPr>
        <w:t xml:space="preserve"> on ARENA’s audit committee, receive</w:t>
      </w:r>
      <w:r w:rsidR="00DF602D" w:rsidRPr="40136DB6">
        <w:rPr>
          <w:rFonts w:ascii="Verdana" w:hAnsi="Verdana"/>
          <w:sz w:val="22"/>
          <w:szCs w:val="22"/>
        </w:rPr>
        <w:t>s</w:t>
      </w:r>
      <w:r w:rsidR="00992073" w:rsidRPr="40136DB6">
        <w:rPr>
          <w:rFonts w:ascii="Verdana" w:hAnsi="Verdana"/>
          <w:sz w:val="22"/>
          <w:szCs w:val="22"/>
        </w:rPr>
        <w:t xml:space="preserve"> less remuneration than Members of the Board who participate in that committee.</w:t>
      </w:r>
    </w:p>
    <w:p w14:paraId="3CDB8AD6" w14:textId="236CD343" w:rsidR="00153B71" w:rsidRPr="008B65D3" w:rsidRDefault="00153B71" w:rsidP="00153B71">
      <w:pPr>
        <w:keepNext/>
        <w:tabs>
          <w:tab w:val="num" w:pos="426"/>
        </w:tabs>
        <w:spacing w:before="120" w:after="120" w:line="276" w:lineRule="auto"/>
        <w:rPr>
          <w:rFonts w:ascii="Verdana" w:hAnsi="Verdana"/>
          <w:i/>
          <w:sz w:val="22"/>
          <w:szCs w:val="22"/>
        </w:rPr>
      </w:pPr>
      <w:r>
        <w:rPr>
          <w:rFonts w:ascii="Verdana" w:hAnsi="Verdana"/>
          <w:i/>
          <w:sz w:val="22"/>
          <w:szCs w:val="22"/>
        </w:rPr>
        <w:t>Sydney Airport Demand Management Compliance Committee, Chair and Member</w:t>
      </w:r>
    </w:p>
    <w:p w14:paraId="2C116672" w14:textId="722EA939" w:rsidR="00E53FB4" w:rsidRPr="00153B71" w:rsidRDefault="00153B71" w:rsidP="00153B71">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51EA8">
        <w:rPr>
          <w:rFonts w:ascii="Verdana" w:hAnsi="Verdana"/>
          <w:sz w:val="22"/>
          <w:szCs w:val="22"/>
        </w:rPr>
        <w:t xml:space="preserve">On </w:t>
      </w:r>
      <w:r w:rsidR="00992073">
        <w:rPr>
          <w:rFonts w:ascii="Verdana" w:hAnsi="Verdana"/>
          <w:sz w:val="22"/>
          <w:szCs w:val="22"/>
        </w:rPr>
        <w:t>2 July 2025</w:t>
      </w:r>
      <w:r w:rsidRPr="00151EA8">
        <w:rPr>
          <w:rFonts w:ascii="Verdana" w:hAnsi="Verdana"/>
          <w:sz w:val="22"/>
          <w:szCs w:val="22"/>
        </w:rPr>
        <w:t xml:space="preserve">, the Hon </w:t>
      </w:r>
      <w:r w:rsidR="00992073">
        <w:rPr>
          <w:rFonts w:ascii="Verdana" w:hAnsi="Verdana"/>
          <w:sz w:val="22"/>
          <w:szCs w:val="22"/>
        </w:rPr>
        <w:t>Catherine King MP</w:t>
      </w:r>
      <w:r w:rsidRPr="00151EA8">
        <w:rPr>
          <w:rFonts w:ascii="Verdana" w:hAnsi="Verdana"/>
          <w:sz w:val="22"/>
          <w:szCs w:val="22"/>
        </w:rPr>
        <w:t xml:space="preserve">, Minister for </w:t>
      </w:r>
      <w:r w:rsidR="00992073">
        <w:rPr>
          <w:rFonts w:ascii="Verdana" w:hAnsi="Verdana"/>
          <w:sz w:val="22"/>
          <w:szCs w:val="22"/>
        </w:rPr>
        <w:t xml:space="preserve">Infrastructure, Transport, Regional Development and Local Government, </w:t>
      </w:r>
      <w:r w:rsidRPr="00151EA8">
        <w:rPr>
          <w:rFonts w:ascii="Verdana" w:hAnsi="Verdana"/>
          <w:sz w:val="22"/>
          <w:szCs w:val="22"/>
        </w:rPr>
        <w:t>wrote to the Tribunal seeking a determination of remuneration and travel tier for the new part-time office</w:t>
      </w:r>
      <w:r w:rsidR="00992073">
        <w:rPr>
          <w:rFonts w:ascii="Verdana" w:hAnsi="Verdana"/>
          <w:sz w:val="22"/>
          <w:szCs w:val="22"/>
        </w:rPr>
        <w:t xml:space="preserve">s of Chair and Member of the Sydney Airport Demand Management Compliance Committee. </w:t>
      </w:r>
      <w:r w:rsidRPr="00151EA8">
        <w:rPr>
          <w:rFonts w:ascii="Verdana" w:hAnsi="Verdana"/>
          <w:sz w:val="22"/>
          <w:szCs w:val="22"/>
        </w:rPr>
        <w:t>The accompanying submission provided information on the role and responsibilities of the office</w:t>
      </w:r>
      <w:r w:rsidR="00992073">
        <w:rPr>
          <w:rFonts w:ascii="Verdana" w:hAnsi="Verdana"/>
          <w:sz w:val="22"/>
          <w:szCs w:val="22"/>
        </w:rPr>
        <w:t>s</w:t>
      </w:r>
      <w:r w:rsidRPr="00151EA8">
        <w:rPr>
          <w:rFonts w:ascii="Verdana" w:hAnsi="Verdana"/>
          <w:sz w:val="22"/>
          <w:szCs w:val="22"/>
        </w:rPr>
        <w:t xml:space="preserve">. </w:t>
      </w:r>
      <w:r>
        <w:rPr>
          <w:rFonts w:ascii="Verdana" w:hAnsi="Verdana"/>
          <w:sz w:val="22"/>
          <w:szCs w:val="22"/>
        </w:rPr>
        <w:t>The office</w:t>
      </w:r>
      <w:r w:rsidR="00992073">
        <w:rPr>
          <w:rFonts w:ascii="Verdana" w:hAnsi="Verdana"/>
          <w:sz w:val="22"/>
          <w:szCs w:val="22"/>
        </w:rPr>
        <w:t>s</w:t>
      </w:r>
      <w:r>
        <w:rPr>
          <w:rFonts w:ascii="Verdana" w:hAnsi="Verdana"/>
          <w:sz w:val="22"/>
          <w:szCs w:val="22"/>
        </w:rPr>
        <w:t xml:space="preserve"> </w:t>
      </w:r>
      <w:r w:rsidR="00992073">
        <w:rPr>
          <w:rFonts w:ascii="Verdana" w:hAnsi="Verdana"/>
          <w:sz w:val="22"/>
          <w:szCs w:val="22"/>
        </w:rPr>
        <w:t xml:space="preserve">are </w:t>
      </w:r>
      <w:r>
        <w:rPr>
          <w:rFonts w:ascii="Verdana" w:hAnsi="Verdana"/>
          <w:sz w:val="22"/>
          <w:szCs w:val="22"/>
        </w:rPr>
        <w:t xml:space="preserve">established by the </w:t>
      </w:r>
      <w:r w:rsidR="00992073">
        <w:rPr>
          <w:rFonts w:ascii="Verdana" w:hAnsi="Verdana"/>
          <w:i/>
          <w:sz w:val="22"/>
          <w:szCs w:val="22"/>
        </w:rPr>
        <w:t>Sydney Airport Demand Management Amendment Act 2024</w:t>
      </w:r>
      <w:r>
        <w:rPr>
          <w:rFonts w:ascii="Verdana" w:hAnsi="Verdana"/>
          <w:sz w:val="22"/>
          <w:szCs w:val="22"/>
        </w:rPr>
        <w:t>.</w:t>
      </w:r>
    </w:p>
    <w:p w14:paraId="3C94667B" w14:textId="52802E0F" w:rsidR="00153B71" w:rsidRDefault="00153B71" w:rsidP="42A077E3">
      <w:pPr>
        <w:pStyle w:val="paragraph"/>
        <w:spacing w:before="0" w:beforeAutospacing="0" w:after="0" w:afterAutospacing="0"/>
        <w:textAlignment w:val="baseline"/>
        <w:rPr>
          <w:rFonts w:ascii="Segoe UI" w:hAnsi="Segoe UI" w:cs="Segoe UI"/>
          <w:sz w:val="18"/>
          <w:szCs w:val="18"/>
        </w:rPr>
      </w:pPr>
      <w:r w:rsidRPr="42A077E3">
        <w:rPr>
          <w:rStyle w:val="normaltextrun"/>
          <w:rFonts w:ascii="Verdana" w:eastAsiaTheme="minorEastAsia" w:hAnsi="Verdana" w:cs="Segoe UI"/>
          <w:b/>
          <w:bCs/>
          <w:sz w:val="22"/>
          <w:szCs w:val="22"/>
        </w:rPr>
        <w:t>Retrospectivity</w:t>
      </w:r>
      <w:r w:rsidRPr="42A077E3">
        <w:rPr>
          <w:rStyle w:val="eop"/>
          <w:rFonts w:ascii="Verdana" w:eastAsiaTheme="minorEastAsia" w:hAnsi="Verdana" w:cs="Segoe UI"/>
          <w:sz w:val="22"/>
          <w:szCs w:val="22"/>
        </w:rPr>
        <w:t> </w:t>
      </w:r>
    </w:p>
    <w:p w14:paraId="242C3EC6" w14:textId="77777777" w:rsidR="00153B71" w:rsidRPr="001C1709" w:rsidRDefault="00153B71" w:rsidP="001C1709">
      <w:pPr>
        <w:pStyle w:val="ListParagraph"/>
        <w:numPr>
          <w:ilvl w:val="0"/>
          <w:numId w:val="1"/>
        </w:numPr>
        <w:tabs>
          <w:tab w:val="num" w:pos="426"/>
        </w:tabs>
        <w:spacing w:before="120" w:after="120" w:line="276" w:lineRule="auto"/>
        <w:ind w:left="425" w:hanging="425"/>
        <w:contextualSpacing w:val="0"/>
        <w:rPr>
          <w:rFonts w:ascii="Verdana" w:hAnsi="Verdana"/>
          <w:sz w:val="24"/>
        </w:rPr>
      </w:pPr>
      <w:r w:rsidRPr="001C1709">
        <w:rPr>
          <w:rFonts w:ascii="Verdana" w:hAnsi="Verdana"/>
          <w:sz w:val="22"/>
        </w:rPr>
        <w:t xml:space="preserve">Any retrospective application of this determination is in accordance with subsection 12(2) of the </w:t>
      </w:r>
      <w:r w:rsidRPr="001C1709">
        <w:rPr>
          <w:rFonts w:ascii="Verdana" w:hAnsi="Verdana"/>
          <w:i/>
          <w:sz w:val="22"/>
        </w:rPr>
        <w:t>Legislation Act 2003</w:t>
      </w:r>
      <w:r w:rsidRPr="001C1709">
        <w:rPr>
          <w:rFonts w:ascii="Verdana" w:hAnsi="Verdana"/>
          <w:sz w:val="22"/>
        </w:rPr>
        <w:t xml:space="preserve"> as it does not affect the rights of a </w:t>
      </w:r>
      <w:r w:rsidRPr="001C1709">
        <w:rPr>
          <w:rFonts w:ascii="Verdana" w:hAnsi="Verdana"/>
          <w:sz w:val="22"/>
        </w:rPr>
        <w:lastRenderedPageBreak/>
        <w:t>person (other than the Commonwealth or an authority of the Commonwealth) to that person’s disadvantage, nor does it impose any liability on such a person. </w:t>
      </w:r>
    </w:p>
    <w:p w14:paraId="5070ED59" w14:textId="78D47D8F" w:rsidR="00153B71" w:rsidRPr="00992073" w:rsidRDefault="00153B71" w:rsidP="42A077E3">
      <w:pPr>
        <w:pStyle w:val="ListParagraph"/>
        <w:numPr>
          <w:ilvl w:val="0"/>
          <w:numId w:val="1"/>
        </w:numPr>
        <w:tabs>
          <w:tab w:val="num" w:pos="426"/>
        </w:tabs>
        <w:spacing w:before="120" w:after="120" w:line="276" w:lineRule="auto"/>
        <w:ind w:left="425" w:hanging="425"/>
        <w:contextualSpacing w:val="0"/>
        <w:rPr>
          <w:rFonts w:ascii="Verdana" w:hAnsi="Verdana"/>
          <w:sz w:val="24"/>
          <w:szCs w:val="24"/>
        </w:rPr>
      </w:pPr>
      <w:r w:rsidRPr="42A077E3">
        <w:rPr>
          <w:rFonts w:ascii="Verdana" w:hAnsi="Verdana"/>
          <w:sz w:val="22"/>
          <w:szCs w:val="22"/>
        </w:rPr>
        <w:t xml:space="preserve">With respect to the office of </w:t>
      </w:r>
      <w:r w:rsidR="001C1709" w:rsidRPr="42A077E3">
        <w:rPr>
          <w:rFonts w:ascii="Verdana" w:hAnsi="Verdana"/>
          <w:sz w:val="22"/>
          <w:szCs w:val="22"/>
        </w:rPr>
        <w:t>Principal Member of the Veterans’ Review Board</w:t>
      </w:r>
      <w:r w:rsidRPr="42A077E3">
        <w:rPr>
          <w:rFonts w:ascii="Verdana" w:hAnsi="Verdana"/>
          <w:sz w:val="22"/>
          <w:szCs w:val="22"/>
        </w:rPr>
        <w:t xml:space="preserve">, the </w:t>
      </w:r>
      <w:r w:rsidRPr="000A7269">
        <w:rPr>
          <w:rFonts w:ascii="Verdana" w:hAnsi="Verdana"/>
          <w:sz w:val="22"/>
        </w:rPr>
        <w:t>retrospective</w:t>
      </w:r>
      <w:r w:rsidRPr="42A077E3">
        <w:rPr>
          <w:rFonts w:ascii="Verdana" w:hAnsi="Verdana"/>
          <w:sz w:val="22"/>
          <w:szCs w:val="22"/>
        </w:rPr>
        <w:t xml:space="preserve"> application of th</w:t>
      </w:r>
      <w:r w:rsidR="001C1709" w:rsidRPr="42A077E3">
        <w:rPr>
          <w:rFonts w:ascii="Verdana" w:hAnsi="Verdana"/>
          <w:sz w:val="22"/>
          <w:szCs w:val="22"/>
        </w:rPr>
        <w:t xml:space="preserve">is </w:t>
      </w:r>
      <w:r w:rsidRPr="42A077E3">
        <w:rPr>
          <w:rFonts w:ascii="Verdana" w:hAnsi="Verdana"/>
          <w:sz w:val="22"/>
          <w:szCs w:val="22"/>
        </w:rPr>
        <w:t>provision do</w:t>
      </w:r>
      <w:r w:rsidR="001C1709" w:rsidRPr="42A077E3">
        <w:rPr>
          <w:rFonts w:ascii="Verdana" w:hAnsi="Verdana"/>
          <w:sz w:val="22"/>
          <w:szCs w:val="22"/>
        </w:rPr>
        <w:t>es</w:t>
      </w:r>
      <w:r w:rsidRPr="42A077E3">
        <w:rPr>
          <w:rFonts w:ascii="Verdana" w:hAnsi="Verdana"/>
          <w:sz w:val="22"/>
          <w:szCs w:val="22"/>
        </w:rPr>
        <w:t xml:space="preserve"> not disadvantage any person as </w:t>
      </w:r>
      <w:r w:rsidR="001C1709" w:rsidRPr="42A077E3">
        <w:rPr>
          <w:rFonts w:ascii="Verdana" w:hAnsi="Verdana"/>
          <w:sz w:val="22"/>
          <w:szCs w:val="22"/>
        </w:rPr>
        <w:t>it corrects an administrative error</w:t>
      </w:r>
      <w:r w:rsidR="00BF1C25" w:rsidRPr="42A077E3">
        <w:rPr>
          <w:rFonts w:ascii="Verdana" w:hAnsi="Verdana"/>
          <w:sz w:val="22"/>
          <w:szCs w:val="22"/>
        </w:rPr>
        <w:t xml:space="preserve"> and</w:t>
      </w:r>
      <w:r w:rsidR="001C1709" w:rsidRPr="42A077E3">
        <w:rPr>
          <w:rFonts w:ascii="Verdana" w:hAnsi="Verdana"/>
          <w:sz w:val="22"/>
          <w:szCs w:val="22"/>
        </w:rPr>
        <w:t xml:space="preserve"> </w:t>
      </w:r>
      <w:r w:rsidRPr="42A077E3">
        <w:rPr>
          <w:rFonts w:ascii="Verdana" w:hAnsi="Verdana"/>
          <w:sz w:val="22"/>
          <w:szCs w:val="22"/>
        </w:rPr>
        <w:t>provid</w:t>
      </w:r>
      <w:r w:rsidR="00BF1C25" w:rsidRPr="42A077E3">
        <w:rPr>
          <w:rFonts w:ascii="Verdana" w:hAnsi="Verdana"/>
          <w:sz w:val="22"/>
          <w:szCs w:val="22"/>
        </w:rPr>
        <w:t>es</w:t>
      </w:r>
      <w:r w:rsidRPr="42A077E3">
        <w:rPr>
          <w:rFonts w:ascii="Verdana" w:hAnsi="Verdana"/>
          <w:sz w:val="22"/>
          <w:szCs w:val="22"/>
        </w:rPr>
        <w:t xml:space="preserve"> </w:t>
      </w:r>
      <w:r w:rsidR="000317C3" w:rsidRPr="42A077E3">
        <w:rPr>
          <w:rFonts w:ascii="Verdana" w:hAnsi="Verdana"/>
          <w:sz w:val="22"/>
          <w:szCs w:val="22"/>
        </w:rPr>
        <w:t xml:space="preserve">a greater </w:t>
      </w:r>
      <w:r w:rsidRPr="42A077E3">
        <w:rPr>
          <w:rFonts w:ascii="Verdana" w:hAnsi="Verdana"/>
          <w:sz w:val="22"/>
          <w:szCs w:val="22"/>
        </w:rPr>
        <w:t xml:space="preserve">entitlement than </w:t>
      </w:r>
      <w:r w:rsidR="000317C3" w:rsidRPr="42A077E3">
        <w:rPr>
          <w:rFonts w:ascii="Verdana" w:hAnsi="Verdana"/>
          <w:sz w:val="22"/>
          <w:szCs w:val="22"/>
        </w:rPr>
        <w:t>previously ap</w:t>
      </w:r>
      <w:r w:rsidRPr="42A077E3">
        <w:rPr>
          <w:rFonts w:ascii="Verdana" w:hAnsi="Verdana"/>
          <w:sz w:val="22"/>
          <w:szCs w:val="22"/>
        </w:rPr>
        <w:t>plied</w:t>
      </w:r>
      <w:r w:rsidR="000317C3" w:rsidRPr="42A077E3">
        <w:rPr>
          <w:rFonts w:ascii="Verdana" w:hAnsi="Verdana"/>
          <w:sz w:val="22"/>
          <w:szCs w:val="22"/>
        </w:rPr>
        <w:t>.</w:t>
      </w:r>
      <w:r w:rsidRPr="42A077E3">
        <w:rPr>
          <w:rFonts w:ascii="Verdana" w:hAnsi="Verdana"/>
          <w:sz w:val="22"/>
          <w:szCs w:val="22"/>
        </w:rPr>
        <w:t>  </w:t>
      </w:r>
    </w:p>
    <w:p w14:paraId="2B9F224D" w14:textId="7C188159" w:rsidR="00992073" w:rsidRPr="00992073" w:rsidRDefault="00992073" w:rsidP="001C1709">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992073">
        <w:rPr>
          <w:rFonts w:ascii="Verdana" w:hAnsi="Verdana"/>
          <w:sz w:val="22"/>
          <w:szCs w:val="22"/>
        </w:rPr>
        <w:t xml:space="preserve">With </w:t>
      </w:r>
      <w:r w:rsidRPr="000A7269">
        <w:rPr>
          <w:rFonts w:ascii="Verdana" w:hAnsi="Verdana"/>
          <w:sz w:val="22"/>
        </w:rPr>
        <w:t>respect</w:t>
      </w:r>
      <w:r w:rsidRPr="00992073">
        <w:rPr>
          <w:rFonts w:ascii="Verdana" w:hAnsi="Verdana"/>
          <w:sz w:val="22"/>
          <w:szCs w:val="22"/>
        </w:rPr>
        <w:t xml:space="preserve"> to the office of Deputy Chair, ARENA Board, the retrospective application of this </w:t>
      </w:r>
      <w:r>
        <w:rPr>
          <w:rFonts w:ascii="Verdana" w:hAnsi="Verdana"/>
          <w:sz w:val="22"/>
          <w:szCs w:val="22"/>
        </w:rPr>
        <w:t>provision does not disadvantage any person as it provides a</w:t>
      </w:r>
      <w:r w:rsidR="000317C3">
        <w:rPr>
          <w:rFonts w:ascii="Verdana" w:hAnsi="Verdana"/>
          <w:sz w:val="22"/>
          <w:szCs w:val="22"/>
        </w:rPr>
        <w:t xml:space="preserve"> greater </w:t>
      </w:r>
      <w:r>
        <w:rPr>
          <w:rFonts w:ascii="Verdana" w:hAnsi="Verdana"/>
          <w:sz w:val="22"/>
          <w:szCs w:val="22"/>
        </w:rPr>
        <w:t>entitlement than previously applied.</w:t>
      </w:r>
    </w:p>
    <w:p w14:paraId="583C2F7B" w14:textId="01B00778" w:rsidR="00BC7B34" w:rsidRDefault="00BC7B34" w:rsidP="00BC7B34">
      <w:pPr>
        <w:keepNext/>
        <w:tabs>
          <w:tab w:val="num" w:pos="284"/>
        </w:tabs>
        <w:spacing w:before="120" w:after="120" w:line="276" w:lineRule="auto"/>
        <w:ind w:left="425" w:hanging="425"/>
        <w:jc w:val="both"/>
        <w:rPr>
          <w:rFonts w:ascii="Verdana" w:hAnsi="Verdana"/>
          <w:b/>
          <w:sz w:val="22"/>
          <w:szCs w:val="22"/>
        </w:rPr>
      </w:pPr>
      <w:r w:rsidRPr="00ED2810">
        <w:rPr>
          <w:rFonts w:ascii="Verdana" w:hAnsi="Verdana"/>
          <w:b/>
          <w:sz w:val="22"/>
          <w:szCs w:val="22"/>
        </w:rPr>
        <w:t>Exemption from sunsetting</w:t>
      </w:r>
    </w:p>
    <w:p w14:paraId="0D93F189"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 xml:space="preserve">Under section 12, item 56 of the Legislation (Exemptions and Other Matters) Regulation 2015, an instrument required to be laid before the Parliament under subsection 7(7) of </w:t>
      </w:r>
      <w:r>
        <w:rPr>
          <w:rFonts w:ascii="Verdana" w:hAnsi="Verdana"/>
          <w:sz w:val="22"/>
          <w:szCs w:val="22"/>
        </w:rPr>
        <w:t xml:space="preserve">the Act </w:t>
      </w:r>
      <w:r w:rsidRPr="00ED2810">
        <w:rPr>
          <w:rFonts w:ascii="Verdana" w:hAnsi="Verdana"/>
          <w:sz w:val="22"/>
          <w:szCs w:val="22"/>
        </w:rPr>
        <w:t xml:space="preserve">is exempt from the provisions of paragraph 54(2)(b) of the </w:t>
      </w:r>
      <w:r w:rsidRPr="004F4E67">
        <w:rPr>
          <w:rFonts w:ascii="Verdana" w:hAnsi="Verdana"/>
          <w:i/>
          <w:sz w:val="22"/>
          <w:szCs w:val="22"/>
        </w:rPr>
        <w:t>Legislation Act 2003</w:t>
      </w:r>
      <w:r w:rsidRPr="00ED2810">
        <w:rPr>
          <w:rFonts w:ascii="Verdana" w:hAnsi="Verdana"/>
          <w:sz w:val="22"/>
          <w:szCs w:val="22"/>
        </w:rPr>
        <w:t>.</w:t>
      </w:r>
    </w:p>
    <w:p w14:paraId="7FA5DECC"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96123A2" w14:textId="1EA9BCEE" w:rsidR="00BC7B34" w:rsidRDefault="00BC7B34" w:rsidP="00BC7B34">
      <w:pPr>
        <w:pStyle w:val="ListParagraph"/>
        <w:numPr>
          <w:ilvl w:val="0"/>
          <w:numId w:val="1"/>
        </w:numPr>
        <w:tabs>
          <w:tab w:val="num" w:pos="426"/>
        </w:tabs>
        <w:spacing w:before="120" w:after="120" w:line="276" w:lineRule="auto"/>
        <w:ind w:left="425" w:hanging="425"/>
        <w:rPr>
          <w:rFonts w:ascii="Verdana" w:hAnsi="Verdana"/>
          <w:sz w:val="22"/>
          <w:szCs w:val="22"/>
        </w:rPr>
      </w:pPr>
      <w:r w:rsidRPr="163DEE3E">
        <w:rPr>
          <w:rFonts w:ascii="Verdana" w:hAnsi="Verdana"/>
          <w:sz w:val="22"/>
          <w:szCs w:val="22"/>
        </w:rPr>
        <w:t>As the Remuneration Tribunal makes new principal determinations annually, th</w:t>
      </w:r>
      <w:r w:rsidR="005B4F03" w:rsidRPr="163DEE3E">
        <w:rPr>
          <w:rFonts w:ascii="Verdana" w:hAnsi="Verdana"/>
          <w:sz w:val="22"/>
          <w:szCs w:val="22"/>
        </w:rPr>
        <w:t>is instrument’s exemption from sunsetting</w:t>
      </w:r>
      <w:r w:rsidR="1F7549E7" w:rsidRPr="163DEE3E">
        <w:rPr>
          <w:rFonts w:ascii="Verdana" w:hAnsi="Verdana"/>
          <w:sz w:val="22"/>
          <w:szCs w:val="22"/>
        </w:rPr>
        <w:t xml:space="preserve"> will not </w:t>
      </w:r>
      <w:r w:rsidRPr="163DEE3E">
        <w:rPr>
          <w:rFonts w:ascii="Verdana" w:hAnsi="Verdana"/>
          <w:sz w:val="22"/>
          <w:szCs w:val="22"/>
        </w:rPr>
        <w:t>have any practical effect. As such, the exemption from sunsetting will not have a practical impact on parliamentary oversight of the relevant measures.</w:t>
      </w:r>
    </w:p>
    <w:p w14:paraId="02132E56" w14:textId="05A5927C" w:rsidR="00E35674" w:rsidRPr="00140909" w:rsidRDefault="00E35674" w:rsidP="6C21BC98">
      <w:pPr>
        <w:keepNext/>
        <w:tabs>
          <w:tab w:val="num" w:pos="284"/>
        </w:tabs>
        <w:spacing w:before="120" w:after="120" w:line="276" w:lineRule="auto"/>
        <w:ind w:left="425" w:hanging="425"/>
        <w:jc w:val="both"/>
        <w:rPr>
          <w:rFonts w:ascii="Verdana" w:hAnsi="Verdana"/>
          <w:b/>
          <w:bCs/>
          <w:sz w:val="22"/>
          <w:szCs w:val="22"/>
        </w:rPr>
      </w:pPr>
      <w:r w:rsidRPr="6C21BC98">
        <w:rPr>
          <w:rFonts w:ascii="Verdana" w:hAnsi="Verdana"/>
          <w:b/>
          <w:bCs/>
          <w:sz w:val="22"/>
          <w:szCs w:val="22"/>
        </w:rPr>
        <w:t>The power to repeal, rescind and revoke, amend and vary</w:t>
      </w:r>
    </w:p>
    <w:p w14:paraId="102948AD" w14:textId="1AD5C6C1" w:rsidR="00C265F8" w:rsidRPr="00140909" w:rsidRDefault="00E35674"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C265F8">
        <w:rPr>
          <w:rFonts w:ascii="Verdana" w:hAnsi="Verdana"/>
          <w:sz w:val="22"/>
          <w:szCs w:val="22"/>
        </w:rPr>
        <w:t xml:space="preserve">Under subsection 33(3) of the </w:t>
      </w:r>
      <w:r w:rsidRPr="004F4E67">
        <w:rPr>
          <w:rFonts w:ascii="Verdana" w:hAnsi="Verdana"/>
          <w:i/>
          <w:sz w:val="22"/>
          <w:szCs w:val="22"/>
        </w:rPr>
        <w:t>Acts Interpretation Act 1901</w:t>
      </w:r>
      <w:r w:rsidRPr="00C265F8">
        <w:rPr>
          <w:rFonts w:ascii="Verdana" w:hAnsi="Verdana"/>
          <w:sz w:val="22"/>
          <w:szCs w:val="22"/>
        </w:rPr>
        <w:t>, where an Act confers a power to</w:t>
      </w:r>
      <w:r w:rsidR="000C2D03" w:rsidRPr="00C265F8">
        <w:rPr>
          <w:rFonts w:ascii="Verdana" w:hAnsi="Verdana"/>
          <w:sz w:val="22"/>
          <w:szCs w:val="22"/>
        </w:rPr>
        <w:t xml:space="preserve"> </w:t>
      </w:r>
      <w:r w:rsidRPr="00C265F8">
        <w:rPr>
          <w:rFonts w:ascii="Verdana" w:hAnsi="Verdana"/>
          <w:sz w:val="22"/>
          <w:szCs w:val="22"/>
        </w:rPr>
        <w:t>make, grant or issue any instrument of a legislative or administrative character (including rules, regulations or by-laws), the power shall be construed as including a power exercisable in the like manner and subject to the like conditions (if</w:t>
      </w:r>
      <w:r w:rsidR="00763184" w:rsidRPr="00C265F8">
        <w:rPr>
          <w:rFonts w:ascii="Verdana" w:hAnsi="Verdana"/>
          <w:sz w:val="22"/>
          <w:szCs w:val="22"/>
        </w:rPr>
        <w:t> </w:t>
      </w:r>
      <w:r w:rsidRPr="00C265F8">
        <w:rPr>
          <w:rFonts w:ascii="Verdana" w:hAnsi="Verdana"/>
          <w:sz w:val="22"/>
          <w:szCs w:val="22"/>
        </w:rPr>
        <w:t>any) to repeal, rescind, revoke, amend, or vary any such instrument.</w:t>
      </w:r>
      <w:r w:rsidR="00C265F8" w:rsidRPr="00C265F8">
        <w:rPr>
          <w:rFonts w:ascii="Verdana" w:hAnsi="Verdana"/>
          <w:sz w:val="22"/>
          <w:szCs w:val="22"/>
        </w:rPr>
        <w:t xml:space="preserve"> </w:t>
      </w:r>
    </w:p>
    <w:p w14:paraId="02132E58" w14:textId="34B856B0" w:rsidR="0047043A" w:rsidRPr="00E8158E" w:rsidRDefault="0047043A" w:rsidP="0050128C">
      <w:pPr>
        <w:spacing w:before="120" w:after="200" w:line="276" w:lineRule="auto"/>
        <w:jc w:val="both"/>
        <w:rPr>
          <w:rFonts w:ascii="Verdana" w:hAnsi="Verdana"/>
          <w:b/>
          <w:sz w:val="22"/>
          <w:szCs w:val="22"/>
        </w:rPr>
      </w:pPr>
      <w:r w:rsidRPr="00E8158E">
        <w:rPr>
          <w:rFonts w:ascii="Verdana" w:hAnsi="Verdana"/>
          <w:b/>
          <w:sz w:val="22"/>
          <w:szCs w:val="22"/>
        </w:rPr>
        <w:t>Details of the determination are as follows:</w:t>
      </w:r>
    </w:p>
    <w:p w14:paraId="5DB4389E" w14:textId="7B31F7EE"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bookmarkStart w:id="1" w:name="_Toc387670426"/>
      <w:r w:rsidRPr="00D0450C">
        <w:rPr>
          <w:rFonts w:ascii="Verdana" w:hAnsi="Verdana"/>
          <w:sz w:val="22"/>
          <w:szCs w:val="22"/>
        </w:rPr>
        <w:t>Section 1 specifies the name of the instrument</w:t>
      </w:r>
      <w:r w:rsidR="009B6BC3">
        <w:rPr>
          <w:rFonts w:ascii="Verdana" w:hAnsi="Verdana"/>
          <w:sz w:val="22"/>
          <w:szCs w:val="22"/>
        </w:rPr>
        <w:t xml:space="preserve"> as the Remuneration Tribunal Amendment Determination (No. </w:t>
      </w:r>
      <w:r w:rsidR="001C1709">
        <w:rPr>
          <w:rFonts w:ascii="Verdana" w:hAnsi="Verdana"/>
          <w:sz w:val="22"/>
          <w:szCs w:val="22"/>
        </w:rPr>
        <w:t>4</w:t>
      </w:r>
      <w:r w:rsidR="009B6BC3">
        <w:rPr>
          <w:rFonts w:ascii="Verdana" w:hAnsi="Verdana"/>
          <w:sz w:val="22"/>
          <w:szCs w:val="22"/>
        </w:rPr>
        <w:t>) 2025</w:t>
      </w:r>
      <w:r w:rsidRPr="00D0450C">
        <w:rPr>
          <w:rFonts w:ascii="Verdana" w:hAnsi="Verdana"/>
          <w:sz w:val="22"/>
          <w:szCs w:val="22"/>
        </w:rPr>
        <w:t>.</w:t>
      </w:r>
    </w:p>
    <w:p w14:paraId="611743F5" w14:textId="7603E7D3" w:rsidR="009B6BC3" w:rsidRPr="009B6BC3"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4"/>
          <w:szCs w:val="24"/>
        </w:rPr>
      </w:pPr>
      <w:r w:rsidRPr="6C21BC98">
        <w:rPr>
          <w:rFonts w:ascii="Verdana" w:hAnsi="Verdana"/>
          <w:sz w:val="22"/>
          <w:szCs w:val="22"/>
        </w:rPr>
        <w:t xml:space="preserve">Section 2 specifies </w:t>
      </w:r>
      <w:r w:rsidR="009B6BC3">
        <w:rPr>
          <w:rFonts w:ascii="Verdana" w:hAnsi="Verdana"/>
          <w:sz w:val="22"/>
          <w:szCs w:val="22"/>
        </w:rPr>
        <w:t xml:space="preserve">the commencement date of </w:t>
      </w:r>
      <w:r w:rsidR="003F7A0E">
        <w:rPr>
          <w:rFonts w:ascii="Verdana" w:hAnsi="Verdana"/>
          <w:sz w:val="22"/>
          <w:szCs w:val="22"/>
        </w:rPr>
        <w:t>the instrument, including specifying the different commencement provisions for each Part of Schedule 1.</w:t>
      </w:r>
      <w:r w:rsidR="009B6BC3" w:rsidRPr="009B6BC3">
        <w:rPr>
          <w:rFonts w:ascii="Verdana" w:hAnsi="Verdana"/>
          <w:sz w:val="24"/>
          <w:szCs w:val="24"/>
        </w:rPr>
        <w:t xml:space="preserve"> </w:t>
      </w:r>
    </w:p>
    <w:p w14:paraId="4C98C92F" w14:textId="71ADD73B" w:rsidR="00D0450C" w:rsidRPr="00522059"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522059">
        <w:rPr>
          <w:rFonts w:ascii="Verdana" w:hAnsi="Verdana"/>
          <w:sz w:val="22"/>
          <w:szCs w:val="22"/>
        </w:rPr>
        <w:t>Section 3 specifies the authority for the instrument</w:t>
      </w:r>
      <w:r w:rsidR="009B6BC3" w:rsidRPr="00522059">
        <w:rPr>
          <w:rFonts w:ascii="Verdana" w:hAnsi="Verdana"/>
          <w:sz w:val="22"/>
          <w:szCs w:val="22"/>
        </w:rPr>
        <w:t xml:space="preserve">, sections 7(3), </w:t>
      </w:r>
      <w:r w:rsidR="003F7A0E">
        <w:rPr>
          <w:rFonts w:ascii="Verdana" w:hAnsi="Verdana"/>
          <w:sz w:val="22"/>
          <w:szCs w:val="22"/>
        </w:rPr>
        <w:t xml:space="preserve">(3AA), (4) </w:t>
      </w:r>
      <w:r w:rsidR="0050024D" w:rsidRPr="00522059">
        <w:rPr>
          <w:rFonts w:ascii="Verdana" w:hAnsi="Verdana"/>
          <w:sz w:val="22"/>
          <w:szCs w:val="22"/>
        </w:rPr>
        <w:t>and (4</w:t>
      </w:r>
      <w:r w:rsidR="003F7A0E">
        <w:rPr>
          <w:rFonts w:ascii="Verdana" w:hAnsi="Verdana"/>
          <w:sz w:val="22"/>
          <w:szCs w:val="22"/>
        </w:rPr>
        <w:t>B</w:t>
      </w:r>
      <w:r w:rsidR="0050024D" w:rsidRPr="00522059">
        <w:rPr>
          <w:rFonts w:ascii="Verdana" w:hAnsi="Verdana"/>
          <w:sz w:val="22"/>
          <w:szCs w:val="22"/>
        </w:rPr>
        <w:t>)</w:t>
      </w:r>
      <w:r w:rsidR="009B6BC3" w:rsidRPr="00522059">
        <w:rPr>
          <w:rFonts w:ascii="Verdana" w:hAnsi="Verdana"/>
          <w:sz w:val="22"/>
          <w:szCs w:val="22"/>
        </w:rPr>
        <w:t xml:space="preserve"> of the Act</w:t>
      </w:r>
      <w:r w:rsidRPr="00522059">
        <w:rPr>
          <w:rFonts w:ascii="Verdana" w:hAnsi="Verdana"/>
          <w:sz w:val="22"/>
          <w:szCs w:val="22"/>
        </w:rPr>
        <w:t>.</w:t>
      </w:r>
    </w:p>
    <w:p w14:paraId="1C6AE98B" w14:textId="3CBCA3D6"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Section 4 outlines the effect of instruments specified in a Schedule to the instrument.</w:t>
      </w:r>
    </w:p>
    <w:p w14:paraId="20596FF9" w14:textId="51465BCF" w:rsidR="00011280" w:rsidRPr="004F4E67"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Schedule 1 sets out the amendments made to the instruments specified in Schedule 1.</w:t>
      </w:r>
    </w:p>
    <w:p w14:paraId="4C5FBE15" w14:textId="77777777" w:rsidR="005E269A" w:rsidRDefault="005E269A">
      <w:pPr>
        <w:spacing w:after="200" w:line="276" w:lineRule="auto"/>
        <w:rPr>
          <w:rStyle w:val="Strong"/>
          <w:rFonts w:ascii="Verdana" w:hAnsi="Verdana" w:cs="Arial"/>
          <w:sz w:val="22"/>
          <w:szCs w:val="22"/>
        </w:rPr>
      </w:pPr>
      <w:r>
        <w:rPr>
          <w:rStyle w:val="Strong"/>
          <w:rFonts w:ascii="Verdana" w:hAnsi="Verdana" w:cs="Arial"/>
          <w:sz w:val="22"/>
          <w:szCs w:val="22"/>
        </w:rPr>
        <w:br w:type="page"/>
      </w:r>
    </w:p>
    <w:p w14:paraId="0A422130" w14:textId="3C8EC671" w:rsidR="00AB6C5A" w:rsidRDefault="00D0450C" w:rsidP="008F6356">
      <w:pPr>
        <w:pStyle w:val="Heading2"/>
        <w:ind w:right="369"/>
        <w:jc w:val="both"/>
        <w:rPr>
          <w:rStyle w:val="Strong"/>
          <w:rFonts w:ascii="Verdana" w:hAnsi="Verdana" w:cs="Arial"/>
          <w:sz w:val="22"/>
          <w:szCs w:val="22"/>
        </w:rPr>
      </w:pPr>
      <w:r w:rsidRPr="00D0450C">
        <w:rPr>
          <w:rStyle w:val="Strong"/>
          <w:rFonts w:ascii="Verdana" w:hAnsi="Verdana" w:cs="Arial"/>
          <w:sz w:val="22"/>
          <w:szCs w:val="22"/>
        </w:rPr>
        <w:lastRenderedPageBreak/>
        <w:t>SCHEDULE 1—AMENDMENTS</w:t>
      </w:r>
    </w:p>
    <w:p w14:paraId="787FF048" w14:textId="0FB8141A" w:rsidR="00535EE3" w:rsidRPr="00535EE3" w:rsidRDefault="00535EE3" w:rsidP="00535EE3">
      <w:pPr>
        <w:spacing w:before="120"/>
        <w:rPr>
          <w:rStyle w:val="Strong"/>
          <w:rFonts w:ascii="Verdana" w:hAnsi="Verdana"/>
          <w:bCs w:val="0"/>
          <w:sz w:val="22"/>
        </w:rPr>
      </w:pPr>
      <w:r w:rsidRPr="00535EE3">
        <w:rPr>
          <w:rFonts w:ascii="Verdana" w:hAnsi="Verdana"/>
          <w:b/>
          <w:sz w:val="22"/>
        </w:rPr>
        <w:t xml:space="preserve">Part 1 – </w:t>
      </w:r>
      <w:r w:rsidR="005E269A">
        <w:rPr>
          <w:rFonts w:ascii="Verdana" w:hAnsi="Verdana"/>
          <w:b/>
          <w:sz w:val="22"/>
        </w:rPr>
        <w:t>References to the official travel determination</w:t>
      </w:r>
    </w:p>
    <w:p w14:paraId="66F76FEB" w14:textId="77777777" w:rsidR="00BF1C25" w:rsidRPr="008B6B2F" w:rsidRDefault="00BF1C25" w:rsidP="42A077E3">
      <w:pPr>
        <w:pStyle w:val="Heading1"/>
        <w:keepLines/>
        <w:widowControl/>
        <w:tabs>
          <w:tab w:val="num" w:pos="284"/>
        </w:tabs>
        <w:spacing w:before="120" w:after="120" w:line="276" w:lineRule="auto"/>
        <w:jc w:val="left"/>
        <w:rPr>
          <w:rFonts w:ascii="Verdana" w:hAnsi="Verdana" w:cs="Arial"/>
          <w:i/>
          <w:iCs/>
          <w:sz w:val="22"/>
          <w:szCs w:val="22"/>
          <w:u w:val="none"/>
        </w:rPr>
      </w:pPr>
      <w:r w:rsidRPr="42A077E3">
        <w:rPr>
          <w:rStyle w:val="Strong"/>
          <w:rFonts w:ascii="Verdana" w:hAnsi="Verdana" w:cs="Arial"/>
          <w:b/>
          <w:bCs/>
          <w:i/>
          <w:iCs/>
          <w:sz w:val="22"/>
          <w:szCs w:val="22"/>
          <w:u w:val="none"/>
        </w:rPr>
        <w:t>Remuneration Tribunal (Judicial and Related Offices - Remuneration and Allowances) Determination 2025</w:t>
      </w:r>
    </w:p>
    <w:p w14:paraId="4A5D1207" w14:textId="52AD5255" w:rsidR="005E269A" w:rsidRDefault="005E269A" w:rsidP="00201C2F">
      <w:pPr>
        <w:keepNext/>
        <w:numPr>
          <w:ilvl w:val="0"/>
          <w:numId w:val="1"/>
        </w:numPr>
        <w:spacing w:before="120" w:after="120" w:line="276" w:lineRule="auto"/>
        <w:rPr>
          <w:rFonts w:ascii="Verdana" w:hAnsi="Verdana"/>
        </w:rPr>
      </w:pPr>
      <w:r w:rsidRPr="42A077E3">
        <w:rPr>
          <w:rFonts w:ascii="Verdana" w:hAnsi="Verdana"/>
          <w:sz w:val="22"/>
          <w:szCs w:val="22"/>
        </w:rPr>
        <w:t>Item 1 amends the definition of official travel determination in section 7 so that it refers to the 2025 determination.</w:t>
      </w:r>
    </w:p>
    <w:p w14:paraId="352A834D" w14:textId="56CA8E3C" w:rsidR="00AB6C5A" w:rsidRPr="008B6B2F" w:rsidRDefault="00AB6C5A" w:rsidP="00141BB2">
      <w:pPr>
        <w:pStyle w:val="Heading1"/>
        <w:keepLines/>
        <w:widowControl/>
        <w:tabs>
          <w:tab w:val="num" w:pos="284"/>
        </w:tabs>
        <w:spacing w:before="120" w:after="120" w:line="276" w:lineRule="auto"/>
        <w:jc w:val="left"/>
        <w:rPr>
          <w:rFonts w:ascii="Verdana" w:hAnsi="Verdana" w:cs="Arial"/>
          <w:i/>
          <w:sz w:val="22"/>
          <w:szCs w:val="22"/>
          <w:u w:val="none"/>
        </w:rPr>
      </w:pPr>
      <w:r w:rsidRPr="00D0450C">
        <w:rPr>
          <w:rStyle w:val="Strong"/>
          <w:rFonts w:ascii="Verdana" w:hAnsi="Verdana" w:cs="Arial"/>
          <w:b/>
          <w:i/>
          <w:sz w:val="22"/>
          <w:szCs w:val="22"/>
          <w:u w:val="none"/>
        </w:rPr>
        <w:t>Remuneration</w:t>
      </w:r>
      <w:r w:rsidR="009C7AD7">
        <w:rPr>
          <w:rStyle w:val="Strong"/>
          <w:rFonts w:ascii="Verdana" w:hAnsi="Verdana" w:cs="Arial"/>
          <w:b/>
          <w:i/>
          <w:sz w:val="22"/>
          <w:szCs w:val="22"/>
          <w:u w:val="none"/>
        </w:rPr>
        <w:t xml:space="preserve"> Tribunal (Remuneration and Allowances for Holders of Full-time Public Office) </w:t>
      </w:r>
      <w:r>
        <w:rPr>
          <w:rStyle w:val="Strong"/>
          <w:rFonts w:ascii="Verdana" w:hAnsi="Verdana" w:cs="Arial"/>
          <w:b/>
          <w:i/>
          <w:sz w:val="22"/>
          <w:szCs w:val="22"/>
          <w:u w:val="none"/>
        </w:rPr>
        <w:t>Determination</w:t>
      </w:r>
      <w:r w:rsidR="009C7AD7">
        <w:rPr>
          <w:rStyle w:val="Strong"/>
          <w:rFonts w:ascii="Verdana" w:hAnsi="Verdana" w:cs="Arial"/>
          <w:b/>
          <w:i/>
          <w:sz w:val="22"/>
          <w:szCs w:val="22"/>
          <w:u w:val="none"/>
        </w:rPr>
        <w:t xml:space="preserve"> </w:t>
      </w:r>
      <w:r>
        <w:rPr>
          <w:rStyle w:val="Strong"/>
          <w:rFonts w:ascii="Verdana" w:hAnsi="Verdana" w:cs="Arial"/>
          <w:b/>
          <w:i/>
          <w:sz w:val="22"/>
          <w:szCs w:val="22"/>
          <w:u w:val="none"/>
        </w:rPr>
        <w:t>202</w:t>
      </w:r>
      <w:r w:rsidR="002C5080">
        <w:rPr>
          <w:rStyle w:val="Strong"/>
          <w:rFonts w:ascii="Verdana" w:hAnsi="Verdana" w:cs="Arial"/>
          <w:b/>
          <w:i/>
          <w:sz w:val="22"/>
          <w:szCs w:val="22"/>
          <w:u w:val="none"/>
        </w:rPr>
        <w:t>5</w:t>
      </w:r>
    </w:p>
    <w:p w14:paraId="7095101E" w14:textId="740B2278" w:rsidR="005E269A" w:rsidRDefault="005E269A"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2 amends the definition of official travel determination in section 7 so that it refers to the 2025 determination. </w:t>
      </w:r>
    </w:p>
    <w:p w14:paraId="3BE84E0B" w14:textId="77777777" w:rsidR="005E269A" w:rsidRPr="005E269A" w:rsidRDefault="005E269A" w:rsidP="005E269A">
      <w:pPr>
        <w:keepNext/>
        <w:spacing w:before="120" w:after="120" w:line="276" w:lineRule="auto"/>
        <w:rPr>
          <w:rStyle w:val="Strong"/>
          <w:rFonts w:ascii="Verdana" w:hAnsi="Verdana" w:cs="Arial"/>
          <w:i/>
          <w:sz w:val="22"/>
          <w:szCs w:val="22"/>
        </w:rPr>
      </w:pPr>
      <w:r w:rsidRPr="005E269A">
        <w:rPr>
          <w:rStyle w:val="Strong"/>
          <w:rFonts w:ascii="Verdana" w:hAnsi="Verdana" w:cs="Arial"/>
          <w:i/>
          <w:sz w:val="22"/>
          <w:szCs w:val="22"/>
        </w:rPr>
        <w:t>Remuneration Tribunal (Remuneration and Allowances for Holders of Part-time Public Office) Determination 2025</w:t>
      </w:r>
    </w:p>
    <w:p w14:paraId="7422E7C1" w14:textId="3CB279C9" w:rsidR="005E269A" w:rsidRDefault="005E269A"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6C21BC98">
        <w:rPr>
          <w:rFonts w:ascii="Verdana" w:hAnsi="Verdana"/>
          <w:sz w:val="22"/>
          <w:szCs w:val="22"/>
        </w:rPr>
        <w:t>Item</w:t>
      </w:r>
      <w:r>
        <w:rPr>
          <w:rFonts w:ascii="Verdana" w:hAnsi="Verdana"/>
          <w:sz w:val="22"/>
          <w:szCs w:val="22"/>
        </w:rPr>
        <w:t xml:space="preserve"> 3 amends the definition of official travel determination in section 8 so that it refers to the 2025 determination.</w:t>
      </w:r>
    </w:p>
    <w:p w14:paraId="2E3B6864" w14:textId="1A2B29E8" w:rsidR="005E269A" w:rsidRPr="0015547C" w:rsidRDefault="005E269A" w:rsidP="005E269A">
      <w:pPr>
        <w:spacing w:before="120"/>
        <w:rPr>
          <w:rStyle w:val="Strong"/>
          <w:rFonts w:ascii="Verdana" w:hAnsi="Verdana"/>
          <w:bCs w:val="0"/>
          <w:sz w:val="22"/>
        </w:rPr>
      </w:pPr>
      <w:r w:rsidRPr="0015547C">
        <w:rPr>
          <w:rFonts w:ascii="Verdana" w:hAnsi="Verdana"/>
          <w:b/>
          <w:sz w:val="22"/>
        </w:rPr>
        <w:t xml:space="preserve">Part </w:t>
      </w:r>
      <w:r>
        <w:rPr>
          <w:rFonts w:ascii="Verdana" w:hAnsi="Verdana"/>
          <w:b/>
          <w:sz w:val="22"/>
        </w:rPr>
        <w:t>2</w:t>
      </w:r>
      <w:r w:rsidRPr="0015547C">
        <w:rPr>
          <w:rFonts w:ascii="Verdana" w:hAnsi="Verdana"/>
          <w:b/>
          <w:sz w:val="22"/>
        </w:rPr>
        <w:t xml:space="preserve"> – </w:t>
      </w:r>
      <w:r>
        <w:rPr>
          <w:rFonts w:ascii="Verdana" w:hAnsi="Verdana"/>
          <w:b/>
          <w:sz w:val="22"/>
        </w:rPr>
        <w:t>Amendments commencing 7 September 2025</w:t>
      </w:r>
    </w:p>
    <w:p w14:paraId="38208B23" w14:textId="77777777" w:rsidR="005E269A" w:rsidRPr="008B6B2F" w:rsidRDefault="005E269A" w:rsidP="005E269A">
      <w:pPr>
        <w:pStyle w:val="Heading1"/>
        <w:keepLines/>
        <w:widowControl/>
        <w:tabs>
          <w:tab w:val="num" w:pos="284"/>
        </w:tabs>
        <w:spacing w:before="120" w:after="120" w:line="276" w:lineRule="auto"/>
        <w:jc w:val="left"/>
        <w:rPr>
          <w:rFonts w:ascii="Verdana" w:hAnsi="Verdana" w:cs="Arial"/>
          <w:i/>
          <w:sz w:val="22"/>
          <w:szCs w:val="22"/>
          <w:u w:val="none"/>
        </w:rPr>
      </w:pPr>
      <w:r w:rsidRPr="00D0450C">
        <w:rPr>
          <w:rStyle w:val="Strong"/>
          <w:rFonts w:ascii="Verdana" w:hAnsi="Verdana" w:cs="Arial"/>
          <w:b/>
          <w:i/>
          <w:sz w:val="22"/>
          <w:szCs w:val="22"/>
          <w:u w:val="none"/>
        </w:rPr>
        <w:t>Remuneration</w:t>
      </w:r>
      <w:r>
        <w:rPr>
          <w:rStyle w:val="Strong"/>
          <w:rFonts w:ascii="Verdana" w:hAnsi="Verdana" w:cs="Arial"/>
          <w:b/>
          <w:i/>
          <w:sz w:val="22"/>
          <w:szCs w:val="22"/>
          <w:u w:val="none"/>
        </w:rPr>
        <w:t xml:space="preserve"> Tribunal (Judicial and Related Offices - Remuneration and Allowances) Determination 2025</w:t>
      </w:r>
    </w:p>
    <w:p w14:paraId="53868A24" w14:textId="6904B47A" w:rsidR="005E269A" w:rsidRPr="0015547C" w:rsidRDefault="005E269A" w:rsidP="005E269A">
      <w:pPr>
        <w:pStyle w:val="ListParagraph"/>
        <w:numPr>
          <w:ilvl w:val="0"/>
          <w:numId w:val="1"/>
        </w:numPr>
        <w:tabs>
          <w:tab w:val="num" w:pos="426"/>
        </w:tabs>
        <w:spacing w:before="120" w:after="120" w:line="276" w:lineRule="auto"/>
        <w:ind w:left="425" w:hanging="425"/>
        <w:contextualSpacing w:val="0"/>
        <w:rPr>
          <w:rStyle w:val="Strong"/>
          <w:rFonts w:ascii="Verdana" w:hAnsi="Verdana"/>
          <w:b w:val="0"/>
          <w:bCs w:val="0"/>
          <w:sz w:val="22"/>
          <w:szCs w:val="22"/>
        </w:rPr>
      </w:pPr>
      <w:r>
        <w:rPr>
          <w:rFonts w:ascii="Verdana" w:hAnsi="Verdana"/>
          <w:sz w:val="22"/>
          <w:szCs w:val="22"/>
        </w:rPr>
        <w:t>Item 4 increases the value of the allowance in lieu of travelling allowance to Canberra in subsection 39(1).</w:t>
      </w:r>
    </w:p>
    <w:p w14:paraId="62009545" w14:textId="3C1E6570" w:rsidR="005E269A" w:rsidRPr="005E269A" w:rsidRDefault="005E269A" w:rsidP="005E269A">
      <w:pPr>
        <w:spacing w:before="120"/>
        <w:rPr>
          <w:rStyle w:val="Strong"/>
          <w:rFonts w:ascii="Verdana" w:hAnsi="Verdana"/>
          <w:bCs w:val="0"/>
          <w:sz w:val="22"/>
        </w:rPr>
      </w:pPr>
      <w:r w:rsidRPr="005E269A">
        <w:rPr>
          <w:rFonts w:ascii="Verdana" w:hAnsi="Verdana"/>
          <w:b/>
          <w:sz w:val="22"/>
        </w:rPr>
        <w:t xml:space="preserve">Part </w:t>
      </w:r>
      <w:r>
        <w:rPr>
          <w:rFonts w:ascii="Verdana" w:hAnsi="Verdana"/>
          <w:b/>
          <w:sz w:val="22"/>
        </w:rPr>
        <w:t>3</w:t>
      </w:r>
      <w:r w:rsidRPr="005E269A">
        <w:rPr>
          <w:rFonts w:ascii="Verdana" w:hAnsi="Verdana"/>
          <w:b/>
          <w:sz w:val="22"/>
        </w:rPr>
        <w:t xml:space="preserve"> – </w:t>
      </w:r>
      <w:r>
        <w:rPr>
          <w:rFonts w:ascii="Verdana" w:hAnsi="Verdana"/>
          <w:b/>
          <w:sz w:val="22"/>
        </w:rPr>
        <w:t>Amendments commencing the day after registration</w:t>
      </w:r>
    </w:p>
    <w:p w14:paraId="0544A6A6" w14:textId="77777777" w:rsidR="003D6919" w:rsidRPr="008B6B2F" w:rsidRDefault="003D6919" w:rsidP="003D6919">
      <w:pPr>
        <w:pStyle w:val="Heading1"/>
        <w:keepLines/>
        <w:widowControl/>
        <w:spacing w:before="120" w:after="120" w:line="276" w:lineRule="auto"/>
        <w:jc w:val="left"/>
        <w:rPr>
          <w:rFonts w:ascii="Verdana" w:hAnsi="Verdana" w:cs="Arial"/>
          <w:i/>
          <w:sz w:val="22"/>
          <w:szCs w:val="22"/>
          <w:u w:val="none"/>
        </w:rPr>
      </w:pPr>
      <w:r w:rsidRPr="00D0450C">
        <w:rPr>
          <w:rStyle w:val="Strong"/>
          <w:rFonts w:ascii="Verdana" w:hAnsi="Verdana" w:cs="Arial"/>
          <w:b/>
          <w:i/>
          <w:sz w:val="22"/>
          <w:szCs w:val="22"/>
          <w:u w:val="none"/>
        </w:rPr>
        <w:t>Remuneration</w:t>
      </w:r>
      <w:r>
        <w:rPr>
          <w:rStyle w:val="Strong"/>
          <w:rFonts w:ascii="Verdana" w:hAnsi="Verdana" w:cs="Arial"/>
          <w:b/>
          <w:i/>
          <w:sz w:val="22"/>
          <w:szCs w:val="22"/>
          <w:u w:val="none"/>
        </w:rPr>
        <w:t xml:space="preserve"> Tribunal (Remuneration and Allowances for Holders of Full-time Public Office) Determination 2025</w:t>
      </w:r>
    </w:p>
    <w:p w14:paraId="2A036BA3" w14:textId="33589DF5" w:rsidR="003D6919" w:rsidRDefault="003D6919"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5 amends the definitions to include a reference to the application and transitional provisions.</w:t>
      </w:r>
    </w:p>
    <w:p w14:paraId="3AEB6E68" w14:textId="77777777" w:rsidR="0041068C" w:rsidRDefault="005E269A"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3D6919">
        <w:rPr>
          <w:rFonts w:ascii="Verdana" w:hAnsi="Verdana"/>
          <w:sz w:val="22"/>
          <w:szCs w:val="22"/>
        </w:rPr>
        <w:t>6</w:t>
      </w:r>
      <w:r>
        <w:rPr>
          <w:rFonts w:ascii="Verdana" w:hAnsi="Verdana"/>
          <w:sz w:val="22"/>
          <w:szCs w:val="22"/>
        </w:rPr>
        <w:t xml:space="preserve"> establishes remuneration and travel tier for the new office of Director-General, Australian Naval Nuclear Power Safety Regulator in Table 2A.</w:t>
      </w:r>
    </w:p>
    <w:p w14:paraId="651B78D3" w14:textId="57614033" w:rsidR="0041068C" w:rsidRDefault="0041068C" w:rsidP="0041068C">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7 establishes remuneration and travel tier for the new office of Commissioner, Defence and Veterans’ Services Commission in Table 2A.</w:t>
      </w:r>
    </w:p>
    <w:p w14:paraId="6C7FDD4C" w14:textId="72AD7B69" w:rsidR="003D6919" w:rsidRDefault="003D6919" w:rsidP="003D6919">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1068C">
        <w:rPr>
          <w:rFonts w:ascii="Verdana" w:hAnsi="Verdana"/>
          <w:sz w:val="22"/>
          <w:szCs w:val="22"/>
        </w:rPr>
        <w:t>8</w:t>
      </w:r>
      <w:r>
        <w:rPr>
          <w:rFonts w:ascii="Verdana" w:hAnsi="Verdana"/>
          <w:sz w:val="22"/>
          <w:szCs w:val="22"/>
        </w:rPr>
        <w:t xml:space="preserve"> amends the remuneration for the office of Principal Member, Veterans’ Review Board in Table 2A.</w:t>
      </w:r>
    </w:p>
    <w:p w14:paraId="3773C80E" w14:textId="14B5698D" w:rsidR="003D6919" w:rsidRDefault="003D6919" w:rsidP="42A077E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42A077E3">
        <w:rPr>
          <w:rFonts w:ascii="Verdana" w:hAnsi="Verdana"/>
          <w:sz w:val="22"/>
          <w:szCs w:val="22"/>
        </w:rPr>
        <w:t xml:space="preserve">Item </w:t>
      </w:r>
      <w:r w:rsidR="0041068C" w:rsidRPr="42A077E3">
        <w:rPr>
          <w:rFonts w:ascii="Verdana" w:hAnsi="Verdana"/>
          <w:sz w:val="22"/>
          <w:szCs w:val="22"/>
        </w:rPr>
        <w:t xml:space="preserve">9 inserts a reference to the application </w:t>
      </w:r>
      <w:r w:rsidR="00BF1C25" w:rsidRPr="42A077E3">
        <w:rPr>
          <w:rFonts w:ascii="Verdana" w:hAnsi="Verdana"/>
          <w:sz w:val="22"/>
          <w:szCs w:val="22"/>
        </w:rPr>
        <w:t xml:space="preserve">and transitional </w:t>
      </w:r>
      <w:r w:rsidR="0041068C" w:rsidRPr="42A077E3">
        <w:rPr>
          <w:rFonts w:ascii="Verdana" w:hAnsi="Verdana"/>
          <w:sz w:val="22"/>
          <w:szCs w:val="22"/>
        </w:rPr>
        <w:t>provision in Table 6A to the item for the office of Principal Member, Veterans’ Review Board in Table 2A.</w:t>
      </w:r>
    </w:p>
    <w:p w14:paraId="0745D4DC" w14:textId="3E2982FE" w:rsidR="00535EE3" w:rsidRDefault="00535EE3"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1068C">
        <w:rPr>
          <w:rFonts w:ascii="Verdana" w:hAnsi="Verdana"/>
          <w:sz w:val="22"/>
          <w:szCs w:val="22"/>
        </w:rPr>
        <w:t>10</w:t>
      </w:r>
      <w:r>
        <w:rPr>
          <w:rFonts w:ascii="Verdana" w:hAnsi="Verdana"/>
          <w:sz w:val="22"/>
          <w:szCs w:val="22"/>
        </w:rPr>
        <w:t xml:space="preserve"> establishes remuneration and travel tier for the new office of Deputy Director-General, Australian Naval Nuclear Power Safety Regulator in Table 2A. </w:t>
      </w:r>
    </w:p>
    <w:p w14:paraId="105A3565" w14:textId="7F1CB526" w:rsidR="0015547C" w:rsidRDefault="00535EE3"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1068C">
        <w:rPr>
          <w:rFonts w:ascii="Verdana" w:hAnsi="Verdana"/>
          <w:sz w:val="22"/>
          <w:szCs w:val="22"/>
        </w:rPr>
        <w:t>11</w:t>
      </w:r>
      <w:r>
        <w:rPr>
          <w:rFonts w:ascii="Verdana" w:hAnsi="Verdana"/>
          <w:sz w:val="22"/>
          <w:szCs w:val="22"/>
        </w:rPr>
        <w:t xml:space="preserve"> removes the personal superannuation salary for Ms Cathryn Pope, Deputy President, </w:t>
      </w:r>
      <w:r w:rsidR="0015547C">
        <w:rPr>
          <w:rFonts w:ascii="Verdana" w:hAnsi="Verdana"/>
          <w:sz w:val="22"/>
          <w:szCs w:val="22"/>
        </w:rPr>
        <w:t>Repatriation Commission from Table 3B.</w:t>
      </w:r>
    </w:p>
    <w:p w14:paraId="40FB0A89" w14:textId="75D216D5" w:rsidR="0015547C" w:rsidRDefault="0015547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1068C">
        <w:rPr>
          <w:rFonts w:ascii="Verdana" w:hAnsi="Verdana"/>
          <w:sz w:val="22"/>
          <w:szCs w:val="22"/>
        </w:rPr>
        <w:t>12</w:t>
      </w:r>
      <w:r>
        <w:rPr>
          <w:rFonts w:ascii="Verdana" w:hAnsi="Verdana"/>
          <w:sz w:val="22"/>
          <w:szCs w:val="22"/>
        </w:rPr>
        <w:t xml:space="preserve"> amends the personal superannuation salary for Ms Jamie Lowe, Merit Protection Commissioner in Table 3B.</w:t>
      </w:r>
    </w:p>
    <w:p w14:paraId="731C64D2" w14:textId="4B0049FE" w:rsidR="0015547C" w:rsidRDefault="0015547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lastRenderedPageBreak/>
        <w:t xml:space="preserve">Item </w:t>
      </w:r>
      <w:r w:rsidR="0041068C">
        <w:rPr>
          <w:rFonts w:ascii="Verdana" w:hAnsi="Verdana"/>
          <w:sz w:val="22"/>
          <w:szCs w:val="22"/>
        </w:rPr>
        <w:t>13</w:t>
      </w:r>
      <w:r>
        <w:rPr>
          <w:rFonts w:ascii="Verdana" w:hAnsi="Verdana"/>
          <w:sz w:val="22"/>
          <w:szCs w:val="22"/>
        </w:rPr>
        <w:t xml:space="preserve"> removes the special provision for Professor Dorothy Keefe, Chief Executive Officer, Cancer Australia from Table 5A.</w:t>
      </w:r>
    </w:p>
    <w:p w14:paraId="32BB4A04" w14:textId="5A079B4D" w:rsidR="0015547C" w:rsidRDefault="0015547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1068C">
        <w:rPr>
          <w:rFonts w:ascii="Verdana" w:hAnsi="Verdana"/>
          <w:sz w:val="22"/>
          <w:szCs w:val="22"/>
        </w:rPr>
        <w:t>14</w:t>
      </w:r>
      <w:r>
        <w:rPr>
          <w:rFonts w:ascii="Verdana" w:hAnsi="Verdana"/>
          <w:sz w:val="22"/>
          <w:szCs w:val="22"/>
        </w:rPr>
        <w:t xml:space="preserve"> removes the special provision for Professor Dorothy Keefe, Chief Executive Officer, Cancer Australia from Table 5B.</w:t>
      </w:r>
    </w:p>
    <w:p w14:paraId="70DDC398" w14:textId="37A8064B" w:rsidR="0041068C" w:rsidRDefault="0041068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15 sets application and transitional provisions for the item dealing with the office of Principal Member, Veterans’ Review Board in Table 6A.</w:t>
      </w:r>
    </w:p>
    <w:p w14:paraId="4D13A8CE" w14:textId="644CA37F" w:rsidR="009C7AD7" w:rsidRPr="003E6F9F" w:rsidRDefault="009C7AD7" w:rsidP="00141BB2">
      <w:pPr>
        <w:keepNext/>
        <w:spacing w:before="120" w:after="120" w:line="276" w:lineRule="auto"/>
        <w:rPr>
          <w:rStyle w:val="Strong"/>
          <w:rFonts w:ascii="Verdana" w:hAnsi="Verdana" w:cs="Arial"/>
          <w:i/>
          <w:sz w:val="22"/>
          <w:szCs w:val="22"/>
        </w:rPr>
      </w:pPr>
      <w:r w:rsidRPr="003E6F9F">
        <w:rPr>
          <w:rStyle w:val="Strong"/>
          <w:rFonts w:ascii="Verdana" w:hAnsi="Verdana" w:cs="Arial"/>
          <w:i/>
          <w:sz w:val="22"/>
          <w:szCs w:val="22"/>
        </w:rPr>
        <w:t>Remuneration Tribunal (</w:t>
      </w:r>
      <w:r w:rsidR="008438CD">
        <w:rPr>
          <w:rStyle w:val="Strong"/>
          <w:rFonts w:ascii="Verdana" w:hAnsi="Verdana" w:cs="Arial"/>
          <w:i/>
          <w:sz w:val="22"/>
          <w:szCs w:val="22"/>
        </w:rPr>
        <w:t>Remuneration and Allowances for Holders of Part-time Public Office) D</w:t>
      </w:r>
      <w:r w:rsidRPr="003E6F9F">
        <w:rPr>
          <w:rStyle w:val="Strong"/>
          <w:rFonts w:ascii="Verdana" w:hAnsi="Verdana" w:cs="Arial"/>
          <w:i/>
          <w:sz w:val="22"/>
          <w:szCs w:val="22"/>
        </w:rPr>
        <w:t>e</w:t>
      </w:r>
      <w:r w:rsidR="008438CD">
        <w:rPr>
          <w:rStyle w:val="Strong"/>
          <w:rFonts w:ascii="Verdana" w:hAnsi="Verdana" w:cs="Arial"/>
          <w:i/>
          <w:sz w:val="22"/>
          <w:szCs w:val="22"/>
        </w:rPr>
        <w:t>te</w:t>
      </w:r>
      <w:r w:rsidRPr="003E6F9F">
        <w:rPr>
          <w:rStyle w:val="Strong"/>
          <w:rFonts w:ascii="Verdana" w:hAnsi="Verdana" w:cs="Arial"/>
          <w:i/>
          <w:sz w:val="22"/>
          <w:szCs w:val="22"/>
        </w:rPr>
        <w:t>rmination 202</w:t>
      </w:r>
      <w:r w:rsidR="002C5080">
        <w:rPr>
          <w:rStyle w:val="Strong"/>
          <w:rFonts w:ascii="Verdana" w:hAnsi="Verdana" w:cs="Arial"/>
          <w:i/>
          <w:sz w:val="22"/>
          <w:szCs w:val="22"/>
        </w:rPr>
        <w:t>5</w:t>
      </w:r>
    </w:p>
    <w:p w14:paraId="2A234C31" w14:textId="77777777" w:rsidR="00A51AB0" w:rsidRDefault="00A51AB0"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A51AB0">
        <w:rPr>
          <w:rFonts w:ascii="Verdana" w:hAnsi="Verdana"/>
          <w:sz w:val="22"/>
          <w:szCs w:val="22"/>
        </w:rPr>
        <w:t>Item 16 establishes an amended entry of annual fees, travel tier and a special provision for the part-time offices of Chair, Deputy Chair and Member of the Special Broadcasting Service in Table 3A.</w:t>
      </w:r>
      <w:r>
        <w:rPr>
          <w:rFonts w:ascii="Verdana" w:hAnsi="Verdana"/>
          <w:sz w:val="22"/>
          <w:szCs w:val="22"/>
        </w:rPr>
        <w:t xml:space="preserve"> </w:t>
      </w:r>
    </w:p>
    <w:p w14:paraId="09521CBF" w14:textId="33038C1F" w:rsidR="00732C8F" w:rsidRPr="00A51AB0" w:rsidRDefault="00A51AB0"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A51AB0">
        <w:rPr>
          <w:rFonts w:ascii="Verdana" w:hAnsi="Verdana"/>
          <w:sz w:val="22"/>
          <w:szCs w:val="22"/>
        </w:rPr>
        <w:t>Item 17 repeals the previous entry for the part-time offices of the Special Broadcasting Service in Table 3A.</w:t>
      </w:r>
    </w:p>
    <w:p w14:paraId="08A85C77" w14:textId="2F271A8E" w:rsidR="00A51AB0" w:rsidRDefault="00A51AB0"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A51AB0">
        <w:rPr>
          <w:rFonts w:ascii="Verdana" w:hAnsi="Verdana"/>
          <w:sz w:val="22"/>
          <w:szCs w:val="22"/>
        </w:rPr>
        <w:t xml:space="preserve">Item 18 </w:t>
      </w:r>
      <w:r>
        <w:rPr>
          <w:rFonts w:ascii="Verdana" w:hAnsi="Verdana"/>
          <w:sz w:val="22"/>
          <w:szCs w:val="22"/>
        </w:rPr>
        <w:t>updates</w:t>
      </w:r>
      <w:r w:rsidRPr="00A51AB0">
        <w:rPr>
          <w:rFonts w:ascii="Verdana" w:hAnsi="Verdana"/>
          <w:sz w:val="22"/>
          <w:szCs w:val="22"/>
        </w:rPr>
        <w:t xml:space="preserve"> the reference to special provisions in column 5 of the item for the Australian Renewable Energy Regulator in Table 3A.</w:t>
      </w:r>
      <w:r>
        <w:rPr>
          <w:rFonts w:ascii="Verdana" w:hAnsi="Verdana"/>
          <w:sz w:val="22"/>
          <w:szCs w:val="22"/>
        </w:rPr>
        <w:t xml:space="preserve"> </w:t>
      </w:r>
    </w:p>
    <w:p w14:paraId="02AF34E0" w14:textId="6E1D68CF" w:rsidR="00E76375" w:rsidRPr="00A51AB0" w:rsidRDefault="00A51AB0"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A51AB0">
        <w:rPr>
          <w:rFonts w:ascii="Verdana" w:hAnsi="Verdana"/>
          <w:sz w:val="22"/>
          <w:szCs w:val="22"/>
        </w:rPr>
        <w:t xml:space="preserve">Item 19 establishes a special provision for Ms Marianna O’Gorman, </w:t>
      </w:r>
      <w:r>
        <w:rPr>
          <w:rFonts w:ascii="Verdana" w:hAnsi="Verdana"/>
          <w:sz w:val="22"/>
          <w:szCs w:val="22"/>
        </w:rPr>
        <w:t>Deputy Chair of the Australian Renewable Energy Agency in Table 3B.</w:t>
      </w:r>
      <w:r w:rsidR="00732C8F" w:rsidRPr="00A51AB0">
        <w:rPr>
          <w:rFonts w:ascii="Verdana" w:hAnsi="Verdana"/>
          <w:sz w:val="22"/>
          <w:szCs w:val="22"/>
        </w:rPr>
        <w:t xml:space="preserve"> </w:t>
      </w:r>
    </w:p>
    <w:p w14:paraId="31AFE085" w14:textId="5B81D2FD" w:rsidR="00A51AB0" w:rsidRPr="00732C8F" w:rsidRDefault="00A51AB0" w:rsidP="00732C8F">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20 establishes daily fees and a travel tier for the offices of Chair and Member of the Sydney Airport Demand Management Compliance Committee in Table 4A.</w:t>
      </w:r>
    </w:p>
    <w:bookmarkEnd w:id="1"/>
    <w:p w14:paraId="2597CD7C" w14:textId="77777777" w:rsidR="00282710" w:rsidRDefault="00BB0EC8" w:rsidP="00282710">
      <w:pPr>
        <w:spacing w:before="120" w:after="120" w:line="276" w:lineRule="auto"/>
        <w:jc w:val="right"/>
        <w:rPr>
          <w:rFonts w:ascii="Verdana" w:hAnsi="Verdana" w:cs="Verdana"/>
          <w:b/>
          <w:sz w:val="19"/>
          <w:szCs w:val="19"/>
        </w:rPr>
      </w:pPr>
      <w:r w:rsidRPr="00282710">
        <w:rPr>
          <w:rFonts w:ascii="Verdana" w:hAnsi="Verdana" w:cs="Verdana"/>
          <w:b/>
          <w:sz w:val="19"/>
          <w:szCs w:val="19"/>
        </w:rPr>
        <w:t>Authority:</w:t>
      </w:r>
    </w:p>
    <w:p w14:paraId="45AE316E" w14:textId="1FF8258D" w:rsidR="00BB25B8" w:rsidRPr="006076D5" w:rsidRDefault="009C7AD7" w:rsidP="006076D5">
      <w:pPr>
        <w:spacing w:before="120" w:after="120" w:line="276" w:lineRule="auto"/>
        <w:jc w:val="right"/>
        <w:rPr>
          <w:rFonts w:ascii="Verdana" w:hAnsi="Verdana" w:cs="Verdana"/>
          <w:i/>
          <w:iCs/>
          <w:sz w:val="19"/>
          <w:szCs w:val="19"/>
        </w:rPr>
      </w:pPr>
      <w:r w:rsidRPr="00282710">
        <w:rPr>
          <w:rFonts w:ascii="Verdana" w:hAnsi="Verdana" w:cs="Verdana"/>
          <w:sz w:val="19"/>
          <w:szCs w:val="19"/>
        </w:rPr>
        <w:t>Sub-section</w:t>
      </w:r>
      <w:r w:rsidRPr="0050024D">
        <w:rPr>
          <w:rFonts w:ascii="Verdana" w:hAnsi="Verdana" w:cs="Verdana"/>
          <w:sz w:val="19"/>
          <w:szCs w:val="19"/>
        </w:rPr>
        <w:t>s</w:t>
      </w:r>
      <w:r w:rsidR="00F478FF" w:rsidRPr="0050024D">
        <w:rPr>
          <w:rFonts w:ascii="Verdana" w:hAnsi="Verdana" w:cs="Verdana"/>
          <w:sz w:val="19"/>
          <w:szCs w:val="19"/>
        </w:rPr>
        <w:t xml:space="preserve"> </w:t>
      </w:r>
      <w:r w:rsidR="005A239A" w:rsidRPr="0050024D">
        <w:rPr>
          <w:rFonts w:ascii="Verdana" w:hAnsi="Verdana" w:cs="Verdana"/>
          <w:sz w:val="19"/>
          <w:szCs w:val="19"/>
        </w:rPr>
        <w:t>7(3)</w:t>
      </w:r>
      <w:r w:rsidR="00F26E75" w:rsidRPr="0050024D">
        <w:rPr>
          <w:rFonts w:ascii="Verdana" w:hAnsi="Verdana" w:cs="Verdana"/>
          <w:sz w:val="19"/>
          <w:szCs w:val="19"/>
        </w:rPr>
        <w:t xml:space="preserve">, </w:t>
      </w:r>
      <w:r w:rsidR="0015547C">
        <w:rPr>
          <w:rFonts w:ascii="Verdana" w:hAnsi="Verdana" w:cs="Verdana"/>
          <w:sz w:val="19"/>
          <w:szCs w:val="19"/>
        </w:rPr>
        <w:t xml:space="preserve">(3AA), (4) </w:t>
      </w:r>
      <w:r w:rsidR="0050024D" w:rsidRPr="0050024D">
        <w:rPr>
          <w:rFonts w:ascii="Verdana" w:hAnsi="Verdana" w:cs="Verdana"/>
          <w:sz w:val="19"/>
          <w:szCs w:val="19"/>
        </w:rPr>
        <w:t xml:space="preserve">and </w:t>
      </w:r>
      <w:r w:rsidR="00F26E75" w:rsidRPr="0050024D">
        <w:rPr>
          <w:rFonts w:ascii="Verdana" w:hAnsi="Verdana" w:cs="Verdana"/>
          <w:sz w:val="19"/>
          <w:szCs w:val="19"/>
        </w:rPr>
        <w:t>(4</w:t>
      </w:r>
      <w:r w:rsidR="0015547C">
        <w:rPr>
          <w:rFonts w:ascii="Verdana" w:hAnsi="Verdana" w:cs="Verdana"/>
          <w:sz w:val="19"/>
          <w:szCs w:val="19"/>
        </w:rPr>
        <w:t>B</w:t>
      </w:r>
      <w:r w:rsidR="00F26E75" w:rsidRPr="0050024D">
        <w:rPr>
          <w:rFonts w:ascii="Verdana" w:hAnsi="Verdana" w:cs="Verdana"/>
          <w:sz w:val="19"/>
          <w:szCs w:val="19"/>
        </w:rPr>
        <w:t>)</w:t>
      </w:r>
      <w:r w:rsidR="00282710" w:rsidRPr="0050024D">
        <w:rPr>
          <w:rFonts w:ascii="Verdana" w:hAnsi="Verdana" w:cs="Verdana"/>
          <w:sz w:val="19"/>
          <w:szCs w:val="19"/>
        </w:rPr>
        <w:t xml:space="preserve"> </w:t>
      </w:r>
      <w:r w:rsidR="00BB0EC8" w:rsidRPr="0050024D">
        <w:rPr>
          <w:rFonts w:ascii="Verdana" w:hAnsi="Verdana" w:cs="Verdana"/>
          <w:i/>
          <w:iCs/>
          <w:sz w:val="19"/>
          <w:szCs w:val="19"/>
        </w:rPr>
        <w:t>Re</w:t>
      </w:r>
      <w:r w:rsidR="00BB0EC8" w:rsidRPr="00282710">
        <w:rPr>
          <w:rFonts w:ascii="Verdana" w:hAnsi="Verdana" w:cs="Verdana"/>
          <w:i/>
          <w:iCs/>
          <w:sz w:val="19"/>
          <w:szCs w:val="19"/>
        </w:rPr>
        <w:t>muneration Tribunal Act 1973</w:t>
      </w:r>
      <w:r w:rsidR="006E37A6">
        <w:rPr>
          <w:rFonts w:ascii="Verdana" w:hAnsi="Verdana" w:cs="Verdana"/>
          <w:i/>
          <w:iCs/>
          <w:sz w:val="19"/>
          <w:szCs w:val="19"/>
        </w:rPr>
        <w:br w:type="page"/>
      </w:r>
    </w:p>
    <w:p w14:paraId="45495E45" w14:textId="77777777" w:rsidR="00BC232E" w:rsidRPr="00BC232E" w:rsidRDefault="00BC232E" w:rsidP="43B9874A">
      <w:pPr>
        <w:pStyle w:val="Heading2"/>
        <w:rPr>
          <w:rFonts w:ascii="Times New Roman" w:hAnsi="Times New Roman" w:cs="Times New Roman"/>
          <w:b/>
          <w:bCs/>
        </w:rPr>
      </w:pPr>
      <w:r w:rsidRPr="43B9874A">
        <w:rPr>
          <w:rFonts w:ascii="Times New Roman" w:hAnsi="Times New Roman" w:cs="Times New Roman"/>
          <w:b/>
          <w:bCs/>
        </w:rPr>
        <w:lastRenderedPageBreak/>
        <w:t>Statement of Compatibility with Human Rights</w:t>
      </w:r>
    </w:p>
    <w:p w14:paraId="2AB26418" w14:textId="77777777" w:rsidR="00BC232E" w:rsidRPr="00BC232E" w:rsidRDefault="00BC232E" w:rsidP="6C21BC98">
      <w:pPr>
        <w:spacing w:before="120" w:after="120"/>
        <w:jc w:val="center"/>
        <w:rPr>
          <w:sz w:val="24"/>
          <w:szCs w:val="24"/>
        </w:rPr>
      </w:pPr>
      <w:r w:rsidRPr="6C21BC98">
        <w:rPr>
          <w:i/>
          <w:iCs/>
          <w:sz w:val="24"/>
          <w:szCs w:val="24"/>
        </w:rPr>
        <w:t>Prepared in accordance with Part 3 of the Human Rights (Parliamentary Scrutiny) Act 2011</w:t>
      </w:r>
    </w:p>
    <w:p w14:paraId="18B6BD32" w14:textId="77777777" w:rsidR="00BC232E" w:rsidRPr="00BC232E" w:rsidRDefault="00BC232E" w:rsidP="00BC232E">
      <w:pPr>
        <w:spacing w:before="120" w:after="120"/>
        <w:jc w:val="center"/>
        <w:rPr>
          <w:sz w:val="24"/>
          <w:szCs w:val="24"/>
        </w:rPr>
      </w:pPr>
    </w:p>
    <w:p w14:paraId="3584DDCA" w14:textId="62840DC6" w:rsidR="00BC232E" w:rsidRPr="00BC232E" w:rsidRDefault="00BC232E" w:rsidP="00BC232E">
      <w:pPr>
        <w:spacing w:before="120" w:after="120"/>
        <w:jc w:val="center"/>
        <w:rPr>
          <w:b/>
          <w:bCs/>
          <w:sz w:val="24"/>
          <w:szCs w:val="24"/>
        </w:rPr>
      </w:pPr>
      <w:r w:rsidRPr="00BC232E">
        <w:rPr>
          <w:b/>
          <w:bCs/>
          <w:sz w:val="24"/>
          <w:szCs w:val="24"/>
        </w:rPr>
        <w:t>Remuneration Tribunal Amendment Determination (No</w:t>
      </w:r>
      <w:r w:rsidR="00F71B08">
        <w:rPr>
          <w:b/>
          <w:bCs/>
          <w:sz w:val="24"/>
          <w:szCs w:val="24"/>
        </w:rPr>
        <w:t>.</w:t>
      </w:r>
      <w:r w:rsidRPr="00BC232E">
        <w:rPr>
          <w:b/>
          <w:bCs/>
          <w:sz w:val="24"/>
          <w:szCs w:val="24"/>
        </w:rPr>
        <w:t xml:space="preserve"> </w:t>
      </w:r>
      <w:r w:rsidR="001C1709">
        <w:rPr>
          <w:b/>
          <w:bCs/>
          <w:sz w:val="24"/>
          <w:szCs w:val="24"/>
        </w:rPr>
        <w:t>4</w:t>
      </w:r>
      <w:r w:rsidR="002D18EF">
        <w:rPr>
          <w:b/>
          <w:bCs/>
          <w:sz w:val="24"/>
          <w:szCs w:val="24"/>
        </w:rPr>
        <w:t>) 2025</w:t>
      </w:r>
    </w:p>
    <w:p w14:paraId="453D51D1" w14:textId="77777777" w:rsidR="00BC232E" w:rsidRPr="00BC232E" w:rsidRDefault="00BC232E" w:rsidP="00BC232E">
      <w:pPr>
        <w:spacing w:before="120" w:after="120"/>
        <w:jc w:val="center"/>
        <w:rPr>
          <w:sz w:val="24"/>
          <w:szCs w:val="24"/>
        </w:rPr>
      </w:pPr>
    </w:p>
    <w:p w14:paraId="5C78AB0C" w14:textId="77777777" w:rsidR="00BC232E" w:rsidRPr="00BC232E" w:rsidRDefault="00BC232E" w:rsidP="00BC232E">
      <w:pPr>
        <w:spacing w:before="120" w:after="120"/>
        <w:jc w:val="center"/>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0F65F3DA"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2A62016" w14:textId="00106100"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1A29C8E8" w14:textId="1DC95D2D" w:rsidR="00BC232E" w:rsidRPr="00BC232E" w:rsidRDefault="00BC232E" w:rsidP="00BC232E">
      <w:pPr>
        <w:spacing w:before="120" w:after="120"/>
        <w:rPr>
          <w:sz w:val="24"/>
          <w:szCs w:val="24"/>
        </w:rPr>
      </w:pPr>
      <w:r w:rsidRPr="44894C30">
        <w:rPr>
          <w:sz w:val="24"/>
          <w:szCs w:val="24"/>
        </w:rPr>
        <w:t>This instrument</w:t>
      </w:r>
      <w:r w:rsidR="00EA7D55" w:rsidRPr="44894C30">
        <w:rPr>
          <w:sz w:val="24"/>
          <w:szCs w:val="24"/>
        </w:rPr>
        <w:t xml:space="preserve"> </w:t>
      </w:r>
      <w:r w:rsidRPr="44894C30">
        <w:rPr>
          <w:sz w:val="24"/>
          <w:szCs w:val="24"/>
        </w:rPr>
        <w:t>amends the principal determinations:</w:t>
      </w:r>
    </w:p>
    <w:p w14:paraId="500D28BF" w14:textId="6F031473" w:rsidR="00BC232E" w:rsidRDefault="00BC232E" w:rsidP="008D0AD9">
      <w:pPr>
        <w:pStyle w:val="ListParagraph"/>
        <w:numPr>
          <w:ilvl w:val="0"/>
          <w:numId w:val="11"/>
        </w:numPr>
        <w:spacing w:before="120" w:after="120"/>
        <w:contextualSpacing w:val="0"/>
        <w:rPr>
          <w:sz w:val="24"/>
          <w:szCs w:val="24"/>
        </w:rPr>
      </w:pPr>
      <w:r w:rsidRPr="00BC232E">
        <w:rPr>
          <w:sz w:val="24"/>
          <w:szCs w:val="24"/>
        </w:rPr>
        <w:t>Remuneration Tribunal (Remuneration and Allowances for Holders of Full-time P</w:t>
      </w:r>
      <w:r w:rsidR="001C1709">
        <w:rPr>
          <w:sz w:val="24"/>
          <w:szCs w:val="24"/>
        </w:rPr>
        <w:t>ublic Office) Determination 2025</w:t>
      </w:r>
    </w:p>
    <w:p w14:paraId="70BEAB22" w14:textId="77777777" w:rsidR="0015547C" w:rsidRPr="00BC232E" w:rsidRDefault="0015547C" w:rsidP="0015547C">
      <w:pPr>
        <w:pStyle w:val="ListParagraph"/>
        <w:numPr>
          <w:ilvl w:val="0"/>
          <w:numId w:val="11"/>
        </w:numPr>
        <w:spacing w:before="120" w:after="120"/>
        <w:contextualSpacing w:val="0"/>
        <w:rPr>
          <w:sz w:val="24"/>
          <w:szCs w:val="24"/>
        </w:rPr>
      </w:pPr>
      <w:r>
        <w:rPr>
          <w:sz w:val="24"/>
          <w:szCs w:val="24"/>
        </w:rPr>
        <w:t>Remuneration Tribunal (Remuneration and Allowances for Holders of Part-time Public Office) Determination 2025</w:t>
      </w:r>
    </w:p>
    <w:p w14:paraId="643470D8" w14:textId="10844671" w:rsidR="001C1709" w:rsidRDefault="001C1709" w:rsidP="008D0AD9">
      <w:pPr>
        <w:pStyle w:val="ListParagraph"/>
        <w:numPr>
          <w:ilvl w:val="0"/>
          <w:numId w:val="11"/>
        </w:numPr>
        <w:spacing w:before="120" w:after="120"/>
        <w:contextualSpacing w:val="0"/>
        <w:rPr>
          <w:sz w:val="24"/>
          <w:szCs w:val="24"/>
        </w:rPr>
      </w:pPr>
      <w:r>
        <w:rPr>
          <w:sz w:val="24"/>
          <w:szCs w:val="24"/>
        </w:rPr>
        <w:t xml:space="preserve">Remuneration Tribunal (Judicial and Related Offices – Remuneration and Allowances) Determination 2025 </w:t>
      </w:r>
    </w:p>
    <w:p w14:paraId="47022AD3" w14:textId="38226628" w:rsidR="002D18EF" w:rsidRPr="00BC232E" w:rsidRDefault="002D18EF" w:rsidP="6C21BC98">
      <w:pPr>
        <w:spacing w:before="120" w:after="120"/>
        <w:rPr>
          <w:sz w:val="24"/>
          <w:szCs w:val="24"/>
        </w:rPr>
      </w:pPr>
      <w:r w:rsidRPr="006214E1">
        <w:rPr>
          <w:sz w:val="24"/>
          <w:szCs w:val="24"/>
        </w:rPr>
        <w:t xml:space="preserve">This instrument </w:t>
      </w:r>
      <w:r w:rsidR="009F71BD" w:rsidRPr="006214E1">
        <w:rPr>
          <w:sz w:val="24"/>
          <w:szCs w:val="24"/>
        </w:rPr>
        <w:t xml:space="preserve">establishes remuneration </w:t>
      </w:r>
      <w:r w:rsidR="00E315EB" w:rsidRPr="006214E1">
        <w:rPr>
          <w:sz w:val="24"/>
          <w:szCs w:val="24"/>
        </w:rPr>
        <w:t xml:space="preserve">and travel tier for </w:t>
      </w:r>
      <w:r w:rsidR="006214E1" w:rsidRPr="006214E1">
        <w:rPr>
          <w:sz w:val="24"/>
          <w:szCs w:val="24"/>
        </w:rPr>
        <w:t xml:space="preserve">3 </w:t>
      </w:r>
      <w:r w:rsidR="00E315EB" w:rsidRPr="006214E1">
        <w:rPr>
          <w:sz w:val="24"/>
          <w:szCs w:val="24"/>
        </w:rPr>
        <w:t>new full-time office</w:t>
      </w:r>
      <w:r w:rsidR="006214E1" w:rsidRPr="006214E1">
        <w:rPr>
          <w:sz w:val="24"/>
          <w:szCs w:val="24"/>
        </w:rPr>
        <w:t>s</w:t>
      </w:r>
      <w:r w:rsidR="00E315EB" w:rsidRPr="006214E1">
        <w:rPr>
          <w:sz w:val="24"/>
          <w:szCs w:val="24"/>
        </w:rPr>
        <w:t xml:space="preserve"> and </w:t>
      </w:r>
      <w:r w:rsidR="006214E1" w:rsidRPr="006214E1">
        <w:rPr>
          <w:sz w:val="24"/>
          <w:szCs w:val="24"/>
        </w:rPr>
        <w:t xml:space="preserve">the </w:t>
      </w:r>
      <w:r w:rsidR="00E315EB" w:rsidRPr="006214E1">
        <w:rPr>
          <w:sz w:val="24"/>
          <w:szCs w:val="24"/>
        </w:rPr>
        <w:t>part-time office</w:t>
      </w:r>
      <w:r w:rsidR="006214E1" w:rsidRPr="006214E1">
        <w:rPr>
          <w:sz w:val="24"/>
          <w:szCs w:val="24"/>
        </w:rPr>
        <w:t xml:space="preserve">s of a new body, </w:t>
      </w:r>
      <w:r w:rsidR="00F41B0D">
        <w:rPr>
          <w:sz w:val="24"/>
          <w:szCs w:val="24"/>
        </w:rPr>
        <w:t>corrects the</w:t>
      </w:r>
      <w:r w:rsidR="006214E1" w:rsidRPr="006214E1">
        <w:rPr>
          <w:sz w:val="24"/>
          <w:szCs w:val="24"/>
        </w:rPr>
        <w:t xml:space="preserve"> remuneration of one full-time office and </w:t>
      </w:r>
      <w:r w:rsidR="00BD7849">
        <w:rPr>
          <w:sz w:val="24"/>
          <w:szCs w:val="24"/>
        </w:rPr>
        <w:t xml:space="preserve">one </w:t>
      </w:r>
      <w:r w:rsidR="006214E1" w:rsidRPr="006214E1">
        <w:rPr>
          <w:sz w:val="24"/>
          <w:szCs w:val="24"/>
        </w:rPr>
        <w:t xml:space="preserve">part-time office, </w:t>
      </w:r>
      <w:r w:rsidR="00201C2F">
        <w:rPr>
          <w:sz w:val="24"/>
          <w:szCs w:val="24"/>
        </w:rPr>
        <w:t xml:space="preserve">increases the remuneration of 2 part-time offices, </w:t>
      </w:r>
      <w:r w:rsidR="006214E1" w:rsidRPr="006214E1">
        <w:rPr>
          <w:sz w:val="24"/>
          <w:szCs w:val="24"/>
        </w:rPr>
        <w:t xml:space="preserve">establishes audit committee fees for one body, removes expired temporary special provisions for 2 office holders, sets a personal superannuation salary for one office holder, establishes a special provision for one office holder, and increases the rate of an allowance paid in lieu of travelling allowance to Canberra for Justices of the High Court. </w:t>
      </w:r>
    </w:p>
    <w:p w14:paraId="48611FA9"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4A03074" w14:textId="2A77937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706FB498" w14:textId="77777777" w:rsidR="00BC232E" w:rsidRPr="00BC232E" w:rsidRDefault="00BC232E" w:rsidP="00BC232E">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68ED23A8" w14:textId="77777777" w:rsidR="00560C44" w:rsidRDefault="00560C44" w:rsidP="00BC232E">
      <w:pPr>
        <w:pStyle w:val="Default"/>
        <w:rPr>
          <w:b/>
          <w:i/>
          <w:sz w:val="22"/>
          <w:szCs w:val="22"/>
        </w:rPr>
      </w:pPr>
    </w:p>
    <w:p w14:paraId="50617573" w14:textId="38888899" w:rsidR="00BC232E" w:rsidRPr="00BC232E" w:rsidDel="00C150C1" w:rsidRDefault="00BC232E" w:rsidP="00BC232E">
      <w:pPr>
        <w:pStyle w:val="Default"/>
        <w:rPr>
          <w:b/>
          <w:i/>
          <w:sz w:val="22"/>
          <w:szCs w:val="22"/>
        </w:rPr>
      </w:pPr>
      <w:r w:rsidRPr="00BC232E">
        <w:rPr>
          <w:b/>
          <w:i/>
          <w:sz w:val="22"/>
          <w:szCs w:val="22"/>
        </w:rPr>
        <w:t xml:space="preserve">Right to work and to just and favourable conditions of work </w:t>
      </w:r>
    </w:p>
    <w:p w14:paraId="45E396B1" w14:textId="55596272" w:rsidR="00BC232E" w:rsidRPr="00BC232E" w:rsidRDefault="00BC232E" w:rsidP="6C21BC98">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4718DCF1" w14:textId="5F535DCD" w:rsidR="00BC232E" w:rsidRPr="00BC232E" w:rsidRDefault="00BC232E" w:rsidP="6C21BC98">
      <w:pPr>
        <w:spacing w:before="120" w:after="120"/>
        <w:rPr>
          <w:rFonts w:eastAsia="Calibri"/>
          <w:sz w:val="24"/>
          <w:szCs w:val="24"/>
        </w:rPr>
      </w:pPr>
      <w:r w:rsidRPr="44894C30">
        <w:rPr>
          <w:rFonts w:eastAsia="Calibri"/>
          <w:sz w:val="24"/>
          <w:szCs w:val="24"/>
        </w:rPr>
        <w:t xml:space="preserve">Consistent with Articles 6 and 7 of the ICESCR, this instrument ensures that individuals appointed to the public offices subject to the determination </w:t>
      </w:r>
      <w:r w:rsidR="001903FC" w:rsidRPr="44894C30">
        <w:rPr>
          <w:rFonts w:eastAsia="Calibri"/>
          <w:sz w:val="24"/>
          <w:szCs w:val="24"/>
        </w:rPr>
        <w:t>are</w:t>
      </w:r>
      <w:r w:rsidRPr="44894C30">
        <w:rPr>
          <w:rFonts w:eastAsia="Calibri"/>
          <w:sz w:val="24"/>
          <w:szCs w:val="24"/>
        </w:rPr>
        <w:t xml:space="preserve"> fairly remunerated in respect of the work they undertake as public office holders. Specifically, the instrument:</w:t>
      </w:r>
    </w:p>
    <w:p w14:paraId="1448A313" w14:textId="0DC03C1C" w:rsidR="002D18EF" w:rsidRPr="004F0A3A" w:rsidRDefault="00364719" w:rsidP="6C21BC98">
      <w:pPr>
        <w:pStyle w:val="ListParagraph"/>
        <w:numPr>
          <w:ilvl w:val="0"/>
          <w:numId w:val="11"/>
        </w:numPr>
        <w:spacing w:before="120" w:after="120"/>
        <w:rPr>
          <w:sz w:val="24"/>
          <w:szCs w:val="24"/>
        </w:rPr>
      </w:pPr>
      <w:r w:rsidRPr="004F0A3A">
        <w:rPr>
          <w:sz w:val="24"/>
          <w:szCs w:val="24"/>
        </w:rPr>
        <w:t xml:space="preserve">establishes remuneration </w:t>
      </w:r>
      <w:r w:rsidR="00E315EB" w:rsidRPr="004F0A3A">
        <w:rPr>
          <w:sz w:val="24"/>
          <w:szCs w:val="24"/>
        </w:rPr>
        <w:t>and travel tier for the full-time office</w:t>
      </w:r>
      <w:r w:rsidR="00F41B0D" w:rsidRPr="004F0A3A">
        <w:rPr>
          <w:sz w:val="24"/>
          <w:szCs w:val="24"/>
        </w:rPr>
        <w:t>s</w:t>
      </w:r>
      <w:r w:rsidR="00E315EB" w:rsidRPr="004F0A3A">
        <w:rPr>
          <w:sz w:val="24"/>
          <w:szCs w:val="24"/>
        </w:rPr>
        <w:t xml:space="preserve"> of </w:t>
      </w:r>
      <w:r w:rsidR="00F41B0D" w:rsidRPr="004F0A3A">
        <w:rPr>
          <w:sz w:val="24"/>
          <w:szCs w:val="24"/>
        </w:rPr>
        <w:t>the Director-General and Deputy Director-General, Australian Naval Nuclear Power Safety Regulator</w:t>
      </w:r>
      <w:r w:rsidR="00E315EB" w:rsidRPr="004F0A3A">
        <w:rPr>
          <w:sz w:val="24"/>
          <w:szCs w:val="24"/>
        </w:rPr>
        <w:t>;</w:t>
      </w:r>
    </w:p>
    <w:p w14:paraId="2FD83D39" w14:textId="77777777" w:rsidR="00F41B0D" w:rsidRPr="004F0A3A" w:rsidRDefault="00771CEB" w:rsidP="6C21BC98">
      <w:pPr>
        <w:pStyle w:val="ListParagraph"/>
        <w:numPr>
          <w:ilvl w:val="0"/>
          <w:numId w:val="11"/>
        </w:numPr>
        <w:spacing w:before="120" w:after="120"/>
        <w:rPr>
          <w:sz w:val="24"/>
          <w:szCs w:val="24"/>
        </w:rPr>
      </w:pPr>
      <w:r w:rsidRPr="004F0A3A">
        <w:rPr>
          <w:sz w:val="24"/>
          <w:szCs w:val="24"/>
        </w:rPr>
        <w:t xml:space="preserve">establishes remuneration and travel tier for the </w:t>
      </w:r>
      <w:r w:rsidR="00F41B0D" w:rsidRPr="004F0A3A">
        <w:rPr>
          <w:sz w:val="24"/>
          <w:szCs w:val="24"/>
        </w:rPr>
        <w:t xml:space="preserve">full-time </w:t>
      </w:r>
      <w:r w:rsidRPr="004F0A3A">
        <w:rPr>
          <w:sz w:val="24"/>
          <w:szCs w:val="24"/>
        </w:rPr>
        <w:t>office</w:t>
      </w:r>
      <w:r w:rsidR="00E315EB" w:rsidRPr="004F0A3A">
        <w:rPr>
          <w:sz w:val="24"/>
          <w:szCs w:val="24"/>
        </w:rPr>
        <w:t xml:space="preserve"> of </w:t>
      </w:r>
      <w:r w:rsidR="00F41B0D" w:rsidRPr="004F0A3A">
        <w:rPr>
          <w:sz w:val="24"/>
          <w:szCs w:val="24"/>
        </w:rPr>
        <w:t>Defence and Veterans’ Services Commissioner;</w:t>
      </w:r>
    </w:p>
    <w:p w14:paraId="1897AB74" w14:textId="184477D1" w:rsidR="00F41B0D" w:rsidRPr="004F0A3A" w:rsidRDefault="00F41B0D" w:rsidP="6C21BC98">
      <w:pPr>
        <w:pStyle w:val="ListParagraph"/>
        <w:numPr>
          <w:ilvl w:val="0"/>
          <w:numId w:val="11"/>
        </w:numPr>
        <w:spacing w:before="120" w:after="120"/>
        <w:rPr>
          <w:sz w:val="24"/>
          <w:szCs w:val="24"/>
        </w:rPr>
      </w:pPr>
      <w:r w:rsidRPr="004F0A3A">
        <w:rPr>
          <w:sz w:val="24"/>
          <w:szCs w:val="24"/>
        </w:rPr>
        <w:t xml:space="preserve">corrects </w:t>
      </w:r>
      <w:r w:rsidR="00EF2F57">
        <w:rPr>
          <w:sz w:val="24"/>
          <w:szCs w:val="24"/>
        </w:rPr>
        <w:t>an error in the published remuneration of</w:t>
      </w:r>
      <w:r w:rsidRPr="004F0A3A">
        <w:rPr>
          <w:sz w:val="24"/>
          <w:szCs w:val="24"/>
        </w:rPr>
        <w:t xml:space="preserve"> the office of Principal Member, Veterans’ Review Board;</w:t>
      </w:r>
    </w:p>
    <w:p w14:paraId="66D56BFF" w14:textId="77777777" w:rsidR="00BB2F1F" w:rsidRPr="004F0A3A" w:rsidRDefault="00F41B0D" w:rsidP="6C21BC98">
      <w:pPr>
        <w:pStyle w:val="ListParagraph"/>
        <w:numPr>
          <w:ilvl w:val="0"/>
          <w:numId w:val="11"/>
        </w:numPr>
        <w:spacing w:before="120" w:after="120"/>
        <w:rPr>
          <w:sz w:val="24"/>
          <w:szCs w:val="24"/>
        </w:rPr>
      </w:pPr>
      <w:r w:rsidRPr="004F0A3A">
        <w:rPr>
          <w:sz w:val="24"/>
          <w:szCs w:val="24"/>
        </w:rPr>
        <w:lastRenderedPageBreak/>
        <w:t xml:space="preserve">removes the special provisions (temporary accommodation and reunion travel assistance) determined for Professor Dorothy Keefe, Chief Executive Officer of Cancer Australia </w:t>
      </w:r>
      <w:r w:rsidR="00BB2F1F" w:rsidRPr="004F0A3A">
        <w:rPr>
          <w:sz w:val="24"/>
          <w:szCs w:val="24"/>
        </w:rPr>
        <w:t>which have expired;</w:t>
      </w:r>
    </w:p>
    <w:p w14:paraId="7387631B" w14:textId="35C405F0" w:rsidR="00BB2F1F" w:rsidRPr="004F0A3A" w:rsidRDefault="00BB2F1F" w:rsidP="6C21BC98">
      <w:pPr>
        <w:pStyle w:val="ListParagraph"/>
        <w:numPr>
          <w:ilvl w:val="0"/>
          <w:numId w:val="11"/>
        </w:numPr>
        <w:spacing w:before="120" w:after="120"/>
        <w:rPr>
          <w:sz w:val="24"/>
          <w:szCs w:val="24"/>
        </w:rPr>
      </w:pPr>
      <w:r w:rsidRPr="004F0A3A">
        <w:rPr>
          <w:sz w:val="24"/>
          <w:szCs w:val="24"/>
        </w:rPr>
        <w:t>removes the personal superannuation salary for Ms Cathryn Pope, former Deputy President, Repatriation Commission, reflecting the expiry of her term of office;</w:t>
      </w:r>
    </w:p>
    <w:p w14:paraId="1B4461E6" w14:textId="77777777" w:rsidR="00BB2F1F" w:rsidRPr="004F0A3A" w:rsidRDefault="00BB2F1F" w:rsidP="6C21BC98">
      <w:pPr>
        <w:pStyle w:val="ListParagraph"/>
        <w:numPr>
          <w:ilvl w:val="0"/>
          <w:numId w:val="11"/>
        </w:numPr>
        <w:spacing w:before="120" w:after="120"/>
        <w:rPr>
          <w:sz w:val="24"/>
          <w:szCs w:val="24"/>
        </w:rPr>
      </w:pPr>
      <w:r w:rsidRPr="004F0A3A">
        <w:rPr>
          <w:sz w:val="24"/>
          <w:szCs w:val="24"/>
        </w:rPr>
        <w:t>amends the personal superannuation salary for Ms Jamie Lowe, Merit Protection Commissioner;</w:t>
      </w:r>
    </w:p>
    <w:p w14:paraId="691159A9" w14:textId="77777777" w:rsidR="00BB2F1F" w:rsidRPr="004F0A3A" w:rsidRDefault="00BB2F1F" w:rsidP="6C21BC98">
      <w:pPr>
        <w:pStyle w:val="ListParagraph"/>
        <w:numPr>
          <w:ilvl w:val="0"/>
          <w:numId w:val="11"/>
        </w:numPr>
        <w:spacing w:before="120" w:after="120"/>
        <w:rPr>
          <w:sz w:val="24"/>
          <w:szCs w:val="24"/>
        </w:rPr>
      </w:pPr>
      <w:r w:rsidRPr="004F0A3A">
        <w:rPr>
          <w:sz w:val="24"/>
          <w:szCs w:val="24"/>
        </w:rPr>
        <w:t>amends the annual fees for the part-time offices of Chair and Member of the Special Broadcasting Service Board;</w:t>
      </w:r>
    </w:p>
    <w:p w14:paraId="3D71A39C" w14:textId="77777777" w:rsidR="00BB2F1F" w:rsidRPr="004F0A3A" w:rsidRDefault="00BB2F1F" w:rsidP="6C21BC98">
      <w:pPr>
        <w:pStyle w:val="ListParagraph"/>
        <w:numPr>
          <w:ilvl w:val="0"/>
          <w:numId w:val="11"/>
        </w:numPr>
        <w:spacing w:before="120" w:after="120"/>
        <w:rPr>
          <w:sz w:val="24"/>
          <w:szCs w:val="24"/>
        </w:rPr>
      </w:pPr>
      <w:r w:rsidRPr="004F0A3A">
        <w:rPr>
          <w:sz w:val="24"/>
          <w:szCs w:val="24"/>
        </w:rPr>
        <w:t>establishes audit committee fees for the part-time offices of Chair and Member of the Special Broadcasting Service Board audit committee;</w:t>
      </w:r>
    </w:p>
    <w:p w14:paraId="715BE0E9" w14:textId="77777777" w:rsidR="00BB2F1F" w:rsidRPr="004F0A3A" w:rsidRDefault="00BB2F1F" w:rsidP="6C21BC98">
      <w:pPr>
        <w:pStyle w:val="ListParagraph"/>
        <w:numPr>
          <w:ilvl w:val="0"/>
          <w:numId w:val="11"/>
        </w:numPr>
        <w:spacing w:before="120" w:after="120"/>
        <w:rPr>
          <w:sz w:val="24"/>
          <w:szCs w:val="24"/>
        </w:rPr>
      </w:pPr>
      <w:r w:rsidRPr="004F0A3A">
        <w:rPr>
          <w:sz w:val="24"/>
          <w:szCs w:val="24"/>
        </w:rPr>
        <w:t>establishes a special provision for Ms Marianna O’Gorman, Deputy Chair of the Australian Renewable Energy Agency Board for her membership of the Board’s audit committee;</w:t>
      </w:r>
    </w:p>
    <w:p w14:paraId="2D20F2B7" w14:textId="1EAFE130" w:rsidR="00771CEB" w:rsidRPr="004F0A3A" w:rsidRDefault="004F0A3A" w:rsidP="6C21BC98">
      <w:pPr>
        <w:pStyle w:val="ListParagraph"/>
        <w:numPr>
          <w:ilvl w:val="0"/>
          <w:numId w:val="11"/>
        </w:numPr>
        <w:spacing w:before="120" w:after="120"/>
        <w:rPr>
          <w:sz w:val="24"/>
          <w:szCs w:val="24"/>
        </w:rPr>
      </w:pPr>
      <w:r w:rsidRPr="004F0A3A">
        <w:rPr>
          <w:sz w:val="24"/>
          <w:szCs w:val="24"/>
        </w:rPr>
        <w:t>establishes remuneration and travel tier for the part-time offices of Chair and Member of the Sydney Airport Demand Management Compliance Committee</w:t>
      </w:r>
      <w:r w:rsidR="00E315EB" w:rsidRPr="004F0A3A">
        <w:rPr>
          <w:sz w:val="24"/>
          <w:szCs w:val="24"/>
        </w:rPr>
        <w:t xml:space="preserve">; </w:t>
      </w:r>
      <w:r w:rsidR="00C00609" w:rsidRPr="004F0A3A">
        <w:rPr>
          <w:sz w:val="24"/>
          <w:szCs w:val="24"/>
        </w:rPr>
        <w:t>and</w:t>
      </w:r>
    </w:p>
    <w:p w14:paraId="2AB6DC2F" w14:textId="4535C24C" w:rsidR="00364719" w:rsidRPr="004F0A3A" w:rsidRDefault="004F0A3A" w:rsidP="6C21BC98">
      <w:pPr>
        <w:pStyle w:val="ListParagraph"/>
        <w:numPr>
          <w:ilvl w:val="0"/>
          <w:numId w:val="11"/>
        </w:numPr>
        <w:spacing w:before="120" w:after="120"/>
        <w:rPr>
          <w:sz w:val="24"/>
          <w:szCs w:val="24"/>
        </w:rPr>
      </w:pPr>
      <w:r w:rsidRPr="004F0A3A">
        <w:rPr>
          <w:sz w:val="24"/>
          <w:szCs w:val="24"/>
        </w:rPr>
        <w:t>increases the rate of an allowance paid in lieu of travelling allowance to Canberra for Justices of the High Court.</w:t>
      </w:r>
    </w:p>
    <w:p w14:paraId="22620771" w14:textId="0C9F9715" w:rsidR="00BC232E" w:rsidRDefault="00BC232E" w:rsidP="00BC232E">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6C36D863"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7415EE90" w14:textId="227B389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 xml:space="preserve">Conclusion </w:t>
      </w:r>
    </w:p>
    <w:p w14:paraId="086E014D" w14:textId="77777777" w:rsidR="00BC232E" w:rsidRPr="00BC232E" w:rsidRDefault="00BC232E" w:rsidP="6C21BC98">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7F34AB87" w14:textId="77777777" w:rsidR="00BC232E" w:rsidRPr="00BC232E" w:rsidRDefault="00BC232E" w:rsidP="00BC232E">
      <w:pPr>
        <w:spacing w:before="120" w:after="120"/>
        <w:rPr>
          <w:sz w:val="24"/>
          <w:szCs w:val="24"/>
        </w:rPr>
      </w:pPr>
    </w:p>
    <w:p w14:paraId="22A561F7" w14:textId="77777777" w:rsidR="00BC232E" w:rsidRPr="00BC232E" w:rsidRDefault="00BC232E" w:rsidP="00BC232E">
      <w:pPr>
        <w:pStyle w:val="Default"/>
        <w:jc w:val="center"/>
        <w:rPr>
          <w:b/>
          <w:bCs/>
          <w:lang w:eastAsia="en-AU"/>
        </w:rPr>
      </w:pPr>
      <w:r w:rsidRPr="00BC232E">
        <w:rPr>
          <w:b/>
          <w:bCs/>
          <w:lang w:eastAsia="en-AU"/>
        </w:rPr>
        <w:t>The Remuneration Tribunal</w:t>
      </w:r>
    </w:p>
    <w:p w14:paraId="02132E67" w14:textId="2E1F3565" w:rsidR="006E37A6" w:rsidRPr="00BC232E" w:rsidRDefault="006E37A6" w:rsidP="00BC232E"/>
    <w:sectPr w:rsidR="006E37A6" w:rsidRPr="00BC232E" w:rsidSect="0050024D">
      <w:headerReference w:type="default" r:id="rId12"/>
      <w:footerReference w:type="even" r:id="rId13"/>
      <w:footerReference w:type="default" r:id="rId14"/>
      <w:headerReference w:type="first" r:id="rId15"/>
      <w:footerReference w:type="first" r:id="rId16"/>
      <w:pgSz w:w="11906" w:h="16838" w:code="9"/>
      <w:pgMar w:top="709" w:right="1134" w:bottom="249" w:left="1134" w:header="720" w:footer="567" w:gutter="0"/>
      <w:pgNumType w:start="1"/>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8673" w14:textId="77777777" w:rsidR="00AB3F7E" w:rsidRPr="00DD2B8F" w:rsidRDefault="00AB3F7E">
      <w:pPr>
        <w:rPr>
          <w:sz w:val="19"/>
          <w:szCs w:val="19"/>
        </w:rPr>
      </w:pPr>
      <w:r w:rsidRPr="00DD2B8F">
        <w:rPr>
          <w:sz w:val="19"/>
          <w:szCs w:val="19"/>
        </w:rPr>
        <w:separator/>
      </w:r>
    </w:p>
  </w:endnote>
  <w:endnote w:type="continuationSeparator" w:id="0">
    <w:p w14:paraId="62B7DCBD" w14:textId="77777777" w:rsidR="00AB3F7E" w:rsidRPr="00DD2B8F" w:rsidRDefault="00AB3F7E">
      <w:pPr>
        <w:rPr>
          <w:sz w:val="19"/>
          <w:szCs w:val="19"/>
        </w:rPr>
      </w:pPr>
      <w:r w:rsidRPr="00DD2B8F">
        <w:rPr>
          <w:sz w:val="19"/>
          <w:szCs w:val="19"/>
        </w:rPr>
        <w:continuationSeparator/>
      </w:r>
    </w:p>
  </w:endnote>
  <w:endnote w:type="continuationNotice" w:id="1">
    <w:p w14:paraId="7A02D10E" w14:textId="77777777" w:rsidR="00AB3F7E" w:rsidRDefault="00AB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0" w14:textId="77777777" w:rsidR="00AB3F7E" w:rsidRDefault="00AB3F7E" w:rsidP="001F6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32E71" w14:textId="77777777" w:rsidR="00AB3F7E" w:rsidRDefault="00AB3F7E" w:rsidP="00E23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2" w14:textId="744DD065" w:rsidR="00AB3F7E" w:rsidRDefault="00AB3F7E">
    <w:pPr>
      <w:pStyle w:val="Footer"/>
      <w:jc w:val="center"/>
    </w:pPr>
    <w:r>
      <w:fldChar w:fldCharType="begin"/>
    </w:r>
    <w:r>
      <w:instrText xml:space="preserve"> PAGE   \* MERGEFORMAT </w:instrText>
    </w:r>
    <w:r>
      <w:fldChar w:fldCharType="separate"/>
    </w:r>
    <w:r w:rsidR="00717B2A">
      <w:rPr>
        <w:noProof/>
      </w:rPr>
      <w:t>2</w:t>
    </w:r>
    <w:r>
      <w:fldChar w:fldCharType="end"/>
    </w:r>
  </w:p>
  <w:p w14:paraId="02132E73" w14:textId="77777777" w:rsidR="00AB3F7E" w:rsidRPr="00DD2B8F" w:rsidRDefault="00AB3F7E" w:rsidP="007D4D9D">
    <w:pPr>
      <w:pStyle w:val="Footer"/>
      <w:tabs>
        <w:tab w:val="clear" w:pos="4153"/>
        <w:tab w:val="clear" w:pos="8306"/>
        <w:tab w:val="center" w:pos="7338"/>
      </w:tabs>
      <w:spacing w:before="60" w:after="60"/>
      <w:ind w:right="360"/>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5" w14:textId="35B424BE" w:rsidR="00AB3F7E" w:rsidRDefault="00AB3F7E">
    <w:pPr>
      <w:pStyle w:val="Footer"/>
      <w:jc w:val="center"/>
    </w:pPr>
    <w:r>
      <w:fldChar w:fldCharType="begin"/>
    </w:r>
    <w:r>
      <w:instrText xml:space="preserve"> PAGE   \* MERGEFORMAT </w:instrText>
    </w:r>
    <w:r>
      <w:fldChar w:fldCharType="separate"/>
    </w:r>
    <w:r w:rsidR="00717B2A">
      <w:rPr>
        <w:noProof/>
      </w:rPr>
      <w:t>1</w:t>
    </w:r>
    <w:r>
      <w:fldChar w:fldCharType="end"/>
    </w:r>
  </w:p>
  <w:p w14:paraId="02132E76" w14:textId="77777777" w:rsidR="00AB3F7E" w:rsidRDefault="00A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9A7E" w14:textId="77777777" w:rsidR="00AB3F7E" w:rsidRPr="00DD2B8F" w:rsidRDefault="00AB3F7E">
      <w:pPr>
        <w:rPr>
          <w:sz w:val="19"/>
          <w:szCs w:val="19"/>
        </w:rPr>
      </w:pPr>
      <w:r w:rsidRPr="00DD2B8F">
        <w:rPr>
          <w:sz w:val="19"/>
          <w:szCs w:val="19"/>
        </w:rPr>
        <w:separator/>
      </w:r>
    </w:p>
  </w:footnote>
  <w:footnote w:type="continuationSeparator" w:id="0">
    <w:p w14:paraId="081E8DCA" w14:textId="77777777" w:rsidR="00AB3F7E" w:rsidRPr="00DD2B8F" w:rsidRDefault="00AB3F7E">
      <w:pPr>
        <w:rPr>
          <w:sz w:val="19"/>
          <w:szCs w:val="19"/>
        </w:rPr>
      </w:pPr>
      <w:r w:rsidRPr="00DD2B8F">
        <w:rPr>
          <w:sz w:val="19"/>
          <w:szCs w:val="19"/>
        </w:rPr>
        <w:continuationSeparator/>
      </w:r>
    </w:p>
  </w:footnote>
  <w:footnote w:type="continuationNotice" w:id="1">
    <w:p w14:paraId="7E6CF709" w14:textId="77777777" w:rsidR="00AB3F7E" w:rsidRDefault="00AB3F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6E" w14:textId="77777777" w:rsidR="00AB3F7E" w:rsidRDefault="00AB3F7E" w:rsidP="00394E67">
    <w:pPr>
      <w:pStyle w:val="Header"/>
      <w:jc w:val="center"/>
    </w:pPr>
  </w:p>
  <w:p w14:paraId="02132E6F" w14:textId="77777777" w:rsidR="00AB3F7E" w:rsidRDefault="00AB3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4" w14:textId="42EE8FFB" w:rsidR="00AB3F7E" w:rsidRPr="00783A3C" w:rsidRDefault="00AB3F7E" w:rsidP="00394E67">
    <w:pPr>
      <w:pStyle w:val="Header"/>
      <w:jc w:val="center"/>
    </w:pPr>
    <w:r w:rsidRPr="00163E1D">
      <w:rPr>
        <w:noProof/>
      </w:rPr>
      <w:drawing>
        <wp:inline distT="0" distB="0" distL="0" distR="0" wp14:anchorId="5C3B9CDB" wp14:editId="1D758597">
          <wp:extent cx="2043851" cy="1014095"/>
          <wp:effectExtent l="0" t="0" r="0" b="0"/>
          <wp:docPr id="5" name="Picture 9" descr="Commonwealth Government crest above text reading Remuneration Tribunal" title="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Remuneration Tribunal" title="Commonwealth Government Crest.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3851" cy="1014095"/>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int2:observations>
    <int2:textHash int2:hashCode="j98RjViuqe/60m" int2:id="0ygG84LJ">
      <int2:state int2:type="AugLoop_Text_Critique" int2:value="Rejected"/>
    </int2:textHash>
    <int2:textHash int2:hashCode="cmYeOVFBCHD28p" int2:id="ZK6BANoP">
      <int2:state int2:type="AugLoop_Text_Critique" int2:value="Rejected"/>
    </int2:textHash>
    <int2:bookmark int2:bookmarkName="_Int_3Vnu5HLd" int2:invalidationBookmarkName="" int2:hashCode="6tzZvSoJx1rvBJ" int2:id="70r2g1D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EE6"/>
    <w:multiLevelType w:val="multilevel"/>
    <w:tmpl w:val="D8CEE7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9317D"/>
    <w:multiLevelType w:val="multilevel"/>
    <w:tmpl w:val="70F008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C5D91"/>
    <w:multiLevelType w:val="hybridMultilevel"/>
    <w:tmpl w:val="DFF66B6A"/>
    <w:lvl w:ilvl="0" w:tplc="3CCCBF24">
      <w:start w:val="1"/>
      <w:numFmt w:val="decimal"/>
      <w:lvlText w:val="%1."/>
      <w:lvlJc w:val="left"/>
      <w:pPr>
        <w:tabs>
          <w:tab w:val="num" w:pos="644"/>
        </w:tabs>
        <w:ind w:left="644" w:hanging="360"/>
      </w:pPr>
      <w:rPr>
        <w:rFonts w:cs="Times New Roman" w:hint="default"/>
        <w:b w:val="0"/>
        <w:i w:val="0"/>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449C1"/>
    <w:multiLevelType w:val="multilevel"/>
    <w:tmpl w:val="D8CEE7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33997"/>
    <w:multiLevelType w:val="hybridMultilevel"/>
    <w:tmpl w:val="D3D64C3C"/>
    <w:lvl w:ilvl="0" w:tplc="028AB54A">
      <w:start w:val="1"/>
      <w:numFmt w:val="decimal"/>
      <w:lvlText w:val="%1."/>
      <w:lvlJc w:val="left"/>
      <w:pPr>
        <w:tabs>
          <w:tab w:val="num" w:pos="644"/>
        </w:tabs>
        <w:ind w:left="644" w:hanging="360"/>
      </w:pPr>
      <w:rPr>
        <w:rFonts w:cs="Times New Roman" w:hint="default"/>
        <w:b w:val="0"/>
        <w:i w:val="0"/>
        <w:color w:val="auto"/>
        <w:sz w:val="22"/>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1E542B"/>
    <w:multiLevelType w:val="multilevel"/>
    <w:tmpl w:val="720E14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C0B59"/>
    <w:multiLevelType w:val="hybridMultilevel"/>
    <w:tmpl w:val="FC0E2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201F1"/>
    <w:multiLevelType w:val="multilevel"/>
    <w:tmpl w:val="4C7E03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D544D"/>
    <w:multiLevelType w:val="hybridMultilevel"/>
    <w:tmpl w:val="79F6450A"/>
    <w:lvl w:ilvl="0" w:tplc="57E8B89C">
      <w:start w:val="1"/>
      <w:numFmt w:val="decimal"/>
      <w:lvlText w:val="%1."/>
      <w:lvlJc w:val="left"/>
      <w:pPr>
        <w:ind w:left="564" w:hanging="428"/>
      </w:pPr>
      <w:rPr>
        <w:rFonts w:ascii="Verdana" w:eastAsia="Verdana" w:hAnsi="Verdana" w:cs="Verdana" w:hint="default"/>
        <w:b w:val="0"/>
        <w:spacing w:val="-2"/>
        <w:w w:val="100"/>
        <w:sz w:val="22"/>
        <w:szCs w:val="22"/>
        <w:lang w:val="en-AU" w:eastAsia="en-AU" w:bidi="en-AU"/>
      </w:rPr>
    </w:lvl>
    <w:lvl w:ilvl="1" w:tplc="1BD4F742">
      <w:numFmt w:val="bullet"/>
      <w:lvlText w:val="•"/>
      <w:lvlJc w:val="left"/>
      <w:pPr>
        <w:ind w:left="1466" w:hanging="428"/>
      </w:pPr>
      <w:rPr>
        <w:rFonts w:hint="default"/>
        <w:lang w:val="en-AU" w:eastAsia="en-AU" w:bidi="en-AU"/>
      </w:rPr>
    </w:lvl>
    <w:lvl w:ilvl="2" w:tplc="244CE988">
      <w:numFmt w:val="bullet"/>
      <w:lvlText w:val="•"/>
      <w:lvlJc w:val="left"/>
      <w:pPr>
        <w:ind w:left="2373" w:hanging="428"/>
      </w:pPr>
      <w:rPr>
        <w:rFonts w:hint="default"/>
        <w:lang w:val="en-AU" w:eastAsia="en-AU" w:bidi="en-AU"/>
      </w:rPr>
    </w:lvl>
    <w:lvl w:ilvl="3" w:tplc="8D06BD42">
      <w:numFmt w:val="bullet"/>
      <w:lvlText w:val="•"/>
      <w:lvlJc w:val="left"/>
      <w:pPr>
        <w:ind w:left="3279" w:hanging="428"/>
      </w:pPr>
      <w:rPr>
        <w:rFonts w:hint="default"/>
        <w:lang w:val="en-AU" w:eastAsia="en-AU" w:bidi="en-AU"/>
      </w:rPr>
    </w:lvl>
    <w:lvl w:ilvl="4" w:tplc="262AA4AC">
      <w:numFmt w:val="bullet"/>
      <w:lvlText w:val="•"/>
      <w:lvlJc w:val="left"/>
      <w:pPr>
        <w:ind w:left="4186" w:hanging="428"/>
      </w:pPr>
      <w:rPr>
        <w:rFonts w:hint="default"/>
        <w:lang w:val="en-AU" w:eastAsia="en-AU" w:bidi="en-AU"/>
      </w:rPr>
    </w:lvl>
    <w:lvl w:ilvl="5" w:tplc="0532C810">
      <w:numFmt w:val="bullet"/>
      <w:lvlText w:val="•"/>
      <w:lvlJc w:val="left"/>
      <w:pPr>
        <w:ind w:left="5093" w:hanging="428"/>
      </w:pPr>
      <w:rPr>
        <w:rFonts w:hint="default"/>
        <w:lang w:val="en-AU" w:eastAsia="en-AU" w:bidi="en-AU"/>
      </w:rPr>
    </w:lvl>
    <w:lvl w:ilvl="6" w:tplc="A6083542">
      <w:numFmt w:val="bullet"/>
      <w:lvlText w:val="•"/>
      <w:lvlJc w:val="left"/>
      <w:pPr>
        <w:ind w:left="5999" w:hanging="428"/>
      </w:pPr>
      <w:rPr>
        <w:rFonts w:hint="default"/>
        <w:lang w:val="en-AU" w:eastAsia="en-AU" w:bidi="en-AU"/>
      </w:rPr>
    </w:lvl>
    <w:lvl w:ilvl="7" w:tplc="6B60C784">
      <w:numFmt w:val="bullet"/>
      <w:lvlText w:val="•"/>
      <w:lvlJc w:val="left"/>
      <w:pPr>
        <w:ind w:left="6906" w:hanging="428"/>
      </w:pPr>
      <w:rPr>
        <w:rFonts w:hint="default"/>
        <w:lang w:val="en-AU" w:eastAsia="en-AU" w:bidi="en-AU"/>
      </w:rPr>
    </w:lvl>
    <w:lvl w:ilvl="8" w:tplc="B43E5542">
      <w:numFmt w:val="bullet"/>
      <w:lvlText w:val="•"/>
      <w:lvlJc w:val="left"/>
      <w:pPr>
        <w:ind w:left="7813" w:hanging="428"/>
      </w:pPr>
      <w:rPr>
        <w:rFonts w:hint="default"/>
        <w:lang w:val="en-AU" w:eastAsia="en-AU" w:bidi="en-AU"/>
      </w:rPr>
    </w:lvl>
  </w:abstractNum>
  <w:abstractNum w:abstractNumId="9" w15:restartNumberingAfterBreak="0">
    <w:nsid w:val="38D32E33"/>
    <w:multiLevelType w:val="hybridMultilevel"/>
    <w:tmpl w:val="1C1C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B5FA1"/>
    <w:multiLevelType w:val="multilevel"/>
    <w:tmpl w:val="C7B62D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9106C"/>
    <w:multiLevelType w:val="multilevel"/>
    <w:tmpl w:val="564622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40BD9"/>
    <w:multiLevelType w:val="multilevel"/>
    <w:tmpl w:val="7278C4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06BBA"/>
    <w:multiLevelType w:val="multilevel"/>
    <w:tmpl w:val="D8CEE7F0"/>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4E0C5544"/>
    <w:multiLevelType w:val="multilevel"/>
    <w:tmpl w:val="D8CEE7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600F2"/>
    <w:multiLevelType w:val="hybridMultilevel"/>
    <w:tmpl w:val="16787FCE"/>
    <w:lvl w:ilvl="0" w:tplc="E1529E9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332FD"/>
    <w:multiLevelType w:val="hybridMultilevel"/>
    <w:tmpl w:val="F2CA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553D9"/>
    <w:multiLevelType w:val="multilevel"/>
    <w:tmpl w:val="E070D1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E1A5D"/>
    <w:multiLevelType w:val="multilevel"/>
    <w:tmpl w:val="467EE7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655C6"/>
    <w:multiLevelType w:val="multilevel"/>
    <w:tmpl w:val="D8CEE7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D3E01"/>
    <w:multiLevelType w:val="multilevel"/>
    <w:tmpl w:val="DC5C76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22" w15:restartNumberingAfterBreak="0">
    <w:nsid w:val="7E043398"/>
    <w:multiLevelType w:val="hybridMultilevel"/>
    <w:tmpl w:val="1396A91A"/>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num w:numId="1">
    <w:abstractNumId w:val="4"/>
  </w:num>
  <w:num w:numId="2">
    <w:abstractNumId w:val="21"/>
  </w:num>
  <w:num w:numId="3">
    <w:abstractNumId w:val="22"/>
  </w:num>
  <w:num w:numId="4">
    <w:abstractNumId w:val="9"/>
  </w:num>
  <w:num w:numId="5">
    <w:abstractNumId w:val="6"/>
  </w:num>
  <w:num w:numId="6">
    <w:abstractNumId w:val="13"/>
  </w:num>
  <w:num w:numId="7">
    <w:abstractNumId w:val="14"/>
  </w:num>
  <w:num w:numId="8">
    <w:abstractNumId w:val="19"/>
  </w:num>
  <w:num w:numId="9">
    <w:abstractNumId w:val="3"/>
  </w:num>
  <w:num w:numId="10">
    <w:abstractNumId w:val="0"/>
  </w:num>
  <w:num w:numId="11">
    <w:abstractNumId w:val="15"/>
  </w:num>
  <w:num w:numId="12">
    <w:abstractNumId w:val="2"/>
  </w:num>
  <w:num w:numId="13">
    <w:abstractNumId w:val="16"/>
  </w:num>
  <w:num w:numId="14">
    <w:abstractNumId w:val="8"/>
  </w:num>
  <w:num w:numId="15">
    <w:abstractNumId w:val="11"/>
  </w:num>
  <w:num w:numId="16">
    <w:abstractNumId w:val="17"/>
  </w:num>
  <w:num w:numId="17">
    <w:abstractNumId w:val="5"/>
  </w:num>
  <w:num w:numId="18">
    <w:abstractNumId w:val="1"/>
  </w:num>
  <w:num w:numId="19">
    <w:abstractNumId w:val="12"/>
  </w:num>
  <w:num w:numId="20">
    <w:abstractNumId w:val="18"/>
  </w:num>
  <w:num w:numId="21">
    <w:abstractNumId w:val="10"/>
  </w:num>
  <w:num w:numId="22">
    <w:abstractNumId w:val="20"/>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0E3A"/>
    <w:rsid w:val="00001820"/>
    <w:rsid w:val="000023C8"/>
    <w:rsid w:val="00003155"/>
    <w:rsid w:val="000035CC"/>
    <w:rsid w:val="00004B27"/>
    <w:rsid w:val="000054DB"/>
    <w:rsid w:val="0000569D"/>
    <w:rsid w:val="0000604F"/>
    <w:rsid w:val="00006463"/>
    <w:rsid w:val="00007F56"/>
    <w:rsid w:val="0001005C"/>
    <w:rsid w:val="00011280"/>
    <w:rsid w:val="00011599"/>
    <w:rsid w:val="0001264D"/>
    <w:rsid w:val="00012A12"/>
    <w:rsid w:val="000135F7"/>
    <w:rsid w:val="000143C9"/>
    <w:rsid w:val="00014722"/>
    <w:rsid w:val="0002276A"/>
    <w:rsid w:val="000239DD"/>
    <w:rsid w:val="00023A2F"/>
    <w:rsid w:val="00023EC0"/>
    <w:rsid w:val="000242B1"/>
    <w:rsid w:val="000249C3"/>
    <w:rsid w:val="000250DD"/>
    <w:rsid w:val="00025B39"/>
    <w:rsid w:val="00030437"/>
    <w:rsid w:val="000317C3"/>
    <w:rsid w:val="00034BAE"/>
    <w:rsid w:val="00035730"/>
    <w:rsid w:val="00037455"/>
    <w:rsid w:val="000430E2"/>
    <w:rsid w:val="00043D60"/>
    <w:rsid w:val="00044C4A"/>
    <w:rsid w:val="000527B4"/>
    <w:rsid w:val="000536F5"/>
    <w:rsid w:val="000542DA"/>
    <w:rsid w:val="00054784"/>
    <w:rsid w:val="000606EB"/>
    <w:rsid w:val="00061675"/>
    <w:rsid w:val="00062AA8"/>
    <w:rsid w:val="00062F20"/>
    <w:rsid w:val="000647AA"/>
    <w:rsid w:val="000648F3"/>
    <w:rsid w:val="00073E6D"/>
    <w:rsid w:val="000747AD"/>
    <w:rsid w:val="000774AE"/>
    <w:rsid w:val="00081A18"/>
    <w:rsid w:val="00082295"/>
    <w:rsid w:val="000845E7"/>
    <w:rsid w:val="0008482D"/>
    <w:rsid w:val="00085C85"/>
    <w:rsid w:val="000906CF"/>
    <w:rsid w:val="00092B54"/>
    <w:rsid w:val="00094567"/>
    <w:rsid w:val="00095297"/>
    <w:rsid w:val="0009604D"/>
    <w:rsid w:val="000A2222"/>
    <w:rsid w:val="000A54E8"/>
    <w:rsid w:val="000A6070"/>
    <w:rsid w:val="000A7269"/>
    <w:rsid w:val="000B1197"/>
    <w:rsid w:val="000B1E35"/>
    <w:rsid w:val="000B251F"/>
    <w:rsid w:val="000B368D"/>
    <w:rsid w:val="000B5721"/>
    <w:rsid w:val="000B6529"/>
    <w:rsid w:val="000B750C"/>
    <w:rsid w:val="000C2D03"/>
    <w:rsid w:val="000C2EB4"/>
    <w:rsid w:val="000C539F"/>
    <w:rsid w:val="000C541F"/>
    <w:rsid w:val="000C689F"/>
    <w:rsid w:val="000C6FEC"/>
    <w:rsid w:val="000D0ACB"/>
    <w:rsid w:val="000D520F"/>
    <w:rsid w:val="000D6E33"/>
    <w:rsid w:val="000D724E"/>
    <w:rsid w:val="000D78EA"/>
    <w:rsid w:val="000D7B93"/>
    <w:rsid w:val="000E0809"/>
    <w:rsid w:val="000E18F7"/>
    <w:rsid w:val="000E1ECE"/>
    <w:rsid w:val="000E3967"/>
    <w:rsid w:val="000E43AA"/>
    <w:rsid w:val="000E6B59"/>
    <w:rsid w:val="000F030E"/>
    <w:rsid w:val="000F3B16"/>
    <w:rsid w:val="000F46EC"/>
    <w:rsid w:val="000F69A7"/>
    <w:rsid w:val="000F7C34"/>
    <w:rsid w:val="00100422"/>
    <w:rsid w:val="0010048F"/>
    <w:rsid w:val="00101BE6"/>
    <w:rsid w:val="001027C8"/>
    <w:rsid w:val="00104D53"/>
    <w:rsid w:val="00107D83"/>
    <w:rsid w:val="001101E0"/>
    <w:rsid w:val="001115D0"/>
    <w:rsid w:val="00113E51"/>
    <w:rsid w:val="00114A83"/>
    <w:rsid w:val="001161A5"/>
    <w:rsid w:val="0011677D"/>
    <w:rsid w:val="0012043A"/>
    <w:rsid w:val="00123985"/>
    <w:rsid w:val="00123E19"/>
    <w:rsid w:val="00126C71"/>
    <w:rsid w:val="00127F00"/>
    <w:rsid w:val="001306A9"/>
    <w:rsid w:val="00130C02"/>
    <w:rsid w:val="001314E8"/>
    <w:rsid w:val="001320E7"/>
    <w:rsid w:val="001346B4"/>
    <w:rsid w:val="001373A1"/>
    <w:rsid w:val="00137E31"/>
    <w:rsid w:val="00137F10"/>
    <w:rsid w:val="00140909"/>
    <w:rsid w:val="0014198B"/>
    <w:rsid w:val="00141BB2"/>
    <w:rsid w:val="001427A8"/>
    <w:rsid w:val="001440B0"/>
    <w:rsid w:val="00144D7F"/>
    <w:rsid w:val="00145526"/>
    <w:rsid w:val="0014739A"/>
    <w:rsid w:val="001478B5"/>
    <w:rsid w:val="0015150C"/>
    <w:rsid w:val="00151BAA"/>
    <w:rsid w:val="00151EA8"/>
    <w:rsid w:val="00153B71"/>
    <w:rsid w:val="0015547C"/>
    <w:rsid w:val="001567B8"/>
    <w:rsid w:val="0015682A"/>
    <w:rsid w:val="001575D0"/>
    <w:rsid w:val="001579DC"/>
    <w:rsid w:val="001602B0"/>
    <w:rsid w:val="00161D4C"/>
    <w:rsid w:val="00162D52"/>
    <w:rsid w:val="00163F4C"/>
    <w:rsid w:val="001657C7"/>
    <w:rsid w:val="00166148"/>
    <w:rsid w:val="0016751D"/>
    <w:rsid w:val="0017011B"/>
    <w:rsid w:val="00171581"/>
    <w:rsid w:val="00171CFF"/>
    <w:rsid w:val="00172F04"/>
    <w:rsid w:val="0017447F"/>
    <w:rsid w:val="00174CDE"/>
    <w:rsid w:val="00175216"/>
    <w:rsid w:val="00175419"/>
    <w:rsid w:val="00180F2A"/>
    <w:rsid w:val="00182B77"/>
    <w:rsid w:val="00184911"/>
    <w:rsid w:val="00185617"/>
    <w:rsid w:val="00187932"/>
    <w:rsid w:val="00187965"/>
    <w:rsid w:val="00187A2F"/>
    <w:rsid w:val="001903FC"/>
    <w:rsid w:val="001A00B2"/>
    <w:rsid w:val="001A052D"/>
    <w:rsid w:val="001A0973"/>
    <w:rsid w:val="001A09D7"/>
    <w:rsid w:val="001A0D6D"/>
    <w:rsid w:val="001A0EBC"/>
    <w:rsid w:val="001A19E0"/>
    <w:rsid w:val="001A216A"/>
    <w:rsid w:val="001A29E6"/>
    <w:rsid w:val="001A6FF7"/>
    <w:rsid w:val="001A7D9D"/>
    <w:rsid w:val="001B01CE"/>
    <w:rsid w:val="001B10A5"/>
    <w:rsid w:val="001B274F"/>
    <w:rsid w:val="001B5D4A"/>
    <w:rsid w:val="001B66C0"/>
    <w:rsid w:val="001B6E3B"/>
    <w:rsid w:val="001B7746"/>
    <w:rsid w:val="001C1709"/>
    <w:rsid w:val="001C3664"/>
    <w:rsid w:val="001C3B5F"/>
    <w:rsid w:val="001C4C34"/>
    <w:rsid w:val="001D1F5E"/>
    <w:rsid w:val="001D2767"/>
    <w:rsid w:val="001D2FF1"/>
    <w:rsid w:val="001D6044"/>
    <w:rsid w:val="001E0309"/>
    <w:rsid w:val="001E48AF"/>
    <w:rsid w:val="001E5890"/>
    <w:rsid w:val="001E655E"/>
    <w:rsid w:val="001E6EB1"/>
    <w:rsid w:val="001E76C2"/>
    <w:rsid w:val="001E7E9B"/>
    <w:rsid w:val="001F0569"/>
    <w:rsid w:val="001F3509"/>
    <w:rsid w:val="001F56EB"/>
    <w:rsid w:val="001F6819"/>
    <w:rsid w:val="001F6FD4"/>
    <w:rsid w:val="0020016F"/>
    <w:rsid w:val="00201161"/>
    <w:rsid w:val="00201C2F"/>
    <w:rsid w:val="002029FD"/>
    <w:rsid w:val="002038C1"/>
    <w:rsid w:val="00203A71"/>
    <w:rsid w:val="00204F55"/>
    <w:rsid w:val="002060A8"/>
    <w:rsid w:val="00206147"/>
    <w:rsid w:val="00207452"/>
    <w:rsid w:val="00207835"/>
    <w:rsid w:val="002117E3"/>
    <w:rsid w:val="00212CAF"/>
    <w:rsid w:val="00215CC3"/>
    <w:rsid w:val="00216751"/>
    <w:rsid w:val="00220AA8"/>
    <w:rsid w:val="00223D07"/>
    <w:rsid w:val="00225ECE"/>
    <w:rsid w:val="00226E6D"/>
    <w:rsid w:val="00227F28"/>
    <w:rsid w:val="00230C2C"/>
    <w:rsid w:val="002322E5"/>
    <w:rsid w:val="00234F23"/>
    <w:rsid w:val="00235357"/>
    <w:rsid w:val="00237E3C"/>
    <w:rsid w:val="002422A4"/>
    <w:rsid w:val="00243104"/>
    <w:rsid w:val="00243940"/>
    <w:rsid w:val="002458AC"/>
    <w:rsid w:val="0024734F"/>
    <w:rsid w:val="00250BE1"/>
    <w:rsid w:val="002513C4"/>
    <w:rsid w:val="0025414F"/>
    <w:rsid w:val="002562A0"/>
    <w:rsid w:val="00256C94"/>
    <w:rsid w:val="002650DD"/>
    <w:rsid w:val="00265913"/>
    <w:rsid w:val="00271738"/>
    <w:rsid w:val="00271CAD"/>
    <w:rsid w:val="00272E48"/>
    <w:rsid w:val="00273C24"/>
    <w:rsid w:val="002761BD"/>
    <w:rsid w:val="00276DCB"/>
    <w:rsid w:val="00277838"/>
    <w:rsid w:val="00281153"/>
    <w:rsid w:val="00281530"/>
    <w:rsid w:val="00282710"/>
    <w:rsid w:val="00282FDC"/>
    <w:rsid w:val="0028603A"/>
    <w:rsid w:val="00286391"/>
    <w:rsid w:val="002864B5"/>
    <w:rsid w:val="00290A48"/>
    <w:rsid w:val="00292581"/>
    <w:rsid w:val="00297090"/>
    <w:rsid w:val="002A011B"/>
    <w:rsid w:val="002A22D7"/>
    <w:rsid w:val="002A2B43"/>
    <w:rsid w:val="002A4514"/>
    <w:rsid w:val="002A45E3"/>
    <w:rsid w:val="002A4C59"/>
    <w:rsid w:val="002A6745"/>
    <w:rsid w:val="002A7C3A"/>
    <w:rsid w:val="002B046F"/>
    <w:rsid w:val="002B18CE"/>
    <w:rsid w:val="002B2F97"/>
    <w:rsid w:val="002B3B7D"/>
    <w:rsid w:val="002B3FB2"/>
    <w:rsid w:val="002B628C"/>
    <w:rsid w:val="002B6344"/>
    <w:rsid w:val="002B6835"/>
    <w:rsid w:val="002C2600"/>
    <w:rsid w:val="002C362C"/>
    <w:rsid w:val="002C4DF9"/>
    <w:rsid w:val="002C5080"/>
    <w:rsid w:val="002C6A9D"/>
    <w:rsid w:val="002D18EF"/>
    <w:rsid w:val="002D4CA4"/>
    <w:rsid w:val="002D542E"/>
    <w:rsid w:val="002D7F71"/>
    <w:rsid w:val="002E3646"/>
    <w:rsid w:val="002E3844"/>
    <w:rsid w:val="002E4E55"/>
    <w:rsid w:val="002E7619"/>
    <w:rsid w:val="002E7D8E"/>
    <w:rsid w:val="002F3EAC"/>
    <w:rsid w:val="00302961"/>
    <w:rsid w:val="003036B6"/>
    <w:rsid w:val="00304B1B"/>
    <w:rsid w:val="00306DB9"/>
    <w:rsid w:val="00311E9D"/>
    <w:rsid w:val="00315F0A"/>
    <w:rsid w:val="00320450"/>
    <w:rsid w:val="00321FF9"/>
    <w:rsid w:val="003223AD"/>
    <w:rsid w:val="00322A0D"/>
    <w:rsid w:val="00326A8C"/>
    <w:rsid w:val="00326E55"/>
    <w:rsid w:val="00332633"/>
    <w:rsid w:val="00333310"/>
    <w:rsid w:val="0033369C"/>
    <w:rsid w:val="003339AA"/>
    <w:rsid w:val="00333C24"/>
    <w:rsid w:val="00333FE8"/>
    <w:rsid w:val="003346C6"/>
    <w:rsid w:val="003350C3"/>
    <w:rsid w:val="00335A87"/>
    <w:rsid w:val="003361C1"/>
    <w:rsid w:val="0034148E"/>
    <w:rsid w:val="003466BF"/>
    <w:rsid w:val="00347AFB"/>
    <w:rsid w:val="00352095"/>
    <w:rsid w:val="00353CF4"/>
    <w:rsid w:val="00354791"/>
    <w:rsid w:val="003616DE"/>
    <w:rsid w:val="003642CB"/>
    <w:rsid w:val="00364719"/>
    <w:rsid w:val="00365274"/>
    <w:rsid w:val="0036529B"/>
    <w:rsid w:val="00365484"/>
    <w:rsid w:val="00371828"/>
    <w:rsid w:val="00371E3B"/>
    <w:rsid w:val="0037275A"/>
    <w:rsid w:val="00372834"/>
    <w:rsid w:val="003743A6"/>
    <w:rsid w:val="003771D4"/>
    <w:rsid w:val="00377376"/>
    <w:rsid w:val="00377623"/>
    <w:rsid w:val="00377F48"/>
    <w:rsid w:val="00380582"/>
    <w:rsid w:val="0038089E"/>
    <w:rsid w:val="003819EF"/>
    <w:rsid w:val="003844E8"/>
    <w:rsid w:val="00384526"/>
    <w:rsid w:val="00386E83"/>
    <w:rsid w:val="003901D7"/>
    <w:rsid w:val="003924A6"/>
    <w:rsid w:val="003948E6"/>
    <w:rsid w:val="00394B1E"/>
    <w:rsid w:val="00394E67"/>
    <w:rsid w:val="003A0C31"/>
    <w:rsid w:val="003A1C2C"/>
    <w:rsid w:val="003A67C8"/>
    <w:rsid w:val="003A6F76"/>
    <w:rsid w:val="003A74DB"/>
    <w:rsid w:val="003B0A5E"/>
    <w:rsid w:val="003B3321"/>
    <w:rsid w:val="003C1445"/>
    <w:rsid w:val="003C28BF"/>
    <w:rsid w:val="003C2EAC"/>
    <w:rsid w:val="003C4C4F"/>
    <w:rsid w:val="003C5462"/>
    <w:rsid w:val="003C5A25"/>
    <w:rsid w:val="003C5A84"/>
    <w:rsid w:val="003D1AD3"/>
    <w:rsid w:val="003D28F7"/>
    <w:rsid w:val="003D2C11"/>
    <w:rsid w:val="003D6919"/>
    <w:rsid w:val="003E16DB"/>
    <w:rsid w:val="003E3FBD"/>
    <w:rsid w:val="003E6F9F"/>
    <w:rsid w:val="003E7F77"/>
    <w:rsid w:val="003F099F"/>
    <w:rsid w:val="003F173E"/>
    <w:rsid w:val="003F1FAE"/>
    <w:rsid w:val="003F34B2"/>
    <w:rsid w:val="003F40B2"/>
    <w:rsid w:val="003F4B23"/>
    <w:rsid w:val="003F7A0E"/>
    <w:rsid w:val="003F7AA9"/>
    <w:rsid w:val="004049C8"/>
    <w:rsid w:val="00405E81"/>
    <w:rsid w:val="0040642D"/>
    <w:rsid w:val="004079E4"/>
    <w:rsid w:val="00410062"/>
    <w:rsid w:val="0041068C"/>
    <w:rsid w:val="004119AD"/>
    <w:rsid w:val="004136ED"/>
    <w:rsid w:val="0041394C"/>
    <w:rsid w:val="004147EF"/>
    <w:rsid w:val="004152CE"/>
    <w:rsid w:val="00416FF2"/>
    <w:rsid w:val="0041784F"/>
    <w:rsid w:val="00417AE2"/>
    <w:rsid w:val="00421FDB"/>
    <w:rsid w:val="00422902"/>
    <w:rsid w:val="00423644"/>
    <w:rsid w:val="00424C6F"/>
    <w:rsid w:val="00427B72"/>
    <w:rsid w:val="0043003B"/>
    <w:rsid w:val="00430E7C"/>
    <w:rsid w:val="00433C29"/>
    <w:rsid w:val="00433FC1"/>
    <w:rsid w:val="0044326C"/>
    <w:rsid w:val="0044467C"/>
    <w:rsid w:val="00445A78"/>
    <w:rsid w:val="00450859"/>
    <w:rsid w:val="00450914"/>
    <w:rsid w:val="00451FFA"/>
    <w:rsid w:val="00452649"/>
    <w:rsid w:val="0045339F"/>
    <w:rsid w:val="00454E74"/>
    <w:rsid w:val="00455FE0"/>
    <w:rsid w:val="004572F2"/>
    <w:rsid w:val="00457A53"/>
    <w:rsid w:val="0046433D"/>
    <w:rsid w:val="004656CF"/>
    <w:rsid w:val="00466E56"/>
    <w:rsid w:val="004702FB"/>
    <w:rsid w:val="0047043A"/>
    <w:rsid w:val="00474ADA"/>
    <w:rsid w:val="00475A8B"/>
    <w:rsid w:val="00477FBF"/>
    <w:rsid w:val="0048030A"/>
    <w:rsid w:val="00481010"/>
    <w:rsid w:val="00481714"/>
    <w:rsid w:val="00482BE3"/>
    <w:rsid w:val="00483DE0"/>
    <w:rsid w:val="00486368"/>
    <w:rsid w:val="0049279B"/>
    <w:rsid w:val="0049412C"/>
    <w:rsid w:val="0049475B"/>
    <w:rsid w:val="00496773"/>
    <w:rsid w:val="00496B07"/>
    <w:rsid w:val="00496CCD"/>
    <w:rsid w:val="004A043C"/>
    <w:rsid w:val="004A0D28"/>
    <w:rsid w:val="004A1690"/>
    <w:rsid w:val="004A2E63"/>
    <w:rsid w:val="004A4E17"/>
    <w:rsid w:val="004A57C9"/>
    <w:rsid w:val="004A5AF7"/>
    <w:rsid w:val="004A708D"/>
    <w:rsid w:val="004B0A0C"/>
    <w:rsid w:val="004B2F6B"/>
    <w:rsid w:val="004B3A7E"/>
    <w:rsid w:val="004B5342"/>
    <w:rsid w:val="004B537F"/>
    <w:rsid w:val="004B5DB4"/>
    <w:rsid w:val="004B63EC"/>
    <w:rsid w:val="004B741E"/>
    <w:rsid w:val="004C0ADD"/>
    <w:rsid w:val="004C15F9"/>
    <w:rsid w:val="004C1674"/>
    <w:rsid w:val="004C2356"/>
    <w:rsid w:val="004C3D95"/>
    <w:rsid w:val="004C4B86"/>
    <w:rsid w:val="004C5743"/>
    <w:rsid w:val="004D15C2"/>
    <w:rsid w:val="004D1AF9"/>
    <w:rsid w:val="004D6DD1"/>
    <w:rsid w:val="004D7870"/>
    <w:rsid w:val="004E3608"/>
    <w:rsid w:val="004E3866"/>
    <w:rsid w:val="004E473F"/>
    <w:rsid w:val="004E4C50"/>
    <w:rsid w:val="004E530A"/>
    <w:rsid w:val="004E669D"/>
    <w:rsid w:val="004E7626"/>
    <w:rsid w:val="004E7BEA"/>
    <w:rsid w:val="004E7E0C"/>
    <w:rsid w:val="004F0972"/>
    <w:rsid w:val="004F0A3A"/>
    <w:rsid w:val="004F0BAB"/>
    <w:rsid w:val="004F1242"/>
    <w:rsid w:val="004F3035"/>
    <w:rsid w:val="004F46C8"/>
    <w:rsid w:val="004F4A52"/>
    <w:rsid w:val="004F4B4E"/>
    <w:rsid w:val="004F4E67"/>
    <w:rsid w:val="0050024D"/>
    <w:rsid w:val="0050128C"/>
    <w:rsid w:val="005078BF"/>
    <w:rsid w:val="00511FD5"/>
    <w:rsid w:val="00514B43"/>
    <w:rsid w:val="00515212"/>
    <w:rsid w:val="00515FEF"/>
    <w:rsid w:val="005161AF"/>
    <w:rsid w:val="0051744C"/>
    <w:rsid w:val="005200CE"/>
    <w:rsid w:val="00520983"/>
    <w:rsid w:val="00522059"/>
    <w:rsid w:val="0052232D"/>
    <w:rsid w:val="00523C64"/>
    <w:rsid w:val="0052488C"/>
    <w:rsid w:val="00527056"/>
    <w:rsid w:val="00531F8D"/>
    <w:rsid w:val="00534474"/>
    <w:rsid w:val="005345BA"/>
    <w:rsid w:val="00535D7A"/>
    <w:rsid w:val="00535EE3"/>
    <w:rsid w:val="0053679E"/>
    <w:rsid w:val="00536951"/>
    <w:rsid w:val="0054034D"/>
    <w:rsid w:val="00543542"/>
    <w:rsid w:val="00543615"/>
    <w:rsid w:val="00544BA6"/>
    <w:rsid w:val="005453DF"/>
    <w:rsid w:val="00551125"/>
    <w:rsid w:val="005513F7"/>
    <w:rsid w:val="00553754"/>
    <w:rsid w:val="00555F24"/>
    <w:rsid w:val="00556586"/>
    <w:rsid w:val="00557AF4"/>
    <w:rsid w:val="00560A37"/>
    <w:rsid w:val="00560C44"/>
    <w:rsid w:val="00561866"/>
    <w:rsid w:val="00562241"/>
    <w:rsid w:val="00563179"/>
    <w:rsid w:val="005638D7"/>
    <w:rsid w:val="00566D25"/>
    <w:rsid w:val="00570B4D"/>
    <w:rsid w:val="0057232D"/>
    <w:rsid w:val="00572E24"/>
    <w:rsid w:val="005737BB"/>
    <w:rsid w:val="00576CE0"/>
    <w:rsid w:val="00580588"/>
    <w:rsid w:val="00582357"/>
    <w:rsid w:val="0058254F"/>
    <w:rsid w:val="00583828"/>
    <w:rsid w:val="005864B5"/>
    <w:rsid w:val="00587260"/>
    <w:rsid w:val="00591AFF"/>
    <w:rsid w:val="005922C7"/>
    <w:rsid w:val="0059550B"/>
    <w:rsid w:val="0059617E"/>
    <w:rsid w:val="00597B17"/>
    <w:rsid w:val="005A239A"/>
    <w:rsid w:val="005A2442"/>
    <w:rsid w:val="005A2B8A"/>
    <w:rsid w:val="005A4D90"/>
    <w:rsid w:val="005A564C"/>
    <w:rsid w:val="005A593B"/>
    <w:rsid w:val="005A6697"/>
    <w:rsid w:val="005A6D39"/>
    <w:rsid w:val="005B11DB"/>
    <w:rsid w:val="005B11F2"/>
    <w:rsid w:val="005B1BF6"/>
    <w:rsid w:val="005B2089"/>
    <w:rsid w:val="005B22E6"/>
    <w:rsid w:val="005B2F4C"/>
    <w:rsid w:val="005B3097"/>
    <w:rsid w:val="005B416F"/>
    <w:rsid w:val="005B4F03"/>
    <w:rsid w:val="005B5A6A"/>
    <w:rsid w:val="005C3A68"/>
    <w:rsid w:val="005C3BAD"/>
    <w:rsid w:val="005C51F3"/>
    <w:rsid w:val="005C7471"/>
    <w:rsid w:val="005D0540"/>
    <w:rsid w:val="005D2CB3"/>
    <w:rsid w:val="005D385D"/>
    <w:rsid w:val="005D4528"/>
    <w:rsid w:val="005D586D"/>
    <w:rsid w:val="005D7CC2"/>
    <w:rsid w:val="005E2147"/>
    <w:rsid w:val="005E269A"/>
    <w:rsid w:val="005E275B"/>
    <w:rsid w:val="005E6625"/>
    <w:rsid w:val="005E78C7"/>
    <w:rsid w:val="005F0AA2"/>
    <w:rsid w:val="005F12DB"/>
    <w:rsid w:val="005F15CE"/>
    <w:rsid w:val="005F1C6A"/>
    <w:rsid w:val="005F4CAB"/>
    <w:rsid w:val="005F532D"/>
    <w:rsid w:val="005F6A00"/>
    <w:rsid w:val="006007B1"/>
    <w:rsid w:val="006007CB"/>
    <w:rsid w:val="0060184C"/>
    <w:rsid w:val="006020F7"/>
    <w:rsid w:val="00603F76"/>
    <w:rsid w:val="00604812"/>
    <w:rsid w:val="00605963"/>
    <w:rsid w:val="006076D5"/>
    <w:rsid w:val="00610E27"/>
    <w:rsid w:val="0061163D"/>
    <w:rsid w:val="00616300"/>
    <w:rsid w:val="006214E1"/>
    <w:rsid w:val="006216C1"/>
    <w:rsid w:val="0063006A"/>
    <w:rsid w:val="00630158"/>
    <w:rsid w:val="00630F7D"/>
    <w:rsid w:val="00633E3B"/>
    <w:rsid w:val="00637CE9"/>
    <w:rsid w:val="0064049D"/>
    <w:rsid w:val="00642692"/>
    <w:rsid w:val="006428F4"/>
    <w:rsid w:val="00643556"/>
    <w:rsid w:val="00644933"/>
    <w:rsid w:val="00645226"/>
    <w:rsid w:val="006453CA"/>
    <w:rsid w:val="00646B3B"/>
    <w:rsid w:val="00651B17"/>
    <w:rsid w:val="0065319E"/>
    <w:rsid w:val="006612E0"/>
    <w:rsid w:val="00662CBC"/>
    <w:rsid w:val="00663471"/>
    <w:rsid w:val="00664723"/>
    <w:rsid w:val="0066673F"/>
    <w:rsid w:val="00667266"/>
    <w:rsid w:val="006678D8"/>
    <w:rsid w:val="00667ED7"/>
    <w:rsid w:val="00670630"/>
    <w:rsid w:val="00674A21"/>
    <w:rsid w:val="0067677C"/>
    <w:rsid w:val="006767ED"/>
    <w:rsid w:val="00676E6C"/>
    <w:rsid w:val="0068044A"/>
    <w:rsid w:val="0068106A"/>
    <w:rsid w:val="006811D1"/>
    <w:rsid w:val="00681FBD"/>
    <w:rsid w:val="006835C1"/>
    <w:rsid w:val="0068378F"/>
    <w:rsid w:val="00684FD1"/>
    <w:rsid w:val="006851B9"/>
    <w:rsid w:val="00686D37"/>
    <w:rsid w:val="00687098"/>
    <w:rsid w:val="00687D3C"/>
    <w:rsid w:val="00690395"/>
    <w:rsid w:val="00690A14"/>
    <w:rsid w:val="00692DA1"/>
    <w:rsid w:val="00693642"/>
    <w:rsid w:val="00696DDF"/>
    <w:rsid w:val="006A0F81"/>
    <w:rsid w:val="006A1136"/>
    <w:rsid w:val="006A22D0"/>
    <w:rsid w:val="006A570A"/>
    <w:rsid w:val="006B6B4E"/>
    <w:rsid w:val="006C0BC8"/>
    <w:rsid w:val="006C2245"/>
    <w:rsid w:val="006C297E"/>
    <w:rsid w:val="006C5CFE"/>
    <w:rsid w:val="006D2F3B"/>
    <w:rsid w:val="006D3C46"/>
    <w:rsid w:val="006D47F0"/>
    <w:rsid w:val="006D4F77"/>
    <w:rsid w:val="006D78EF"/>
    <w:rsid w:val="006E03BC"/>
    <w:rsid w:val="006E058C"/>
    <w:rsid w:val="006E37A6"/>
    <w:rsid w:val="006E3CA6"/>
    <w:rsid w:val="006E429C"/>
    <w:rsid w:val="006E4C9C"/>
    <w:rsid w:val="006E5596"/>
    <w:rsid w:val="006E63FB"/>
    <w:rsid w:val="006E6A74"/>
    <w:rsid w:val="006E6FEA"/>
    <w:rsid w:val="006F1243"/>
    <w:rsid w:val="006F2750"/>
    <w:rsid w:val="006F5A81"/>
    <w:rsid w:val="006F74D9"/>
    <w:rsid w:val="007000AE"/>
    <w:rsid w:val="00703008"/>
    <w:rsid w:val="0070665D"/>
    <w:rsid w:val="00706934"/>
    <w:rsid w:val="00707E06"/>
    <w:rsid w:val="0071100C"/>
    <w:rsid w:val="00712DFF"/>
    <w:rsid w:val="00712EDA"/>
    <w:rsid w:val="00714928"/>
    <w:rsid w:val="007160AD"/>
    <w:rsid w:val="00717712"/>
    <w:rsid w:val="00717B2A"/>
    <w:rsid w:val="00724BAE"/>
    <w:rsid w:val="00724FC9"/>
    <w:rsid w:val="007252C9"/>
    <w:rsid w:val="00725592"/>
    <w:rsid w:val="00727914"/>
    <w:rsid w:val="00727F83"/>
    <w:rsid w:val="00730355"/>
    <w:rsid w:val="00731CB2"/>
    <w:rsid w:val="007320FF"/>
    <w:rsid w:val="00732C8F"/>
    <w:rsid w:val="0073319D"/>
    <w:rsid w:val="0073490B"/>
    <w:rsid w:val="00734DB2"/>
    <w:rsid w:val="00735002"/>
    <w:rsid w:val="007350E5"/>
    <w:rsid w:val="00735CDC"/>
    <w:rsid w:val="00736E9F"/>
    <w:rsid w:val="007375C6"/>
    <w:rsid w:val="00740D7F"/>
    <w:rsid w:val="007444AF"/>
    <w:rsid w:val="00745812"/>
    <w:rsid w:val="007461D1"/>
    <w:rsid w:val="007474CB"/>
    <w:rsid w:val="00747DF2"/>
    <w:rsid w:val="00750866"/>
    <w:rsid w:val="00754510"/>
    <w:rsid w:val="00757485"/>
    <w:rsid w:val="0075787C"/>
    <w:rsid w:val="00760017"/>
    <w:rsid w:val="00763184"/>
    <w:rsid w:val="00763D91"/>
    <w:rsid w:val="00765B21"/>
    <w:rsid w:val="00765FB9"/>
    <w:rsid w:val="007665EA"/>
    <w:rsid w:val="007701DE"/>
    <w:rsid w:val="00770826"/>
    <w:rsid w:val="00770950"/>
    <w:rsid w:val="00771CEB"/>
    <w:rsid w:val="00774E70"/>
    <w:rsid w:val="0078281F"/>
    <w:rsid w:val="00783A3C"/>
    <w:rsid w:val="00783BC8"/>
    <w:rsid w:val="00790709"/>
    <w:rsid w:val="00791AA6"/>
    <w:rsid w:val="00794555"/>
    <w:rsid w:val="00794BB5"/>
    <w:rsid w:val="00796100"/>
    <w:rsid w:val="007A10CE"/>
    <w:rsid w:val="007A13C9"/>
    <w:rsid w:val="007A28BC"/>
    <w:rsid w:val="007A4343"/>
    <w:rsid w:val="007A599D"/>
    <w:rsid w:val="007A5F8F"/>
    <w:rsid w:val="007A67EA"/>
    <w:rsid w:val="007B070E"/>
    <w:rsid w:val="007B0DC5"/>
    <w:rsid w:val="007B37C2"/>
    <w:rsid w:val="007B572E"/>
    <w:rsid w:val="007B72B6"/>
    <w:rsid w:val="007B7689"/>
    <w:rsid w:val="007C0538"/>
    <w:rsid w:val="007C0575"/>
    <w:rsid w:val="007C05B0"/>
    <w:rsid w:val="007C17CC"/>
    <w:rsid w:val="007C3AEA"/>
    <w:rsid w:val="007C4343"/>
    <w:rsid w:val="007D4A9B"/>
    <w:rsid w:val="007D4D9D"/>
    <w:rsid w:val="007D6201"/>
    <w:rsid w:val="007D7570"/>
    <w:rsid w:val="007E4503"/>
    <w:rsid w:val="007E5E56"/>
    <w:rsid w:val="007E7229"/>
    <w:rsid w:val="007F0382"/>
    <w:rsid w:val="007F0865"/>
    <w:rsid w:val="007F1E00"/>
    <w:rsid w:val="007F4C81"/>
    <w:rsid w:val="007F5E65"/>
    <w:rsid w:val="007F72ED"/>
    <w:rsid w:val="0080084A"/>
    <w:rsid w:val="0080088D"/>
    <w:rsid w:val="008014C5"/>
    <w:rsid w:val="00810D10"/>
    <w:rsid w:val="00811534"/>
    <w:rsid w:val="008120A6"/>
    <w:rsid w:val="00813045"/>
    <w:rsid w:val="00814A99"/>
    <w:rsid w:val="00814ABC"/>
    <w:rsid w:val="00820279"/>
    <w:rsid w:val="008202C8"/>
    <w:rsid w:val="008206D0"/>
    <w:rsid w:val="0082150C"/>
    <w:rsid w:val="00823609"/>
    <w:rsid w:val="008327A8"/>
    <w:rsid w:val="00834FD4"/>
    <w:rsid w:val="0083746E"/>
    <w:rsid w:val="00840CD5"/>
    <w:rsid w:val="00840F42"/>
    <w:rsid w:val="008438CD"/>
    <w:rsid w:val="00845412"/>
    <w:rsid w:val="0084757B"/>
    <w:rsid w:val="008475FB"/>
    <w:rsid w:val="0085038A"/>
    <w:rsid w:val="00853130"/>
    <w:rsid w:val="0085554F"/>
    <w:rsid w:val="00856D87"/>
    <w:rsid w:val="00857131"/>
    <w:rsid w:val="008575B1"/>
    <w:rsid w:val="00860C24"/>
    <w:rsid w:val="00860CC7"/>
    <w:rsid w:val="00862C08"/>
    <w:rsid w:val="00862C39"/>
    <w:rsid w:val="00863DE5"/>
    <w:rsid w:val="00865EB6"/>
    <w:rsid w:val="00865FB2"/>
    <w:rsid w:val="0086704C"/>
    <w:rsid w:val="00873A96"/>
    <w:rsid w:val="00873E23"/>
    <w:rsid w:val="00873E71"/>
    <w:rsid w:val="00880496"/>
    <w:rsid w:val="0088113E"/>
    <w:rsid w:val="00881C77"/>
    <w:rsid w:val="0088232B"/>
    <w:rsid w:val="00882E17"/>
    <w:rsid w:val="00883690"/>
    <w:rsid w:val="00883A62"/>
    <w:rsid w:val="0089001B"/>
    <w:rsid w:val="0089095F"/>
    <w:rsid w:val="00891EE8"/>
    <w:rsid w:val="008924DB"/>
    <w:rsid w:val="00895096"/>
    <w:rsid w:val="00897BAF"/>
    <w:rsid w:val="008A05A9"/>
    <w:rsid w:val="008A05E9"/>
    <w:rsid w:val="008A1591"/>
    <w:rsid w:val="008A23BB"/>
    <w:rsid w:val="008A26DB"/>
    <w:rsid w:val="008A3DF3"/>
    <w:rsid w:val="008A3FEC"/>
    <w:rsid w:val="008A62CE"/>
    <w:rsid w:val="008B0DF5"/>
    <w:rsid w:val="008B1093"/>
    <w:rsid w:val="008B26E9"/>
    <w:rsid w:val="008B3E9D"/>
    <w:rsid w:val="008B65D3"/>
    <w:rsid w:val="008B6B2F"/>
    <w:rsid w:val="008C3AFB"/>
    <w:rsid w:val="008C4B07"/>
    <w:rsid w:val="008C5A1B"/>
    <w:rsid w:val="008C634A"/>
    <w:rsid w:val="008C676D"/>
    <w:rsid w:val="008D0AD9"/>
    <w:rsid w:val="008D0E2F"/>
    <w:rsid w:val="008D3244"/>
    <w:rsid w:val="008D6558"/>
    <w:rsid w:val="008E0C1E"/>
    <w:rsid w:val="008E47EF"/>
    <w:rsid w:val="008E5B4E"/>
    <w:rsid w:val="008E5D30"/>
    <w:rsid w:val="008E67CE"/>
    <w:rsid w:val="008E7D3B"/>
    <w:rsid w:val="008F3D93"/>
    <w:rsid w:val="008F4C1E"/>
    <w:rsid w:val="008F6356"/>
    <w:rsid w:val="00900D1E"/>
    <w:rsid w:val="009063FA"/>
    <w:rsid w:val="00907260"/>
    <w:rsid w:val="0090748D"/>
    <w:rsid w:val="00907E89"/>
    <w:rsid w:val="00912CD5"/>
    <w:rsid w:val="00914325"/>
    <w:rsid w:val="0091530D"/>
    <w:rsid w:val="00920A73"/>
    <w:rsid w:val="009228AA"/>
    <w:rsid w:val="0092380D"/>
    <w:rsid w:val="00923954"/>
    <w:rsid w:val="0092456D"/>
    <w:rsid w:val="009249DD"/>
    <w:rsid w:val="009252DC"/>
    <w:rsid w:val="00930080"/>
    <w:rsid w:val="009324EA"/>
    <w:rsid w:val="009327CD"/>
    <w:rsid w:val="00934DEC"/>
    <w:rsid w:val="009365ED"/>
    <w:rsid w:val="0094077F"/>
    <w:rsid w:val="00943332"/>
    <w:rsid w:val="0094431D"/>
    <w:rsid w:val="0094500F"/>
    <w:rsid w:val="00945892"/>
    <w:rsid w:val="00946B63"/>
    <w:rsid w:val="00950011"/>
    <w:rsid w:val="00951692"/>
    <w:rsid w:val="00951EAE"/>
    <w:rsid w:val="00953F1C"/>
    <w:rsid w:val="009558A0"/>
    <w:rsid w:val="009566A2"/>
    <w:rsid w:val="00962150"/>
    <w:rsid w:val="009625CE"/>
    <w:rsid w:val="009660CD"/>
    <w:rsid w:val="00970A01"/>
    <w:rsid w:val="00972E94"/>
    <w:rsid w:val="00973A7D"/>
    <w:rsid w:val="00973AF8"/>
    <w:rsid w:val="009754AF"/>
    <w:rsid w:val="0097600D"/>
    <w:rsid w:val="009769A4"/>
    <w:rsid w:val="0098013F"/>
    <w:rsid w:val="00981906"/>
    <w:rsid w:val="00984673"/>
    <w:rsid w:val="00984F4D"/>
    <w:rsid w:val="009860BC"/>
    <w:rsid w:val="00992073"/>
    <w:rsid w:val="00993D2E"/>
    <w:rsid w:val="00997864"/>
    <w:rsid w:val="00997A3E"/>
    <w:rsid w:val="009A03DB"/>
    <w:rsid w:val="009A088D"/>
    <w:rsid w:val="009A2081"/>
    <w:rsid w:val="009A2E57"/>
    <w:rsid w:val="009A4AF8"/>
    <w:rsid w:val="009A57EB"/>
    <w:rsid w:val="009A58E1"/>
    <w:rsid w:val="009A5AB6"/>
    <w:rsid w:val="009A5F02"/>
    <w:rsid w:val="009B04CC"/>
    <w:rsid w:val="009B1B9B"/>
    <w:rsid w:val="009B2C9E"/>
    <w:rsid w:val="009B3EDB"/>
    <w:rsid w:val="009B441A"/>
    <w:rsid w:val="009B5335"/>
    <w:rsid w:val="009B6BC3"/>
    <w:rsid w:val="009B71E6"/>
    <w:rsid w:val="009C1707"/>
    <w:rsid w:val="009C4004"/>
    <w:rsid w:val="009C4693"/>
    <w:rsid w:val="009C556B"/>
    <w:rsid w:val="009C5937"/>
    <w:rsid w:val="009C5C46"/>
    <w:rsid w:val="009C7AD7"/>
    <w:rsid w:val="009D2028"/>
    <w:rsid w:val="009D4004"/>
    <w:rsid w:val="009D5027"/>
    <w:rsid w:val="009D5181"/>
    <w:rsid w:val="009D58A4"/>
    <w:rsid w:val="009D5C37"/>
    <w:rsid w:val="009E5455"/>
    <w:rsid w:val="009E58A8"/>
    <w:rsid w:val="009E6016"/>
    <w:rsid w:val="009E684A"/>
    <w:rsid w:val="009E705C"/>
    <w:rsid w:val="009E7F72"/>
    <w:rsid w:val="009F1B46"/>
    <w:rsid w:val="009F1DCD"/>
    <w:rsid w:val="009F2E24"/>
    <w:rsid w:val="009F2F16"/>
    <w:rsid w:val="009F51C6"/>
    <w:rsid w:val="009F6615"/>
    <w:rsid w:val="009F71BD"/>
    <w:rsid w:val="00A04CE1"/>
    <w:rsid w:val="00A05B41"/>
    <w:rsid w:val="00A05C2E"/>
    <w:rsid w:val="00A101C1"/>
    <w:rsid w:val="00A102A1"/>
    <w:rsid w:val="00A10E39"/>
    <w:rsid w:val="00A11170"/>
    <w:rsid w:val="00A13853"/>
    <w:rsid w:val="00A161C1"/>
    <w:rsid w:val="00A17E38"/>
    <w:rsid w:val="00A20E30"/>
    <w:rsid w:val="00A2171E"/>
    <w:rsid w:val="00A23329"/>
    <w:rsid w:val="00A2557F"/>
    <w:rsid w:val="00A278E9"/>
    <w:rsid w:val="00A30689"/>
    <w:rsid w:val="00A32B54"/>
    <w:rsid w:val="00A33688"/>
    <w:rsid w:val="00A3431E"/>
    <w:rsid w:val="00A34CF2"/>
    <w:rsid w:val="00A35541"/>
    <w:rsid w:val="00A37410"/>
    <w:rsid w:val="00A436D9"/>
    <w:rsid w:val="00A46BF8"/>
    <w:rsid w:val="00A51706"/>
    <w:rsid w:val="00A51AB0"/>
    <w:rsid w:val="00A52F7F"/>
    <w:rsid w:val="00A53086"/>
    <w:rsid w:val="00A54FAA"/>
    <w:rsid w:val="00A571BC"/>
    <w:rsid w:val="00A618F3"/>
    <w:rsid w:val="00A61BA7"/>
    <w:rsid w:val="00A65518"/>
    <w:rsid w:val="00A66E3B"/>
    <w:rsid w:val="00A70768"/>
    <w:rsid w:val="00A76F3D"/>
    <w:rsid w:val="00A77FFE"/>
    <w:rsid w:val="00A80183"/>
    <w:rsid w:val="00A8062D"/>
    <w:rsid w:val="00A82DA9"/>
    <w:rsid w:val="00A83A90"/>
    <w:rsid w:val="00A84335"/>
    <w:rsid w:val="00A91081"/>
    <w:rsid w:val="00A9133F"/>
    <w:rsid w:val="00A92BF1"/>
    <w:rsid w:val="00A93963"/>
    <w:rsid w:val="00A956F1"/>
    <w:rsid w:val="00A96098"/>
    <w:rsid w:val="00AA112A"/>
    <w:rsid w:val="00AA328F"/>
    <w:rsid w:val="00AA34AD"/>
    <w:rsid w:val="00AA4D53"/>
    <w:rsid w:val="00AB3F7E"/>
    <w:rsid w:val="00AB4F21"/>
    <w:rsid w:val="00AB66EF"/>
    <w:rsid w:val="00AB6839"/>
    <w:rsid w:val="00AB6C5A"/>
    <w:rsid w:val="00AB6DB6"/>
    <w:rsid w:val="00AC380B"/>
    <w:rsid w:val="00AC68DF"/>
    <w:rsid w:val="00AC69C4"/>
    <w:rsid w:val="00AD14DD"/>
    <w:rsid w:val="00AD2E18"/>
    <w:rsid w:val="00AD51B5"/>
    <w:rsid w:val="00AD52E6"/>
    <w:rsid w:val="00AD7633"/>
    <w:rsid w:val="00AD77B9"/>
    <w:rsid w:val="00AD7DE8"/>
    <w:rsid w:val="00AE3B9E"/>
    <w:rsid w:val="00AE5F7C"/>
    <w:rsid w:val="00AE7FE2"/>
    <w:rsid w:val="00AF315A"/>
    <w:rsid w:val="00AF3E25"/>
    <w:rsid w:val="00AF400C"/>
    <w:rsid w:val="00AF5156"/>
    <w:rsid w:val="00B01F8F"/>
    <w:rsid w:val="00B0388E"/>
    <w:rsid w:val="00B03B2A"/>
    <w:rsid w:val="00B04434"/>
    <w:rsid w:val="00B05ED3"/>
    <w:rsid w:val="00B067C4"/>
    <w:rsid w:val="00B11CC5"/>
    <w:rsid w:val="00B12D35"/>
    <w:rsid w:val="00B13FFF"/>
    <w:rsid w:val="00B17A2B"/>
    <w:rsid w:val="00B225A6"/>
    <w:rsid w:val="00B231D1"/>
    <w:rsid w:val="00B24C14"/>
    <w:rsid w:val="00B24CBE"/>
    <w:rsid w:val="00B25E58"/>
    <w:rsid w:val="00B26FDA"/>
    <w:rsid w:val="00B277F5"/>
    <w:rsid w:val="00B31EE9"/>
    <w:rsid w:val="00B331BE"/>
    <w:rsid w:val="00B3335F"/>
    <w:rsid w:val="00B334C6"/>
    <w:rsid w:val="00B3358C"/>
    <w:rsid w:val="00B33C0E"/>
    <w:rsid w:val="00B34F96"/>
    <w:rsid w:val="00B354F2"/>
    <w:rsid w:val="00B37EC0"/>
    <w:rsid w:val="00B37FDF"/>
    <w:rsid w:val="00B4162D"/>
    <w:rsid w:val="00B42A7A"/>
    <w:rsid w:val="00B447EE"/>
    <w:rsid w:val="00B45B2E"/>
    <w:rsid w:val="00B46753"/>
    <w:rsid w:val="00B472C5"/>
    <w:rsid w:val="00B4798D"/>
    <w:rsid w:val="00B51B4E"/>
    <w:rsid w:val="00B527DF"/>
    <w:rsid w:val="00B53340"/>
    <w:rsid w:val="00B54840"/>
    <w:rsid w:val="00B57178"/>
    <w:rsid w:val="00B57746"/>
    <w:rsid w:val="00B60013"/>
    <w:rsid w:val="00B61634"/>
    <w:rsid w:val="00B6194F"/>
    <w:rsid w:val="00B63F30"/>
    <w:rsid w:val="00B668C7"/>
    <w:rsid w:val="00B71B1D"/>
    <w:rsid w:val="00B7219D"/>
    <w:rsid w:val="00B72763"/>
    <w:rsid w:val="00B73E88"/>
    <w:rsid w:val="00B77F0D"/>
    <w:rsid w:val="00B821ED"/>
    <w:rsid w:val="00B824B8"/>
    <w:rsid w:val="00B82D02"/>
    <w:rsid w:val="00B83BD2"/>
    <w:rsid w:val="00B85005"/>
    <w:rsid w:val="00B8542E"/>
    <w:rsid w:val="00B8649B"/>
    <w:rsid w:val="00B86502"/>
    <w:rsid w:val="00B94BD1"/>
    <w:rsid w:val="00B96558"/>
    <w:rsid w:val="00BA0ACB"/>
    <w:rsid w:val="00BA1791"/>
    <w:rsid w:val="00BA257E"/>
    <w:rsid w:val="00BA37DD"/>
    <w:rsid w:val="00BA5F49"/>
    <w:rsid w:val="00BA6ACA"/>
    <w:rsid w:val="00BB015F"/>
    <w:rsid w:val="00BB0983"/>
    <w:rsid w:val="00BB0EC8"/>
    <w:rsid w:val="00BB19B4"/>
    <w:rsid w:val="00BB25B8"/>
    <w:rsid w:val="00BB2F1F"/>
    <w:rsid w:val="00BB4098"/>
    <w:rsid w:val="00BC232E"/>
    <w:rsid w:val="00BC25E7"/>
    <w:rsid w:val="00BC2F6B"/>
    <w:rsid w:val="00BC4C2A"/>
    <w:rsid w:val="00BC5199"/>
    <w:rsid w:val="00BC5712"/>
    <w:rsid w:val="00BC5868"/>
    <w:rsid w:val="00BC7B34"/>
    <w:rsid w:val="00BD03BA"/>
    <w:rsid w:val="00BD0EE9"/>
    <w:rsid w:val="00BD337F"/>
    <w:rsid w:val="00BD3451"/>
    <w:rsid w:val="00BD3477"/>
    <w:rsid w:val="00BD353D"/>
    <w:rsid w:val="00BD3AC1"/>
    <w:rsid w:val="00BD50B2"/>
    <w:rsid w:val="00BD6D49"/>
    <w:rsid w:val="00BD7849"/>
    <w:rsid w:val="00BE3031"/>
    <w:rsid w:val="00BE3573"/>
    <w:rsid w:val="00BE3EF2"/>
    <w:rsid w:val="00BE44DB"/>
    <w:rsid w:val="00BE4543"/>
    <w:rsid w:val="00BE501F"/>
    <w:rsid w:val="00BE7A4E"/>
    <w:rsid w:val="00BF05CA"/>
    <w:rsid w:val="00BF062C"/>
    <w:rsid w:val="00BF1BD4"/>
    <w:rsid w:val="00BF1C25"/>
    <w:rsid w:val="00BF1DE1"/>
    <w:rsid w:val="00BF39AE"/>
    <w:rsid w:val="00BF50F0"/>
    <w:rsid w:val="00BF58E4"/>
    <w:rsid w:val="00C00609"/>
    <w:rsid w:val="00C00F56"/>
    <w:rsid w:val="00C01E57"/>
    <w:rsid w:val="00C022A3"/>
    <w:rsid w:val="00C02EC8"/>
    <w:rsid w:val="00C04344"/>
    <w:rsid w:val="00C0471A"/>
    <w:rsid w:val="00C06CB3"/>
    <w:rsid w:val="00C1102A"/>
    <w:rsid w:val="00C126F6"/>
    <w:rsid w:val="00C1354B"/>
    <w:rsid w:val="00C13972"/>
    <w:rsid w:val="00C13AD9"/>
    <w:rsid w:val="00C13C23"/>
    <w:rsid w:val="00C14CD6"/>
    <w:rsid w:val="00C20119"/>
    <w:rsid w:val="00C21D14"/>
    <w:rsid w:val="00C236AC"/>
    <w:rsid w:val="00C265F8"/>
    <w:rsid w:val="00C26EC0"/>
    <w:rsid w:val="00C316C9"/>
    <w:rsid w:val="00C31F1B"/>
    <w:rsid w:val="00C34548"/>
    <w:rsid w:val="00C35A82"/>
    <w:rsid w:val="00C4127C"/>
    <w:rsid w:val="00C41CCB"/>
    <w:rsid w:val="00C43AB9"/>
    <w:rsid w:val="00C44741"/>
    <w:rsid w:val="00C47E19"/>
    <w:rsid w:val="00C50F11"/>
    <w:rsid w:val="00C51B4A"/>
    <w:rsid w:val="00C52143"/>
    <w:rsid w:val="00C53156"/>
    <w:rsid w:val="00C55434"/>
    <w:rsid w:val="00C608CE"/>
    <w:rsid w:val="00C60F1B"/>
    <w:rsid w:val="00C61017"/>
    <w:rsid w:val="00C62FD7"/>
    <w:rsid w:val="00C63BCD"/>
    <w:rsid w:val="00C64654"/>
    <w:rsid w:val="00C649AE"/>
    <w:rsid w:val="00C65360"/>
    <w:rsid w:val="00C70283"/>
    <w:rsid w:val="00C72D95"/>
    <w:rsid w:val="00C754E2"/>
    <w:rsid w:val="00C76921"/>
    <w:rsid w:val="00C81680"/>
    <w:rsid w:val="00C844E7"/>
    <w:rsid w:val="00C8489C"/>
    <w:rsid w:val="00C85AB2"/>
    <w:rsid w:val="00C87CEC"/>
    <w:rsid w:val="00C94F15"/>
    <w:rsid w:val="00C95AF8"/>
    <w:rsid w:val="00C9605B"/>
    <w:rsid w:val="00C96EBA"/>
    <w:rsid w:val="00C97BC0"/>
    <w:rsid w:val="00CA1B07"/>
    <w:rsid w:val="00CA351E"/>
    <w:rsid w:val="00CA36D9"/>
    <w:rsid w:val="00CA4451"/>
    <w:rsid w:val="00CA52F0"/>
    <w:rsid w:val="00CA7059"/>
    <w:rsid w:val="00CB1613"/>
    <w:rsid w:val="00CC0D27"/>
    <w:rsid w:val="00CC2551"/>
    <w:rsid w:val="00CC2F2E"/>
    <w:rsid w:val="00CC56FE"/>
    <w:rsid w:val="00CD0175"/>
    <w:rsid w:val="00CD0EF5"/>
    <w:rsid w:val="00CD1A09"/>
    <w:rsid w:val="00CD4437"/>
    <w:rsid w:val="00CD5250"/>
    <w:rsid w:val="00CE09CC"/>
    <w:rsid w:val="00CE584A"/>
    <w:rsid w:val="00CE5D9B"/>
    <w:rsid w:val="00CE5F20"/>
    <w:rsid w:val="00CE668C"/>
    <w:rsid w:val="00CE7376"/>
    <w:rsid w:val="00CE7510"/>
    <w:rsid w:val="00CE7A32"/>
    <w:rsid w:val="00CF0058"/>
    <w:rsid w:val="00CF246D"/>
    <w:rsid w:val="00CF256C"/>
    <w:rsid w:val="00CF2970"/>
    <w:rsid w:val="00CF410E"/>
    <w:rsid w:val="00D01FE6"/>
    <w:rsid w:val="00D0450C"/>
    <w:rsid w:val="00D05392"/>
    <w:rsid w:val="00D079C2"/>
    <w:rsid w:val="00D07B58"/>
    <w:rsid w:val="00D11563"/>
    <w:rsid w:val="00D11EBA"/>
    <w:rsid w:val="00D120F0"/>
    <w:rsid w:val="00D12336"/>
    <w:rsid w:val="00D12AD3"/>
    <w:rsid w:val="00D1595C"/>
    <w:rsid w:val="00D16A41"/>
    <w:rsid w:val="00D24811"/>
    <w:rsid w:val="00D309FE"/>
    <w:rsid w:val="00D31877"/>
    <w:rsid w:val="00D32565"/>
    <w:rsid w:val="00D33650"/>
    <w:rsid w:val="00D33F3D"/>
    <w:rsid w:val="00D346FD"/>
    <w:rsid w:val="00D370BD"/>
    <w:rsid w:val="00D37162"/>
    <w:rsid w:val="00D37AC6"/>
    <w:rsid w:val="00D40B92"/>
    <w:rsid w:val="00D44A33"/>
    <w:rsid w:val="00D44CFD"/>
    <w:rsid w:val="00D452F0"/>
    <w:rsid w:val="00D45B0F"/>
    <w:rsid w:val="00D465CC"/>
    <w:rsid w:val="00D46A8A"/>
    <w:rsid w:val="00D46F50"/>
    <w:rsid w:val="00D47806"/>
    <w:rsid w:val="00D544FC"/>
    <w:rsid w:val="00D54DB7"/>
    <w:rsid w:val="00D56E94"/>
    <w:rsid w:val="00D61503"/>
    <w:rsid w:val="00D62455"/>
    <w:rsid w:val="00D64B41"/>
    <w:rsid w:val="00D64C5C"/>
    <w:rsid w:val="00D651EE"/>
    <w:rsid w:val="00D65304"/>
    <w:rsid w:val="00D65F48"/>
    <w:rsid w:val="00D67D4D"/>
    <w:rsid w:val="00D72261"/>
    <w:rsid w:val="00D80F98"/>
    <w:rsid w:val="00D84BAB"/>
    <w:rsid w:val="00D9287D"/>
    <w:rsid w:val="00D93B5E"/>
    <w:rsid w:val="00D94D83"/>
    <w:rsid w:val="00D94F0D"/>
    <w:rsid w:val="00D95283"/>
    <w:rsid w:val="00DA2133"/>
    <w:rsid w:val="00DA22E8"/>
    <w:rsid w:val="00DA24DE"/>
    <w:rsid w:val="00DA25C3"/>
    <w:rsid w:val="00DA4655"/>
    <w:rsid w:val="00DB0293"/>
    <w:rsid w:val="00DB0E68"/>
    <w:rsid w:val="00DB124D"/>
    <w:rsid w:val="00DB7158"/>
    <w:rsid w:val="00DB766D"/>
    <w:rsid w:val="00DC2A11"/>
    <w:rsid w:val="00DC4F89"/>
    <w:rsid w:val="00DC5C4C"/>
    <w:rsid w:val="00DC6A03"/>
    <w:rsid w:val="00DC7DBC"/>
    <w:rsid w:val="00DD098A"/>
    <w:rsid w:val="00DD09ED"/>
    <w:rsid w:val="00DD1568"/>
    <w:rsid w:val="00DD2B77"/>
    <w:rsid w:val="00DD2B8F"/>
    <w:rsid w:val="00DD5480"/>
    <w:rsid w:val="00DD5847"/>
    <w:rsid w:val="00DD7C03"/>
    <w:rsid w:val="00DD7F15"/>
    <w:rsid w:val="00DE13EF"/>
    <w:rsid w:val="00DE2049"/>
    <w:rsid w:val="00DE3BDC"/>
    <w:rsid w:val="00DE4433"/>
    <w:rsid w:val="00DF0C74"/>
    <w:rsid w:val="00DF1070"/>
    <w:rsid w:val="00DF41B0"/>
    <w:rsid w:val="00DF602D"/>
    <w:rsid w:val="00E0229F"/>
    <w:rsid w:val="00E0274F"/>
    <w:rsid w:val="00E02EA0"/>
    <w:rsid w:val="00E03B89"/>
    <w:rsid w:val="00E0577C"/>
    <w:rsid w:val="00E0614D"/>
    <w:rsid w:val="00E0638F"/>
    <w:rsid w:val="00E1147B"/>
    <w:rsid w:val="00E207ED"/>
    <w:rsid w:val="00E231F0"/>
    <w:rsid w:val="00E23BC8"/>
    <w:rsid w:val="00E245E8"/>
    <w:rsid w:val="00E260AF"/>
    <w:rsid w:val="00E27314"/>
    <w:rsid w:val="00E27737"/>
    <w:rsid w:val="00E30A18"/>
    <w:rsid w:val="00E30C02"/>
    <w:rsid w:val="00E31335"/>
    <w:rsid w:val="00E315EB"/>
    <w:rsid w:val="00E32216"/>
    <w:rsid w:val="00E3393B"/>
    <w:rsid w:val="00E35674"/>
    <w:rsid w:val="00E378F2"/>
    <w:rsid w:val="00E37F5A"/>
    <w:rsid w:val="00E4135E"/>
    <w:rsid w:val="00E42CC3"/>
    <w:rsid w:val="00E451CA"/>
    <w:rsid w:val="00E45CFA"/>
    <w:rsid w:val="00E45F65"/>
    <w:rsid w:val="00E46234"/>
    <w:rsid w:val="00E47A41"/>
    <w:rsid w:val="00E53768"/>
    <w:rsid w:val="00E53FB4"/>
    <w:rsid w:val="00E54E29"/>
    <w:rsid w:val="00E55C8C"/>
    <w:rsid w:val="00E60869"/>
    <w:rsid w:val="00E625B2"/>
    <w:rsid w:val="00E64C61"/>
    <w:rsid w:val="00E657D3"/>
    <w:rsid w:val="00E66662"/>
    <w:rsid w:val="00E66C11"/>
    <w:rsid w:val="00E677CF"/>
    <w:rsid w:val="00E721FA"/>
    <w:rsid w:val="00E73151"/>
    <w:rsid w:val="00E7373C"/>
    <w:rsid w:val="00E7476B"/>
    <w:rsid w:val="00E76375"/>
    <w:rsid w:val="00E8158E"/>
    <w:rsid w:val="00E84CD1"/>
    <w:rsid w:val="00E853A5"/>
    <w:rsid w:val="00E86B44"/>
    <w:rsid w:val="00E86D63"/>
    <w:rsid w:val="00E86E90"/>
    <w:rsid w:val="00E902CE"/>
    <w:rsid w:val="00E96AC6"/>
    <w:rsid w:val="00E97BCF"/>
    <w:rsid w:val="00EA0485"/>
    <w:rsid w:val="00EA2BC3"/>
    <w:rsid w:val="00EA3433"/>
    <w:rsid w:val="00EA45BD"/>
    <w:rsid w:val="00EA5DE9"/>
    <w:rsid w:val="00EA7D55"/>
    <w:rsid w:val="00EB0D21"/>
    <w:rsid w:val="00EB0DE8"/>
    <w:rsid w:val="00EB30C2"/>
    <w:rsid w:val="00EB54FD"/>
    <w:rsid w:val="00EC0858"/>
    <w:rsid w:val="00EC09CB"/>
    <w:rsid w:val="00EC3630"/>
    <w:rsid w:val="00EC4BB0"/>
    <w:rsid w:val="00ED0FD7"/>
    <w:rsid w:val="00ED2810"/>
    <w:rsid w:val="00ED2C54"/>
    <w:rsid w:val="00ED30A7"/>
    <w:rsid w:val="00ED3DFB"/>
    <w:rsid w:val="00ED4C99"/>
    <w:rsid w:val="00ED5DCD"/>
    <w:rsid w:val="00EE003E"/>
    <w:rsid w:val="00EE025E"/>
    <w:rsid w:val="00EE2D90"/>
    <w:rsid w:val="00EE4B3A"/>
    <w:rsid w:val="00EE5639"/>
    <w:rsid w:val="00EE5CF5"/>
    <w:rsid w:val="00EE702D"/>
    <w:rsid w:val="00EE7134"/>
    <w:rsid w:val="00EF11DC"/>
    <w:rsid w:val="00EF1694"/>
    <w:rsid w:val="00EF1A9D"/>
    <w:rsid w:val="00EF1C38"/>
    <w:rsid w:val="00EF2F57"/>
    <w:rsid w:val="00EF2F70"/>
    <w:rsid w:val="00EF35F1"/>
    <w:rsid w:val="00EF52EF"/>
    <w:rsid w:val="00EF5768"/>
    <w:rsid w:val="00EF64E6"/>
    <w:rsid w:val="00EF663C"/>
    <w:rsid w:val="00F01C92"/>
    <w:rsid w:val="00F0291B"/>
    <w:rsid w:val="00F03EDC"/>
    <w:rsid w:val="00F05175"/>
    <w:rsid w:val="00F071FA"/>
    <w:rsid w:val="00F11527"/>
    <w:rsid w:val="00F1343C"/>
    <w:rsid w:val="00F154AF"/>
    <w:rsid w:val="00F22496"/>
    <w:rsid w:val="00F2344F"/>
    <w:rsid w:val="00F25092"/>
    <w:rsid w:val="00F26E75"/>
    <w:rsid w:val="00F27F5D"/>
    <w:rsid w:val="00F31315"/>
    <w:rsid w:val="00F33B5E"/>
    <w:rsid w:val="00F35D61"/>
    <w:rsid w:val="00F36584"/>
    <w:rsid w:val="00F370DD"/>
    <w:rsid w:val="00F4083B"/>
    <w:rsid w:val="00F41B0D"/>
    <w:rsid w:val="00F41F63"/>
    <w:rsid w:val="00F422B8"/>
    <w:rsid w:val="00F44BB7"/>
    <w:rsid w:val="00F4615E"/>
    <w:rsid w:val="00F4740E"/>
    <w:rsid w:val="00F478FF"/>
    <w:rsid w:val="00F50494"/>
    <w:rsid w:val="00F52069"/>
    <w:rsid w:val="00F540E1"/>
    <w:rsid w:val="00F5770F"/>
    <w:rsid w:val="00F62A75"/>
    <w:rsid w:val="00F63004"/>
    <w:rsid w:val="00F63408"/>
    <w:rsid w:val="00F63A49"/>
    <w:rsid w:val="00F64074"/>
    <w:rsid w:val="00F656C5"/>
    <w:rsid w:val="00F667CC"/>
    <w:rsid w:val="00F66A67"/>
    <w:rsid w:val="00F705EE"/>
    <w:rsid w:val="00F7173A"/>
    <w:rsid w:val="00F71B08"/>
    <w:rsid w:val="00F72B5B"/>
    <w:rsid w:val="00F72E97"/>
    <w:rsid w:val="00F73C38"/>
    <w:rsid w:val="00F7535F"/>
    <w:rsid w:val="00F754E5"/>
    <w:rsid w:val="00F76412"/>
    <w:rsid w:val="00F76DA0"/>
    <w:rsid w:val="00F80F55"/>
    <w:rsid w:val="00F8314D"/>
    <w:rsid w:val="00F84A90"/>
    <w:rsid w:val="00F92F7B"/>
    <w:rsid w:val="00F93C5E"/>
    <w:rsid w:val="00F94158"/>
    <w:rsid w:val="00F94709"/>
    <w:rsid w:val="00F9471D"/>
    <w:rsid w:val="00F97ED3"/>
    <w:rsid w:val="00FA0DC0"/>
    <w:rsid w:val="00FA22C9"/>
    <w:rsid w:val="00FA2683"/>
    <w:rsid w:val="00FA2713"/>
    <w:rsid w:val="00FA40F4"/>
    <w:rsid w:val="00FA483B"/>
    <w:rsid w:val="00FA61ED"/>
    <w:rsid w:val="00FB0684"/>
    <w:rsid w:val="00FB070C"/>
    <w:rsid w:val="00FB4121"/>
    <w:rsid w:val="00FB72B0"/>
    <w:rsid w:val="00FC0D96"/>
    <w:rsid w:val="00FC3A16"/>
    <w:rsid w:val="00FC49CF"/>
    <w:rsid w:val="00FC54AD"/>
    <w:rsid w:val="00FC6822"/>
    <w:rsid w:val="00FC74A2"/>
    <w:rsid w:val="00FD0DA4"/>
    <w:rsid w:val="00FD36A8"/>
    <w:rsid w:val="00FD528E"/>
    <w:rsid w:val="00FD726D"/>
    <w:rsid w:val="00FE4127"/>
    <w:rsid w:val="00FE4236"/>
    <w:rsid w:val="00FE67E9"/>
    <w:rsid w:val="00FE7EFB"/>
    <w:rsid w:val="00FF00B0"/>
    <w:rsid w:val="00FF0492"/>
    <w:rsid w:val="00FF1002"/>
    <w:rsid w:val="00FF2308"/>
    <w:rsid w:val="00FF2313"/>
    <w:rsid w:val="00FF5506"/>
    <w:rsid w:val="00FF7DE5"/>
    <w:rsid w:val="02AB372D"/>
    <w:rsid w:val="08DF3D6E"/>
    <w:rsid w:val="0AFFA45F"/>
    <w:rsid w:val="0D0C1274"/>
    <w:rsid w:val="0D9024AA"/>
    <w:rsid w:val="0E0DFF6C"/>
    <w:rsid w:val="0E9FA2E6"/>
    <w:rsid w:val="0FC1AB7F"/>
    <w:rsid w:val="140277D6"/>
    <w:rsid w:val="1541FA5F"/>
    <w:rsid w:val="163DEE3E"/>
    <w:rsid w:val="17C630F8"/>
    <w:rsid w:val="17F5CC9B"/>
    <w:rsid w:val="19A49877"/>
    <w:rsid w:val="1A593B29"/>
    <w:rsid w:val="1F7549E7"/>
    <w:rsid w:val="22D4A414"/>
    <w:rsid w:val="24C08D91"/>
    <w:rsid w:val="28BD94BB"/>
    <w:rsid w:val="2A0EAD47"/>
    <w:rsid w:val="2D2D90D7"/>
    <w:rsid w:val="2ECBD765"/>
    <w:rsid w:val="3595A05D"/>
    <w:rsid w:val="388740C6"/>
    <w:rsid w:val="389630BB"/>
    <w:rsid w:val="3DC4CDAB"/>
    <w:rsid w:val="40136DB6"/>
    <w:rsid w:val="42A077E3"/>
    <w:rsid w:val="432C9C37"/>
    <w:rsid w:val="43B9874A"/>
    <w:rsid w:val="44894C30"/>
    <w:rsid w:val="45FE0947"/>
    <w:rsid w:val="4699BEFE"/>
    <w:rsid w:val="48B414E9"/>
    <w:rsid w:val="4ED056CD"/>
    <w:rsid w:val="51029082"/>
    <w:rsid w:val="513731D5"/>
    <w:rsid w:val="52B40AAF"/>
    <w:rsid w:val="577914DE"/>
    <w:rsid w:val="58027641"/>
    <w:rsid w:val="5AAE4E2E"/>
    <w:rsid w:val="5ACF74BD"/>
    <w:rsid w:val="5B950C74"/>
    <w:rsid w:val="5E74FF03"/>
    <w:rsid w:val="5F9F1790"/>
    <w:rsid w:val="634EE023"/>
    <w:rsid w:val="64DFD82C"/>
    <w:rsid w:val="67679942"/>
    <w:rsid w:val="69F0BF79"/>
    <w:rsid w:val="6C21BC98"/>
    <w:rsid w:val="6CE3C3A7"/>
    <w:rsid w:val="6D3BFFB6"/>
    <w:rsid w:val="6EC4E793"/>
    <w:rsid w:val="6EEB0560"/>
    <w:rsid w:val="70E52CFB"/>
    <w:rsid w:val="72347FD8"/>
    <w:rsid w:val="72ABF50B"/>
    <w:rsid w:val="7A900DBF"/>
    <w:rsid w:val="7D40E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02132E39"/>
  <w14:defaultImageDpi w14:val="96"/>
  <w15:docId w15:val="{CEB7B4D8-9E04-4987-BE34-8127A6B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C9"/>
    <w:pPr>
      <w:spacing w:after="0" w:line="240" w:lineRule="auto"/>
    </w:pPr>
    <w:rPr>
      <w:sz w:val="20"/>
      <w:szCs w:val="20"/>
    </w:rPr>
  </w:style>
  <w:style w:type="paragraph" w:styleId="Heading1">
    <w:name w:val="heading 1"/>
    <w:basedOn w:val="Normal"/>
    <w:next w:val="Normal"/>
    <w:link w:val="Heading1Char"/>
    <w:uiPriority w:val="99"/>
    <w:qFormat/>
    <w:rsid w:val="00FA22C9"/>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FA22C9"/>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FA22C9"/>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FA22C9"/>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FA22C9"/>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FA22C9"/>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FA22C9"/>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FA22C9"/>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22C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FA22C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FA22C9"/>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A22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A22C9"/>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A22C9"/>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A22C9"/>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A22C9"/>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FA22C9"/>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FA22C9"/>
    <w:rPr>
      <w:rFonts w:cs="Times New Roman"/>
      <w:sz w:val="20"/>
      <w:szCs w:val="20"/>
    </w:rPr>
  </w:style>
  <w:style w:type="paragraph" w:styleId="BodyText3">
    <w:name w:val="Body Text 3"/>
    <w:basedOn w:val="Normal"/>
    <w:link w:val="BodyText3Char"/>
    <w:uiPriority w:val="99"/>
    <w:rsid w:val="00FA22C9"/>
    <w:pPr>
      <w:spacing w:before="60" w:after="60"/>
      <w:jc w:val="center"/>
    </w:pPr>
    <w:rPr>
      <w:b/>
      <w:bCs/>
    </w:rPr>
  </w:style>
  <w:style w:type="character" w:customStyle="1" w:styleId="BodyText3Char">
    <w:name w:val="Body Text 3 Char"/>
    <w:basedOn w:val="DefaultParagraphFont"/>
    <w:link w:val="BodyText3"/>
    <w:uiPriority w:val="99"/>
    <w:semiHidden/>
    <w:locked/>
    <w:rsid w:val="00FA22C9"/>
    <w:rPr>
      <w:rFonts w:cs="Times New Roman"/>
      <w:sz w:val="16"/>
      <w:szCs w:val="16"/>
    </w:rPr>
  </w:style>
  <w:style w:type="paragraph" w:styleId="CommentText">
    <w:name w:val="annotation text"/>
    <w:basedOn w:val="Normal"/>
    <w:link w:val="CommentTextChar"/>
    <w:uiPriority w:val="99"/>
    <w:semiHidden/>
    <w:rsid w:val="00FA22C9"/>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FA22C9"/>
    <w:rPr>
      <w:rFonts w:cs="Times New Roman"/>
      <w:sz w:val="20"/>
      <w:szCs w:val="20"/>
    </w:rPr>
  </w:style>
  <w:style w:type="paragraph" w:styleId="Caption">
    <w:name w:val="caption"/>
    <w:basedOn w:val="Normal"/>
    <w:next w:val="Normal"/>
    <w:uiPriority w:val="99"/>
    <w:qFormat/>
    <w:rsid w:val="00FA22C9"/>
    <w:pPr>
      <w:spacing w:before="60" w:after="60"/>
      <w:jc w:val="center"/>
    </w:pPr>
    <w:rPr>
      <w:b/>
      <w:bCs/>
      <w:noProof/>
      <w:sz w:val="24"/>
      <w:szCs w:val="24"/>
    </w:rPr>
  </w:style>
  <w:style w:type="paragraph" w:styleId="DocumentMap">
    <w:name w:val="Document Map"/>
    <w:basedOn w:val="Normal"/>
    <w:link w:val="DocumentMapChar"/>
    <w:uiPriority w:val="99"/>
    <w:semiHidden/>
    <w:rsid w:val="00FA22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22C9"/>
    <w:rPr>
      <w:rFonts w:ascii="Tahoma" w:hAnsi="Tahoma" w:cs="Tahoma"/>
      <w:sz w:val="16"/>
      <w:szCs w:val="16"/>
    </w:rPr>
  </w:style>
  <w:style w:type="paragraph" w:styleId="BodyText">
    <w:name w:val="Body Text"/>
    <w:basedOn w:val="Normal"/>
    <w:link w:val="BodyTextChar"/>
    <w:uiPriority w:val="99"/>
    <w:rsid w:val="00FA22C9"/>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FA22C9"/>
    <w:rPr>
      <w:rFonts w:cs="Times New Roman"/>
      <w:sz w:val="20"/>
      <w:szCs w:val="20"/>
    </w:rPr>
  </w:style>
  <w:style w:type="paragraph" w:styleId="Header">
    <w:name w:val="header"/>
    <w:basedOn w:val="Normal"/>
    <w:link w:val="HeaderChar"/>
    <w:uiPriority w:val="99"/>
    <w:rsid w:val="00FA22C9"/>
    <w:pPr>
      <w:tabs>
        <w:tab w:val="center" w:pos="4153"/>
        <w:tab w:val="right" w:pos="8306"/>
      </w:tabs>
    </w:pPr>
  </w:style>
  <w:style w:type="character" w:customStyle="1" w:styleId="HeaderChar">
    <w:name w:val="Header Char"/>
    <w:basedOn w:val="DefaultParagraphFont"/>
    <w:link w:val="Header"/>
    <w:uiPriority w:val="99"/>
    <w:semiHidden/>
    <w:locked/>
    <w:rsid w:val="00FA22C9"/>
    <w:rPr>
      <w:rFonts w:cs="Times New Roman"/>
      <w:sz w:val="20"/>
      <w:szCs w:val="20"/>
    </w:rPr>
  </w:style>
  <w:style w:type="paragraph" w:styleId="Footer">
    <w:name w:val="footer"/>
    <w:basedOn w:val="Normal"/>
    <w:link w:val="FooterChar"/>
    <w:uiPriority w:val="99"/>
    <w:rsid w:val="00FA22C9"/>
    <w:pPr>
      <w:tabs>
        <w:tab w:val="center" w:pos="4153"/>
        <w:tab w:val="right" w:pos="8306"/>
      </w:tabs>
    </w:pPr>
  </w:style>
  <w:style w:type="character" w:customStyle="1" w:styleId="FooterChar">
    <w:name w:val="Footer Char"/>
    <w:basedOn w:val="DefaultParagraphFont"/>
    <w:link w:val="Footer"/>
    <w:uiPriority w:val="99"/>
    <w:locked/>
    <w:rsid w:val="00FA22C9"/>
    <w:rPr>
      <w:rFonts w:cs="Times New Roman"/>
      <w:sz w:val="20"/>
      <w:szCs w:val="20"/>
    </w:rPr>
  </w:style>
  <w:style w:type="character" w:styleId="PageNumber">
    <w:name w:val="page number"/>
    <w:basedOn w:val="DefaultParagraphFont"/>
    <w:uiPriority w:val="99"/>
    <w:rsid w:val="00FA22C9"/>
    <w:rPr>
      <w:rFonts w:cs="Times New Roman"/>
    </w:rPr>
  </w:style>
  <w:style w:type="character" w:styleId="Hyperlink">
    <w:name w:val="Hyperlink"/>
    <w:basedOn w:val="DefaultParagraphFont"/>
    <w:uiPriority w:val="99"/>
    <w:rsid w:val="00FA22C9"/>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2C9"/>
    <w:rPr>
      <w:rFonts w:ascii="Tahoma" w:hAnsi="Tahoma" w:cs="Tahoma"/>
      <w:sz w:val="16"/>
      <w:szCs w:val="16"/>
    </w:rPr>
  </w:style>
  <w:style w:type="character" w:styleId="CommentReference">
    <w:name w:val="annotation reference"/>
    <w:basedOn w:val="DefaultParagraphFont"/>
    <w:uiPriority w:val="99"/>
    <w:semiHidden/>
    <w:unhideWhenUsed/>
    <w:rsid w:val="00D65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D651EE"/>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651EE"/>
    <w:rPr>
      <w:rFonts w:cs="Times New Roman"/>
      <w:b/>
      <w:bCs/>
      <w:sz w:val="20"/>
      <w:szCs w:val="20"/>
    </w:rPr>
  </w:style>
  <w:style w:type="paragraph" w:styleId="Revision">
    <w:name w:val="Revision"/>
    <w:hidden/>
    <w:uiPriority w:val="99"/>
    <w:semiHidden/>
    <w:rsid w:val="00D651EE"/>
    <w:pPr>
      <w:spacing w:after="0" w:line="240" w:lineRule="auto"/>
    </w:pPr>
    <w:rPr>
      <w:sz w:val="20"/>
      <w:szCs w:val="20"/>
    </w:rPr>
  </w:style>
  <w:style w:type="character" w:styleId="Strong">
    <w:name w:val="Strong"/>
    <w:basedOn w:val="DefaultParagraphFont"/>
    <w:uiPriority w:val="22"/>
    <w:qFormat/>
    <w:rsid w:val="00690395"/>
    <w:rPr>
      <w:rFonts w:cs="Times New Roman"/>
      <w:b/>
      <w:bCs/>
    </w:rPr>
  </w:style>
  <w:style w:type="paragraph" w:styleId="TOC1">
    <w:name w:val="toc 1"/>
    <w:basedOn w:val="Normal"/>
    <w:next w:val="Normal"/>
    <w:autoRedefine/>
    <w:uiPriority w:val="39"/>
    <w:unhideWhenUsed/>
    <w:rsid w:val="00690395"/>
    <w:pPr>
      <w:spacing w:after="100"/>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47043A"/>
    <w:pPr>
      <w:ind w:left="720"/>
      <w:contextualSpacing/>
    </w:pPr>
    <w:rPr>
      <w:lang w:eastAsia="en-US"/>
    </w:rPr>
  </w:style>
  <w:style w:type="character" w:styleId="FollowedHyperlink">
    <w:name w:val="FollowedHyperlink"/>
    <w:basedOn w:val="DefaultParagraphFont"/>
    <w:uiPriority w:val="99"/>
    <w:rsid w:val="00C01E57"/>
    <w:rPr>
      <w:color w:val="800080" w:themeColor="followedHyperlink"/>
      <w:u w:val="single"/>
    </w:rPr>
  </w:style>
  <w:style w:type="paragraph" w:customStyle="1" w:styleId="paragraph">
    <w:name w:val="paragraph"/>
    <w:basedOn w:val="Normal"/>
    <w:rsid w:val="001101E0"/>
    <w:pPr>
      <w:spacing w:before="100" w:beforeAutospacing="1" w:after="100" w:afterAutospacing="1"/>
    </w:pPr>
    <w:rPr>
      <w:sz w:val="24"/>
      <w:szCs w:val="24"/>
    </w:rPr>
  </w:style>
  <w:style w:type="character" w:customStyle="1" w:styleId="normaltextrun">
    <w:name w:val="normaltextrun"/>
    <w:basedOn w:val="DefaultParagraphFont"/>
    <w:rsid w:val="001101E0"/>
  </w:style>
  <w:style w:type="character" w:customStyle="1" w:styleId="eop">
    <w:name w:val="eop"/>
    <w:basedOn w:val="DefaultParagraphFont"/>
    <w:rsid w:val="001101E0"/>
  </w:style>
  <w:style w:type="paragraph" w:customStyle="1" w:styleId="Default">
    <w:name w:val="Default"/>
    <w:rsid w:val="00BC232E"/>
    <w:pPr>
      <w:autoSpaceDE w:val="0"/>
      <w:autoSpaceDN w:val="0"/>
      <w:adjustRightInd w:val="0"/>
      <w:spacing w:after="0" w:line="240" w:lineRule="auto"/>
    </w:pPr>
    <w:rPr>
      <w:rFonts w:eastAsia="Calibri"/>
      <w:color w:val="000000"/>
      <w:sz w:val="24"/>
      <w:szCs w:val="24"/>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BC232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6765">
      <w:bodyDiv w:val="1"/>
      <w:marLeft w:val="0"/>
      <w:marRight w:val="0"/>
      <w:marTop w:val="0"/>
      <w:marBottom w:val="0"/>
      <w:divBdr>
        <w:top w:val="none" w:sz="0" w:space="0" w:color="auto"/>
        <w:left w:val="none" w:sz="0" w:space="0" w:color="auto"/>
        <w:bottom w:val="none" w:sz="0" w:space="0" w:color="auto"/>
        <w:right w:val="none" w:sz="0" w:space="0" w:color="auto"/>
      </w:divBdr>
    </w:div>
    <w:div w:id="136847019">
      <w:bodyDiv w:val="1"/>
      <w:marLeft w:val="0"/>
      <w:marRight w:val="0"/>
      <w:marTop w:val="0"/>
      <w:marBottom w:val="0"/>
      <w:divBdr>
        <w:top w:val="none" w:sz="0" w:space="0" w:color="auto"/>
        <w:left w:val="none" w:sz="0" w:space="0" w:color="auto"/>
        <w:bottom w:val="none" w:sz="0" w:space="0" w:color="auto"/>
        <w:right w:val="none" w:sz="0" w:space="0" w:color="auto"/>
      </w:divBdr>
      <w:divsChild>
        <w:div w:id="1357929737">
          <w:marLeft w:val="0"/>
          <w:marRight w:val="0"/>
          <w:marTop w:val="0"/>
          <w:marBottom w:val="0"/>
          <w:divBdr>
            <w:top w:val="none" w:sz="0" w:space="0" w:color="auto"/>
            <w:left w:val="none" w:sz="0" w:space="0" w:color="auto"/>
            <w:bottom w:val="none" w:sz="0" w:space="0" w:color="auto"/>
            <w:right w:val="none" w:sz="0" w:space="0" w:color="auto"/>
          </w:divBdr>
        </w:div>
        <w:div w:id="14158107">
          <w:marLeft w:val="0"/>
          <w:marRight w:val="0"/>
          <w:marTop w:val="0"/>
          <w:marBottom w:val="0"/>
          <w:divBdr>
            <w:top w:val="none" w:sz="0" w:space="0" w:color="auto"/>
            <w:left w:val="none" w:sz="0" w:space="0" w:color="auto"/>
            <w:bottom w:val="none" w:sz="0" w:space="0" w:color="auto"/>
            <w:right w:val="none" w:sz="0" w:space="0" w:color="auto"/>
          </w:divBdr>
        </w:div>
        <w:div w:id="1589120839">
          <w:marLeft w:val="0"/>
          <w:marRight w:val="0"/>
          <w:marTop w:val="0"/>
          <w:marBottom w:val="0"/>
          <w:divBdr>
            <w:top w:val="none" w:sz="0" w:space="0" w:color="auto"/>
            <w:left w:val="none" w:sz="0" w:space="0" w:color="auto"/>
            <w:bottom w:val="none" w:sz="0" w:space="0" w:color="auto"/>
            <w:right w:val="none" w:sz="0" w:space="0" w:color="auto"/>
          </w:divBdr>
        </w:div>
        <w:div w:id="1364281673">
          <w:marLeft w:val="0"/>
          <w:marRight w:val="0"/>
          <w:marTop w:val="0"/>
          <w:marBottom w:val="0"/>
          <w:divBdr>
            <w:top w:val="none" w:sz="0" w:space="0" w:color="auto"/>
            <w:left w:val="none" w:sz="0" w:space="0" w:color="auto"/>
            <w:bottom w:val="none" w:sz="0" w:space="0" w:color="auto"/>
            <w:right w:val="none" w:sz="0" w:space="0" w:color="auto"/>
          </w:divBdr>
        </w:div>
        <w:div w:id="1139374504">
          <w:marLeft w:val="0"/>
          <w:marRight w:val="0"/>
          <w:marTop w:val="0"/>
          <w:marBottom w:val="0"/>
          <w:divBdr>
            <w:top w:val="none" w:sz="0" w:space="0" w:color="auto"/>
            <w:left w:val="none" w:sz="0" w:space="0" w:color="auto"/>
            <w:bottom w:val="none" w:sz="0" w:space="0" w:color="auto"/>
            <w:right w:val="none" w:sz="0" w:space="0" w:color="auto"/>
          </w:divBdr>
        </w:div>
        <w:div w:id="786464662">
          <w:marLeft w:val="0"/>
          <w:marRight w:val="0"/>
          <w:marTop w:val="0"/>
          <w:marBottom w:val="0"/>
          <w:divBdr>
            <w:top w:val="none" w:sz="0" w:space="0" w:color="auto"/>
            <w:left w:val="none" w:sz="0" w:space="0" w:color="auto"/>
            <w:bottom w:val="none" w:sz="0" w:space="0" w:color="auto"/>
            <w:right w:val="none" w:sz="0" w:space="0" w:color="auto"/>
          </w:divBdr>
        </w:div>
        <w:div w:id="1342122790">
          <w:marLeft w:val="0"/>
          <w:marRight w:val="0"/>
          <w:marTop w:val="0"/>
          <w:marBottom w:val="0"/>
          <w:divBdr>
            <w:top w:val="none" w:sz="0" w:space="0" w:color="auto"/>
            <w:left w:val="none" w:sz="0" w:space="0" w:color="auto"/>
            <w:bottom w:val="none" w:sz="0" w:space="0" w:color="auto"/>
            <w:right w:val="none" w:sz="0" w:space="0" w:color="auto"/>
          </w:divBdr>
        </w:div>
        <w:div w:id="1286960310">
          <w:marLeft w:val="0"/>
          <w:marRight w:val="0"/>
          <w:marTop w:val="0"/>
          <w:marBottom w:val="0"/>
          <w:divBdr>
            <w:top w:val="none" w:sz="0" w:space="0" w:color="auto"/>
            <w:left w:val="none" w:sz="0" w:space="0" w:color="auto"/>
            <w:bottom w:val="none" w:sz="0" w:space="0" w:color="auto"/>
            <w:right w:val="none" w:sz="0" w:space="0" w:color="auto"/>
          </w:divBdr>
        </w:div>
      </w:divsChild>
    </w:div>
    <w:div w:id="346910082">
      <w:bodyDiv w:val="1"/>
      <w:marLeft w:val="0"/>
      <w:marRight w:val="0"/>
      <w:marTop w:val="0"/>
      <w:marBottom w:val="0"/>
      <w:divBdr>
        <w:top w:val="none" w:sz="0" w:space="0" w:color="auto"/>
        <w:left w:val="none" w:sz="0" w:space="0" w:color="auto"/>
        <w:bottom w:val="none" w:sz="0" w:space="0" w:color="auto"/>
        <w:right w:val="none" w:sz="0" w:space="0" w:color="auto"/>
      </w:divBdr>
      <w:divsChild>
        <w:div w:id="914899906">
          <w:marLeft w:val="0"/>
          <w:marRight w:val="0"/>
          <w:marTop w:val="0"/>
          <w:marBottom w:val="0"/>
          <w:divBdr>
            <w:top w:val="none" w:sz="0" w:space="0" w:color="auto"/>
            <w:left w:val="none" w:sz="0" w:space="0" w:color="auto"/>
            <w:bottom w:val="none" w:sz="0" w:space="0" w:color="auto"/>
            <w:right w:val="none" w:sz="0" w:space="0" w:color="auto"/>
          </w:divBdr>
          <w:divsChild>
            <w:div w:id="802381382">
              <w:marLeft w:val="0"/>
              <w:marRight w:val="0"/>
              <w:marTop w:val="0"/>
              <w:marBottom w:val="0"/>
              <w:divBdr>
                <w:top w:val="none" w:sz="0" w:space="0" w:color="auto"/>
                <w:left w:val="none" w:sz="0" w:space="0" w:color="auto"/>
                <w:bottom w:val="none" w:sz="0" w:space="0" w:color="auto"/>
                <w:right w:val="none" w:sz="0" w:space="0" w:color="auto"/>
              </w:divBdr>
            </w:div>
            <w:div w:id="1956060564">
              <w:marLeft w:val="0"/>
              <w:marRight w:val="0"/>
              <w:marTop w:val="0"/>
              <w:marBottom w:val="0"/>
              <w:divBdr>
                <w:top w:val="none" w:sz="0" w:space="0" w:color="auto"/>
                <w:left w:val="none" w:sz="0" w:space="0" w:color="auto"/>
                <w:bottom w:val="none" w:sz="0" w:space="0" w:color="auto"/>
                <w:right w:val="none" w:sz="0" w:space="0" w:color="auto"/>
              </w:divBdr>
            </w:div>
          </w:divsChild>
        </w:div>
        <w:div w:id="178934463">
          <w:marLeft w:val="0"/>
          <w:marRight w:val="0"/>
          <w:marTop w:val="0"/>
          <w:marBottom w:val="0"/>
          <w:divBdr>
            <w:top w:val="none" w:sz="0" w:space="0" w:color="auto"/>
            <w:left w:val="none" w:sz="0" w:space="0" w:color="auto"/>
            <w:bottom w:val="none" w:sz="0" w:space="0" w:color="auto"/>
            <w:right w:val="none" w:sz="0" w:space="0" w:color="auto"/>
          </w:divBdr>
          <w:divsChild>
            <w:div w:id="1246453684">
              <w:marLeft w:val="0"/>
              <w:marRight w:val="0"/>
              <w:marTop w:val="0"/>
              <w:marBottom w:val="0"/>
              <w:divBdr>
                <w:top w:val="none" w:sz="0" w:space="0" w:color="auto"/>
                <w:left w:val="none" w:sz="0" w:space="0" w:color="auto"/>
                <w:bottom w:val="none" w:sz="0" w:space="0" w:color="auto"/>
                <w:right w:val="none" w:sz="0" w:space="0" w:color="auto"/>
              </w:divBdr>
            </w:div>
            <w:div w:id="2029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319">
      <w:bodyDiv w:val="1"/>
      <w:marLeft w:val="0"/>
      <w:marRight w:val="0"/>
      <w:marTop w:val="0"/>
      <w:marBottom w:val="0"/>
      <w:divBdr>
        <w:top w:val="none" w:sz="0" w:space="0" w:color="auto"/>
        <w:left w:val="none" w:sz="0" w:space="0" w:color="auto"/>
        <w:bottom w:val="none" w:sz="0" w:space="0" w:color="auto"/>
        <w:right w:val="none" w:sz="0" w:space="0" w:color="auto"/>
      </w:divBdr>
    </w:div>
    <w:div w:id="862013855">
      <w:bodyDiv w:val="1"/>
      <w:marLeft w:val="0"/>
      <w:marRight w:val="0"/>
      <w:marTop w:val="0"/>
      <w:marBottom w:val="0"/>
      <w:divBdr>
        <w:top w:val="none" w:sz="0" w:space="0" w:color="auto"/>
        <w:left w:val="none" w:sz="0" w:space="0" w:color="auto"/>
        <w:bottom w:val="none" w:sz="0" w:space="0" w:color="auto"/>
        <w:right w:val="none" w:sz="0" w:space="0" w:color="auto"/>
      </w:divBdr>
    </w:div>
    <w:div w:id="1435980954">
      <w:bodyDiv w:val="1"/>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
        <w:div w:id="1584224461">
          <w:marLeft w:val="0"/>
          <w:marRight w:val="0"/>
          <w:marTop w:val="0"/>
          <w:marBottom w:val="0"/>
          <w:divBdr>
            <w:top w:val="none" w:sz="0" w:space="0" w:color="auto"/>
            <w:left w:val="none" w:sz="0" w:space="0" w:color="auto"/>
            <w:bottom w:val="none" w:sz="0" w:space="0" w:color="auto"/>
            <w:right w:val="none" w:sz="0" w:space="0" w:color="auto"/>
          </w:divBdr>
        </w:div>
        <w:div w:id="1146163802">
          <w:marLeft w:val="0"/>
          <w:marRight w:val="0"/>
          <w:marTop w:val="0"/>
          <w:marBottom w:val="0"/>
          <w:divBdr>
            <w:top w:val="none" w:sz="0" w:space="0" w:color="auto"/>
            <w:left w:val="none" w:sz="0" w:space="0" w:color="auto"/>
            <w:bottom w:val="none" w:sz="0" w:space="0" w:color="auto"/>
            <w:right w:val="none" w:sz="0" w:space="0" w:color="auto"/>
          </w:divBdr>
        </w:div>
        <w:div w:id="612370930">
          <w:marLeft w:val="0"/>
          <w:marRight w:val="0"/>
          <w:marTop w:val="0"/>
          <w:marBottom w:val="0"/>
          <w:divBdr>
            <w:top w:val="none" w:sz="0" w:space="0" w:color="auto"/>
            <w:left w:val="none" w:sz="0" w:space="0" w:color="auto"/>
            <w:bottom w:val="none" w:sz="0" w:space="0" w:color="auto"/>
            <w:right w:val="none" w:sz="0" w:space="0" w:color="auto"/>
          </w:divBdr>
        </w:div>
        <w:div w:id="1655833102">
          <w:marLeft w:val="0"/>
          <w:marRight w:val="0"/>
          <w:marTop w:val="0"/>
          <w:marBottom w:val="0"/>
          <w:divBdr>
            <w:top w:val="none" w:sz="0" w:space="0" w:color="auto"/>
            <w:left w:val="none" w:sz="0" w:space="0" w:color="auto"/>
            <w:bottom w:val="none" w:sz="0" w:space="0" w:color="auto"/>
            <w:right w:val="none" w:sz="0" w:space="0" w:color="auto"/>
          </w:divBdr>
        </w:div>
      </w:divsChild>
    </w:div>
    <w:div w:id="1649895587">
      <w:bodyDiv w:val="1"/>
      <w:marLeft w:val="0"/>
      <w:marRight w:val="0"/>
      <w:marTop w:val="0"/>
      <w:marBottom w:val="0"/>
      <w:divBdr>
        <w:top w:val="none" w:sz="0" w:space="0" w:color="auto"/>
        <w:left w:val="none" w:sz="0" w:space="0" w:color="auto"/>
        <w:bottom w:val="none" w:sz="0" w:space="0" w:color="auto"/>
        <w:right w:val="none" w:sz="0" w:space="0" w:color="auto"/>
      </w:divBdr>
      <w:divsChild>
        <w:div w:id="1428424494">
          <w:marLeft w:val="0"/>
          <w:marRight w:val="0"/>
          <w:marTop w:val="0"/>
          <w:marBottom w:val="225"/>
          <w:divBdr>
            <w:top w:val="none" w:sz="0" w:space="0" w:color="auto"/>
            <w:left w:val="none" w:sz="0" w:space="0" w:color="auto"/>
            <w:bottom w:val="none" w:sz="0" w:space="0" w:color="auto"/>
            <w:right w:val="none" w:sz="0" w:space="0" w:color="auto"/>
          </w:divBdr>
          <w:divsChild>
            <w:div w:id="833684436">
              <w:marLeft w:val="0"/>
              <w:marRight w:val="0"/>
              <w:marTop w:val="0"/>
              <w:marBottom w:val="0"/>
              <w:divBdr>
                <w:top w:val="none" w:sz="0" w:space="0" w:color="auto"/>
                <w:left w:val="none" w:sz="0" w:space="0" w:color="auto"/>
                <w:bottom w:val="none" w:sz="0" w:space="0" w:color="auto"/>
                <w:right w:val="none" w:sz="0" w:space="0" w:color="auto"/>
              </w:divBdr>
            </w:div>
          </w:divsChild>
        </w:div>
        <w:div w:id="2115782762">
          <w:marLeft w:val="0"/>
          <w:marRight w:val="0"/>
          <w:marTop w:val="0"/>
          <w:marBottom w:val="450"/>
          <w:divBdr>
            <w:top w:val="none" w:sz="0" w:space="0" w:color="auto"/>
            <w:left w:val="none" w:sz="0" w:space="0" w:color="auto"/>
            <w:bottom w:val="none" w:sz="0" w:space="0" w:color="auto"/>
            <w:right w:val="none" w:sz="0" w:space="0" w:color="auto"/>
          </w:divBdr>
        </w:div>
        <w:div w:id="609895735">
          <w:marLeft w:val="0"/>
          <w:marRight w:val="0"/>
          <w:marTop w:val="0"/>
          <w:marBottom w:val="450"/>
          <w:divBdr>
            <w:top w:val="none" w:sz="0" w:space="0" w:color="auto"/>
            <w:left w:val="none" w:sz="0" w:space="0" w:color="auto"/>
            <w:bottom w:val="none" w:sz="0" w:space="0" w:color="auto"/>
            <w:right w:val="none" w:sz="0" w:space="0" w:color="auto"/>
          </w:divBdr>
        </w:div>
      </w:divsChild>
    </w:div>
    <w:div w:id="1696152919">
      <w:marLeft w:val="0"/>
      <w:marRight w:val="0"/>
      <w:marTop w:val="0"/>
      <w:marBottom w:val="0"/>
      <w:divBdr>
        <w:top w:val="none" w:sz="0" w:space="0" w:color="auto"/>
        <w:left w:val="none" w:sz="0" w:space="0" w:color="auto"/>
        <w:bottom w:val="none" w:sz="0" w:space="0" w:color="auto"/>
        <w:right w:val="none" w:sz="0" w:space="0" w:color="auto"/>
      </w:divBdr>
    </w:div>
    <w:div w:id="1696152920">
      <w:marLeft w:val="0"/>
      <w:marRight w:val="0"/>
      <w:marTop w:val="0"/>
      <w:marBottom w:val="0"/>
      <w:divBdr>
        <w:top w:val="none" w:sz="0" w:space="0" w:color="auto"/>
        <w:left w:val="none" w:sz="0" w:space="0" w:color="auto"/>
        <w:bottom w:val="none" w:sz="0" w:space="0" w:color="auto"/>
        <w:right w:val="none" w:sz="0" w:space="0" w:color="auto"/>
      </w:divBdr>
    </w:div>
    <w:div w:id="1696152921">
      <w:marLeft w:val="0"/>
      <w:marRight w:val="0"/>
      <w:marTop w:val="0"/>
      <w:marBottom w:val="0"/>
      <w:divBdr>
        <w:top w:val="none" w:sz="0" w:space="0" w:color="auto"/>
        <w:left w:val="none" w:sz="0" w:space="0" w:color="auto"/>
        <w:bottom w:val="none" w:sz="0" w:space="0" w:color="auto"/>
        <w:right w:val="none" w:sz="0" w:space="0" w:color="auto"/>
      </w:divBdr>
    </w:div>
    <w:div w:id="1696152922">
      <w:marLeft w:val="0"/>
      <w:marRight w:val="0"/>
      <w:marTop w:val="0"/>
      <w:marBottom w:val="0"/>
      <w:divBdr>
        <w:top w:val="none" w:sz="0" w:space="0" w:color="auto"/>
        <w:left w:val="none" w:sz="0" w:space="0" w:color="auto"/>
        <w:bottom w:val="none" w:sz="0" w:space="0" w:color="auto"/>
        <w:right w:val="none" w:sz="0" w:space="0" w:color="auto"/>
      </w:divBdr>
    </w:div>
    <w:div w:id="1696152923">
      <w:marLeft w:val="0"/>
      <w:marRight w:val="0"/>
      <w:marTop w:val="0"/>
      <w:marBottom w:val="0"/>
      <w:divBdr>
        <w:top w:val="none" w:sz="0" w:space="0" w:color="auto"/>
        <w:left w:val="none" w:sz="0" w:space="0" w:color="auto"/>
        <w:bottom w:val="none" w:sz="0" w:space="0" w:color="auto"/>
        <w:right w:val="none" w:sz="0" w:space="0" w:color="auto"/>
      </w:divBdr>
    </w:div>
    <w:div w:id="1696152924">
      <w:marLeft w:val="0"/>
      <w:marRight w:val="0"/>
      <w:marTop w:val="0"/>
      <w:marBottom w:val="0"/>
      <w:divBdr>
        <w:top w:val="none" w:sz="0" w:space="0" w:color="auto"/>
        <w:left w:val="none" w:sz="0" w:space="0" w:color="auto"/>
        <w:bottom w:val="none" w:sz="0" w:space="0" w:color="auto"/>
        <w:right w:val="none" w:sz="0" w:space="0" w:color="auto"/>
      </w:divBdr>
    </w:div>
    <w:div w:id="17708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fc9bcc7ca01c4a10"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70d34a7764cc47b9"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SHD24-62117</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APSCdoc-806379271-18621</_dlc_DocId>
    <_dlc_DocIdPersistId xmlns="9eb1f307-a489-40bf-8d3d-f7559b8c4701">false</_dlc_DocIdPersistId>
    <_dlc_DocIdUrl xmlns="9eb1f307-a489-40bf-8d3d-f7559b8c4701">
      <Url>https://pmc01.sharepoint.com/sites/apsc-rt/_layouts/15/DocIdRedir.aspx?ID=APSCdoc-806379271-18621</Url>
      <Description>APSCdoc-806379271-18621</Description>
    </_dlc_DocIdUrl>
    <lcf76f155ced4ddcb4097134ff3c332f xmlns="76b77999-d5d7-44f3-8dd0-caf71a7f76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5DD53-B686-4A7B-A652-18154FFF47AA}">
  <ds:schemaRefs>
    <ds:schemaRef ds:uri="http://schemas.microsoft.com/sharepoint/events"/>
  </ds:schemaRefs>
</ds:datastoreItem>
</file>

<file path=customXml/itemProps2.xml><?xml version="1.0" encoding="utf-8"?>
<ds:datastoreItem xmlns:ds="http://schemas.openxmlformats.org/officeDocument/2006/customXml" ds:itemID="{072F9A0E-0E5A-4824-AD05-11D0B81E34FA}">
  <ds:schemaRefs>
    <ds:schemaRef ds:uri="http://schemas.microsoft.com/office/2006/documentManagement/types"/>
    <ds:schemaRef ds:uri="http://purl.org/dc/dcmitype/"/>
    <ds:schemaRef ds:uri="9eb1f307-a489-40bf-8d3d-f7559b8c4701"/>
    <ds:schemaRef ds:uri="http://purl.org/dc/elements/1.1/"/>
    <ds:schemaRef ds:uri="http://schemas.microsoft.com/office/2006/metadata/properties"/>
    <ds:schemaRef ds:uri="http://schemas.openxmlformats.org/package/2006/metadata/core-properties"/>
    <ds:schemaRef ds:uri="e771ab56-0c5d-40e7-b080-2686d2b89623"/>
    <ds:schemaRef ds:uri="http://purl.org/dc/terms/"/>
    <ds:schemaRef ds:uri="http://schemas.microsoft.com/sharepoint/v3"/>
    <ds:schemaRef ds:uri="http://schemas.microsoft.com/office/infopath/2007/PartnerControls"/>
    <ds:schemaRef ds:uri="76b77999-d5d7-44f3-8dd0-caf71a7f76a5"/>
    <ds:schemaRef ds:uri="http://www.w3.org/XML/1998/namespace"/>
  </ds:schemaRefs>
</ds:datastoreItem>
</file>

<file path=customXml/itemProps3.xml><?xml version="1.0" encoding="utf-8"?>
<ds:datastoreItem xmlns:ds="http://schemas.openxmlformats.org/officeDocument/2006/customXml" ds:itemID="{E7D75D4E-02AC-417F-9E22-52DA01BA8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AC93D-3991-4361-9691-652858938F08}">
  <ds:schemaRefs>
    <ds:schemaRef ds:uri="http://schemas.microsoft.com/sharepoint/v3/contenttype/forms"/>
  </ds:schemaRefs>
</ds:datastoreItem>
</file>

<file path=customXml/itemProps5.xml><?xml version="1.0" encoding="utf-8"?>
<ds:datastoreItem xmlns:ds="http://schemas.openxmlformats.org/officeDocument/2006/customXml" ds:itemID="{175B83F7-3E62-4ABA-A0D5-046F803A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Explanatory Statement - Dets 16 and 17</vt:lpstr>
    </vt:vector>
  </TitlesOfParts>
  <Company>DOFA</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Urquhart, Kate</cp:lastModifiedBy>
  <cp:revision>21</cp:revision>
  <cp:lastPrinted>2025-08-18T05:51:00Z</cp:lastPrinted>
  <dcterms:created xsi:type="dcterms:W3CDTF">2025-07-22T05:33:00Z</dcterms:created>
  <dcterms:modified xsi:type="dcterms:W3CDTF">2025-08-18T05:53:00Z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Level">
    <vt:lpwstr>3;#OFFICIAL|11463c70-78df-4e3b-b0ff-f66cd3cb26ec</vt:lpwstr>
  </property>
  <property fmtid="{D5CDD505-2E9C-101B-9397-08002B2CF9AE}" pid="10" name="HPRMSecurityCaveat">
    <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f80b30f2-10c5-412d-a44f-8ca1324c4f45</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c776f334-f9f3-421e-949f-b339a54ffbf4</vt:lpwstr>
  </property>
  <property fmtid="{D5CDD505-2E9C-101B-9397-08002B2CF9AE}" pid="26" name="MediaServiceImageTags">
    <vt:lpwstr/>
  </property>
</Properties>
</file>