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C9F24" w14:textId="0AB17AD5" w:rsidR="001B5300" w:rsidRPr="00AB60AF" w:rsidRDefault="001B5300" w:rsidP="00C10EBA">
      <w:pPr>
        <w:widowControl w:val="0"/>
        <w:pBdr>
          <w:top w:val="single" w:sz="6" w:space="5" w:color="auto"/>
          <w:bottom w:val="single" w:sz="4" w:space="8" w:color="auto"/>
        </w:pBdr>
        <w:tabs>
          <w:tab w:val="left" w:pos="9072"/>
        </w:tabs>
        <w:autoSpaceDE w:val="0"/>
        <w:autoSpaceDN w:val="0"/>
        <w:adjustRightInd w:val="0"/>
        <w:ind w:right="284"/>
        <w:rPr>
          <w:rFonts w:ascii="Arial Black" w:hAnsi="Arial Black"/>
          <w:sz w:val="28"/>
          <w:szCs w:val="28"/>
        </w:rPr>
      </w:pPr>
      <w:r w:rsidRPr="00AB60AF">
        <w:rPr>
          <w:rFonts w:ascii="Arial Black" w:hAnsi="Arial Black"/>
          <w:sz w:val="28"/>
          <w:szCs w:val="28"/>
        </w:rPr>
        <w:t xml:space="preserve">Explanatory Statement: </w:t>
      </w:r>
      <w:r>
        <w:rPr>
          <w:rFonts w:ascii="Arial Black" w:hAnsi="Arial Black"/>
          <w:sz w:val="28"/>
          <w:szCs w:val="28"/>
        </w:rPr>
        <w:t>Remuneration Tribunal (</w:t>
      </w:r>
      <w:r>
        <w:rPr>
          <w:rFonts w:ascii="Arial Black"/>
          <w:sz w:val="28"/>
        </w:rPr>
        <w:t>Members of Parliament</w:t>
      </w:r>
      <w:r>
        <w:rPr>
          <w:rFonts w:ascii="Arial Black" w:hAnsi="Arial Black"/>
          <w:sz w:val="28"/>
          <w:szCs w:val="28"/>
        </w:rPr>
        <w:t xml:space="preserve">) </w:t>
      </w:r>
      <w:r w:rsidR="00C10EBA">
        <w:rPr>
          <w:rFonts w:ascii="Arial Black" w:hAnsi="Arial Black"/>
          <w:sz w:val="28"/>
          <w:szCs w:val="28"/>
        </w:rPr>
        <w:t xml:space="preserve">Amendment </w:t>
      </w:r>
      <w:r w:rsidRPr="00660EE1">
        <w:rPr>
          <w:rFonts w:ascii="Arial Black" w:hAnsi="Arial Black"/>
          <w:sz w:val="28"/>
          <w:szCs w:val="28"/>
        </w:rPr>
        <w:t>Determination</w:t>
      </w:r>
      <w:r>
        <w:rPr>
          <w:rFonts w:ascii="Arial Black" w:hAnsi="Arial Black"/>
          <w:sz w:val="28"/>
          <w:szCs w:val="28"/>
        </w:rPr>
        <w:t xml:space="preserve"> (No.</w:t>
      </w:r>
      <w:r w:rsidR="00237EA7">
        <w:rPr>
          <w:rFonts w:ascii="Arial Black" w:hAnsi="Arial Black"/>
          <w:sz w:val="28"/>
          <w:szCs w:val="28"/>
        </w:rPr>
        <w:t xml:space="preserve"> </w:t>
      </w:r>
      <w:r w:rsidR="002D3AB2">
        <w:rPr>
          <w:rFonts w:ascii="Arial Black" w:hAnsi="Arial Black"/>
          <w:sz w:val="28"/>
          <w:szCs w:val="28"/>
        </w:rPr>
        <w:t>3</w:t>
      </w:r>
      <w:r>
        <w:rPr>
          <w:rFonts w:ascii="Arial Black" w:hAnsi="Arial Black"/>
          <w:sz w:val="28"/>
          <w:szCs w:val="28"/>
        </w:rPr>
        <w:t>)</w:t>
      </w:r>
      <w:r w:rsidRPr="00660EE1">
        <w:rPr>
          <w:rFonts w:ascii="Arial Black" w:hAnsi="Arial Black"/>
          <w:sz w:val="28"/>
          <w:szCs w:val="28"/>
        </w:rPr>
        <w:t xml:space="preserve"> </w:t>
      </w:r>
      <w:r w:rsidRPr="00471714">
        <w:rPr>
          <w:rFonts w:ascii="Arial Black" w:hAnsi="Arial Black"/>
          <w:sz w:val="28"/>
          <w:szCs w:val="28"/>
        </w:rPr>
        <w:t>20</w:t>
      </w:r>
      <w:r>
        <w:rPr>
          <w:rFonts w:ascii="Arial Black" w:hAnsi="Arial Black"/>
          <w:sz w:val="28"/>
          <w:szCs w:val="28"/>
        </w:rPr>
        <w:t>2</w:t>
      </w:r>
      <w:r w:rsidR="002D3AB2">
        <w:rPr>
          <w:rFonts w:ascii="Arial Black" w:hAnsi="Arial Black"/>
          <w:sz w:val="28"/>
          <w:szCs w:val="28"/>
        </w:rPr>
        <w:t>5</w:t>
      </w:r>
    </w:p>
    <w:p w14:paraId="51C226DB" w14:textId="1CA53787" w:rsidR="001B5300" w:rsidRPr="001B5300" w:rsidRDefault="001B5300" w:rsidP="00C10EBA">
      <w:pPr>
        <w:widowControl w:val="0"/>
        <w:numPr>
          <w:ilvl w:val="0"/>
          <w:numId w:val="4"/>
        </w:numPr>
        <w:tabs>
          <w:tab w:val="left" w:pos="564"/>
          <w:tab w:val="left" w:pos="565"/>
        </w:tabs>
        <w:autoSpaceDE w:val="0"/>
        <w:autoSpaceDN w:val="0"/>
        <w:spacing w:before="120" w:after="120"/>
        <w:ind w:right="138" w:hanging="427"/>
        <w:rPr>
          <w:rFonts w:ascii="Verdana" w:eastAsia="Verdana" w:hAnsi="Verdana" w:cs="Verdana"/>
          <w:sz w:val="22"/>
          <w:szCs w:val="22"/>
          <w:lang w:eastAsia="en-AU" w:bidi="en-AU"/>
        </w:rPr>
      </w:pPr>
      <w:r w:rsidRPr="001B5300">
        <w:rPr>
          <w:rFonts w:ascii="Verdana" w:eastAsia="Verdana" w:hAnsi="Verdana" w:cs="Verdana"/>
          <w:sz w:val="22"/>
          <w:szCs w:val="22"/>
          <w:lang w:eastAsia="en-AU" w:bidi="en-AU"/>
        </w:rPr>
        <w:t xml:space="preserve">The determination is made under the </w:t>
      </w:r>
      <w:r w:rsidRPr="001B5300">
        <w:rPr>
          <w:rFonts w:ascii="Verdana" w:eastAsia="Verdana" w:hAnsi="Verdana" w:cs="Verdana"/>
          <w:i/>
          <w:sz w:val="22"/>
          <w:szCs w:val="22"/>
          <w:lang w:eastAsia="en-AU" w:bidi="en-AU"/>
        </w:rPr>
        <w:t xml:space="preserve">Parliamentary Business Resources Act 2017 </w:t>
      </w:r>
      <w:r w:rsidRPr="001B5300">
        <w:rPr>
          <w:rFonts w:ascii="Verdana" w:eastAsia="Verdana" w:hAnsi="Verdana" w:cs="Verdana"/>
          <w:sz w:val="22"/>
          <w:szCs w:val="22"/>
          <w:lang w:eastAsia="en-AU" w:bidi="en-AU"/>
        </w:rPr>
        <w:t>(the PBR Act). Sections 45</w:t>
      </w:r>
      <w:r w:rsidR="00C10EBA">
        <w:rPr>
          <w:rFonts w:ascii="Verdana" w:eastAsia="Verdana" w:hAnsi="Verdana" w:cs="Verdana"/>
          <w:sz w:val="22"/>
          <w:szCs w:val="22"/>
          <w:lang w:eastAsia="en-AU" w:bidi="en-AU"/>
        </w:rPr>
        <w:t>, 46</w:t>
      </w:r>
      <w:r w:rsidRPr="001B5300">
        <w:rPr>
          <w:rFonts w:ascii="Verdana" w:eastAsia="Verdana" w:hAnsi="Verdana" w:cs="Verdana"/>
          <w:sz w:val="22"/>
          <w:szCs w:val="22"/>
          <w:lang w:eastAsia="en-AU" w:bidi="en-AU"/>
        </w:rPr>
        <w:t xml:space="preserve"> and</w:t>
      </w:r>
      <w:r w:rsidRPr="001B5300">
        <w:rPr>
          <w:rFonts w:ascii="Verdana" w:eastAsia="Verdana" w:hAnsi="Verdana" w:cs="Verdana"/>
          <w:spacing w:val="-14"/>
          <w:sz w:val="22"/>
          <w:szCs w:val="22"/>
          <w:lang w:eastAsia="en-AU" w:bidi="en-AU"/>
        </w:rPr>
        <w:t xml:space="preserve"> </w:t>
      </w:r>
      <w:r w:rsidRPr="001B5300">
        <w:rPr>
          <w:rFonts w:ascii="Verdana" w:eastAsia="Verdana" w:hAnsi="Verdana" w:cs="Verdana"/>
          <w:sz w:val="22"/>
          <w:szCs w:val="22"/>
          <w:lang w:eastAsia="en-AU" w:bidi="en-AU"/>
        </w:rPr>
        <w:t>46</w:t>
      </w:r>
      <w:r w:rsidR="00C10EBA">
        <w:rPr>
          <w:rFonts w:ascii="Verdana" w:eastAsia="Verdana" w:hAnsi="Verdana" w:cs="Verdana"/>
          <w:sz w:val="22"/>
          <w:szCs w:val="22"/>
          <w:lang w:eastAsia="en-AU" w:bidi="en-AU"/>
        </w:rPr>
        <w:t>A</w:t>
      </w:r>
      <w:r w:rsidRPr="001B5300">
        <w:rPr>
          <w:rFonts w:ascii="Verdana" w:eastAsia="Verdana" w:hAnsi="Verdana" w:cs="Verdana"/>
          <w:sz w:val="22"/>
          <w:szCs w:val="22"/>
          <w:lang w:eastAsia="en-AU" w:bidi="en-AU"/>
        </w:rPr>
        <w:t xml:space="preserve"> of the PBR Act require the Tribunal to make determinations in relation to various matters for members, and former members, of the Parliament at least once each year.</w:t>
      </w:r>
    </w:p>
    <w:p w14:paraId="2059864A" w14:textId="1F96C820" w:rsidR="001B5300" w:rsidRPr="001B5300" w:rsidRDefault="001B5300" w:rsidP="00C10EBA">
      <w:pPr>
        <w:widowControl w:val="0"/>
        <w:numPr>
          <w:ilvl w:val="0"/>
          <w:numId w:val="4"/>
        </w:numPr>
        <w:tabs>
          <w:tab w:val="left" w:pos="564"/>
          <w:tab w:val="left" w:pos="565"/>
        </w:tabs>
        <w:autoSpaceDE w:val="0"/>
        <w:autoSpaceDN w:val="0"/>
        <w:spacing w:before="120" w:after="120"/>
        <w:ind w:right="138" w:hanging="427"/>
        <w:rPr>
          <w:rFonts w:ascii="Verdana" w:eastAsia="Verdana" w:hAnsi="Verdana" w:cs="Verdana"/>
          <w:sz w:val="22"/>
          <w:szCs w:val="22"/>
          <w:lang w:eastAsia="en-AU" w:bidi="en-AU"/>
        </w:rPr>
      </w:pPr>
      <w:r w:rsidRPr="001B5300">
        <w:rPr>
          <w:rFonts w:ascii="Verdana" w:eastAsia="Verdana" w:hAnsi="Verdana" w:cs="Verdana"/>
          <w:sz w:val="22"/>
          <w:szCs w:val="22"/>
          <w:lang w:eastAsia="en-AU" w:bidi="en-AU"/>
        </w:rPr>
        <w:t>The Tribunal must determine the remuneration to be paid to members, the rates of travel allowances for domestic travel, and the allowances and expenses to be paid to former members</w:t>
      </w:r>
      <w:r w:rsidR="00252266">
        <w:rPr>
          <w:rFonts w:ascii="Verdana" w:eastAsia="Verdana" w:hAnsi="Verdana" w:cs="Verdana"/>
          <w:sz w:val="22"/>
          <w:szCs w:val="22"/>
          <w:lang w:eastAsia="en-AU" w:bidi="en-AU"/>
        </w:rPr>
        <w:t>, and the allowances to be paid to the estates of member</w:t>
      </w:r>
      <w:r w:rsidR="00631073">
        <w:rPr>
          <w:rFonts w:ascii="Verdana" w:eastAsia="Verdana" w:hAnsi="Verdana" w:cs="Verdana"/>
          <w:sz w:val="22"/>
          <w:szCs w:val="22"/>
          <w:lang w:eastAsia="en-AU" w:bidi="en-AU"/>
        </w:rPr>
        <w:t>s</w:t>
      </w:r>
      <w:r w:rsidR="00252266">
        <w:rPr>
          <w:rFonts w:ascii="Verdana" w:eastAsia="Verdana" w:hAnsi="Verdana" w:cs="Verdana"/>
          <w:sz w:val="22"/>
          <w:szCs w:val="22"/>
          <w:lang w:eastAsia="en-AU" w:bidi="en-AU"/>
        </w:rPr>
        <w:t xml:space="preserve"> who die in office</w:t>
      </w:r>
      <w:r w:rsidRPr="001B5300">
        <w:rPr>
          <w:rFonts w:ascii="Verdana" w:eastAsia="Verdana" w:hAnsi="Verdana" w:cs="Verdana"/>
          <w:sz w:val="22"/>
          <w:szCs w:val="22"/>
          <w:lang w:eastAsia="en-AU" w:bidi="en-AU"/>
        </w:rPr>
        <w:t>. The Tribunal must publish its reasons for making a</w:t>
      </w:r>
      <w:r w:rsidRPr="001B5300">
        <w:rPr>
          <w:rFonts w:ascii="Verdana" w:eastAsia="Verdana" w:hAnsi="Verdana" w:cs="Verdana"/>
          <w:spacing w:val="-4"/>
          <w:sz w:val="22"/>
          <w:szCs w:val="22"/>
          <w:lang w:eastAsia="en-AU" w:bidi="en-AU"/>
        </w:rPr>
        <w:t xml:space="preserve"> </w:t>
      </w:r>
      <w:r w:rsidRPr="001B5300">
        <w:rPr>
          <w:rFonts w:ascii="Verdana" w:eastAsia="Verdana" w:hAnsi="Verdana" w:cs="Verdana"/>
          <w:sz w:val="22"/>
          <w:szCs w:val="22"/>
          <w:lang w:eastAsia="en-AU" w:bidi="en-AU"/>
        </w:rPr>
        <w:t>determination.</w:t>
      </w:r>
    </w:p>
    <w:p w14:paraId="2581797C" w14:textId="77777777" w:rsidR="001B5300" w:rsidRPr="001B5300" w:rsidRDefault="001B5300" w:rsidP="00C10EBA">
      <w:pPr>
        <w:widowControl w:val="0"/>
        <w:numPr>
          <w:ilvl w:val="0"/>
          <w:numId w:val="4"/>
        </w:numPr>
        <w:tabs>
          <w:tab w:val="left" w:pos="564"/>
          <w:tab w:val="left" w:pos="565"/>
        </w:tabs>
        <w:autoSpaceDE w:val="0"/>
        <w:autoSpaceDN w:val="0"/>
        <w:spacing w:before="120" w:after="120"/>
        <w:ind w:left="561" w:right="138" w:hanging="425"/>
        <w:rPr>
          <w:rFonts w:ascii="Verdana" w:eastAsia="Verdana" w:hAnsi="Verdana" w:cs="Verdana"/>
          <w:sz w:val="22"/>
          <w:szCs w:val="22"/>
          <w:lang w:eastAsia="en-AU" w:bidi="en-AU"/>
        </w:rPr>
      </w:pPr>
      <w:r w:rsidRPr="001B5300">
        <w:rPr>
          <w:rFonts w:ascii="Verdana" w:eastAsia="Verdana" w:hAnsi="Verdana" w:cs="Verdana"/>
          <w:sz w:val="22"/>
          <w:szCs w:val="22"/>
          <w:lang w:eastAsia="en-AU" w:bidi="en-AU"/>
        </w:rPr>
        <w:t>The Tribunal also has functions under section 35 of the PBR Act relating to travel expenses, travel and motor vehicle allowances and other public resources. The Tribunal must inquire annually into travel expenses and travel allowances for domestic travel (except rates of travel allowances for domestic travel which it determines), and may be asked by the Special Minister of State to inquire into other matters. Regulations must be made or amended</w:t>
      </w:r>
      <w:r w:rsidRPr="001B5300">
        <w:rPr>
          <w:rFonts w:ascii="Verdana" w:eastAsia="Verdana" w:hAnsi="Verdana" w:cs="Verdana"/>
          <w:spacing w:val="-18"/>
          <w:sz w:val="22"/>
          <w:szCs w:val="22"/>
          <w:lang w:eastAsia="en-AU" w:bidi="en-AU"/>
        </w:rPr>
        <w:t xml:space="preserve"> </w:t>
      </w:r>
      <w:r w:rsidRPr="001B5300">
        <w:rPr>
          <w:rFonts w:ascii="Verdana" w:eastAsia="Verdana" w:hAnsi="Verdana" w:cs="Verdana"/>
          <w:sz w:val="22"/>
          <w:szCs w:val="22"/>
          <w:lang w:eastAsia="en-AU" w:bidi="en-AU"/>
        </w:rPr>
        <w:t>in accordance with the Tribunal’s recommendations.</w:t>
      </w:r>
    </w:p>
    <w:p w14:paraId="731E5127" w14:textId="77777777" w:rsidR="001B5300" w:rsidRPr="001B5300" w:rsidRDefault="001B5300" w:rsidP="00C10EBA">
      <w:pPr>
        <w:widowControl w:val="0"/>
        <w:autoSpaceDE w:val="0"/>
        <w:autoSpaceDN w:val="0"/>
        <w:spacing w:before="120" w:after="120"/>
        <w:ind w:left="136" w:right="138"/>
        <w:outlineLvl w:val="0"/>
        <w:rPr>
          <w:rFonts w:ascii="Verdana" w:eastAsia="Verdana" w:hAnsi="Verdana" w:cs="Verdana"/>
          <w:b/>
          <w:bCs/>
          <w:sz w:val="22"/>
          <w:szCs w:val="22"/>
          <w:lang w:eastAsia="en-AU" w:bidi="en-AU"/>
        </w:rPr>
      </w:pPr>
      <w:r w:rsidRPr="001B5300">
        <w:rPr>
          <w:rFonts w:ascii="Verdana" w:eastAsia="Verdana" w:hAnsi="Verdana" w:cs="Verdana"/>
          <w:b/>
          <w:bCs/>
          <w:sz w:val="22"/>
          <w:szCs w:val="22"/>
          <w:lang w:eastAsia="en-AU" w:bidi="en-AU"/>
        </w:rPr>
        <w:t>Consultation</w:t>
      </w:r>
    </w:p>
    <w:p w14:paraId="7C62E6CF" w14:textId="4956DCD6" w:rsidR="00C13E2B" w:rsidRPr="004A4B08" w:rsidRDefault="00C13E2B" w:rsidP="00C10EBA">
      <w:pPr>
        <w:widowControl w:val="0"/>
        <w:tabs>
          <w:tab w:val="left" w:pos="564"/>
          <w:tab w:val="left" w:pos="565"/>
        </w:tabs>
        <w:autoSpaceDE w:val="0"/>
        <w:autoSpaceDN w:val="0"/>
        <w:spacing w:before="120" w:after="120"/>
        <w:ind w:left="136" w:right="138"/>
        <w:rPr>
          <w:rFonts w:ascii="Verdana" w:eastAsia="Verdana" w:hAnsi="Verdana" w:cs="Verdana"/>
          <w:i/>
          <w:sz w:val="22"/>
          <w:szCs w:val="22"/>
          <w:lang w:eastAsia="en-AU" w:bidi="en-AU"/>
        </w:rPr>
      </w:pPr>
      <w:r w:rsidRPr="004A4B08">
        <w:rPr>
          <w:rFonts w:ascii="Verdana" w:eastAsia="Verdana" w:hAnsi="Verdana" w:cs="Verdana"/>
          <w:i/>
          <w:sz w:val="22"/>
          <w:szCs w:val="22"/>
          <w:lang w:eastAsia="en-AU" w:bidi="en-AU"/>
        </w:rPr>
        <w:t>Review of Travel and Motor Vehicle Allowances</w:t>
      </w:r>
    </w:p>
    <w:p w14:paraId="793D8DB4" w14:textId="6C39CFBB" w:rsidR="00C13E2B" w:rsidRPr="00C13E2B" w:rsidRDefault="00C13E2B" w:rsidP="00C10EBA">
      <w:pPr>
        <w:widowControl w:val="0"/>
        <w:numPr>
          <w:ilvl w:val="0"/>
          <w:numId w:val="4"/>
        </w:numPr>
        <w:tabs>
          <w:tab w:val="left" w:pos="564"/>
          <w:tab w:val="left" w:pos="565"/>
        </w:tabs>
        <w:autoSpaceDE w:val="0"/>
        <w:autoSpaceDN w:val="0"/>
        <w:spacing w:before="120" w:after="120"/>
        <w:ind w:right="138"/>
        <w:rPr>
          <w:rFonts w:ascii="Verdana" w:eastAsia="Verdana" w:hAnsi="Verdana" w:cs="Verdana"/>
          <w:sz w:val="22"/>
          <w:szCs w:val="22"/>
          <w:lang w:eastAsia="en-AU" w:bidi="en-AU"/>
        </w:rPr>
      </w:pPr>
      <w:r w:rsidRPr="00C13E2B">
        <w:rPr>
          <w:rFonts w:ascii="Verdana" w:eastAsia="Verdana" w:hAnsi="Verdana" w:cs="Verdana"/>
          <w:sz w:val="22"/>
          <w:szCs w:val="22"/>
          <w:lang w:eastAsia="en-AU" w:bidi="en-AU"/>
        </w:rPr>
        <w:t xml:space="preserve">There was no consultation on this matter </w:t>
      </w:r>
      <w:r w:rsidR="00631073">
        <w:rPr>
          <w:rFonts w:ascii="Verdana" w:eastAsia="Verdana" w:hAnsi="Verdana" w:cs="Verdana"/>
          <w:sz w:val="22"/>
          <w:szCs w:val="22"/>
          <w:lang w:eastAsia="en-AU" w:bidi="en-AU"/>
        </w:rPr>
        <w:t>noting</w:t>
      </w:r>
      <w:r w:rsidRPr="00C13E2B">
        <w:rPr>
          <w:rFonts w:ascii="Verdana" w:eastAsia="Verdana" w:hAnsi="Verdana" w:cs="Verdana"/>
          <w:sz w:val="22"/>
          <w:szCs w:val="22"/>
          <w:lang w:eastAsia="en-AU" w:bidi="en-AU"/>
        </w:rPr>
        <w:t xml:space="preserve"> it is th</w:t>
      </w:r>
      <w:r>
        <w:rPr>
          <w:rFonts w:ascii="Verdana" w:eastAsia="Verdana" w:hAnsi="Verdana" w:cs="Verdana"/>
          <w:sz w:val="22"/>
          <w:szCs w:val="22"/>
          <w:lang w:eastAsia="en-AU" w:bidi="en-AU"/>
        </w:rPr>
        <w:t>e Tribunal’s practice to review</w:t>
      </w:r>
      <w:r w:rsidRPr="00C13E2B">
        <w:rPr>
          <w:rFonts w:ascii="Verdana" w:eastAsia="Verdana" w:hAnsi="Verdana" w:cs="Verdana"/>
          <w:sz w:val="22"/>
          <w:szCs w:val="22"/>
          <w:lang w:eastAsia="en-AU" w:bidi="en-AU"/>
        </w:rPr>
        <w:t xml:space="preserve"> each year the travel and motor vehicle allowances applicable to office holders for which it determines remuneration.</w:t>
      </w:r>
      <w:r w:rsidR="00C10EBA">
        <w:rPr>
          <w:rFonts w:ascii="Verdana" w:eastAsia="Verdana" w:hAnsi="Verdana" w:cs="Verdana"/>
          <w:sz w:val="22"/>
          <w:szCs w:val="22"/>
          <w:lang w:eastAsia="en-AU" w:bidi="en-AU"/>
        </w:rPr>
        <w:t xml:space="preserve"> </w:t>
      </w:r>
    </w:p>
    <w:p w14:paraId="497231FE" w14:textId="77777777" w:rsidR="00C13E2B" w:rsidRPr="00C13E2B" w:rsidRDefault="00C13E2B" w:rsidP="00C10EBA">
      <w:pPr>
        <w:widowControl w:val="0"/>
        <w:numPr>
          <w:ilvl w:val="0"/>
          <w:numId w:val="4"/>
        </w:numPr>
        <w:tabs>
          <w:tab w:val="left" w:pos="564"/>
          <w:tab w:val="left" w:pos="565"/>
        </w:tabs>
        <w:autoSpaceDE w:val="0"/>
        <w:autoSpaceDN w:val="0"/>
        <w:spacing w:before="120" w:after="120"/>
        <w:ind w:right="138"/>
        <w:rPr>
          <w:rFonts w:ascii="Verdana" w:eastAsia="Verdana" w:hAnsi="Verdana" w:cs="Verdana"/>
          <w:sz w:val="22"/>
          <w:szCs w:val="22"/>
          <w:lang w:eastAsia="en-AU" w:bidi="en-AU"/>
        </w:rPr>
      </w:pPr>
      <w:r w:rsidRPr="00C13E2B">
        <w:rPr>
          <w:rFonts w:ascii="Verdana" w:eastAsia="Verdana" w:hAnsi="Verdana" w:cs="Verdana"/>
          <w:sz w:val="22"/>
          <w:szCs w:val="22"/>
          <w:lang w:eastAsia="en-AU" w:bidi="en-AU"/>
        </w:rPr>
        <w:t xml:space="preserve">The Tribunal did not receive any submissions on this matter. </w:t>
      </w:r>
    </w:p>
    <w:p w14:paraId="3CF4C400" w14:textId="792B8C61" w:rsidR="00C13E2B" w:rsidRPr="00C13E2B" w:rsidRDefault="00C13E2B" w:rsidP="00C10EBA">
      <w:pPr>
        <w:widowControl w:val="0"/>
        <w:numPr>
          <w:ilvl w:val="0"/>
          <w:numId w:val="4"/>
        </w:numPr>
        <w:tabs>
          <w:tab w:val="left" w:pos="564"/>
          <w:tab w:val="left" w:pos="565"/>
        </w:tabs>
        <w:autoSpaceDE w:val="0"/>
        <w:autoSpaceDN w:val="0"/>
        <w:spacing w:before="120" w:after="120"/>
        <w:ind w:right="138"/>
        <w:rPr>
          <w:rFonts w:ascii="Verdana" w:eastAsia="Verdana" w:hAnsi="Verdana" w:cs="Verdana"/>
          <w:sz w:val="22"/>
          <w:szCs w:val="22"/>
          <w:lang w:eastAsia="en-AU" w:bidi="en-AU"/>
        </w:rPr>
      </w:pPr>
      <w:r w:rsidRPr="00C13E2B">
        <w:rPr>
          <w:rFonts w:ascii="Verdana" w:eastAsia="Verdana" w:hAnsi="Verdana" w:cs="Verdana"/>
          <w:sz w:val="22"/>
          <w:szCs w:val="22"/>
          <w:lang w:eastAsia="en-AU" w:bidi="en-AU"/>
        </w:rPr>
        <w:t>In conducting this review, making this determination and adjusting travel allowance rates for parliamentarians the Tribunal ha</w:t>
      </w:r>
      <w:r w:rsidR="0076505D">
        <w:rPr>
          <w:rFonts w:ascii="Verdana" w:eastAsia="Verdana" w:hAnsi="Verdana" w:cs="Verdana"/>
          <w:sz w:val="22"/>
          <w:szCs w:val="22"/>
          <w:lang w:eastAsia="en-AU" w:bidi="en-AU"/>
        </w:rPr>
        <w:t xml:space="preserve">d regard to </w:t>
      </w:r>
      <w:r w:rsidR="00252266" w:rsidRPr="00252266">
        <w:rPr>
          <w:rFonts w:ascii="Verdana" w:eastAsia="Verdana" w:hAnsi="Verdana" w:cs="Verdana"/>
          <w:sz w:val="22"/>
          <w:szCs w:val="22"/>
          <w:lang w:eastAsia="en-AU" w:bidi="en-AU"/>
        </w:rPr>
        <w:t>Taxation Determination TD 202</w:t>
      </w:r>
      <w:r w:rsidR="002D3AB2">
        <w:rPr>
          <w:rFonts w:ascii="Verdana" w:eastAsia="Verdana" w:hAnsi="Verdana" w:cs="Verdana"/>
          <w:sz w:val="22"/>
          <w:szCs w:val="22"/>
          <w:lang w:eastAsia="en-AU" w:bidi="en-AU"/>
        </w:rPr>
        <w:t>5</w:t>
      </w:r>
      <w:r w:rsidRPr="00252266">
        <w:rPr>
          <w:rFonts w:ascii="Verdana" w:eastAsia="Verdana" w:hAnsi="Verdana" w:cs="Verdana"/>
          <w:sz w:val="22"/>
          <w:szCs w:val="22"/>
          <w:lang w:eastAsia="en-AU" w:bidi="en-AU"/>
        </w:rPr>
        <w:t>/</w:t>
      </w:r>
      <w:r w:rsidR="002D3AB2">
        <w:rPr>
          <w:rFonts w:ascii="Verdana" w:eastAsia="Verdana" w:hAnsi="Verdana" w:cs="Verdana"/>
          <w:sz w:val="22"/>
          <w:szCs w:val="22"/>
          <w:lang w:eastAsia="en-AU" w:bidi="en-AU"/>
        </w:rPr>
        <w:t>4</w:t>
      </w:r>
      <w:r w:rsidRPr="00252266">
        <w:rPr>
          <w:rFonts w:ascii="Verdana" w:eastAsia="Verdana" w:hAnsi="Verdana" w:cs="Verdana"/>
          <w:sz w:val="22"/>
          <w:szCs w:val="22"/>
          <w:lang w:eastAsia="en-AU" w:bidi="en-AU"/>
        </w:rPr>
        <w:t>: Income tax: what are the reasonable travel and overtime meal allowance expense amounts for the 202</w:t>
      </w:r>
      <w:r w:rsidR="002D3AB2">
        <w:rPr>
          <w:rFonts w:ascii="Verdana" w:eastAsia="Verdana" w:hAnsi="Verdana" w:cs="Verdana"/>
          <w:sz w:val="22"/>
          <w:szCs w:val="22"/>
          <w:lang w:eastAsia="en-AU" w:bidi="en-AU"/>
        </w:rPr>
        <w:t>5</w:t>
      </w:r>
      <w:r w:rsidR="00252266" w:rsidRPr="00252266">
        <w:rPr>
          <w:rFonts w:ascii="Verdana" w:hAnsi="Verdana"/>
          <w:sz w:val="22"/>
          <w:szCs w:val="22"/>
        </w:rPr>
        <w:t>–</w:t>
      </w:r>
      <w:r w:rsidRPr="00252266">
        <w:rPr>
          <w:rFonts w:ascii="Verdana" w:eastAsia="Verdana" w:hAnsi="Verdana" w:cs="Verdana"/>
          <w:sz w:val="22"/>
          <w:szCs w:val="22"/>
          <w:lang w:eastAsia="en-AU" w:bidi="en-AU"/>
        </w:rPr>
        <w:t>2</w:t>
      </w:r>
      <w:r w:rsidR="002D3AB2">
        <w:rPr>
          <w:rFonts w:ascii="Verdana" w:eastAsia="Verdana" w:hAnsi="Verdana" w:cs="Verdana"/>
          <w:sz w:val="22"/>
          <w:szCs w:val="22"/>
          <w:lang w:eastAsia="en-AU" w:bidi="en-AU"/>
        </w:rPr>
        <w:t>6</w:t>
      </w:r>
      <w:r w:rsidR="00252266" w:rsidRPr="00252266">
        <w:rPr>
          <w:rFonts w:ascii="Verdana" w:eastAsia="Verdana" w:hAnsi="Verdana" w:cs="Verdana"/>
          <w:sz w:val="22"/>
          <w:szCs w:val="22"/>
          <w:lang w:eastAsia="en-AU" w:bidi="en-AU"/>
        </w:rPr>
        <w:t xml:space="preserve"> income year?</w:t>
      </w:r>
    </w:p>
    <w:p w14:paraId="15100EF7" w14:textId="0FB9D950" w:rsidR="00C13E2B" w:rsidRPr="00C13E2B" w:rsidRDefault="00C13E2B" w:rsidP="00C10EBA">
      <w:pPr>
        <w:widowControl w:val="0"/>
        <w:numPr>
          <w:ilvl w:val="0"/>
          <w:numId w:val="4"/>
        </w:numPr>
        <w:tabs>
          <w:tab w:val="left" w:pos="564"/>
          <w:tab w:val="left" w:pos="565"/>
        </w:tabs>
        <w:autoSpaceDE w:val="0"/>
        <w:autoSpaceDN w:val="0"/>
        <w:spacing w:before="120" w:after="120"/>
        <w:ind w:right="138"/>
        <w:rPr>
          <w:rFonts w:ascii="Verdana" w:eastAsia="Verdana" w:hAnsi="Verdana" w:cs="Verdana"/>
          <w:sz w:val="22"/>
          <w:szCs w:val="22"/>
          <w:lang w:eastAsia="en-AU" w:bidi="en-AU"/>
        </w:rPr>
      </w:pPr>
      <w:r w:rsidRPr="00C13E2B">
        <w:rPr>
          <w:rFonts w:ascii="Verdana" w:eastAsia="Verdana" w:hAnsi="Verdana" w:cs="Verdana"/>
          <w:sz w:val="22"/>
          <w:szCs w:val="22"/>
          <w:lang w:eastAsia="en-AU" w:bidi="en-AU"/>
        </w:rPr>
        <w:t xml:space="preserve">Amongst other things, the Australian Taxation Office (ATO) determination sets out the amounts that the Commissioner of Taxation considers are reasonable for the substantiation exception in Subdivision 900-B of the </w:t>
      </w:r>
      <w:r w:rsidRPr="00252266">
        <w:rPr>
          <w:rFonts w:ascii="Verdana" w:eastAsia="Verdana" w:hAnsi="Verdana" w:cs="Verdana"/>
          <w:i/>
          <w:sz w:val="22"/>
          <w:szCs w:val="22"/>
          <w:lang w:eastAsia="en-AU" w:bidi="en-AU"/>
        </w:rPr>
        <w:t>Income Tax Assessment Act 1997</w:t>
      </w:r>
      <w:r w:rsidRPr="00C13E2B">
        <w:rPr>
          <w:rFonts w:ascii="Verdana" w:eastAsia="Verdana" w:hAnsi="Verdana" w:cs="Verdana"/>
          <w:sz w:val="22"/>
          <w:szCs w:val="22"/>
          <w:lang w:eastAsia="en-AU" w:bidi="en-AU"/>
        </w:rPr>
        <w:t xml:space="preserve"> for the 202</w:t>
      </w:r>
      <w:r w:rsidR="00252266">
        <w:rPr>
          <w:rFonts w:ascii="Verdana" w:eastAsia="Verdana" w:hAnsi="Verdana" w:cs="Verdana"/>
          <w:sz w:val="22"/>
          <w:szCs w:val="22"/>
          <w:lang w:eastAsia="en-AU" w:bidi="en-AU"/>
        </w:rPr>
        <w:t>4–25</w:t>
      </w:r>
      <w:r w:rsidRPr="00C13E2B">
        <w:rPr>
          <w:rFonts w:ascii="Verdana" w:eastAsia="Verdana" w:hAnsi="Verdana" w:cs="Verdana"/>
          <w:sz w:val="22"/>
          <w:szCs w:val="22"/>
          <w:lang w:eastAsia="en-AU" w:bidi="en-AU"/>
        </w:rPr>
        <w:t xml:space="preserve"> income year in relation to claims made by employees for domestic travel expenses and overseas travel expenses.</w:t>
      </w:r>
    </w:p>
    <w:p w14:paraId="241AE0D7" w14:textId="53B93954" w:rsidR="00C13E2B" w:rsidRPr="00C13E2B" w:rsidRDefault="00C13E2B" w:rsidP="002D3AB2">
      <w:pPr>
        <w:widowControl w:val="0"/>
        <w:numPr>
          <w:ilvl w:val="0"/>
          <w:numId w:val="4"/>
        </w:numPr>
        <w:tabs>
          <w:tab w:val="left" w:pos="564"/>
          <w:tab w:val="left" w:pos="565"/>
        </w:tabs>
        <w:autoSpaceDE w:val="0"/>
        <w:autoSpaceDN w:val="0"/>
        <w:spacing w:before="120" w:after="120"/>
        <w:ind w:right="138"/>
        <w:rPr>
          <w:rFonts w:ascii="Verdana" w:eastAsia="Verdana" w:hAnsi="Verdana" w:cs="Verdana"/>
          <w:sz w:val="22"/>
          <w:szCs w:val="22"/>
          <w:lang w:eastAsia="en-AU" w:bidi="en-AU"/>
        </w:rPr>
      </w:pPr>
      <w:r w:rsidRPr="00C13E2B">
        <w:rPr>
          <w:rFonts w:ascii="Verdana" w:eastAsia="Verdana" w:hAnsi="Verdana" w:cs="Verdana"/>
          <w:sz w:val="22"/>
          <w:szCs w:val="22"/>
          <w:lang w:eastAsia="en-AU" w:bidi="en-AU"/>
        </w:rPr>
        <w:t>TD 202</w:t>
      </w:r>
      <w:r w:rsidR="002D3AB2">
        <w:rPr>
          <w:rFonts w:ascii="Verdana" w:eastAsia="Verdana" w:hAnsi="Verdana" w:cs="Verdana"/>
          <w:sz w:val="22"/>
          <w:szCs w:val="22"/>
          <w:lang w:eastAsia="en-AU" w:bidi="en-AU"/>
        </w:rPr>
        <w:t>5</w:t>
      </w:r>
      <w:r w:rsidRPr="00C13E2B">
        <w:rPr>
          <w:rFonts w:ascii="Verdana" w:eastAsia="Verdana" w:hAnsi="Verdana" w:cs="Verdana"/>
          <w:sz w:val="22"/>
          <w:szCs w:val="22"/>
          <w:lang w:eastAsia="en-AU" w:bidi="en-AU"/>
        </w:rPr>
        <w:t>/</w:t>
      </w:r>
      <w:r w:rsidR="002D3AB2">
        <w:rPr>
          <w:rFonts w:ascii="Verdana" w:eastAsia="Verdana" w:hAnsi="Verdana" w:cs="Verdana"/>
          <w:sz w:val="22"/>
          <w:szCs w:val="22"/>
          <w:lang w:eastAsia="en-AU" w:bidi="en-AU"/>
        </w:rPr>
        <w:t>4</w:t>
      </w:r>
      <w:r w:rsidRPr="00C13E2B">
        <w:rPr>
          <w:rFonts w:ascii="Verdana" w:eastAsia="Verdana" w:hAnsi="Verdana" w:cs="Verdana"/>
          <w:sz w:val="22"/>
          <w:szCs w:val="22"/>
          <w:lang w:eastAsia="en-AU" w:bidi="en-AU"/>
        </w:rPr>
        <w:t xml:space="preserve"> is a public ruling for the purposes of the Taxation Administration Act 1953 and is available online at </w:t>
      </w:r>
      <w:r w:rsidR="002D3AB2" w:rsidRPr="008C6D2E">
        <w:rPr>
          <w:rFonts w:ascii="Verdana" w:eastAsia="Verdana" w:hAnsi="Verdana" w:cs="Verdana"/>
          <w:sz w:val="22"/>
          <w:szCs w:val="22"/>
          <w:lang w:eastAsia="en-AU" w:bidi="en-AU"/>
        </w:rPr>
        <w:t>https://www.ato.gov.au/law/view/document?docid=TXD/TD20254/NAT/ATO/00001</w:t>
      </w:r>
      <w:r w:rsidR="002D3AB2">
        <w:rPr>
          <w:rFonts w:ascii="Verdana" w:eastAsia="Verdana" w:hAnsi="Verdana" w:cs="Verdana"/>
          <w:sz w:val="22"/>
          <w:szCs w:val="22"/>
          <w:lang w:eastAsia="en-AU" w:bidi="en-AU"/>
        </w:rPr>
        <w:t>.</w:t>
      </w:r>
      <w:r w:rsidR="002D3AB2">
        <w:t xml:space="preserve"> </w:t>
      </w:r>
    </w:p>
    <w:p w14:paraId="36305A0B" w14:textId="77777777" w:rsidR="00C13E2B" w:rsidRPr="00C13E2B" w:rsidRDefault="00C13E2B" w:rsidP="00C10EBA">
      <w:pPr>
        <w:widowControl w:val="0"/>
        <w:numPr>
          <w:ilvl w:val="0"/>
          <w:numId w:val="4"/>
        </w:numPr>
        <w:tabs>
          <w:tab w:val="left" w:pos="564"/>
          <w:tab w:val="left" w:pos="565"/>
        </w:tabs>
        <w:autoSpaceDE w:val="0"/>
        <w:autoSpaceDN w:val="0"/>
        <w:spacing w:before="120" w:after="120"/>
        <w:ind w:right="138"/>
        <w:rPr>
          <w:rFonts w:ascii="Verdana" w:eastAsia="Verdana" w:hAnsi="Verdana" w:cs="Verdana"/>
          <w:sz w:val="22"/>
          <w:szCs w:val="22"/>
          <w:lang w:eastAsia="en-AU" w:bidi="en-AU"/>
        </w:rPr>
      </w:pPr>
      <w:r w:rsidRPr="00C13E2B">
        <w:rPr>
          <w:rFonts w:ascii="Verdana" w:eastAsia="Verdana" w:hAnsi="Verdana" w:cs="Verdana"/>
          <w:sz w:val="22"/>
          <w:szCs w:val="22"/>
          <w:lang w:eastAsia="en-AU" w:bidi="en-AU"/>
        </w:rPr>
        <w:t>The travel allowance rates for parliamentarians include the Canberra rate that is set at a lower rate than that available to other office holders in the Tribunal’s jurisdiction, the Prime Minister’s travel allowance rate, and the meals and incidentals rate for Ministers provided with accommodation.</w:t>
      </w:r>
    </w:p>
    <w:p w14:paraId="77FB2BD6" w14:textId="77777777" w:rsidR="00C13E2B" w:rsidRPr="00C13E2B" w:rsidRDefault="00C13E2B" w:rsidP="00C10EBA">
      <w:pPr>
        <w:widowControl w:val="0"/>
        <w:numPr>
          <w:ilvl w:val="0"/>
          <w:numId w:val="4"/>
        </w:numPr>
        <w:tabs>
          <w:tab w:val="left" w:pos="564"/>
          <w:tab w:val="left" w:pos="565"/>
        </w:tabs>
        <w:autoSpaceDE w:val="0"/>
        <w:autoSpaceDN w:val="0"/>
        <w:spacing w:before="120" w:after="120"/>
        <w:ind w:right="138"/>
        <w:rPr>
          <w:rFonts w:ascii="Verdana" w:eastAsia="Verdana" w:hAnsi="Verdana" w:cs="Verdana"/>
          <w:sz w:val="22"/>
          <w:szCs w:val="22"/>
          <w:lang w:eastAsia="en-AU" w:bidi="en-AU"/>
        </w:rPr>
      </w:pPr>
      <w:r w:rsidRPr="00C13E2B">
        <w:rPr>
          <w:rFonts w:ascii="Verdana" w:eastAsia="Verdana" w:hAnsi="Verdana" w:cs="Verdana"/>
          <w:sz w:val="22"/>
          <w:szCs w:val="22"/>
          <w:lang w:eastAsia="en-AU" w:bidi="en-AU"/>
        </w:rPr>
        <w:lastRenderedPageBreak/>
        <w:t>Consistent with the methodology applied for other office holders in its jurisdiction, the Tribunal adjusted the existing rates for the Canberra travel allowance and the Prime Minister’s travel allowance by the average percentage increase in the relevant ATO rates from the year of the last increase to the current year.</w:t>
      </w:r>
    </w:p>
    <w:p w14:paraId="79CDBAC2" w14:textId="1C8061BE" w:rsidR="00C13E2B" w:rsidRPr="00C13E2B" w:rsidRDefault="00C13E2B" w:rsidP="00C10EBA">
      <w:pPr>
        <w:widowControl w:val="0"/>
        <w:numPr>
          <w:ilvl w:val="0"/>
          <w:numId w:val="4"/>
        </w:numPr>
        <w:tabs>
          <w:tab w:val="left" w:pos="564"/>
          <w:tab w:val="left" w:pos="565"/>
        </w:tabs>
        <w:autoSpaceDE w:val="0"/>
        <w:autoSpaceDN w:val="0"/>
        <w:spacing w:before="120" w:after="120"/>
        <w:ind w:right="138"/>
        <w:rPr>
          <w:rFonts w:ascii="Verdana" w:eastAsia="Verdana" w:hAnsi="Verdana" w:cs="Verdana"/>
          <w:sz w:val="22"/>
          <w:szCs w:val="22"/>
          <w:lang w:eastAsia="en-AU" w:bidi="en-AU"/>
        </w:rPr>
      </w:pPr>
      <w:r w:rsidRPr="00C13E2B">
        <w:rPr>
          <w:rFonts w:ascii="Verdana" w:eastAsia="Verdana" w:hAnsi="Verdana" w:cs="Verdana"/>
          <w:sz w:val="22"/>
          <w:szCs w:val="22"/>
          <w:lang w:eastAsia="en-AU" w:bidi="en-AU"/>
        </w:rPr>
        <w:t xml:space="preserve">The Tribunal aligns the private vehicle allowance for parliamentarians with the rate for the cents per kilometre method of calculating income tax deductions for work-related car expenses which is determined by the Commissioner of Taxation in accordance with subsection 28-25(4) of the </w:t>
      </w:r>
      <w:r w:rsidR="00252266" w:rsidRPr="00252266">
        <w:rPr>
          <w:rFonts w:ascii="Verdana" w:eastAsia="Verdana" w:hAnsi="Verdana" w:cs="Verdana"/>
          <w:sz w:val="22"/>
          <w:szCs w:val="22"/>
          <w:lang w:eastAsia="en-AU" w:bidi="en-AU"/>
        </w:rPr>
        <w:t>Income Tax Assessment Act</w:t>
      </w:r>
      <w:r w:rsidRPr="00C13E2B">
        <w:rPr>
          <w:rFonts w:ascii="Verdana" w:eastAsia="Verdana" w:hAnsi="Verdana" w:cs="Verdana"/>
          <w:sz w:val="22"/>
          <w:szCs w:val="22"/>
          <w:lang w:eastAsia="en-AU" w:bidi="en-AU"/>
        </w:rPr>
        <w:t>.</w:t>
      </w:r>
      <w:r w:rsidR="00C10EBA">
        <w:rPr>
          <w:rFonts w:ascii="Verdana" w:eastAsia="Verdana" w:hAnsi="Verdana" w:cs="Verdana"/>
          <w:sz w:val="22"/>
          <w:szCs w:val="22"/>
          <w:lang w:eastAsia="en-AU" w:bidi="en-AU"/>
        </w:rPr>
        <w:t xml:space="preserve"> </w:t>
      </w:r>
      <w:r w:rsidRPr="00C13E2B">
        <w:rPr>
          <w:rFonts w:ascii="Verdana" w:eastAsia="Verdana" w:hAnsi="Verdana" w:cs="Verdana"/>
          <w:sz w:val="22"/>
          <w:szCs w:val="22"/>
          <w:lang w:eastAsia="en-AU" w:bidi="en-AU"/>
        </w:rPr>
        <w:t xml:space="preserve">The current instrument is </w:t>
      </w:r>
      <w:r w:rsidRPr="00252266">
        <w:rPr>
          <w:rFonts w:ascii="Verdana" w:eastAsia="Verdana" w:hAnsi="Verdana" w:cs="Verdana"/>
          <w:sz w:val="22"/>
          <w:szCs w:val="22"/>
          <w:lang w:eastAsia="en-AU" w:bidi="en-AU"/>
        </w:rPr>
        <w:t>Income Tax Assessment Act 1997 – Cents per Kilometre Deduction Rate for Car Expenses Determination 202</w:t>
      </w:r>
      <w:r w:rsidR="00252266" w:rsidRPr="00252266">
        <w:rPr>
          <w:rFonts w:ascii="Verdana" w:eastAsia="Verdana" w:hAnsi="Verdana" w:cs="Verdana"/>
          <w:sz w:val="22"/>
          <w:szCs w:val="22"/>
          <w:lang w:eastAsia="en-AU" w:bidi="en-AU"/>
        </w:rPr>
        <w:t>4</w:t>
      </w:r>
      <w:r w:rsidRPr="00252266">
        <w:rPr>
          <w:rFonts w:ascii="Verdana" w:eastAsia="Verdana" w:hAnsi="Verdana" w:cs="Verdana"/>
          <w:sz w:val="22"/>
          <w:szCs w:val="22"/>
          <w:lang w:eastAsia="en-AU" w:bidi="en-AU"/>
        </w:rPr>
        <w:t xml:space="preserve"> (MVE 202</w:t>
      </w:r>
      <w:r w:rsidR="00252266" w:rsidRPr="00252266">
        <w:rPr>
          <w:rFonts w:ascii="Verdana" w:eastAsia="Verdana" w:hAnsi="Verdana" w:cs="Verdana"/>
          <w:sz w:val="22"/>
          <w:szCs w:val="22"/>
          <w:lang w:eastAsia="en-AU" w:bidi="en-AU"/>
        </w:rPr>
        <w:t>4</w:t>
      </w:r>
      <w:r w:rsidRPr="00252266">
        <w:rPr>
          <w:rFonts w:ascii="Verdana" w:eastAsia="Verdana" w:hAnsi="Verdana" w:cs="Verdana"/>
          <w:sz w:val="22"/>
          <w:szCs w:val="22"/>
          <w:lang w:eastAsia="en-AU" w:bidi="en-AU"/>
        </w:rPr>
        <w:t xml:space="preserve">) </w:t>
      </w:r>
      <w:r w:rsidRPr="00C13E2B">
        <w:rPr>
          <w:rFonts w:ascii="Verdana" w:eastAsia="Verdana" w:hAnsi="Verdana" w:cs="Verdana"/>
          <w:sz w:val="22"/>
          <w:szCs w:val="22"/>
          <w:lang w:eastAsia="en-AU" w:bidi="en-AU"/>
        </w:rPr>
        <w:t xml:space="preserve">which is available online at </w:t>
      </w:r>
      <w:r w:rsidR="00252266" w:rsidRPr="008C6D2E">
        <w:rPr>
          <w:rFonts w:ascii="Verdana" w:eastAsia="Verdana" w:hAnsi="Verdana" w:cs="Verdana"/>
          <w:sz w:val="22"/>
          <w:szCs w:val="22"/>
          <w:lang w:eastAsia="en-AU" w:bidi="en-AU"/>
        </w:rPr>
        <w:t>https://www.legislation.gov.au/Details/F2024L00697</w:t>
      </w:r>
    </w:p>
    <w:p w14:paraId="648294CB" w14:textId="0B7510C6" w:rsidR="00C13E2B" w:rsidRDefault="00C13E2B" w:rsidP="00C10EBA">
      <w:pPr>
        <w:widowControl w:val="0"/>
        <w:numPr>
          <w:ilvl w:val="0"/>
          <w:numId w:val="4"/>
        </w:numPr>
        <w:tabs>
          <w:tab w:val="left" w:pos="564"/>
          <w:tab w:val="left" w:pos="565"/>
        </w:tabs>
        <w:autoSpaceDE w:val="0"/>
        <w:autoSpaceDN w:val="0"/>
        <w:spacing w:before="120" w:after="120"/>
        <w:ind w:right="138"/>
        <w:rPr>
          <w:rFonts w:ascii="Verdana" w:eastAsia="Verdana" w:hAnsi="Verdana" w:cs="Verdana"/>
          <w:sz w:val="22"/>
          <w:szCs w:val="22"/>
          <w:lang w:eastAsia="en-AU" w:bidi="en-AU"/>
        </w:rPr>
      </w:pPr>
      <w:r w:rsidRPr="00C13E2B">
        <w:rPr>
          <w:rFonts w:ascii="Verdana" w:eastAsia="Verdana" w:hAnsi="Verdana" w:cs="Verdana"/>
          <w:sz w:val="22"/>
          <w:szCs w:val="22"/>
          <w:lang w:eastAsia="en-AU" w:bidi="en-AU"/>
        </w:rPr>
        <w:t xml:space="preserve">In conducting this review, the Tribunal noted that the ATO had </w:t>
      </w:r>
      <w:r w:rsidR="002D3AB2">
        <w:rPr>
          <w:rFonts w:ascii="Verdana" w:eastAsia="Verdana" w:hAnsi="Verdana" w:cs="Verdana"/>
          <w:sz w:val="22"/>
          <w:szCs w:val="22"/>
          <w:lang w:eastAsia="en-AU" w:bidi="en-AU"/>
        </w:rPr>
        <w:t xml:space="preserve">not </w:t>
      </w:r>
      <w:r w:rsidRPr="00C13E2B">
        <w:rPr>
          <w:rFonts w:ascii="Verdana" w:eastAsia="Verdana" w:hAnsi="Verdana" w:cs="Verdana"/>
          <w:sz w:val="22"/>
          <w:szCs w:val="22"/>
          <w:lang w:eastAsia="en-AU" w:bidi="en-AU"/>
        </w:rPr>
        <w:t>adjusted its cents per kilometre rate for 202</w:t>
      </w:r>
      <w:r w:rsidR="002D3AB2">
        <w:rPr>
          <w:rFonts w:ascii="Verdana" w:eastAsia="Verdana" w:hAnsi="Verdana" w:cs="Verdana"/>
          <w:sz w:val="22"/>
          <w:szCs w:val="22"/>
          <w:lang w:eastAsia="en-AU" w:bidi="en-AU"/>
        </w:rPr>
        <w:t>5</w:t>
      </w:r>
      <w:r w:rsidRPr="00C13E2B">
        <w:rPr>
          <w:rFonts w:ascii="Verdana" w:eastAsia="Verdana" w:hAnsi="Verdana" w:cs="Verdana"/>
          <w:sz w:val="22"/>
          <w:szCs w:val="22"/>
          <w:lang w:eastAsia="en-AU" w:bidi="en-AU"/>
        </w:rPr>
        <w:t xml:space="preserve">. The Tribunal has, accordingly, </w:t>
      </w:r>
      <w:r w:rsidR="002D3AB2">
        <w:rPr>
          <w:rFonts w:ascii="Verdana" w:eastAsia="Verdana" w:hAnsi="Verdana" w:cs="Verdana"/>
          <w:sz w:val="22"/>
          <w:szCs w:val="22"/>
          <w:lang w:eastAsia="en-AU" w:bidi="en-AU"/>
        </w:rPr>
        <w:t xml:space="preserve">maintained </w:t>
      </w:r>
      <w:r w:rsidRPr="00C13E2B">
        <w:rPr>
          <w:rFonts w:ascii="Verdana" w:eastAsia="Verdana" w:hAnsi="Verdana" w:cs="Verdana"/>
          <w:sz w:val="22"/>
          <w:szCs w:val="22"/>
          <w:lang w:eastAsia="en-AU" w:bidi="en-AU"/>
        </w:rPr>
        <w:t>motor vehicle allowance to align with MVE 202</w:t>
      </w:r>
      <w:r w:rsidR="00252266">
        <w:rPr>
          <w:rFonts w:ascii="Verdana" w:eastAsia="Verdana" w:hAnsi="Verdana" w:cs="Verdana"/>
          <w:sz w:val="22"/>
          <w:szCs w:val="22"/>
          <w:lang w:eastAsia="en-AU" w:bidi="en-AU"/>
        </w:rPr>
        <w:t>4</w:t>
      </w:r>
      <w:r w:rsidRPr="00C13E2B">
        <w:rPr>
          <w:rFonts w:ascii="Verdana" w:eastAsia="Verdana" w:hAnsi="Verdana" w:cs="Verdana"/>
          <w:sz w:val="22"/>
          <w:szCs w:val="22"/>
          <w:lang w:eastAsia="en-AU" w:bidi="en-AU"/>
        </w:rPr>
        <w:t>.</w:t>
      </w:r>
    </w:p>
    <w:p w14:paraId="69DD8F6D" w14:textId="68761973" w:rsidR="00741FAE" w:rsidRPr="00741FAE" w:rsidRDefault="00C13E2B" w:rsidP="00741FAE">
      <w:pPr>
        <w:widowControl w:val="0"/>
        <w:numPr>
          <w:ilvl w:val="0"/>
          <w:numId w:val="4"/>
        </w:numPr>
        <w:tabs>
          <w:tab w:val="left" w:pos="564"/>
          <w:tab w:val="left" w:pos="565"/>
        </w:tabs>
        <w:autoSpaceDE w:val="0"/>
        <w:autoSpaceDN w:val="0"/>
        <w:spacing w:before="120" w:after="120"/>
        <w:ind w:right="138"/>
        <w:rPr>
          <w:rFonts w:ascii="Verdana" w:eastAsia="Verdana" w:hAnsi="Verdana" w:cs="Verdana"/>
          <w:sz w:val="22"/>
          <w:szCs w:val="22"/>
          <w:lang w:eastAsia="en-AU" w:bidi="en-AU"/>
        </w:rPr>
      </w:pPr>
      <w:r w:rsidRPr="00C13E2B">
        <w:rPr>
          <w:rFonts w:ascii="Verdana" w:eastAsia="Verdana" w:hAnsi="Verdana" w:cs="Verdana"/>
          <w:sz w:val="22"/>
          <w:szCs w:val="22"/>
          <w:lang w:eastAsia="en-AU" w:bidi="en-AU"/>
        </w:rPr>
        <w:t xml:space="preserve">The Tribunal’s Reasons for Determination are available at </w:t>
      </w:r>
      <w:r w:rsidRPr="008C6D2E">
        <w:rPr>
          <w:rFonts w:ascii="Verdana" w:eastAsia="Verdana" w:hAnsi="Verdana" w:cs="Verdana"/>
          <w:sz w:val="22"/>
          <w:szCs w:val="22"/>
          <w:lang w:eastAsia="en-AU" w:bidi="en-AU"/>
        </w:rPr>
        <w:t>www.remtrib</w:t>
      </w:r>
      <w:bookmarkStart w:id="0" w:name="_GoBack"/>
      <w:bookmarkEnd w:id="0"/>
      <w:r w:rsidRPr="008C6D2E">
        <w:rPr>
          <w:rFonts w:ascii="Verdana" w:eastAsia="Verdana" w:hAnsi="Verdana" w:cs="Verdana"/>
          <w:sz w:val="22"/>
          <w:szCs w:val="22"/>
          <w:lang w:eastAsia="en-AU" w:bidi="en-AU"/>
        </w:rPr>
        <w:t>unal.gov.au</w:t>
      </w:r>
      <w:r>
        <w:rPr>
          <w:rFonts w:ascii="Verdana" w:eastAsia="Verdana" w:hAnsi="Verdana" w:cs="Verdana"/>
          <w:sz w:val="22"/>
          <w:szCs w:val="22"/>
          <w:lang w:eastAsia="en-AU" w:bidi="en-AU"/>
        </w:rPr>
        <w:t>.</w:t>
      </w:r>
    </w:p>
    <w:p w14:paraId="62BCB727" w14:textId="77777777" w:rsidR="001B5300" w:rsidRPr="001B5300" w:rsidRDefault="001B5300" w:rsidP="00C10EBA">
      <w:pPr>
        <w:widowControl w:val="0"/>
        <w:autoSpaceDE w:val="0"/>
        <w:autoSpaceDN w:val="0"/>
        <w:spacing w:before="120" w:after="120"/>
        <w:ind w:left="137"/>
        <w:outlineLvl w:val="0"/>
        <w:rPr>
          <w:rFonts w:ascii="Verdana" w:eastAsia="Verdana" w:hAnsi="Verdana" w:cs="Verdana"/>
          <w:b/>
          <w:bCs/>
          <w:sz w:val="22"/>
          <w:szCs w:val="22"/>
          <w:lang w:eastAsia="en-AU" w:bidi="en-AU"/>
        </w:rPr>
      </w:pPr>
      <w:r w:rsidRPr="001B5300">
        <w:rPr>
          <w:rFonts w:ascii="Verdana" w:eastAsia="Verdana" w:hAnsi="Verdana" w:cs="Verdana"/>
          <w:b/>
          <w:bCs/>
          <w:sz w:val="22"/>
          <w:szCs w:val="22"/>
          <w:lang w:eastAsia="en-AU" w:bidi="en-AU"/>
        </w:rPr>
        <w:t>Exemption from disallowance</w:t>
      </w:r>
    </w:p>
    <w:p w14:paraId="7CCB4654" w14:textId="77777777" w:rsidR="001B5300" w:rsidRPr="001B5300" w:rsidRDefault="001B5300" w:rsidP="00741FAE">
      <w:pPr>
        <w:widowControl w:val="0"/>
        <w:numPr>
          <w:ilvl w:val="0"/>
          <w:numId w:val="4"/>
        </w:numPr>
        <w:autoSpaceDE w:val="0"/>
        <w:autoSpaceDN w:val="0"/>
        <w:spacing w:before="120" w:after="120"/>
        <w:ind w:left="561" w:hanging="425"/>
        <w:rPr>
          <w:rFonts w:ascii="Verdana" w:hAnsi="Verdana"/>
          <w:color w:val="000000"/>
          <w:sz w:val="22"/>
          <w:szCs w:val="24"/>
          <w:lang w:eastAsia="en-AU"/>
        </w:rPr>
      </w:pPr>
      <w:r w:rsidRPr="001B5300">
        <w:rPr>
          <w:rFonts w:ascii="Verdana" w:hAnsi="Verdana"/>
          <w:sz w:val="22"/>
          <w:szCs w:val="24"/>
          <w:lang w:eastAsia="en-AU"/>
        </w:rPr>
        <w:t>Subsection 47(7) of the PBR Act provides that t</w:t>
      </w:r>
      <w:r w:rsidRPr="001B5300">
        <w:rPr>
          <w:rFonts w:ascii="Verdana" w:hAnsi="Verdana"/>
          <w:color w:val="000000"/>
          <w:sz w:val="22"/>
          <w:szCs w:val="24"/>
          <w:shd w:val="clear" w:color="auto" w:fill="FFFFFF"/>
          <w:lang w:eastAsia="en-AU"/>
        </w:rPr>
        <w:t>his determination is a legislative instrument, but section 42 (disallowance) of the </w:t>
      </w:r>
      <w:r w:rsidRPr="001B5300">
        <w:rPr>
          <w:rFonts w:ascii="Verdana" w:hAnsi="Verdana"/>
          <w:i/>
          <w:iCs/>
          <w:color w:val="000000"/>
          <w:sz w:val="22"/>
          <w:szCs w:val="24"/>
          <w:shd w:val="clear" w:color="auto" w:fill="FFFFFF"/>
          <w:lang w:eastAsia="en-AU"/>
        </w:rPr>
        <w:t>Legislation Act 2003</w:t>
      </w:r>
      <w:r w:rsidRPr="001B5300">
        <w:rPr>
          <w:rFonts w:ascii="Verdana" w:hAnsi="Verdana"/>
          <w:iCs/>
          <w:color w:val="000000"/>
          <w:sz w:val="22"/>
          <w:szCs w:val="24"/>
          <w:shd w:val="clear" w:color="auto" w:fill="FFFFFF"/>
          <w:lang w:eastAsia="en-AU"/>
        </w:rPr>
        <w:t xml:space="preserve"> </w:t>
      </w:r>
      <w:r w:rsidRPr="001B5300">
        <w:rPr>
          <w:rFonts w:ascii="Verdana" w:hAnsi="Verdana"/>
          <w:color w:val="000000"/>
          <w:sz w:val="22"/>
          <w:szCs w:val="24"/>
          <w:shd w:val="clear" w:color="auto" w:fill="FFFFFF"/>
          <w:lang w:eastAsia="en-AU"/>
        </w:rPr>
        <w:t xml:space="preserve">does not apply to it. </w:t>
      </w:r>
    </w:p>
    <w:p w14:paraId="1D560BB0" w14:textId="77777777" w:rsidR="001B5300" w:rsidRPr="001B5300" w:rsidRDefault="001B5300" w:rsidP="00741FAE">
      <w:pPr>
        <w:widowControl w:val="0"/>
        <w:numPr>
          <w:ilvl w:val="0"/>
          <w:numId w:val="4"/>
        </w:numPr>
        <w:autoSpaceDE w:val="0"/>
        <w:autoSpaceDN w:val="0"/>
        <w:spacing w:before="120" w:after="120"/>
        <w:ind w:left="561" w:hanging="425"/>
        <w:rPr>
          <w:rFonts w:ascii="Verdana" w:hAnsi="Verdana"/>
          <w:sz w:val="22"/>
          <w:szCs w:val="24"/>
          <w:lang w:eastAsia="en-AU"/>
        </w:rPr>
      </w:pPr>
      <w:r w:rsidRPr="001B5300">
        <w:rPr>
          <w:rFonts w:ascii="Verdana" w:hAnsi="Verdana"/>
          <w:sz w:val="22"/>
          <w:szCs w:val="24"/>
          <w:lang w:eastAsia="en-AU"/>
        </w:rPr>
        <w:t xml:space="preserve">Exemption from disallowance is appropriate in the context of this instrument, as it amends the entitlements of Senators and Members of the House of Representatives. </w:t>
      </w:r>
    </w:p>
    <w:p w14:paraId="090B2C7E" w14:textId="77777777" w:rsidR="001B5300" w:rsidRPr="001B5300" w:rsidRDefault="001B5300" w:rsidP="00C10EBA">
      <w:pPr>
        <w:widowControl w:val="0"/>
        <w:autoSpaceDE w:val="0"/>
        <w:autoSpaceDN w:val="0"/>
        <w:spacing w:before="120" w:after="120"/>
        <w:ind w:left="137" w:right="138"/>
        <w:outlineLvl w:val="0"/>
        <w:rPr>
          <w:rFonts w:ascii="Verdana" w:eastAsia="Verdana" w:hAnsi="Verdana" w:cs="Verdana"/>
          <w:b/>
          <w:bCs/>
          <w:sz w:val="22"/>
          <w:szCs w:val="22"/>
          <w:lang w:eastAsia="en-AU" w:bidi="en-AU"/>
        </w:rPr>
      </w:pPr>
      <w:r w:rsidRPr="001B5300">
        <w:rPr>
          <w:rFonts w:ascii="Verdana" w:eastAsia="Verdana" w:hAnsi="Verdana" w:cs="Verdana"/>
          <w:b/>
          <w:bCs/>
          <w:sz w:val="22"/>
          <w:szCs w:val="22"/>
          <w:lang w:eastAsia="en-AU" w:bidi="en-AU"/>
        </w:rPr>
        <w:t>The power to repeal, rescind and revoke, amend and vary</w:t>
      </w:r>
    </w:p>
    <w:p w14:paraId="0CB6912D" w14:textId="4B08A309" w:rsidR="001B5300" w:rsidRDefault="001B5300" w:rsidP="00C10EBA">
      <w:pPr>
        <w:widowControl w:val="0"/>
        <w:numPr>
          <w:ilvl w:val="0"/>
          <w:numId w:val="4"/>
        </w:numPr>
        <w:tabs>
          <w:tab w:val="left" w:pos="563"/>
        </w:tabs>
        <w:autoSpaceDE w:val="0"/>
        <w:autoSpaceDN w:val="0"/>
        <w:spacing w:before="120" w:after="120"/>
        <w:ind w:left="562" w:right="138" w:hanging="425"/>
        <w:rPr>
          <w:rFonts w:ascii="Verdana" w:eastAsia="Verdana" w:hAnsi="Verdana" w:cs="Verdana"/>
          <w:sz w:val="22"/>
          <w:szCs w:val="22"/>
          <w:lang w:eastAsia="en-AU" w:bidi="en-AU"/>
        </w:rPr>
      </w:pPr>
      <w:r w:rsidRPr="001B5300">
        <w:rPr>
          <w:rFonts w:ascii="Verdana" w:eastAsia="Verdana" w:hAnsi="Verdana" w:cs="Verdana"/>
          <w:sz w:val="22"/>
          <w:szCs w:val="22"/>
          <w:lang w:eastAsia="en-AU" w:bidi="en-AU"/>
        </w:rPr>
        <w:t xml:space="preserve">Under subsection 33(3) of the </w:t>
      </w:r>
      <w:r w:rsidRPr="001B5300">
        <w:rPr>
          <w:rFonts w:ascii="Verdana" w:eastAsia="Verdana" w:hAnsi="Verdana" w:cs="Verdana"/>
          <w:i/>
          <w:sz w:val="22"/>
          <w:szCs w:val="22"/>
          <w:lang w:eastAsia="en-AU" w:bidi="en-AU"/>
        </w:rPr>
        <w:t>Acts Interpretation Act 1901</w:t>
      </w:r>
      <w:r w:rsidRPr="001B5300">
        <w:rPr>
          <w:rFonts w:ascii="Verdana" w:eastAsia="Verdana" w:hAnsi="Verdana" w:cs="Verdana"/>
          <w:sz w:val="22"/>
          <w:szCs w:val="22"/>
          <w:lang w:eastAsia="en-AU" w:bidi="en-AU"/>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w:t>
      </w:r>
      <w:r w:rsidRPr="001B5300">
        <w:rPr>
          <w:rFonts w:ascii="Verdana" w:eastAsia="Verdana" w:hAnsi="Verdana" w:cs="Verdana"/>
          <w:spacing w:val="-5"/>
          <w:sz w:val="22"/>
          <w:szCs w:val="22"/>
          <w:lang w:eastAsia="en-AU" w:bidi="en-AU"/>
        </w:rPr>
        <w:t xml:space="preserve"> </w:t>
      </w:r>
      <w:r w:rsidRPr="001B5300">
        <w:rPr>
          <w:rFonts w:ascii="Verdana" w:eastAsia="Verdana" w:hAnsi="Verdana" w:cs="Verdana"/>
          <w:sz w:val="22"/>
          <w:szCs w:val="22"/>
          <w:lang w:eastAsia="en-AU" w:bidi="en-AU"/>
        </w:rPr>
        <w:t>instrument.</w:t>
      </w:r>
    </w:p>
    <w:p w14:paraId="52EC360D" w14:textId="6B226D6F" w:rsidR="001B5300" w:rsidRDefault="001B5300" w:rsidP="00C10EBA">
      <w:pPr>
        <w:keepNext/>
        <w:autoSpaceDE w:val="0"/>
        <w:autoSpaceDN w:val="0"/>
        <w:spacing w:before="120" w:after="120"/>
        <w:ind w:left="136" w:right="136"/>
        <w:outlineLvl w:val="0"/>
        <w:rPr>
          <w:rFonts w:ascii="Verdana" w:eastAsia="Verdana" w:hAnsi="Verdana" w:cs="Verdana"/>
          <w:b/>
          <w:bCs/>
          <w:sz w:val="22"/>
          <w:szCs w:val="22"/>
          <w:lang w:eastAsia="en-AU" w:bidi="en-AU"/>
        </w:rPr>
      </w:pPr>
      <w:r w:rsidRPr="001B5300">
        <w:rPr>
          <w:rFonts w:ascii="Verdana" w:eastAsia="Verdana" w:hAnsi="Verdana" w:cs="Verdana"/>
          <w:b/>
          <w:bCs/>
          <w:sz w:val="22"/>
          <w:szCs w:val="22"/>
          <w:lang w:eastAsia="en-AU" w:bidi="en-AU"/>
        </w:rPr>
        <w:t>Details of the determination are as follows:</w:t>
      </w:r>
    </w:p>
    <w:p w14:paraId="3A568B6F" w14:textId="1CB532CD" w:rsidR="00741FAE" w:rsidRDefault="00741FAE" w:rsidP="00741FAE">
      <w:pPr>
        <w:pStyle w:val="paragraph"/>
        <w:spacing w:before="120" w:beforeAutospacing="0" w:after="120" w:afterAutospacing="0"/>
        <w:ind w:left="136"/>
        <w:jc w:val="both"/>
        <w:textAlignment w:val="baseline"/>
        <w:rPr>
          <w:rStyle w:val="eop"/>
          <w:rFonts w:ascii="Verdana" w:hAnsi="Verdana" w:cs="Segoe UI"/>
          <w:sz w:val="22"/>
          <w:szCs w:val="22"/>
        </w:rPr>
      </w:pPr>
      <w:r>
        <w:rPr>
          <w:rStyle w:val="normaltextrun"/>
          <w:rFonts w:ascii="Verdana" w:hAnsi="Verdana" w:cs="Segoe UI"/>
          <w:b/>
          <w:bCs/>
          <w:sz w:val="22"/>
          <w:szCs w:val="22"/>
        </w:rPr>
        <w:t>Section 1 – Name</w:t>
      </w:r>
      <w:r>
        <w:rPr>
          <w:rStyle w:val="eop"/>
          <w:rFonts w:ascii="Verdana" w:hAnsi="Verdana" w:cs="Segoe UI"/>
          <w:sz w:val="22"/>
          <w:szCs w:val="22"/>
        </w:rPr>
        <w:t> </w:t>
      </w:r>
    </w:p>
    <w:p w14:paraId="3EAE436D" w14:textId="70A1DBB7" w:rsidR="00E015EC" w:rsidRDefault="00E015EC" w:rsidP="00E015EC">
      <w:pPr>
        <w:pStyle w:val="paragraph"/>
        <w:numPr>
          <w:ilvl w:val="0"/>
          <w:numId w:val="4"/>
        </w:numPr>
        <w:spacing w:before="120" w:beforeAutospacing="0" w:after="120" w:afterAutospacing="0"/>
        <w:jc w:val="both"/>
        <w:textAlignment w:val="baseline"/>
        <w:rPr>
          <w:rStyle w:val="eop"/>
          <w:rFonts w:ascii="Verdana" w:hAnsi="Verdana" w:cs="Segoe UI"/>
          <w:sz w:val="22"/>
          <w:szCs w:val="22"/>
        </w:rPr>
      </w:pPr>
      <w:r>
        <w:rPr>
          <w:rStyle w:val="normaltextrun"/>
          <w:rFonts w:ascii="Verdana" w:hAnsi="Verdana" w:cs="Segoe UI"/>
          <w:sz w:val="22"/>
          <w:szCs w:val="22"/>
        </w:rPr>
        <w:t>Section 1 specifies the name of the instrument</w:t>
      </w:r>
      <w:r w:rsidR="00A07142">
        <w:rPr>
          <w:rStyle w:val="normaltextrun"/>
          <w:rFonts w:ascii="Verdana" w:hAnsi="Verdana" w:cs="Segoe UI"/>
          <w:sz w:val="22"/>
          <w:szCs w:val="22"/>
        </w:rPr>
        <w:t xml:space="preserve"> as the Remuneration Tribunal (Members of Parliament) Amendment Determination (No.</w:t>
      </w:r>
      <w:r w:rsidR="00237EA7">
        <w:rPr>
          <w:rStyle w:val="normaltextrun"/>
          <w:rFonts w:ascii="Verdana" w:hAnsi="Verdana" w:cs="Segoe UI"/>
          <w:sz w:val="22"/>
          <w:szCs w:val="22"/>
        </w:rPr>
        <w:t xml:space="preserve"> </w:t>
      </w:r>
      <w:r w:rsidR="00A07142">
        <w:rPr>
          <w:rStyle w:val="normaltextrun"/>
          <w:rFonts w:ascii="Verdana" w:hAnsi="Verdana" w:cs="Segoe UI"/>
          <w:sz w:val="22"/>
          <w:szCs w:val="22"/>
        </w:rPr>
        <w:t>3) 2025</w:t>
      </w:r>
      <w:r>
        <w:rPr>
          <w:rStyle w:val="normaltextrun"/>
          <w:rFonts w:ascii="Verdana" w:hAnsi="Verdana" w:cs="Segoe UI"/>
          <w:sz w:val="22"/>
          <w:szCs w:val="22"/>
        </w:rPr>
        <w:t>.</w:t>
      </w:r>
      <w:r>
        <w:rPr>
          <w:rStyle w:val="eop"/>
          <w:rFonts w:ascii="Verdana" w:hAnsi="Verdana" w:cs="Segoe UI"/>
          <w:sz w:val="22"/>
          <w:szCs w:val="22"/>
        </w:rPr>
        <w:t> </w:t>
      </w:r>
    </w:p>
    <w:p w14:paraId="4B78F65B" w14:textId="5865215B" w:rsidR="00E015EC" w:rsidRPr="00E015EC" w:rsidRDefault="00E015EC" w:rsidP="00E015EC">
      <w:pPr>
        <w:pStyle w:val="paragraph"/>
        <w:keepNext/>
        <w:spacing w:before="120" w:beforeAutospacing="0" w:after="120" w:afterAutospacing="0"/>
        <w:ind w:left="136"/>
        <w:jc w:val="both"/>
        <w:textAlignment w:val="baseline"/>
        <w:rPr>
          <w:rStyle w:val="normaltextrun"/>
          <w:b/>
          <w:bCs/>
        </w:rPr>
      </w:pPr>
      <w:r>
        <w:rPr>
          <w:rStyle w:val="normaltextrun"/>
          <w:rFonts w:ascii="Verdana" w:hAnsi="Verdana" w:cs="Segoe UI"/>
          <w:b/>
          <w:bCs/>
          <w:sz w:val="22"/>
          <w:szCs w:val="22"/>
        </w:rPr>
        <w:t>Section 2 – Commencement</w:t>
      </w:r>
      <w:r w:rsidRPr="00E015EC">
        <w:rPr>
          <w:rStyle w:val="normaltextrun"/>
          <w:b/>
          <w:bCs/>
        </w:rPr>
        <w:t> </w:t>
      </w:r>
    </w:p>
    <w:p w14:paraId="3E5D9007" w14:textId="7B5556D4" w:rsidR="00E015EC" w:rsidRPr="00E015EC" w:rsidRDefault="00E015EC" w:rsidP="00E015EC">
      <w:pPr>
        <w:widowControl w:val="0"/>
        <w:numPr>
          <w:ilvl w:val="0"/>
          <w:numId w:val="4"/>
        </w:numPr>
        <w:tabs>
          <w:tab w:val="left" w:pos="563"/>
        </w:tabs>
        <w:autoSpaceDE w:val="0"/>
        <w:autoSpaceDN w:val="0"/>
        <w:spacing w:before="120" w:after="120"/>
        <w:ind w:left="562" w:right="138" w:hanging="425"/>
        <w:rPr>
          <w:rStyle w:val="normaltextrun"/>
          <w:rFonts w:ascii="Verdana" w:eastAsia="Verdana" w:hAnsi="Verdana" w:cs="Verdana"/>
          <w:sz w:val="22"/>
          <w:szCs w:val="22"/>
          <w:lang w:eastAsia="en-AU" w:bidi="en-AU"/>
        </w:rPr>
      </w:pPr>
      <w:r>
        <w:rPr>
          <w:rStyle w:val="normaltextrun"/>
          <w:rFonts w:ascii="Verdana" w:hAnsi="Verdana" w:cs="Segoe UI"/>
          <w:sz w:val="22"/>
          <w:szCs w:val="22"/>
        </w:rPr>
        <w:t>Section 2 specifies the commencement date of the instrument</w:t>
      </w:r>
      <w:r w:rsidR="00A07142">
        <w:rPr>
          <w:rStyle w:val="normaltextrun"/>
          <w:rFonts w:ascii="Verdana" w:hAnsi="Verdana" w:cs="Segoe UI"/>
          <w:sz w:val="22"/>
          <w:szCs w:val="22"/>
        </w:rPr>
        <w:t>, which is 7 September 2025.</w:t>
      </w:r>
      <w:r>
        <w:rPr>
          <w:rStyle w:val="normaltextrun"/>
          <w:rFonts w:ascii="Verdana" w:hAnsi="Verdana" w:cs="Segoe UI"/>
          <w:sz w:val="22"/>
          <w:szCs w:val="22"/>
        </w:rPr>
        <w:t> </w:t>
      </w:r>
    </w:p>
    <w:p w14:paraId="5867B8FB" w14:textId="77777777" w:rsidR="00E015EC" w:rsidRPr="00E015EC" w:rsidRDefault="00E015EC" w:rsidP="00E015EC">
      <w:pPr>
        <w:pStyle w:val="paragraph"/>
        <w:spacing w:before="120" w:beforeAutospacing="0" w:after="120" w:afterAutospacing="0"/>
        <w:ind w:left="136"/>
        <w:jc w:val="both"/>
        <w:textAlignment w:val="baseline"/>
        <w:rPr>
          <w:rStyle w:val="normaltextrun"/>
          <w:rFonts w:ascii="Verdana" w:hAnsi="Verdana"/>
          <w:b/>
          <w:bCs/>
          <w:sz w:val="22"/>
          <w:szCs w:val="22"/>
        </w:rPr>
      </w:pPr>
      <w:r>
        <w:rPr>
          <w:rStyle w:val="normaltextrun"/>
          <w:rFonts w:ascii="Verdana" w:hAnsi="Verdana" w:cs="Segoe UI"/>
          <w:b/>
          <w:bCs/>
          <w:sz w:val="22"/>
          <w:szCs w:val="22"/>
        </w:rPr>
        <w:t>Section 3 – Authority</w:t>
      </w:r>
      <w:r w:rsidRPr="00E015EC">
        <w:rPr>
          <w:rStyle w:val="normaltextrun"/>
          <w:b/>
          <w:bCs/>
        </w:rPr>
        <w:t> </w:t>
      </w:r>
    </w:p>
    <w:p w14:paraId="3CF03A58" w14:textId="62A19A7F" w:rsidR="00741FAE" w:rsidRPr="00E015EC" w:rsidRDefault="00E015EC" w:rsidP="00E015EC">
      <w:pPr>
        <w:pStyle w:val="paragraph"/>
        <w:numPr>
          <w:ilvl w:val="0"/>
          <w:numId w:val="4"/>
        </w:numPr>
        <w:spacing w:before="120" w:beforeAutospacing="0" w:after="120" w:afterAutospacing="0"/>
        <w:jc w:val="both"/>
        <w:textAlignment w:val="baseline"/>
        <w:rPr>
          <w:rFonts w:ascii="Verdana" w:hAnsi="Verdana" w:cs="Segoe UI"/>
          <w:sz w:val="22"/>
          <w:szCs w:val="22"/>
        </w:rPr>
      </w:pPr>
      <w:r>
        <w:rPr>
          <w:rStyle w:val="normaltextrun"/>
          <w:rFonts w:ascii="Verdana" w:hAnsi="Verdana" w:cs="Segoe UI"/>
          <w:sz w:val="22"/>
          <w:szCs w:val="22"/>
        </w:rPr>
        <w:t>Section 3 specifies the authority for the instrument</w:t>
      </w:r>
      <w:r w:rsidR="00A07142">
        <w:rPr>
          <w:rStyle w:val="normaltextrun"/>
          <w:rFonts w:ascii="Verdana" w:hAnsi="Verdana" w:cs="Segoe UI"/>
          <w:sz w:val="22"/>
          <w:szCs w:val="22"/>
        </w:rPr>
        <w:t xml:space="preserve">, sections 45, </w:t>
      </w:r>
      <w:r w:rsidR="00B96951">
        <w:rPr>
          <w:rStyle w:val="normaltextrun"/>
          <w:rFonts w:ascii="Verdana" w:hAnsi="Verdana" w:cs="Segoe UI"/>
          <w:sz w:val="22"/>
          <w:szCs w:val="22"/>
        </w:rPr>
        <w:t>4</w:t>
      </w:r>
      <w:r w:rsidR="00A07142">
        <w:rPr>
          <w:rStyle w:val="normaltextrun"/>
          <w:rFonts w:ascii="Verdana" w:hAnsi="Verdana" w:cs="Segoe UI"/>
          <w:sz w:val="22"/>
          <w:szCs w:val="22"/>
        </w:rPr>
        <w:t xml:space="preserve">6 and 46A of the </w:t>
      </w:r>
      <w:r w:rsidR="00A07142" w:rsidRPr="00A07142">
        <w:rPr>
          <w:rStyle w:val="normaltextrun"/>
          <w:rFonts w:ascii="Verdana" w:hAnsi="Verdana" w:cs="Segoe UI"/>
          <w:i/>
          <w:sz w:val="22"/>
          <w:szCs w:val="22"/>
        </w:rPr>
        <w:t>Parliamentary Business Resources Act 2017</w:t>
      </w:r>
      <w:r>
        <w:rPr>
          <w:rStyle w:val="normaltextrun"/>
          <w:rFonts w:ascii="Verdana" w:hAnsi="Verdana" w:cs="Segoe UI"/>
          <w:sz w:val="22"/>
          <w:szCs w:val="22"/>
        </w:rPr>
        <w:t>. </w:t>
      </w:r>
      <w:r>
        <w:rPr>
          <w:rStyle w:val="eop"/>
          <w:rFonts w:ascii="Verdana" w:hAnsi="Verdana" w:cs="Segoe UI"/>
          <w:sz w:val="22"/>
          <w:szCs w:val="22"/>
        </w:rPr>
        <w:t> </w:t>
      </w:r>
    </w:p>
    <w:p w14:paraId="53ABFA20" w14:textId="77777777" w:rsidR="00741FAE" w:rsidRDefault="00741FAE" w:rsidP="00741FAE">
      <w:pPr>
        <w:pStyle w:val="paragraph"/>
        <w:spacing w:before="120" w:beforeAutospacing="0" w:after="120" w:afterAutospacing="0"/>
        <w:ind w:left="136"/>
        <w:jc w:val="both"/>
        <w:textAlignment w:val="baseline"/>
        <w:rPr>
          <w:rFonts w:ascii="Segoe UI" w:hAnsi="Segoe UI" w:cs="Segoe UI"/>
          <w:sz w:val="18"/>
          <w:szCs w:val="18"/>
        </w:rPr>
      </w:pPr>
      <w:r>
        <w:rPr>
          <w:rStyle w:val="normaltextrun"/>
          <w:rFonts w:ascii="Verdana" w:hAnsi="Verdana" w:cs="Segoe UI"/>
          <w:b/>
          <w:bCs/>
          <w:sz w:val="22"/>
          <w:szCs w:val="22"/>
        </w:rPr>
        <w:t>Section 4 – Schedules</w:t>
      </w:r>
      <w:r>
        <w:rPr>
          <w:rStyle w:val="eop"/>
          <w:rFonts w:ascii="Verdana" w:hAnsi="Verdana" w:cs="Segoe UI"/>
          <w:sz w:val="22"/>
          <w:szCs w:val="22"/>
        </w:rPr>
        <w:t> </w:t>
      </w:r>
    </w:p>
    <w:p w14:paraId="07A775AB" w14:textId="77777777" w:rsidR="00741FAE" w:rsidRPr="00741FAE" w:rsidRDefault="00741FAE" w:rsidP="00741FAE">
      <w:pPr>
        <w:widowControl w:val="0"/>
        <w:numPr>
          <w:ilvl w:val="0"/>
          <w:numId w:val="4"/>
        </w:numPr>
        <w:tabs>
          <w:tab w:val="left" w:pos="565"/>
          <w:tab w:val="left" w:pos="9335"/>
        </w:tabs>
        <w:autoSpaceDE w:val="0"/>
        <w:autoSpaceDN w:val="0"/>
        <w:spacing w:before="120" w:after="120"/>
        <w:ind w:left="561" w:right="138" w:hanging="425"/>
        <w:rPr>
          <w:rFonts w:ascii="Verdana" w:eastAsia="Verdana" w:hAnsi="Verdana" w:cs="Verdana"/>
          <w:sz w:val="22"/>
          <w:szCs w:val="22"/>
          <w:lang w:eastAsia="en-AU" w:bidi="en-AU"/>
        </w:rPr>
      </w:pPr>
      <w:r w:rsidRPr="00741FAE">
        <w:rPr>
          <w:rFonts w:ascii="Verdana" w:eastAsia="Verdana" w:hAnsi="Verdana" w:cs="Verdana"/>
          <w:sz w:val="22"/>
          <w:szCs w:val="22"/>
          <w:lang w:eastAsia="en-AU" w:bidi="en-AU"/>
        </w:rPr>
        <w:t>Section 4 outlines the effect of instruments specified in a Schedule to the instrument. </w:t>
      </w:r>
    </w:p>
    <w:p w14:paraId="7428ACEB" w14:textId="77777777" w:rsidR="00741FAE" w:rsidRDefault="00741FAE" w:rsidP="00A07142">
      <w:pPr>
        <w:pStyle w:val="paragraph"/>
        <w:keepNext/>
        <w:spacing w:before="120" w:beforeAutospacing="0" w:after="120" w:afterAutospacing="0"/>
        <w:ind w:left="136"/>
        <w:jc w:val="both"/>
        <w:textAlignment w:val="baseline"/>
        <w:rPr>
          <w:rFonts w:ascii="Segoe UI" w:hAnsi="Segoe UI" w:cs="Segoe UI"/>
          <w:sz w:val="18"/>
          <w:szCs w:val="18"/>
        </w:rPr>
      </w:pPr>
      <w:r>
        <w:rPr>
          <w:rStyle w:val="normaltextrun"/>
          <w:rFonts w:ascii="Verdana" w:hAnsi="Verdana" w:cs="Segoe UI"/>
          <w:b/>
          <w:bCs/>
          <w:sz w:val="22"/>
          <w:szCs w:val="22"/>
        </w:rPr>
        <w:lastRenderedPageBreak/>
        <w:t>SCHEDULE 1—AMENDMENTS</w:t>
      </w:r>
      <w:r>
        <w:rPr>
          <w:rStyle w:val="eop"/>
          <w:rFonts w:ascii="Verdana" w:hAnsi="Verdana" w:cs="Segoe UI"/>
          <w:sz w:val="22"/>
          <w:szCs w:val="22"/>
        </w:rPr>
        <w:t> </w:t>
      </w:r>
    </w:p>
    <w:p w14:paraId="577EAE8D" w14:textId="0BA9998C" w:rsidR="00741FAE" w:rsidRPr="00A07142" w:rsidRDefault="00741FAE" w:rsidP="00A07142">
      <w:pPr>
        <w:pStyle w:val="paragraph"/>
        <w:spacing w:before="120" w:beforeAutospacing="0" w:after="120" w:afterAutospacing="0"/>
        <w:ind w:left="135"/>
        <w:textAlignment w:val="baseline"/>
        <w:rPr>
          <w:rFonts w:ascii="Segoe UI" w:hAnsi="Segoe UI" w:cs="Segoe UI"/>
          <w:sz w:val="18"/>
          <w:szCs w:val="18"/>
        </w:rPr>
      </w:pPr>
      <w:r w:rsidRPr="00A07142">
        <w:rPr>
          <w:rStyle w:val="normaltextrun"/>
          <w:rFonts w:ascii="Verdana" w:hAnsi="Verdana" w:cs="Segoe UI"/>
          <w:b/>
          <w:bCs/>
          <w:iCs/>
          <w:sz w:val="22"/>
          <w:szCs w:val="22"/>
        </w:rPr>
        <w:t xml:space="preserve">Remuneration Tribunal (Members of Parliament) </w:t>
      </w:r>
      <w:r w:rsidR="00A07142">
        <w:rPr>
          <w:rStyle w:val="normaltextrun"/>
          <w:rFonts w:ascii="Verdana" w:hAnsi="Verdana" w:cs="Segoe UI"/>
          <w:b/>
          <w:bCs/>
          <w:iCs/>
          <w:sz w:val="22"/>
          <w:szCs w:val="22"/>
        </w:rPr>
        <w:t xml:space="preserve">Amendment </w:t>
      </w:r>
      <w:r w:rsidRPr="00A07142">
        <w:rPr>
          <w:rStyle w:val="normaltextrun"/>
          <w:rFonts w:ascii="Verdana" w:hAnsi="Verdana" w:cs="Segoe UI"/>
          <w:b/>
          <w:bCs/>
          <w:iCs/>
          <w:sz w:val="22"/>
          <w:szCs w:val="22"/>
        </w:rPr>
        <w:t xml:space="preserve">Determination </w:t>
      </w:r>
      <w:r w:rsidR="00A07142">
        <w:rPr>
          <w:rStyle w:val="normaltextrun"/>
          <w:rFonts w:ascii="Verdana" w:hAnsi="Verdana" w:cs="Segoe UI"/>
          <w:b/>
          <w:bCs/>
          <w:iCs/>
          <w:sz w:val="22"/>
          <w:szCs w:val="22"/>
        </w:rPr>
        <w:t>(No.</w:t>
      </w:r>
      <w:r w:rsidR="00237EA7">
        <w:rPr>
          <w:rStyle w:val="normaltextrun"/>
          <w:rFonts w:ascii="Verdana" w:hAnsi="Verdana" w:cs="Segoe UI"/>
          <w:b/>
          <w:bCs/>
          <w:iCs/>
          <w:sz w:val="22"/>
          <w:szCs w:val="22"/>
        </w:rPr>
        <w:t xml:space="preserve"> </w:t>
      </w:r>
      <w:r w:rsidR="00A07142">
        <w:rPr>
          <w:rStyle w:val="normaltextrun"/>
          <w:rFonts w:ascii="Verdana" w:hAnsi="Verdana" w:cs="Segoe UI"/>
          <w:b/>
          <w:bCs/>
          <w:iCs/>
          <w:sz w:val="22"/>
          <w:szCs w:val="22"/>
        </w:rPr>
        <w:t>3) 2025</w:t>
      </w:r>
      <w:r w:rsidRPr="00A07142">
        <w:rPr>
          <w:rStyle w:val="eop"/>
          <w:rFonts w:ascii="Verdana" w:hAnsi="Verdana" w:cs="Segoe UI"/>
          <w:sz w:val="22"/>
          <w:szCs w:val="22"/>
        </w:rPr>
        <w:t> </w:t>
      </w:r>
    </w:p>
    <w:p w14:paraId="105168E6" w14:textId="0A98CF7F" w:rsidR="008A1B13" w:rsidRDefault="008A1B13" w:rsidP="00C10EBA">
      <w:pPr>
        <w:widowControl w:val="0"/>
        <w:numPr>
          <w:ilvl w:val="0"/>
          <w:numId w:val="4"/>
        </w:numPr>
        <w:tabs>
          <w:tab w:val="left" w:pos="563"/>
        </w:tabs>
        <w:autoSpaceDE w:val="0"/>
        <w:autoSpaceDN w:val="0"/>
        <w:spacing w:before="120" w:after="120"/>
        <w:ind w:left="561" w:right="138" w:hanging="425"/>
        <w:rPr>
          <w:rFonts w:ascii="Verdana" w:eastAsia="Verdana" w:hAnsi="Verdana" w:cs="Verdana"/>
          <w:sz w:val="22"/>
          <w:szCs w:val="22"/>
          <w:lang w:eastAsia="en-AU" w:bidi="en-AU"/>
        </w:rPr>
      </w:pPr>
      <w:r>
        <w:rPr>
          <w:rFonts w:ascii="Verdana" w:eastAsia="Verdana" w:hAnsi="Verdana" w:cs="Verdana"/>
          <w:sz w:val="22"/>
          <w:szCs w:val="22"/>
          <w:lang w:eastAsia="en-AU" w:bidi="en-AU"/>
        </w:rPr>
        <w:t>Item 1 increases the rate of travel allowance for the Prime Minister for each night in commercial accommodation by amending paragraph 5.2(a) by omitting “$6</w:t>
      </w:r>
      <w:r w:rsidR="00A07142">
        <w:rPr>
          <w:rFonts w:ascii="Verdana" w:eastAsia="Verdana" w:hAnsi="Verdana" w:cs="Verdana"/>
          <w:sz w:val="22"/>
          <w:szCs w:val="22"/>
          <w:lang w:eastAsia="en-AU" w:bidi="en-AU"/>
        </w:rPr>
        <w:t>27</w:t>
      </w:r>
      <w:r>
        <w:rPr>
          <w:rFonts w:ascii="Verdana" w:eastAsia="Verdana" w:hAnsi="Verdana" w:cs="Verdana"/>
          <w:sz w:val="22"/>
          <w:szCs w:val="22"/>
          <w:lang w:eastAsia="en-AU" w:bidi="en-AU"/>
        </w:rPr>
        <w:t>” and substituting it with “$6</w:t>
      </w:r>
      <w:r w:rsidR="00A07142">
        <w:rPr>
          <w:rFonts w:ascii="Verdana" w:eastAsia="Verdana" w:hAnsi="Verdana" w:cs="Verdana"/>
          <w:sz w:val="22"/>
          <w:szCs w:val="22"/>
          <w:lang w:eastAsia="en-AU" w:bidi="en-AU"/>
        </w:rPr>
        <w:t>41</w:t>
      </w:r>
      <w:r>
        <w:rPr>
          <w:rFonts w:ascii="Verdana" w:eastAsia="Verdana" w:hAnsi="Verdana" w:cs="Verdana"/>
          <w:sz w:val="22"/>
          <w:szCs w:val="22"/>
          <w:lang w:eastAsia="en-AU" w:bidi="en-AU"/>
        </w:rPr>
        <w:t>”.</w:t>
      </w:r>
    </w:p>
    <w:p w14:paraId="699B2B58" w14:textId="446C2486" w:rsidR="008A1B13" w:rsidRDefault="008A1B13" w:rsidP="00C10EBA">
      <w:pPr>
        <w:widowControl w:val="0"/>
        <w:numPr>
          <w:ilvl w:val="0"/>
          <w:numId w:val="4"/>
        </w:numPr>
        <w:tabs>
          <w:tab w:val="left" w:pos="563"/>
        </w:tabs>
        <w:autoSpaceDE w:val="0"/>
        <w:autoSpaceDN w:val="0"/>
        <w:spacing w:before="120" w:after="120"/>
        <w:ind w:left="561" w:right="138" w:hanging="425"/>
        <w:rPr>
          <w:rFonts w:ascii="Verdana" w:eastAsia="Verdana" w:hAnsi="Verdana" w:cs="Verdana"/>
          <w:sz w:val="22"/>
          <w:szCs w:val="22"/>
          <w:lang w:eastAsia="en-AU" w:bidi="en-AU"/>
        </w:rPr>
      </w:pPr>
      <w:r>
        <w:rPr>
          <w:rFonts w:ascii="Verdana" w:eastAsia="Verdana" w:hAnsi="Verdana" w:cs="Verdana"/>
          <w:sz w:val="22"/>
          <w:szCs w:val="22"/>
          <w:lang w:eastAsia="en-AU" w:bidi="en-AU"/>
        </w:rPr>
        <w:t>Item 2 increases the rate of travel allowance for a Minister where the Commonwealth pay</w:t>
      </w:r>
      <w:r w:rsidR="00E11724">
        <w:rPr>
          <w:rFonts w:ascii="Verdana" w:eastAsia="Verdana" w:hAnsi="Verdana" w:cs="Verdana"/>
          <w:sz w:val="22"/>
          <w:szCs w:val="22"/>
          <w:lang w:eastAsia="en-AU" w:bidi="en-AU"/>
        </w:rPr>
        <w:t>s</w:t>
      </w:r>
      <w:r>
        <w:rPr>
          <w:rFonts w:ascii="Verdana" w:eastAsia="Verdana" w:hAnsi="Verdana" w:cs="Verdana"/>
          <w:sz w:val="22"/>
          <w:szCs w:val="22"/>
          <w:lang w:eastAsia="en-AU" w:bidi="en-AU"/>
        </w:rPr>
        <w:t xml:space="preserve"> for the accommodation by amending paragraph 5.5(a) by omitting “$2</w:t>
      </w:r>
      <w:r w:rsidR="00A07142">
        <w:rPr>
          <w:rFonts w:ascii="Verdana" w:eastAsia="Verdana" w:hAnsi="Verdana" w:cs="Verdana"/>
          <w:sz w:val="22"/>
          <w:szCs w:val="22"/>
          <w:lang w:eastAsia="en-AU" w:bidi="en-AU"/>
        </w:rPr>
        <w:t>18</w:t>
      </w:r>
      <w:r>
        <w:rPr>
          <w:rFonts w:ascii="Verdana" w:eastAsia="Verdana" w:hAnsi="Verdana" w:cs="Verdana"/>
          <w:sz w:val="22"/>
          <w:szCs w:val="22"/>
          <w:lang w:eastAsia="en-AU" w:bidi="en-AU"/>
        </w:rPr>
        <w:t>” and substituting it with “$2</w:t>
      </w:r>
      <w:r w:rsidR="00A07142">
        <w:rPr>
          <w:rFonts w:ascii="Verdana" w:eastAsia="Verdana" w:hAnsi="Verdana" w:cs="Verdana"/>
          <w:sz w:val="22"/>
          <w:szCs w:val="22"/>
          <w:lang w:eastAsia="en-AU" w:bidi="en-AU"/>
        </w:rPr>
        <w:t>23</w:t>
      </w:r>
      <w:r>
        <w:rPr>
          <w:rFonts w:ascii="Verdana" w:eastAsia="Verdana" w:hAnsi="Verdana" w:cs="Verdana"/>
          <w:sz w:val="22"/>
          <w:szCs w:val="22"/>
          <w:lang w:eastAsia="en-AU" w:bidi="en-AU"/>
        </w:rPr>
        <w:t>”.</w:t>
      </w:r>
    </w:p>
    <w:p w14:paraId="0D86FF58" w14:textId="4DB38E01" w:rsidR="008A1B13" w:rsidRDefault="57B266F8" w:rsidP="00C10EBA">
      <w:pPr>
        <w:widowControl w:val="0"/>
        <w:numPr>
          <w:ilvl w:val="0"/>
          <w:numId w:val="4"/>
        </w:numPr>
        <w:tabs>
          <w:tab w:val="left" w:pos="563"/>
        </w:tabs>
        <w:autoSpaceDE w:val="0"/>
        <w:autoSpaceDN w:val="0"/>
        <w:spacing w:before="120" w:after="120"/>
        <w:ind w:left="561" w:right="138" w:hanging="425"/>
        <w:rPr>
          <w:rFonts w:ascii="Verdana" w:eastAsia="Verdana" w:hAnsi="Verdana" w:cs="Verdana"/>
          <w:sz w:val="22"/>
          <w:szCs w:val="22"/>
          <w:lang w:eastAsia="en-AU" w:bidi="en-AU"/>
        </w:rPr>
      </w:pPr>
      <w:r w:rsidRPr="48293B59">
        <w:rPr>
          <w:rFonts w:ascii="Verdana" w:eastAsia="Verdana" w:hAnsi="Verdana" w:cs="Verdana"/>
          <w:sz w:val="22"/>
          <w:szCs w:val="22"/>
          <w:lang w:eastAsia="en-AU" w:bidi="en-AU"/>
        </w:rPr>
        <w:t xml:space="preserve">Item 3 </w:t>
      </w:r>
      <w:r w:rsidR="79591712" w:rsidRPr="48293B59">
        <w:rPr>
          <w:rFonts w:ascii="Verdana" w:eastAsia="Verdana" w:hAnsi="Verdana" w:cs="Verdana"/>
          <w:sz w:val="22"/>
          <w:szCs w:val="22"/>
          <w:lang w:eastAsia="en-AU" w:bidi="en-AU"/>
        </w:rPr>
        <w:t xml:space="preserve">amends </w:t>
      </w:r>
      <w:r w:rsidRPr="48293B59">
        <w:rPr>
          <w:rFonts w:ascii="Verdana" w:eastAsia="Verdana" w:hAnsi="Verdana" w:cs="Verdana"/>
          <w:sz w:val="22"/>
          <w:szCs w:val="22"/>
          <w:lang w:eastAsia="en-AU" w:bidi="en-AU"/>
        </w:rPr>
        <w:t xml:space="preserve">the base accommodation rate </w:t>
      </w:r>
      <w:r w:rsidR="26390E2C" w:rsidRPr="48293B59">
        <w:rPr>
          <w:rFonts w:ascii="Verdana" w:eastAsia="Verdana" w:hAnsi="Verdana" w:cs="Verdana"/>
          <w:sz w:val="22"/>
          <w:szCs w:val="22"/>
          <w:lang w:eastAsia="en-AU" w:bidi="en-AU"/>
        </w:rPr>
        <w:t xml:space="preserve">used in the calculation </w:t>
      </w:r>
      <w:r w:rsidR="79591712" w:rsidRPr="48293B59">
        <w:rPr>
          <w:rFonts w:ascii="Verdana" w:eastAsia="Verdana" w:hAnsi="Verdana" w:cs="Verdana"/>
          <w:sz w:val="22"/>
          <w:szCs w:val="22"/>
          <w:lang w:eastAsia="en-AU" w:bidi="en-AU"/>
        </w:rPr>
        <w:t xml:space="preserve">of an allowance to cover the cost of accessible accommodation </w:t>
      </w:r>
      <w:r w:rsidRPr="48293B59">
        <w:rPr>
          <w:rFonts w:ascii="Verdana" w:eastAsia="Verdana" w:hAnsi="Verdana" w:cs="Verdana"/>
          <w:sz w:val="22"/>
          <w:szCs w:val="22"/>
          <w:lang w:eastAsia="en-AU" w:bidi="en-AU"/>
        </w:rPr>
        <w:t>in section 5.5A (paragraph (a) of the definition of base accommodation rate) by omitting “$</w:t>
      </w:r>
      <w:r w:rsidR="4039FB5B" w:rsidRPr="48293B59">
        <w:rPr>
          <w:rFonts w:ascii="Verdana" w:eastAsia="Verdana" w:hAnsi="Verdana" w:cs="Verdana"/>
          <w:sz w:val="22"/>
          <w:szCs w:val="22"/>
          <w:lang w:eastAsia="en-AU" w:bidi="en-AU"/>
        </w:rPr>
        <w:t>218</w:t>
      </w:r>
      <w:r w:rsidRPr="48293B59">
        <w:rPr>
          <w:rFonts w:ascii="Verdana" w:eastAsia="Verdana" w:hAnsi="Verdana" w:cs="Verdana"/>
          <w:sz w:val="22"/>
          <w:szCs w:val="22"/>
          <w:lang w:eastAsia="en-AU" w:bidi="en-AU"/>
        </w:rPr>
        <w:t>” and substituting it with “$</w:t>
      </w:r>
      <w:r w:rsidR="4039FB5B" w:rsidRPr="48293B59">
        <w:rPr>
          <w:rFonts w:ascii="Verdana" w:eastAsia="Verdana" w:hAnsi="Verdana" w:cs="Verdana"/>
          <w:sz w:val="22"/>
          <w:szCs w:val="22"/>
          <w:lang w:eastAsia="en-AU" w:bidi="en-AU"/>
        </w:rPr>
        <w:t>223</w:t>
      </w:r>
      <w:r w:rsidRPr="48293B59">
        <w:rPr>
          <w:rFonts w:ascii="Verdana" w:eastAsia="Verdana" w:hAnsi="Verdana" w:cs="Verdana"/>
          <w:sz w:val="22"/>
          <w:szCs w:val="22"/>
          <w:lang w:eastAsia="en-AU" w:bidi="en-AU"/>
        </w:rPr>
        <w:t xml:space="preserve">”. </w:t>
      </w:r>
    </w:p>
    <w:p w14:paraId="712A5DC4" w14:textId="431B50CD" w:rsidR="008A1B13" w:rsidRDefault="57B266F8" w:rsidP="00C10EBA">
      <w:pPr>
        <w:widowControl w:val="0"/>
        <w:numPr>
          <w:ilvl w:val="0"/>
          <w:numId w:val="4"/>
        </w:numPr>
        <w:tabs>
          <w:tab w:val="left" w:pos="563"/>
        </w:tabs>
        <w:autoSpaceDE w:val="0"/>
        <w:autoSpaceDN w:val="0"/>
        <w:spacing w:before="120" w:after="120"/>
        <w:ind w:left="561" w:right="138" w:hanging="425"/>
        <w:rPr>
          <w:rFonts w:ascii="Verdana" w:eastAsia="Verdana" w:hAnsi="Verdana" w:cs="Verdana"/>
          <w:sz w:val="22"/>
          <w:szCs w:val="22"/>
          <w:lang w:eastAsia="en-AU" w:bidi="en-AU"/>
        </w:rPr>
      </w:pPr>
      <w:r w:rsidRPr="48293B59">
        <w:rPr>
          <w:rFonts w:ascii="Verdana" w:eastAsia="Verdana" w:hAnsi="Verdana" w:cs="Verdana"/>
          <w:sz w:val="22"/>
          <w:szCs w:val="22"/>
          <w:lang w:eastAsia="en-AU" w:bidi="en-AU"/>
        </w:rPr>
        <w:t xml:space="preserve">Item 4 </w:t>
      </w:r>
      <w:r w:rsidR="79591712" w:rsidRPr="48293B59">
        <w:rPr>
          <w:rFonts w:ascii="Verdana" w:eastAsia="Verdana" w:hAnsi="Verdana" w:cs="Verdana"/>
          <w:sz w:val="22"/>
          <w:szCs w:val="22"/>
          <w:lang w:eastAsia="en-AU" w:bidi="en-AU"/>
        </w:rPr>
        <w:t xml:space="preserve">amends </w:t>
      </w:r>
      <w:r w:rsidRPr="48293B59">
        <w:rPr>
          <w:rFonts w:ascii="Verdana" w:eastAsia="Verdana" w:hAnsi="Verdana" w:cs="Verdana"/>
          <w:sz w:val="22"/>
          <w:szCs w:val="22"/>
          <w:lang w:eastAsia="en-AU" w:bidi="en-AU"/>
        </w:rPr>
        <w:t xml:space="preserve">the base accommodation rate </w:t>
      </w:r>
      <w:r w:rsidR="79591712" w:rsidRPr="48293B59">
        <w:rPr>
          <w:rFonts w:ascii="Verdana" w:eastAsia="Verdana" w:hAnsi="Verdana" w:cs="Verdana"/>
          <w:sz w:val="22"/>
          <w:szCs w:val="22"/>
          <w:lang w:eastAsia="en-AU" w:bidi="en-AU"/>
        </w:rPr>
        <w:t xml:space="preserve">used in the calculation of allowance to cover the cost of accessible accommodation </w:t>
      </w:r>
      <w:r w:rsidRPr="48293B59">
        <w:rPr>
          <w:rFonts w:ascii="Verdana" w:eastAsia="Verdana" w:hAnsi="Verdana" w:cs="Verdana"/>
          <w:sz w:val="22"/>
          <w:szCs w:val="22"/>
          <w:lang w:eastAsia="en-AU" w:bidi="en-AU"/>
        </w:rPr>
        <w:t>in section 5.5A (paragraph (b) of the definition of base accommodation rate) by omitting “$</w:t>
      </w:r>
      <w:r w:rsidR="2251298A" w:rsidRPr="48293B59">
        <w:rPr>
          <w:rFonts w:ascii="Verdana" w:eastAsia="Verdana" w:hAnsi="Verdana" w:cs="Verdana"/>
          <w:sz w:val="22"/>
          <w:szCs w:val="22"/>
          <w:lang w:eastAsia="en-AU" w:bidi="en-AU"/>
        </w:rPr>
        <w:t>1</w:t>
      </w:r>
      <w:r w:rsidR="4039FB5B" w:rsidRPr="48293B59">
        <w:rPr>
          <w:rFonts w:ascii="Verdana" w:eastAsia="Verdana" w:hAnsi="Verdana" w:cs="Verdana"/>
          <w:sz w:val="22"/>
          <w:szCs w:val="22"/>
          <w:lang w:eastAsia="en-AU" w:bidi="en-AU"/>
        </w:rPr>
        <w:t>99</w:t>
      </w:r>
      <w:r w:rsidRPr="48293B59">
        <w:rPr>
          <w:rFonts w:ascii="Verdana" w:eastAsia="Verdana" w:hAnsi="Verdana" w:cs="Verdana"/>
          <w:sz w:val="22"/>
          <w:szCs w:val="22"/>
          <w:lang w:eastAsia="en-AU" w:bidi="en-AU"/>
        </w:rPr>
        <w:t>” and substituting it with “$</w:t>
      </w:r>
      <w:r w:rsidR="4039FB5B" w:rsidRPr="48293B59">
        <w:rPr>
          <w:rFonts w:ascii="Verdana" w:eastAsia="Verdana" w:hAnsi="Verdana" w:cs="Verdana"/>
          <w:sz w:val="22"/>
          <w:szCs w:val="22"/>
          <w:lang w:eastAsia="en-AU" w:bidi="en-AU"/>
        </w:rPr>
        <w:t>203</w:t>
      </w:r>
      <w:r w:rsidRPr="48293B59">
        <w:rPr>
          <w:rFonts w:ascii="Verdana" w:eastAsia="Verdana" w:hAnsi="Verdana" w:cs="Verdana"/>
          <w:sz w:val="22"/>
          <w:szCs w:val="22"/>
          <w:lang w:eastAsia="en-AU" w:bidi="en-AU"/>
        </w:rPr>
        <w:t>”.</w:t>
      </w:r>
    </w:p>
    <w:p w14:paraId="48098472" w14:textId="00F9260F" w:rsidR="008D0C25" w:rsidRDefault="008D0C25" w:rsidP="00C10EBA">
      <w:pPr>
        <w:widowControl w:val="0"/>
        <w:numPr>
          <w:ilvl w:val="0"/>
          <w:numId w:val="4"/>
        </w:numPr>
        <w:tabs>
          <w:tab w:val="left" w:pos="563"/>
        </w:tabs>
        <w:autoSpaceDE w:val="0"/>
        <w:autoSpaceDN w:val="0"/>
        <w:spacing w:before="120" w:after="120"/>
        <w:ind w:left="561" w:right="138" w:hanging="425"/>
        <w:rPr>
          <w:rFonts w:ascii="Verdana" w:eastAsia="Verdana" w:hAnsi="Verdana" w:cs="Verdana"/>
          <w:sz w:val="22"/>
          <w:szCs w:val="22"/>
          <w:lang w:eastAsia="en-AU" w:bidi="en-AU"/>
        </w:rPr>
      </w:pPr>
      <w:r>
        <w:rPr>
          <w:rFonts w:ascii="Verdana" w:eastAsia="Verdana" w:hAnsi="Verdana" w:cs="Verdana"/>
          <w:sz w:val="22"/>
          <w:szCs w:val="22"/>
          <w:lang w:eastAsia="en-AU" w:bidi="en-AU"/>
        </w:rPr>
        <w:t xml:space="preserve">Item </w:t>
      </w:r>
      <w:r w:rsidR="00A07142">
        <w:rPr>
          <w:rFonts w:ascii="Verdana" w:eastAsia="Verdana" w:hAnsi="Verdana" w:cs="Verdana"/>
          <w:sz w:val="22"/>
          <w:szCs w:val="22"/>
          <w:lang w:eastAsia="en-AU" w:bidi="en-AU"/>
        </w:rPr>
        <w:t>5</w:t>
      </w:r>
      <w:r>
        <w:rPr>
          <w:rFonts w:ascii="Verdana" w:eastAsia="Verdana" w:hAnsi="Verdana" w:cs="Verdana"/>
          <w:sz w:val="22"/>
          <w:szCs w:val="22"/>
          <w:lang w:eastAsia="en-AU" w:bidi="en-AU"/>
        </w:rPr>
        <w:t xml:space="preserve"> repeals Schedule B of Remuneration Tribunal (Members of Parliament) Determination 2024 which sets out Travel Allowance Rates and substitutes a new Schedule B setting out revised Travel Allowance Rates. </w:t>
      </w:r>
    </w:p>
    <w:p w14:paraId="1F3E239A" w14:textId="77777777" w:rsidR="008D0C25" w:rsidRDefault="008D0C25" w:rsidP="00C10EBA">
      <w:pPr>
        <w:widowControl w:val="0"/>
        <w:autoSpaceDE w:val="0"/>
        <w:autoSpaceDN w:val="0"/>
        <w:spacing w:before="184" w:line="267" w:lineRule="exact"/>
        <w:ind w:left="5670"/>
        <w:jc w:val="right"/>
        <w:rPr>
          <w:rFonts w:ascii="Verdana" w:eastAsia="Verdana" w:hAnsi="Verdana" w:cs="Verdana"/>
          <w:b/>
          <w:szCs w:val="22"/>
          <w:lang w:eastAsia="en-AU" w:bidi="en-AU"/>
        </w:rPr>
      </w:pPr>
    </w:p>
    <w:p w14:paraId="052F4586" w14:textId="3C6C3BC7" w:rsidR="001B5300" w:rsidRPr="001B5300" w:rsidRDefault="001B5300" w:rsidP="00C10EBA">
      <w:pPr>
        <w:widowControl w:val="0"/>
        <w:autoSpaceDE w:val="0"/>
        <w:autoSpaceDN w:val="0"/>
        <w:spacing w:before="184" w:line="267" w:lineRule="exact"/>
        <w:ind w:left="5670"/>
        <w:jc w:val="right"/>
        <w:rPr>
          <w:rFonts w:ascii="Verdana" w:eastAsia="Verdana" w:hAnsi="Verdana" w:cs="Verdana"/>
          <w:szCs w:val="22"/>
          <w:lang w:eastAsia="en-AU" w:bidi="en-AU"/>
        </w:rPr>
      </w:pPr>
      <w:r w:rsidRPr="001B5300">
        <w:rPr>
          <w:rFonts w:ascii="Verdana" w:eastAsia="Verdana" w:hAnsi="Verdana" w:cs="Verdana"/>
          <w:b/>
          <w:szCs w:val="22"/>
          <w:lang w:eastAsia="en-AU" w:bidi="en-AU"/>
        </w:rPr>
        <w:t xml:space="preserve">Authority: </w:t>
      </w:r>
      <w:r w:rsidRPr="001B5300">
        <w:rPr>
          <w:rFonts w:ascii="Verdana" w:eastAsia="Verdana" w:hAnsi="Verdana" w:cs="Verdana"/>
          <w:szCs w:val="22"/>
          <w:lang w:eastAsia="en-AU" w:bidi="en-AU"/>
        </w:rPr>
        <w:t>Sections 45</w:t>
      </w:r>
      <w:r w:rsidR="00C10EBA">
        <w:rPr>
          <w:rFonts w:ascii="Verdana" w:eastAsia="Verdana" w:hAnsi="Verdana" w:cs="Verdana"/>
          <w:szCs w:val="22"/>
          <w:lang w:eastAsia="en-AU" w:bidi="en-AU"/>
        </w:rPr>
        <w:t xml:space="preserve">, </w:t>
      </w:r>
      <w:r w:rsidRPr="001B5300">
        <w:rPr>
          <w:rFonts w:ascii="Verdana" w:eastAsia="Verdana" w:hAnsi="Verdana" w:cs="Verdana"/>
          <w:szCs w:val="22"/>
          <w:lang w:eastAsia="en-AU" w:bidi="en-AU"/>
        </w:rPr>
        <w:t>46</w:t>
      </w:r>
      <w:r w:rsidR="00C10EBA">
        <w:rPr>
          <w:rFonts w:ascii="Verdana" w:eastAsia="Verdana" w:hAnsi="Verdana" w:cs="Verdana"/>
          <w:szCs w:val="22"/>
          <w:lang w:eastAsia="en-AU" w:bidi="en-AU"/>
        </w:rPr>
        <w:t xml:space="preserve"> and 46A</w:t>
      </w:r>
    </w:p>
    <w:p w14:paraId="018AE11A" w14:textId="77777777" w:rsidR="001B5300" w:rsidRPr="001B5300" w:rsidRDefault="001B5300" w:rsidP="001B5300">
      <w:pPr>
        <w:widowControl w:val="0"/>
        <w:autoSpaceDE w:val="0"/>
        <w:autoSpaceDN w:val="0"/>
        <w:spacing w:line="267" w:lineRule="exact"/>
        <w:ind w:left="4498"/>
        <w:jc w:val="right"/>
        <w:rPr>
          <w:rFonts w:ascii="Verdana" w:eastAsia="Verdana" w:hAnsi="Verdana" w:cs="Verdana"/>
          <w:i/>
          <w:szCs w:val="22"/>
          <w:lang w:eastAsia="en-AU" w:bidi="en-AU"/>
        </w:rPr>
      </w:pPr>
      <w:r w:rsidRPr="001B5300">
        <w:rPr>
          <w:rFonts w:ascii="Verdana" w:eastAsia="Verdana" w:hAnsi="Verdana" w:cs="Verdana"/>
          <w:i/>
          <w:szCs w:val="22"/>
          <w:lang w:eastAsia="en-AU" w:bidi="en-AU"/>
        </w:rPr>
        <w:t>Parliamentary Business Resources Act</w:t>
      </w:r>
      <w:r w:rsidRPr="001B5300">
        <w:rPr>
          <w:rFonts w:ascii="Verdana" w:eastAsia="Verdana" w:hAnsi="Verdana" w:cs="Verdana"/>
          <w:i/>
          <w:spacing w:val="-13"/>
          <w:szCs w:val="22"/>
          <w:lang w:eastAsia="en-AU" w:bidi="en-AU"/>
        </w:rPr>
        <w:t xml:space="preserve"> </w:t>
      </w:r>
      <w:r w:rsidRPr="001B5300">
        <w:rPr>
          <w:rFonts w:ascii="Verdana" w:eastAsia="Verdana" w:hAnsi="Verdana" w:cs="Verdana"/>
          <w:i/>
          <w:szCs w:val="22"/>
          <w:lang w:eastAsia="en-AU" w:bidi="en-AU"/>
        </w:rPr>
        <w:t>2017</w:t>
      </w:r>
    </w:p>
    <w:p w14:paraId="47EA577F" w14:textId="77777777" w:rsidR="001B5300" w:rsidRDefault="001B5300" w:rsidP="001B5300"/>
    <w:p w14:paraId="16A9D1A0" w14:textId="0DB53578" w:rsidR="00F20AD2" w:rsidRDefault="00F20AD2"/>
    <w:sectPr w:rsidR="00F20AD2" w:rsidSect="00292DD1">
      <w:footerReference w:type="even" r:id="rId11"/>
      <w:footerReference w:type="default" r:id="rId12"/>
      <w:headerReference w:type="first" r:id="rId13"/>
      <w:footerReference w:type="first" r:id="rId14"/>
      <w:pgSz w:w="11906" w:h="16838" w:code="9"/>
      <w:pgMar w:top="1134" w:right="1274" w:bottom="851" w:left="1276" w:header="720" w:footer="567" w:gutter="0"/>
      <w:pgNumType w:start="1"/>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9C322" w14:textId="77777777" w:rsidR="00EF69EF" w:rsidRDefault="00EF69EF" w:rsidP="001B5300">
      <w:r>
        <w:separator/>
      </w:r>
    </w:p>
  </w:endnote>
  <w:endnote w:type="continuationSeparator" w:id="0">
    <w:p w14:paraId="4380DA8E" w14:textId="77777777" w:rsidR="00EF69EF" w:rsidRDefault="00EF69EF" w:rsidP="001B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3A6D9" w14:textId="77777777" w:rsidR="002B78DE" w:rsidRDefault="001B5300" w:rsidP="00C261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F4A15C" w14:textId="77777777" w:rsidR="002B78DE" w:rsidRDefault="008C6D2E" w:rsidP="00BD2C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6A66E" w14:textId="28912C10" w:rsidR="00847748" w:rsidRDefault="001B5300">
    <w:pPr>
      <w:pStyle w:val="Footer"/>
      <w:jc w:val="center"/>
    </w:pPr>
    <w:r>
      <w:fldChar w:fldCharType="begin"/>
    </w:r>
    <w:r>
      <w:instrText xml:space="preserve"> PAGE   \* MERGEFORMAT </w:instrText>
    </w:r>
    <w:r>
      <w:fldChar w:fldCharType="separate"/>
    </w:r>
    <w:r w:rsidR="008C6D2E">
      <w:rPr>
        <w:noProof/>
      </w:rPr>
      <w:t>2</w:t>
    </w:r>
    <w:r>
      <w:fldChar w:fldCharType="end"/>
    </w:r>
  </w:p>
  <w:p w14:paraId="7D9BAC7D" w14:textId="77777777" w:rsidR="003D64F5" w:rsidRPr="00F46CA3" w:rsidRDefault="008C6D2E" w:rsidP="00BD2C52">
    <w:pPr>
      <w:pStyle w:val="Footer"/>
      <w:tabs>
        <w:tab w:val="clear" w:pos="8306"/>
        <w:tab w:val="right" w:pos="9540"/>
      </w:tabs>
      <w:ind w:right="360"/>
      <w:rPr>
        <w:rFonts w:ascii="Verdana" w:hAnsi="Verdana" w:cs="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AEEA5" w14:textId="677B1987" w:rsidR="00F55F20" w:rsidRDefault="001B5300">
    <w:pPr>
      <w:pStyle w:val="Footer"/>
      <w:jc w:val="center"/>
    </w:pPr>
    <w:r>
      <w:fldChar w:fldCharType="begin"/>
    </w:r>
    <w:r>
      <w:instrText xml:space="preserve"> PAGE   \* MERGEFORMAT </w:instrText>
    </w:r>
    <w:r>
      <w:fldChar w:fldCharType="separate"/>
    </w:r>
    <w:r w:rsidR="008C6D2E">
      <w:rPr>
        <w:noProof/>
      </w:rPr>
      <w:t>1</w:t>
    </w:r>
    <w:r>
      <w:fldChar w:fldCharType="end"/>
    </w:r>
  </w:p>
  <w:p w14:paraId="2A02176B" w14:textId="77777777" w:rsidR="00F55F20" w:rsidRDefault="008C6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B1A81" w14:textId="77777777" w:rsidR="00EF69EF" w:rsidRDefault="00EF69EF" w:rsidP="001B5300">
      <w:r>
        <w:separator/>
      </w:r>
    </w:p>
  </w:footnote>
  <w:footnote w:type="continuationSeparator" w:id="0">
    <w:p w14:paraId="5DA93CE8" w14:textId="77777777" w:rsidR="00EF69EF" w:rsidRDefault="00EF69EF" w:rsidP="001B5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17D4D" w14:textId="77777777" w:rsidR="00987360" w:rsidRDefault="001B5300" w:rsidP="00FB2746">
    <w:pPr>
      <w:pStyle w:val="Header"/>
      <w:jc w:val="center"/>
    </w:pPr>
    <w:r>
      <w:rPr>
        <w:noProof/>
        <w:lang w:eastAsia="en-AU"/>
      </w:rPr>
      <w:drawing>
        <wp:inline distT="0" distB="0" distL="0" distR="0" wp14:anchorId="07F4B16A" wp14:editId="5146E049">
          <wp:extent cx="2254250" cy="1118235"/>
          <wp:effectExtent l="0" t="0" r="0" b="5715"/>
          <wp:docPr id="1" name="Picture 1" descr="Australian Commonwealth government crest above text reading Remuneration Tribunal" title="Remuneration tribunal"/>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4250" cy="11182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F6BF8"/>
    <w:multiLevelType w:val="multilevel"/>
    <w:tmpl w:val="D8CEE7F0"/>
    <w:lvl w:ilvl="0">
      <w:start w:val="1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0E67B31"/>
    <w:multiLevelType w:val="multilevel"/>
    <w:tmpl w:val="C4D258D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233997"/>
    <w:multiLevelType w:val="hybridMultilevel"/>
    <w:tmpl w:val="D92E3790"/>
    <w:lvl w:ilvl="0" w:tplc="DEC261CE">
      <w:start w:val="1"/>
      <w:numFmt w:val="decimal"/>
      <w:lvlText w:val="%1."/>
      <w:lvlJc w:val="left"/>
      <w:pPr>
        <w:tabs>
          <w:tab w:val="num" w:pos="1069"/>
        </w:tabs>
        <w:ind w:left="1069" w:hanging="360"/>
      </w:pPr>
      <w:rPr>
        <w:rFonts w:cs="Times New Roman"/>
        <w:b w:val="0"/>
        <w:i w:val="0"/>
      </w:rPr>
    </w:lvl>
    <w:lvl w:ilvl="1" w:tplc="0C090019">
      <w:start w:val="1"/>
      <w:numFmt w:val="lowerLetter"/>
      <w:lvlText w:val="%2."/>
      <w:lvlJc w:val="left"/>
      <w:pPr>
        <w:tabs>
          <w:tab w:val="num" w:pos="1014"/>
        </w:tabs>
        <w:ind w:left="1014" w:hanging="360"/>
      </w:pPr>
      <w:rPr>
        <w:rFonts w:cs="Times New Roman"/>
      </w:rPr>
    </w:lvl>
    <w:lvl w:ilvl="2" w:tplc="0C09001B" w:tentative="1">
      <w:start w:val="1"/>
      <w:numFmt w:val="lowerRoman"/>
      <w:lvlText w:val="%3."/>
      <w:lvlJc w:val="right"/>
      <w:pPr>
        <w:tabs>
          <w:tab w:val="num" w:pos="1734"/>
        </w:tabs>
        <w:ind w:left="1734" w:hanging="180"/>
      </w:pPr>
      <w:rPr>
        <w:rFonts w:cs="Times New Roman"/>
      </w:rPr>
    </w:lvl>
    <w:lvl w:ilvl="3" w:tplc="0C09000F" w:tentative="1">
      <w:start w:val="1"/>
      <w:numFmt w:val="decimal"/>
      <w:lvlText w:val="%4."/>
      <w:lvlJc w:val="left"/>
      <w:pPr>
        <w:tabs>
          <w:tab w:val="num" w:pos="2454"/>
        </w:tabs>
        <w:ind w:left="2454" w:hanging="360"/>
      </w:pPr>
      <w:rPr>
        <w:rFonts w:cs="Times New Roman"/>
      </w:rPr>
    </w:lvl>
    <w:lvl w:ilvl="4" w:tplc="0C090019" w:tentative="1">
      <w:start w:val="1"/>
      <w:numFmt w:val="lowerLetter"/>
      <w:lvlText w:val="%5."/>
      <w:lvlJc w:val="left"/>
      <w:pPr>
        <w:tabs>
          <w:tab w:val="num" w:pos="3174"/>
        </w:tabs>
        <w:ind w:left="3174" w:hanging="360"/>
      </w:pPr>
      <w:rPr>
        <w:rFonts w:cs="Times New Roman"/>
      </w:rPr>
    </w:lvl>
    <w:lvl w:ilvl="5" w:tplc="0C09001B" w:tentative="1">
      <w:start w:val="1"/>
      <w:numFmt w:val="lowerRoman"/>
      <w:lvlText w:val="%6."/>
      <w:lvlJc w:val="right"/>
      <w:pPr>
        <w:tabs>
          <w:tab w:val="num" w:pos="3894"/>
        </w:tabs>
        <w:ind w:left="3894" w:hanging="180"/>
      </w:pPr>
      <w:rPr>
        <w:rFonts w:cs="Times New Roman"/>
      </w:rPr>
    </w:lvl>
    <w:lvl w:ilvl="6" w:tplc="0C09000F" w:tentative="1">
      <w:start w:val="1"/>
      <w:numFmt w:val="decimal"/>
      <w:lvlText w:val="%7."/>
      <w:lvlJc w:val="left"/>
      <w:pPr>
        <w:tabs>
          <w:tab w:val="num" w:pos="4614"/>
        </w:tabs>
        <w:ind w:left="4614" w:hanging="360"/>
      </w:pPr>
      <w:rPr>
        <w:rFonts w:cs="Times New Roman"/>
      </w:rPr>
    </w:lvl>
    <w:lvl w:ilvl="7" w:tplc="0C090019" w:tentative="1">
      <w:start w:val="1"/>
      <w:numFmt w:val="lowerLetter"/>
      <w:lvlText w:val="%8."/>
      <w:lvlJc w:val="left"/>
      <w:pPr>
        <w:tabs>
          <w:tab w:val="num" w:pos="5334"/>
        </w:tabs>
        <w:ind w:left="5334" w:hanging="360"/>
      </w:pPr>
      <w:rPr>
        <w:rFonts w:cs="Times New Roman"/>
      </w:rPr>
    </w:lvl>
    <w:lvl w:ilvl="8" w:tplc="0C09001B" w:tentative="1">
      <w:start w:val="1"/>
      <w:numFmt w:val="lowerRoman"/>
      <w:lvlText w:val="%9."/>
      <w:lvlJc w:val="right"/>
      <w:pPr>
        <w:tabs>
          <w:tab w:val="num" w:pos="6054"/>
        </w:tabs>
        <w:ind w:left="6054" w:hanging="180"/>
      </w:pPr>
      <w:rPr>
        <w:rFonts w:cs="Times New Roman"/>
      </w:rPr>
    </w:lvl>
  </w:abstractNum>
  <w:abstractNum w:abstractNumId="3" w15:restartNumberingAfterBreak="0">
    <w:nsid w:val="32023A35"/>
    <w:multiLevelType w:val="multilevel"/>
    <w:tmpl w:val="7624AA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FD544D"/>
    <w:multiLevelType w:val="hybridMultilevel"/>
    <w:tmpl w:val="79F6450A"/>
    <w:lvl w:ilvl="0" w:tplc="57E8B89C">
      <w:start w:val="1"/>
      <w:numFmt w:val="decimal"/>
      <w:lvlText w:val="%1."/>
      <w:lvlJc w:val="left"/>
      <w:pPr>
        <w:ind w:left="564" w:hanging="428"/>
      </w:pPr>
      <w:rPr>
        <w:rFonts w:ascii="Verdana" w:eastAsia="Verdana" w:hAnsi="Verdana" w:cs="Verdana" w:hint="default"/>
        <w:b w:val="0"/>
        <w:spacing w:val="-2"/>
        <w:w w:val="100"/>
        <w:sz w:val="22"/>
        <w:szCs w:val="22"/>
        <w:lang w:val="en-AU" w:eastAsia="en-AU" w:bidi="en-AU"/>
      </w:rPr>
    </w:lvl>
    <w:lvl w:ilvl="1" w:tplc="1BD4F742">
      <w:numFmt w:val="bullet"/>
      <w:lvlText w:val="•"/>
      <w:lvlJc w:val="left"/>
      <w:pPr>
        <w:ind w:left="1466" w:hanging="428"/>
      </w:pPr>
      <w:rPr>
        <w:rFonts w:hint="default"/>
        <w:lang w:val="en-AU" w:eastAsia="en-AU" w:bidi="en-AU"/>
      </w:rPr>
    </w:lvl>
    <w:lvl w:ilvl="2" w:tplc="244CE988">
      <w:numFmt w:val="bullet"/>
      <w:lvlText w:val="•"/>
      <w:lvlJc w:val="left"/>
      <w:pPr>
        <w:ind w:left="2373" w:hanging="428"/>
      </w:pPr>
      <w:rPr>
        <w:rFonts w:hint="default"/>
        <w:lang w:val="en-AU" w:eastAsia="en-AU" w:bidi="en-AU"/>
      </w:rPr>
    </w:lvl>
    <w:lvl w:ilvl="3" w:tplc="8D06BD42">
      <w:numFmt w:val="bullet"/>
      <w:lvlText w:val="•"/>
      <w:lvlJc w:val="left"/>
      <w:pPr>
        <w:ind w:left="3279" w:hanging="428"/>
      </w:pPr>
      <w:rPr>
        <w:rFonts w:hint="default"/>
        <w:lang w:val="en-AU" w:eastAsia="en-AU" w:bidi="en-AU"/>
      </w:rPr>
    </w:lvl>
    <w:lvl w:ilvl="4" w:tplc="262AA4AC">
      <w:numFmt w:val="bullet"/>
      <w:lvlText w:val="•"/>
      <w:lvlJc w:val="left"/>
      <w:pPr>
        <w:ind w:left="4186" w:hanging="428"/>
      </w:pPr>
      <w:rPr>
        <w:rFonts w:hint="default"/>
        <w:lang w:val="en-AU" w:eastAsia="en-AU" w:bidi="en-AU"/>
      </w:rPr>
    </w:lvl>
    <w:lvl w:ilvl="5" w:tplc="0532C810">
      <w:numFmt w:val="bullet"/>
      <w:lvlText w:val="•"/>
      <w:lvlJc w:val="left"/>
      <w:pPr>
        <w:ind w:left="5093" w:hanging="428"/>
      </w:pPr>
      <w:rPr>
        <w:rFonts w:hint="default"/>
        <w:lang w:val="en-AU" w:eastAsia="en-AU" w:bidi="en-AU"/>
      </w:rPr>
    </w:lvl>
    <w:lvl w:ilvl="6" w:tplc="A6083542">
      <w:numFmt w:val="bullet"/>
      <w:lvlText w:val="•"/>
      <w:lvlJc w:val="left"/>
      <w:pPr>
        <w:ind w:left="5999" w:hanging="428"/>
      </w:pPr>
      <w:rPr>
        <w:rFonts w:hint="default"/>
        <w:lang w:val="en-AU" w:eastAsia="en-AU" w:bidi="en-AU"/>
      </w:rPr>
    </w:lvl>
    <w:lvl w:ilvl="7" w:tplc="6B60C784">
      <w:numFmt w:val="bullet"/>
      <w:lvlText w:val="•"/>
      <w:lvlJc w:val="left"/>
      <w:pPr>
        <w:ind w:left="6906" w:hanging="428"/>
      </w:pPr>
      <w:rPr>
        <w:rFonts w:hint="default"/>
        <w:lang w:val="en-AU" w:eastAsia="en-AU" w:bidi="en-AU"/>
      </w:rPr>
    </w:lvl>
    <w:lvl w:ilvl="8" w:tplc="B43E5542">
      <w:numFmt w:val="bullet"/>
      <w:lvlText w:val="•"/>
      <w:lvlJc w:val="left"/>
      <w:pPr>
        <w:ind w:left="7813" w:hanging="428"/>
      </w:pPr>
      <w:rPr>
        <w:rFonts w:hint="default"/>
        <w:lang w:val="en-AU" w:eastAsia="en-AU" w:bidi="en-AU"/>
      </w:rPr>
    </w:lvl>
  </w:abstractNum>
  <w:abstractNum w:abstractNumId="5" w15:restartNumberingAfterBreak="0">
    <w:nsid w:val="5F7C5259"/>
    <w:multiLevelType w:val="multilevel"/>
    <w:tmpl w:val="B23E85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A54D93"/>
    <w:multiLevelType w:val="multilevel"/>
    <w:tmpl w:val="A1C6B5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8414EA"/>
    <w:multiLevelType w:val="hybridMultilevel"/>
    <w:tmpl w:val="1098D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7CE6A50"/>
    <w:multiLevelType w:val="hybridMultilevel"/>
    <w:tmpl w:val="71846622"/>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3567" w:hanging="360"/>
      </w:pPr>
      <w:rPr>
        <w:rFonts w:ascii="Courier New" w:hAnsi="Courier New" w:hint="default"/>
      </w:rPr>
    </w:lvl>
    <w:lvl w:ilvl="2" w:tplc="0C090005" w:tentative="1">
      <w:start w:val="1"/>
      <w:numFmt w:val="bullet"/>
      <w:lvlText w:val=""/>
      <w:lvlJc w:val="left"/>
      <w:pPr>
        <w:ind w:left="4287" w:hanging="360"/>
      </w:pPr>
      <w:rPr>
        <w:rFonts w:ascii="Wingdings" w:hAnsi="Wingdings" w:hint="default"/>
      </w:rPr>
    </w:lvl>
    <w:lvl w:ilvl="3" w:tplc="0C090001" w:tentative="1">
      <w:start w:val="1"/>
      <w:numFmt w:val="bullet"/>
      <w:lvlText w:val=""/>
      <w:lvlJc w:val="left"/>
      <w:pPr>
        <w:ind w:left="5007" w:hanging="360"/>
      </w:pPr>
      <w:rPr>
        <w:rFonts w:ascii="Symbol" w:hAnsi="Symbol" w:hint="default"/>
      </w:rPr>
    </w:lvl>
    <w:lvl w:ilvl="4" w:tplc="0C090003" w:tentative="1">
      <w:start w:val="1"/>
      <w:numFmt w:val="bullet"/>
      <w:lvlText w:val="o"/>
      <w:lvlJc w:val="left"/>
      <w:pPr>
        <w:ind w:left="5727" w:hanging="360"/>
      </w:pPr>
      <w:rPr>
        <w:rFonts w:ascii="Courier New" w:hAnsi="Courier New" w:hint="default"/>
      </w:rPr>
    </w:lvl>
    <w:lvl w:ilvl="5" w:tplc="0C090005" w:tentative="1">
      <w:start w:val="1"/>
      <w:numFmt w:val="bullet"/>
      <w:lvlText w:val=""/>
      <w:lvlJc w:val="left"/>
      <w:pPr>
        <w:ind w:left="6447" w:hanging="360"/>
      </w:pPr>
      <w:rPr>
        <w:rFonts w:ascii="Wingdings" w:hAnsi="Wingdings" w:hint="default"/>
      </w:rPr>
    </w:lvl>
    <w:lvl w:ilvl="6" w:tplc="0C090001" w:tentative="1">
      <w:start w:val="1"/>
      <w:numFmt w:val="bullet"/>
      <w:lvlText w:val=""/>
      <w:lvlJc w:val="left"/>
      <w:pPr>
        <w:ind w:left="7167" w:hanging="360"/>
      </w:pPr>
      <w:rPr>
        <w:rFonts w:ascii="Symbol" w:hAnsi="Symbol" w:hint="default"/>
      </w:rPr>
    </w:lvl>
    <w:lvl w:ilvl="7" w:tplc="0C090003" w:tentative="1">
      <w:start w:val="1"/>
      <w:numFmt w:val="bullet"/>
      <w:lvlText w:val="o"/>
      <w:lvlJc w:val="left"/>
      <w:pPr>
        <w:ind w:left="7887" w:hanging="360"/>
      </w:pPr>
      <w:rPr>
        <w:rFonts w:ascii="Courier New" w:hAnsi="Courier New" w:hint="default"/>
      </w:rPr>
    </w:lvl>
    <w:lvl w:ilvl="8" w:tplc="0C090005" w:tentative="1">
      <w:start w:val="1"/>
      <w:numFmt w:val="bullet"/>
      <w:lvlText w:val=""/>
      <w:lvlJc w:val="left"/>
      <w:pPr>
        <w:ind w:left="8607" w:hanging="360"/>
      </w:pPr>
      <w:rPr>
        <w:rFonts w:ascii="Wingdings" w:hAnsi="Wingdings" w:hint="default"/>
      </w:rPr>
    </w:lvl>
  </w:abstractNum>
  <w:abstractNum w:abstractNumId="9" w15:restartNumberingAfterBreak="0">
    <w:nsid w:val="77F411EC"/>
    <w:multiLevelType w:val="multilevel"/>
    <w:tmpl w:val="5D06459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7"/>
  </w:num>
  <w:num w:numId="4">
    <w:abstractNumId w:val="4"/>
  </w:num>
  <w:num w:numId="5">
    <w:abstractNumId w:val="5"/>
  </w:num>
  <w:num w:numId="6">
    <w:abstractNumId w:val="9"/>
  </w:num>
  <w:num w:numId="7">
    <w:abstractNumId w:val="3"/>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300"/>
    <w:rsid w:val="00037652"/>
    <w:rsid w:val="001B5300"/>
    <w:rsid w:val="00237EA7"/>
    <w:rsid w:val="00242142"/>
    <w:rsid w:val="00252266"/>
    <w:rsid w:val="002D3AB2"/>
    <w:rsid w:val="002D71DA"/>
    <w:rsid w:val="004A4B08"/>
    <w:rsid w:val="00631073"/>
    <w:rsid w:val="00662EC7"/>
    <w:rsid w:val="007216FD"/>
    <w:rsid w:val="00741FAE"/>
    <w:rsid w:val="0076505D"/>
    <w:rsid w:val="00781204"/>
    <w:rsid w:val="008179CB"/>
    <w:rsid w:val="00823791"/>
    <w:rsid w:val="008A1B13"/>
    <w:rsid w:val="008C6D2E"/>
    <w:rsid w:val="008D0C25"/>
    <w:rsid w:val="00956C96"/>
    <w:rsid w:val="0097197C"/>
    <w:rsid w:val="009D6E25"/>
    <w:rsid w:val="00A04C92"/>
    <w:rsid w:val="00A07142"/>
    <w:rsid w:val="00A95AEE"/>
    <w:rsid w:val="00B96951"/>
    <w:rsid w:val="00C10EBA"/>
    <w:rsid w:val="00C13E2B"/>
    <w:rsid w:val="00E015EC"/>
    <w:rsid w:val="00E11724"/>
    <w:rsid w:val="00EF69EF"/>
    <w:rsid w:val="00F20AD2"/>
    <w:rsid w:val="13905BAE"/>
    <w:rsid w:val="2251298A"/>
    <w:rsid w:val="26390E2C"/>
    <w:rsid w:val="4039FB5B"/>
    <w:rsid w:val="48293B59"/>
    <w:rsid w:val="57B266F8"/>
    <w:rsid w:val="795917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DECAB"/>
  <w15:chartTrackingRefBased/>
  <w15:docId w15:val="{3D9F2810-61C5-4A15-AF0D-16DC36E1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30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B5300"/>
    <w:pPr>
      <w:keepNext/>
      <w:keepLines/>
      <w:spacing w:before="480"/>
      <w:outlineLvl w:val="0"/>
    </w:pPr>
    <w:rPr>
      <w:rFonts w:asciiTheme="majorHAnsi" w:eastAsiaTheme="majorEastAsia" w:hAnsiTheme="majorHAns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300"/>
    <w:rPr>
      <w:rFonts w:asciiTheme="majorHAnsi" w:eastAsiaTheme="majorEastAsia" w:hAnsiTheme="majorHAnsi" w:cs="Times New Roman"/>
      <w:b/>
      <w:bCs/>
      <w:color w:val="2E74B5" w:themeColor="accent1" w:themeShade="BF"/>
      <w:sz w:val="28"/>
      <w:szCs w:val="28"/>
    </w:rPr>
  </w:style>
  <w:style w:type="paragraph" w:styleId="BodyText">
    <w:name w:val="Body Text"/>
    <w:basedOn w:val="Normal"/>
    <w:link w:val="BodyTextChar"/>
    <w:uiPriority w:val="99"/>
    <w:rsid w:val="001B5300"/>
    <w:pPr>
      <w:spacing w:before="120"/>
    </w:pPr>
    <w:rPr>
      <w:rFonts w:ascii="Tahoma" w:hAnsi="Tahoma" w:cs="Tahoma"/>
      <w:sz w:val="22"/>
      <w:szCs w:val="22"/>
    </w:rPr>
  </w:style>
  <w:style w:type="character" w:customStyle="1" w:styleId="BodyTextChar">
    <w:name w:val="Body Text Char"/>
    <w:basedOn w:val="DefaultParagraphFont"/>
    <w:link w:val="BodyText"/>
    <w:uiPriority w:val="99"/>
    <w:rsid w:val="001B5300"/>
    <w:rPr>
      <w:rFonts w:ascii="Tahoma" w:eastAsia="Times New Roman" w:hAnsi="Tahoma" w:cs="Tahoma"/>
    </w:rPr>
  </w:style>
  <w:style w:type="paragraph" w:styleId="Footer">
    <w:name w:val="footer"/>
    <w:basedOn w:val="Normal"/>
    <w:link w:val="FooterChar"/>
    <w:uiPriority w:val="99"/>
    <w:rsid w:val="001B5300"/>
    <w:pPr>
      <w:tabs>
        <w:tab w:val="center" w:pos="4153"/>
        <w:tab w:val="right" w:pos="8306"/>
      </w:tabs>
    </w:pPr>
  </w:style>
  <w:style w:type="character" w:customStyle="1" w:styleId="FooterChar">
    <w:name w:val="Footer Char"/>
    <w:basedOn w:val="DefaultParagraphFont"/>
    <w:link w:val="Footer"/>
    <w:uiPriority w:val="99"/>
    <w:rsid w:val="001B5300"/>
    <w:rPr>
      <w:rFonts w:ascii="Times New Roman" w:eastAsia="Times New Roman" w:hAnsi="Times New Roman" w:cs="Times New Roman"/>
      <w:sz w:val="20"/>
      <w:szCs w:val="20"/>
    </w:rPr>
  </w:style>
  <w:style w:type="paragraph" w:styleId="Header">
    <w:name w:val="header"/>
    <w:basedOn w:val="Normal"/>
    <w:link w:val="HeaderChar"/>
    <w:uiPriority w:val="99"/>
    <w:rsid w:val="001B5300"/>
    <w:pPr>
      <w:tabs>
        <w:tab w:val="center" w:pos="4153"/>
        <w:tab w:val="right" w:pos="8306"/>
      </w:tabs>
    </w:pPr>
  </w:style>
  <w:style w:type="character" w:customStyle="1" w:styleId="HeaderChar">
    <w:name w:val="Header Char"/>
    <w:basedOn w:val="DefaultParagraphFont"/>
    <w:link w:val="Header"/>
    <w:uiPriority w:val="99"/>
    <w:rsid w:val="001B5300"/>
    <w:rPr>
      <w:rFonts w:ascii="Times New Roman" w:eastAsia="Times New Roman" w:hAnsi="Times New Roman" w:cs="Times New Roman"/>
      <w:sz w:val="20"/>
      <w:szCs w:val="20"/>
    </w:rPr>
  </w:style>
  <w:style w:type="character" w:styleId="PageNumber">
    <w:name w:val="page number"/>
    <w:basedOn w:val="DefaultParagraphFont"/>
    <w:uiPriority w:val="99"/>
    <w:rsid w:val="001B5300"/>
    <w:rPr>
      <w:rFonts w:cs="Times New Roman"/>
    </w:rPr>
  </w:style>
  <w:style w:type="character" w:styleId="Hyperlink">
    <w:name w:val="Hyperlink"/>
    <w:basedOn w:val="DefaultParagraphFont"/>
    <w:uiPriority w:val="99"/>
    <w:unhideWhenUsed/>
    <w:rsid w:val="001B5300"/>
    <w:rPr>
      <w:rFonts w:cs="Times New Roman"/>
      <w:color w:val="0563C1" w:themeColor="hyperlink"/>
      <w:u w:val="single"/>
    </w:rPr>
  </w:style>
  <w:style w:type="paragraph" w:styleId="ListParagraph">
    <w:name w:val="List Paragraph"/>
    <w:basedOn w:val="Normal"/>
    <w:uiPriority w:val="1"/>
    <w:qFormat/>
    <w:rsid w:val="001B5300"/>
    <w:pPr>
      <w:ind w:left="720"/>
      <w:contextualSpacing/>
    </w:pPr>
  </w:style>
  <w:style w:type="paragraph" w:styleId="BalloonText">
    <w:name w:val="Balloon Text"/>
    <w:basedOn w:val="Normal"/>
    <w:link w:val="BalloonTextChar"/>
    <w:uiPriority w:val="99"/>
    <w:semiHidden/>
    <w:unhideWhenUsed/>
    <w:rsid w:val="00C13E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E2B"/>
    <w:rPr>
      <w:rFonts w:ascii="Segoe UI" w:eastAsia="Times New Roman" w:hAnsi="Segoe UI" w:cs="Segoe UI"/>
      <w:sz w:val="18"/>
      <w:szCs w:val="18"/>
    </w:rPr>
  </w:style>
  <w:style w:type="paragraph" w:customStyle="1" w:styleId="paragraph">
    <w:name w:val="paragraph"/>
    <w:basedOn w:val="Normal"/>
    <w:rsid w:val="00741FAE"/>
    <w:pPr>
      <w:spacing w:before="100" w:beforeAutospacing="1" w:after="100" w:afterAutospacing="1"/>
    </w:pPr>
    <w:rPr>
      <w:sz w:val="24"/>
      <w:szCs w:val="24"/>
      <w:lang w:eastAsia="en-AU"/>
    </w:rPr>
  </w:style>
  <w:style w:type="character" w:customStyle="1" w:styleId="normaltextrun">
    <w:name w:val="normaltextrun"/>
    <w:basedOn w:val="DefaultParagraphFont"/>
    <w:rsid w:val="00741FAE"/>
  </w:style>
  <w:style w:type="character" w:customStyle="1" w:styleId="eop">
    <w:name w:val="eop"/>
    <w:basedOn w:val="DefaultParagraphFont"/>
    <w:rsid w:val="00741FAE"/>
  </w:style>
  <w:style w:type="character" w:styleId="FollowedHyperlink">
    <w:name w:val="FollowedHyperlink"/>
    <w:basedOn w:val="DefaultParagraphFont"/>
    <w:uiPriority w:val="99"/>
    <w:semiHidden/>
    <w:unhideWhenUsed/>
    <w:rsid w:val="002D3AB2"/>
    <w:rPr>
      <w:color w:val="954F72" w:themeColor="followedHyperlink"/>
      <w:u w:val="single"/>
    </w:rPr>
  </w:style>
  <w:style w:type="character" w:styleId="CommentReference">
    <w:name w:val="annotation reference"/>
    <w:basedOn w:val="DefaultParagraphFont"/>
    <w:uiPriority w:val="99"/>
    <w:semiHidden/>
    <w:unhideWhenUsed/>
    <w:rsid w:val="00631073"/>
    <w:rPr>
      <w:sz w:val="16"/>
      <w:szCs w:val="16"/>
    </w:rPr>
  </w:style>
  <w:style w:type="paragraph" w:styleId="CommentText">
    <w:name w:val="annotation text"/>
    <w:basedOn w:val="Normal"/>
    <w:link w:val="CommentTextChar"/>
    <w:uiPriority w:val="99"/>
    <w:semiHidden/>
    <w:unhideWhenUsed/>
    <w:rsid w:val="00631073"/>
  </w:style>
  <w:style w:type="character" w:customStyle="1" w:styleId="CommentTextChar">
    <w:name w:val="Comment Text Char"/>
    <w:basedOn w:val="DefaultParagraphFont"/>
    <w:link w:val="CommentText"/>
    <w:uiPriority w:val="99"/>
    <w:semiHidden/>
    <w:rsid w:val="006310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1073"/>
    <w:rPr>
      <w:b/>
      <w:bCs/>
    </w:rPr>
  </w:style>
  <w:style w:type="character" w:customStyle="1" w:styleId="CommentSubjectChar">
    <w:name w:val="Comment Subject Char"/>
    <w:basedOn w:val="CommentTextChar"/>
    <w:link w:val="CommentSubject"/>
    <w:uiPriority w:val="99"/>
    <w:semiHidden/>
    <w:rsid w:val="0063107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31176">
      <w:bodyDiv w:val="1"/>
      <w:marLeft w:val="0"/>
      <w:marRight w:val="0"/>
      <w:marTop w:val="0"/>
      <w:marBottom w:val="0"/>
      <w:divBdr>
        <w:top w:val="none" w:sz="0" w:space="0" w:color="auto"/>
        <w:left w:val="none" w:sz="0" w:space="0" w:color="auto"/>
        <w:bottom w:val="none" w:sz="0" w:space="0" w:color="auto"/>
        <w:right w:val="none" w:sz="0" w:space="0" w:color="auto"/>
      </w:divBdr>
      <w:divsChild>
        <w:div w:id="906377766">
          <w:marLeft w:val="0"/>
          <w:marRight w:val="0"/>
          <w:marTop w:val="0"/>
          <w:marBottom w:val="0"/>
          <w:divBdr>
            <w:top w:val="none" w:sz="0" w:space="0" w:color="auto"/>
            <w:left w:val="none" w:sz="0" w:space="0" w:color="auto"/>
            <w:bottom w:val="none" w:sz="0" w:space="0" w:color="auto"/>
            <w:right w:val="none" w:sz="0" w:space="0" w:color="auto"/>
          </w:divBdr>
          <w:divsChild>
            <w:div w:id="1512334559">
              <w:marLeft w:val="0"/>
              <w:marRight w:val="0"/>
              <w:marTop w:val="0"/>
              <w:marBottom w:val="0"/>
              <w:divBdr>
                <w:top w:val="none" w:sz="0" w:space="0" w:color="auto"/>
                <w:left w:val="none" w:sz="0" w:space="0" w:color="auto"/>
                <w:bottom w:val="none" w:sz="0" w:space="0" w:color="auto"/>
                <w:right w:val="none" w:sz="0" w:space="0" w:color="auto"/>
              </w:divBdr>
            </w:div>
            <w:div w:id="2082755741">
              <w:marLeft w:val="0"/>
              <w:marRight w:val="0"/>
              <w:marTop w:val="0"/>
              <w:marBottom w:val="0"/>
              <w:divBdr>
                <w:top w:val="none" w:sz="0" w:space="0" w:color="auto"/>
                <w:left w:val="none" w:sz="0" w:space="0" w:color="auto"/>
                <w:bottom w:val="none" w:sz="0" w:space="0" w:color="auto"/>
                <w:right w:val="none" w:sz="0" w:space="0" w:color="auto"/>
              </w:divBdr>
            </w:div>
          </w:divsChild>
        </w:div>
        <w:div w:id="484248931">
          <w:marLeft w:val="0"/>
          <w:marRight w:val="0"/>
          <w:marTop w:val="0"/>
          <w:marBottom w:val="0"/>
          <w:divBdr>
            <w:top w:val="none" w:sz="0" w:space="0" w:color="auto"/>
            <w:left w:val="none" w:sz="0" w:space="0" w:color="auto"/>
            <w:bottom w:val="none" w:sz="0" w:space="0" w:color="auto"/>
            <w:right w:val="none" w:sz="0" w:space="0" w:color="auto"/>
          </w:divBdr>
          <w:divsChild>
            <w:div w:id="1488979461">
              <w:marLeft w:val="0"/>
              <w:marRight w:val="0"/>
              <w:marTop w:val="0"/>
              <w:marBottom w:val="0"/>
              <w:divBdr>
                <w:top w:val="none" w:sz="0" w:space="0" w:color="auto"/>
                <w:left w:val="none" w:sz="0" w:space="0" w:color="auto"/>
                <w:bottom w:val="none" w:sz="0" w:space="0" w:color="auto"/>
                <w:right w:val="none" w:sz="0" w:space="0" w:color="auto"/>
              </w:divBdr>
            </w:div>
            <w:div w:id="1453938249">
              <w:marLeft w:val="0"/>
              <w:marRight w:val="0"/>
              <w:marTop w:val="0"/>
              <w:marBottom w:val="0"/>
              <w:divBdr>
                <w:top w:val="none" w:sz="0" w:space="0" w:color="auto"/>
                <w:left w:val="none" w:sz="0" w:space="0" w:color="auto"/>
                <w:bottom w:val="none" w:sz="0" w:space="0" w:color="auto"/>
                <w:right w:val="none" w:sz="0" w:space="0" w:color="auto"/>
              </w:divBdr>
            </w:div>
            <w:div w:id="1571309731">
              <w:marLeft w:val="0"/>
              <w:marRight w:val="0"/>
              <w:marTop w:val="0"/>
              <w:marBottom w:val="0"/>
              <w:divBdr>
                <w:top w:val="none" w:sz="0" w:space="0" w:color="auto"/>
                <w:left w:val="none" w:sz="0" w:space="0" w:color="auto"/>
                <w:bottom w:val="none" w:sz="0" w:space="0" w:color="auto"/>
                <w:right w:val="none" w:sz="0" w:space="0" w:color="auto"/>
              </w:divBdr>
            </w:div>
            <w:div w:id="2116122977">
              <w:marLeft w:val="0"/>
              <w:marRight w:val="0"/>
              <w:marTop w:val="0"/>
              <w:marBottom w:val="0"/>
              <w:divBdr>
                <w:top w:val="none" w:sz="0" w:space="0" w:color="auto"/>
                <w:left w:val="none" w:sz="0" w:space="0" w:color="auto"/>
                <w:bottom w:val="none" w:sz="0" w:space="0" w:color="auto"/>
                <w:right w:val="none" w:sz="0" w:space="0" w:color="auto"/>
              </w:divBdr>
            </w:div>
            <w:div w:id="978656765">
              <w:marLeft w:val="0"/>
              <w:marRight w:val="0"/>
              <w:marTop w:val="0"/>
              <w:marBottom w:val="0"/>
              <w:divBdr>
                <w:top w:val="none" w:sz="0" w:space="0" w:color="auto"/>
                <w:left w:val="none" w:sz="0" w:space="0" w:color="auto"/>
                <w:bottom w:val="none" w:sz="0" w:space="0" w:color="auto"/>
                <w:right w:val="none" w:sz="0" w:space="0" w:color="auto"/>
              </w:divBdr>
            </w:div>
            <w:div w:id="158823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676803">
      <w:bodyDiv w:val="1"/>
      <w:marLeft w:val="0"/>
      <w:marRight w:val="0"/>
      <w:marTop w:val="0"/>
      <w:marBottom w:val="0"/>
      <w:divBdr>
        <w:top w:val="none" w:sz="0" w:space="0" w:color="auto"/>
        <w:left w:val="none" w:sz="0" w:space="0" w:color="auto"/>
        <w:bottom w:val="none" w:sz="0" w:space="0" w:color="auto"/>
        <w:right w:val="none" w:sz="0" w:space="0" w:color="auto"/>
      </w:divBdr>
      <w:divsChild>
        <w:div w:id="1196429290">
          <w:marLeft w:val="0"/>
          <w:marRight w:val="0"/>
          <w:marTop w:val="0"/>
          <w:marBottom w:val="0"/>
          <w:divBdr>
            <w:top w:val="none" w:sz="0" w:space="0" w:color="auto"/>
            <w:left w:val="none" w:sz="0" w:space="0" w:color="auto"/>
            <w:bottom w:val="none" w:sz="0" w:space="0" w:color="auto"/>
            <w:right w:val="none" w:sz="0" w:space="0" w:color="auto"/>
          </w:divBdr>
        </w:div>
        <w:div w:id="2133548785">
          <w:marLeft w:val="0"/>
          <w:marRight w:val="0"/>
          <w:marTop w:val="0"/>
          <w:marBottom w:val="0"/>
          <w:divBdr>
            <w:top w:val="none" w:sz="0" w:space="0" w:color="auto"/>
            <w:left w:val="none" w:sz="0" w:space="0" w:color="auto"/>
            <w:bottom w:val="none" w:sz="0" w:space="0" w:color="auto"/>
            <w:right w:val="none" w:sz="0" w:space="0" w:color="auto"/>
          </w:divBdr>
        </w:div>
        <w:div w:id="1815366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07cf11b634794f1b"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HubID xmlns="e771ab56-0c5d-40e7-b080-2686d2b89623">SHD23-91858</ShareHubID>
    <TaxCatchAll xmlns="9eb1f307-a489-40bf-8d3d-f7559b8c4701">
      <Value>4</Value>
    </TaxCatchAll>
    <TaxKeywordTaxHTField xmlns="9eb1f307-a489-40bf-8d3d-f7559b8c4701">
      <Terms xmlns="http://schemas.microsoft.com/office/infopath/2007/PartnerControls"/>
    </TaxKeywordTaxHTField>
    <kae4a212993346ce902df50cead5dba5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kae4a212993346ce902df50cead5dba5>
    <g7ba2599ead64d0b889beab120bc3eb1 xmlns="9eb1f307-a489-40bf-8d3d-f7559b8c4701">
      <Terms xmlns="http://schemas.microsoft.com/office/infopath/2007/PartnerControls"/>
    </g7ba2599ead64d0b889beab120bc3eb1>
    <Comments xmlns="http://schemas.microsoft.com/sharepoint/v3" xsi:nil="true"/>
    <_dlc_DocId xmlns="9eb1f307-a489-40bf-8d3d-f7559b8c4701">APSCdoc-806379271-18617</_dlc_DocId>
    <_dlc_DocIdPersistId xmlns="9eb1f307-a489-40bf-8d3d-f7559b8c4701">false</_dlc_DocIdPersistId>
    <_dlc_DocIdUrl xmlns="9eb1f307-a489-40bf-8d3d-f7559b8c4701">
      <Url>https://pmc01.sharepoint.com/sites/apsc-rt/_layouts/15/DocIdRedir.aspx?ID=APSCdoc-806379271-18617</Url>
      <Description>APSCdoc-806379271-18617</Description>
    </_dlc_DocIdUrl>
    <lcf76f155ced4ddcb4097134ff3c332f xmlns="76b77999-d5d7-44f3-8dd0-caf71a7f76a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848CCBD29CB447934E396F5725575D" ma:contentTypeVersion="29" ma:contentTypeDescription="Create a new document." ma:contentTypeScope="" ma:versionID="d541da64e429bfcb22cc869fb0beb929">
  <xsd:schema xmlns:xsd="http://www.w3.org/2001/XMLSchema" xmlns:xs="http://www.w3.org/2001/XMLSchema" xmlns:p="http://schemas.microsoft.com/office/2006/metadata/properties" xmlns:ns1="http://schemas.microsoft.com/sharepoint/v3" xmlns:ns2="9eb1f307-a489-40bf-8d3d-f7559b8c4701" xmlns:ns3="e771ab56-0c5d-40e7-b080-2686d2b89623" xmlns:ns4="76b77999-d5d7-44f3-8dd0-caf71a7f76a5" targetNamespace="http://schemas.microsoft.com/office/2006/metadata/properties" ma:root="true" ma:fieldsID="b729fd61d0cc61dc9e129c83ee5f77d6" ns1:_="" ns2:_="" ns3:_="" ns4:_="">
    <xsd:import namespace="http://schemas.microsoft.com/sharepoint/v3"/>
    <xsd:import namespace="9eb1f307-a489-40bf-8d3d-f7559b8c4701"/>
    <xsd:import namespace="e771ab56-0c5d-40e7-b080-2686d2b89623"/>
    <xsd:import namespace="76b77999-d5d7-44f3-8dd0-caf71a7f76a5"/>
    <xsd:element name="properties">
      <xsd:complexType>
        <xsd:sequence>
          <xsd:element name="documentManagement">
            <xsd:complexType>
              <xsd:all>
                <xsd:element ref="ns2:_dlc_DocId" minOccurs="0"/>
                <xsd:element ref="ns2:_dlc_DocIdUrl" minOccurs="0"/>
                <xsd:element ref="ns2:_dlc_DocIdPersistId" minOccurs="0"/>
                <xsd:element ref="ns2:kae4a212993346ce902df50cead5dba5" minOccurs="0"/>
                <xsd:element ref="ns2:TaxCatchAll" minOccurs="0"/>
                <xsd:element ref="ns2:g7ba2599ead64d0b889beab120bc3eb1"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ae4a212993346ce902df50cead5dba5" ma:index="12" ma:taxonomy="true" ma:internalName="kae4a212993346ce902df50cead5dba5" ma:taxonomyFieldName="SecurityClassification" ma:displayName="Security Classification" ma:default="4;#OFFICIAL|9e0ec9cb-4e7f-4d4a-bd32-1ee7525c6d87" ma:fieldId="{4ae4a212-9933-46ce-902d-f50cead5dba5}"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b6ab646-400b-4ad0-ac1a-bd45cdeb5059}"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g7ba2599ead64d0b889beab120bc3eb1" ma:index="15" nillable="true" ma:taxonomy="true" ma:internalName="g7ba2599ead64d0b889beab120bc3eb1" ma:taxonomyFieldName="InformationMarker" ma:displayName="Information Marker" ma:readOnly="false" ma:fieldId="{07ba2599-ead6-4d0b-889b-eab120bc3eb1}"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b77999-d5d7-44f3-8dd0-caf71a7f76a5"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484A4E-6EA2-4E5D-8D93-0D14BEB9811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771ab56-0c5d-40e7-b080-2686d2b89623"/>
    <ds:schemaRef ds:uri="http://schemas.microsoft.com/sharepoint/v3"/>
    <ds:schemaRef ds:uri="76b77999-d5d7-44f3-8dd0-caf71a7f76a5"/>
    <ds:schemaRef ds:uri="9eb1f307-a489-40bf-8d3d-f7559b8c4701"/>
    <ds:schemaRef ds:uri="http://www.w3.org/XML/1998/namespace"/>
    <ds:schemaRef ds:uri="http://purl.org/dc/dcmitype/"/>
  </ds:schemaRefs>
</ds:datastoreItem>
</file>

<file path=customXml/itemProps2.xml><?xml version="1.0" encoding="utf-8"?>
<ds:datastoreItem xmlns:ds="http://schemas.openxmlformats.org/officeDocument/2006/customXml" ds:itemID="{CB659755-DD6F-4152-91BA-E1560F546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76b77999-d5d7-44f3-8dd0-caf71a7f7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8B6843-1C72-495C-B02D-E3D15A04974B}">
  <ds:schemaRefs>
    <ds:schemaRef ds:uri="http://schemas.microsoft.com/sharepoint/v3/contenttype/forms"/>
  </ds:schemaRefs>
</ds:datastoreItem>
</file>

<file path=customXml/itemProps4.xml><?xml version="1.0" encoding="utf-8"?>
<ds:datastoreItem xmlns:ds="http://schemas.openxmlformats.org/officeDocument/2006/customXml" ds:itemID="{8B9DF7DC-8229-4552-ADDE-594AC5D14EC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Urquhart, Kate</dc:creator>
  <cp:keywords/>
  <dc:description/>
  <cp:lastModifiedBy>Urquhart, Kate</cp:lastModifiedBy>
  <cp:revision>2</cp:revision>
  <cp:lastPrinted>2025-08-18T05:49:00Z</cp:lastPrinted>
  <dcterms:created xsi:type="dcterms:W3CDTF">2025-08-18T05:51:00Z</dcterms:created>
  <dcterms:modified xsi:type="dcterms:W3CDTF">2025-08-18T05:51:00Z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0x010100A6848CCBD29CB447934E396F5725575D</vt:lpwstr>
  </property>
  <property fmtid="{D5CDD505-2E9C-101B-9397-08002B2CF9AE}" pid="3" name="HPRMSecurityLevel">
    <vt:lpwstr>3;#OFFICIAL|11463c70-78df-4e3b-b0ff-f66cd3cb26ec</vt:lpwstr>
  </property>
  <property fmtid="{D5CDD505-2E9C-101B-9397-08002B2CF9AE}" pid="4" name="HPRMSecurityCaveat">
    <vt:lpwstr/>
  </property>
  <property fmtid="{D5CDD505-2E9C-101B-9397-08002B2CF9AE}" pid="5" name="TaxKeyword">
    <vt:lpwstr/>
  </property>
  <property fmtid="{D5CDD505-2E9C-101B-9397-08002B2CF9AE}" pid="6" name="xd_ProgID">
    <vt:lpwstr/>
  </property>
  <property fmtid="{D5CDD505-2E9C-101B-9397-08002B2CF9AE}" pid="7" name="FolderID">
    <vt:lpwstr/>
  </property>
  <property fmtid="{D5CDD505-2E9C-101B-9397-08002B2CF9AE}" pid="8" name="SecurityClassification">
    <vt:lpwstr>4;#OFFICIAL|9e0ec9cb-4e7f-4d4a-bd32-1ee7525c6d87</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GUID">
    <vt:lpwstr>55418121-8189-4a48-9f00-e18f9cee3991</vt:lpwstr>
  </property>
  <property fmtid="{D5CDD505-2E9C-101B-9397-08002B2CF9AE}" pid="15" name="InformationMarker">
    <vt:lpwstr/>
  </property>
  <property fmtid="{D5CDD505-2E9C-101B-9397-08002B2CF9AE}" pid="16" name="SharedWithUsers">
    <vt:lpwstr/>
  </property>
  <property fmtid="{D5CDD505-2E9C-101B-9397-08002B2CF9AE}" pid="17" name="PMCNotes">
    <vt:lpwstr/>
  </property>
  <property fmtid="{D5CDD505-2E9C-101B-9397-08002B2CF9AE}" pid="18" name="jd1c641577414dfdab1686c9d5d0dbd0">
    <vt:lpwstr/>
  </property>
  <property fmtid="{D5CDD505-2E9C-101B-9397-08002B2CF9AE}" pid="19" name="_dlc_DocIdItemGuid">
    <vt:lpwstr>97a2cdb2-45e0-4f93-833f-c705837ef135</vt:lpwstr>
  </property>
  <property fmtid="{D5CDD505-2E9C-101B-9397-08002B2CF9AE}" pid="20" name="MediaServiceImageTags">
    <vt:lpwstr/>
  </property>
</Properties>
</file>