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2E39" w14:textId="3073C39D" w:rsidR="0094431D" w:rsidRPr="0094431D" w:rsidRDefault="00BB0EC8" w:rsidP="00E66662">
      <w:pPr>
        <w:widowControl w:val="0"/>
        <w:pBdr>
          <w:top w:val="single" w:sz="6" w:space="5" w:color="auto"/>
          <w:bottom w:val="single" w:sz="4" w:space="8" w:color="auto"/>
        </w:pBdr>
        <w:autoSpaceDE w:val="0"/>
        <w:autoSpaceDN w:val="0"/>
        <w:adjustRightInd w:val="0"/>
        <w:spacing w:before="120" w:after="120"/>
        <w:rPr>
          <w:rFonts w:ascii="Arial Black" w:hAnsi="Arial Black" w:cs="Arial Black"/>
          <w:sz w:val="16"/>
          <w:szCs w:val="16"/>
          <w:lang w:val="en-US"/>
        </w:rPr>
      </w:pPr>
      <w:r w:rsidRPr="00BB0EC8">
        <w:rPr>
          <w:rFonts w:ascii="Arial Black" w:hAnsi="Arial Black" w:cs="Arial Black"/>
          <w:sz w:val="28"/>
          <w:szCs w:val="28"/>
          <w:lang w:val="en-US"/>
        </w:rPr>
        <w:t xml:space="preserve">Explanatory Statement: </w:t>
      </w:r>
      <w:r w:rsidR="00394B1E">
        <w:rPr>
          <w:rFonts w:ascii="Arial Black" w:hAnsi="Arial Black" w:cs="Arial Black"/>
          <w:sz w:val="28"/>
          <w:szCs w:val="28"/>
          <w:lang w:val="en-US"/>
        </w:rPr>
        <w:t xml:space="preserve">Remuneration </w:t>
      </w:r>
      <w:r w:rsidR="00394B1E" w:rsidRPr="00E66662">
        <w:rPr>
          <w:rFonts w:ascii="Arial Black" w:eastAsiaTheme="majorEastAsia" w:hAnsi="Arial Black"/>
          <w:bCs/>
          <w:noProof/>
          <w:color w:val="000000" w:themeColor="text1"/>
          <w:sz w:val="28"/>
          <w:szCs w:val="28"/>
          <w:lang w:eastAsia="en-US"/>
        </w:rPr>
        <w:t>Tribunal (</w:t>
      </w:r>
      <w:r w:rsidR="00385BAC">
        <w:rPr>
          <w:rFonts w:ascii="Arial Black" w:eastAsiaTheme="majorEastAsia" w:hAnsi="Arial Black"/>
          <w:bCs/>
          <w:noProof/>
          <w:color w:val="000000" w:themeColor="text1"/>
          <w:sz w:val="28"/>
          <w:szCs w:val="28"/>
          <w:lang w:eastAsia="en-US"/>
        </w:rPr>
        <w:t>Official Travel</w:t>
      </w:r>
      <w:r w:rsidR="00BC2F6B" w:rsidRPr="00E66662">
        <w:rPr>
          <w:rFonts w:ascii="Arial Black" w:eastAsiaTheme="majorEastAsia" w:hAnsi="Arial Black"/>
          <w:bCs/>
          <w:noProof/>
          <w:color w:val="000000" w:themeColor="text1"/>
          <w:sz w:val="28"/>
          <w:szCs w:val="28"/>
          <w:lang w:eastAsia="en-US"/>
        </w:rPr>
        <w:t>) Determination 20</w:t>
      </w:r>
      <w:r w:rsidR="00857131">
        <w:rPr>
          <w:rFonts w:ascii="Arial Black" w:eastAsiaTheme="majorEastAsia" w:hAnsi="Arial Black"/>
          <w:bCs/>
          <w:noProof/>
          <w:color w:val="000000" w:themeColor="text1"/>
          <w:sz w:val="28"/>
          <w:szCs w:val="28"/>
          <w:lang w:eastAsia="en-US"/>
        </w:rPr>
        <w:t>2</w:t>
      </w:r>
      <w:r w:rsidR="00083719">
        <w:rPr>
          <w:rFonts w:ascii="Arial Black" w:eastAsiaTheme="majorEastAsia" w:hAnsi="Arial Black"/>
          <w:bCs/>
          <w:noProof/>
          <w:color w:val="000000" w:themeColor="text1"/>
          <w:sz w:val="28"/>
          <w:szCs w:val="28"/>
          <w:lang w:eastAsia="en-US"/>
        </w:rPr>
        <w:t>5</w:t>
      </w:r>
    </w:p>
    <w:p w14:paraId="02132E3A" w14:textId="351EC5A3" w:rsidR="007375C6" w:rsidRPr="00140909" w:rsidRDefault="007375C6" w:rsidP="00FE4FCB">
      <w:pPr>
        <w:pStyle w:val="ListParagraph"/>
        <w:numPr>
          <w:ilvl w:val="0"/>
          <w:numId w:val="22"/>
        </w:numPr>
        <w:tabs>
          <w:tab w:val="clear" w:pos="786"/>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FE4FCB">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FE4FCB">
        <w:rPr>
          <w:rFonts w:ascii="Verdana" w:hAnsi="Verdana"/>
          <w:sz w:val="22"/>
          <w:szCs w:val="22"/>
        </w:rPr>
        <w:t xml:space="preserve"> </w:t>
      </w:r>
      <w:r w:rsidRPr="00140909">
        <w:rPr>
          <w:rFonts w:ascii="Verdana" w:hAnsi="Verdana"/>
          <w:sz w:val="22"/>
          <w:szCs w:val="22"/>
        </w:rPr>
        <w:t>An additional function of the Tribunal is to determine a classification structure for Principal Executive Offices and the terms and conditions applicable to each classification within the structure.</w:t>
      </w:r>
    </w:p>
    <w:p w14:paraId="02132E3B" w14:textId="77777777" w:rsidR="007375C6" w:rsidRPr="00140909" w:rsidRDefault="007375C6" w:rsidP="00FE4FCB">
      <w:pPr>
        <w:tabs>
          <w:tab w:val="num" w:pos="426"/>
        </w:tabs>
        <w:spacing w:before="120" w:after="120" w:line="276" w:lineRule="auto"/>
        <w:ind w:left="425" w:hanging="425"/>
        <w:rPr>
          <w:rFonts w:ascii="Verdana" w:hAnsi="Verdana" w:cs="Verdana"/>
          <w:b/>
          <w:sz w:val="22"/>
          <w:szCs w:val="22"/>
        </w:rPr>
      </w:pPr>
      <w:r w:rsidRPr="00140909">
        <w:rPr>
          <w:rFonts w:ascii="Verdana" w:hAnsi="Verdana" w:cs="Verdana"/>
          <w:b/>
          <w:sz w:val="22"/>
          <w:szCs w:val="22"/>
        </w:rPr>
        <w:t>Consultation</w:t>
      </w:r>
    </w:p>
    <w:p w14:paraId="02132E3C" w14:textId="77777777" w:rsidR="007375C6" w:rsidRPr="00140909" w:rsidRDefault="007375C6" w:rsidP="00FE4FCB">
      <w:pPr>
        <w:pStyle w:val="ListParagraph"/>
        <w:numPr>
          <w:ilvl w:val="0"/>
          <w:numId w:val="22"/>
        </w:numPr>
        <w:tabs>
          <w:tab w:val="clear" w:pos="786"/>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02132E3D" w14:textId="77777777" w:rsidR="007375C6" w:rsidRPr="00140909" w:rsidRDefault="007375C6" w:rsidP="00FE4FCB">
      <w:pPr>
        <w:pStyle w:val="ListParagraph"/>
        <w:numPr>
          <w:ilvl w:val="0"/>
          <w:numId w:val="30"/>
        </w:numPr>
        <w:spacing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02132E3E" w14:textId="77777777" w:rsidR="007375C6" w:rsidRPr="00140909" w:rsidRDefault="007375C6" w:rsidP="00FE4FCB">
      <w:pPr>
        <w:pStyle w:val="ListParagraph"/>
        <w:numPr>
          <w:ilvl w:val="0"/>
          <w:numId w:val="30"/>
        </w:numPr>
        <w:spacing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02132E3F" w14:textId="77777777" w:rsidR="007375C6" w:rsidRPr="00140909" w:rsidRDefault="007375C6" w:rsidP="00FE4FCB">
      <w:pPr>
        <w:pStyle w:val="ListParagraph"/>
        <w:numPr>
          <w:ilvl w:val="0"/>
          <w:numId w:val="30"/>
        </w:numPr>
        <w:spacing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02132E40" w14:textId="77777777" w:rsidR="007375C6" w:rsidRPr="00140909" w:rsidRDefault="007375C6" w:rsidP="00FE4FCB">
      <w:pPr>
        <w:pStyle w:val="ListParagraph"/>
        <w:numPr>
          <w:ilvl w:val="0"/>
          <w:numId w:val="30"/>
        </w:numPr>
        <w:spacing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02132E48" w14:textId="292A9C89" w:rsidR="007375C6" w:rsidRPr="00140909" w:rsidRDefault="00C01E57" w:rsidP="00FE4FCB">
      <w:pPr>
        <w:tabs>
          <w:tab w:val="num" w:pos="426"/>
        </w:tabs>
        <w:spacing w:before="120" w:after="120" w:line="276" w:lineRule="auto"/>
        <w:ind w:left="426" w:hanging="426"/>
        <w:rPr>
          <w:rFonts w:ascii="Verdana" w:hAnsi="Verdana"/>
          <w:i/>
          <w:sz w:val="22"/>
          <w:szCs w:val="22"/>
        </w:rPr>
      </w:pPr>
      <w:r w:rsidRPr="00140909">
        <w:rPr>
          <w:rFonts w:ascii="Verdana" w:hAnsi="Verdana"/>
          <w:i/>
          <w:sz w:val="22"/>
          <w:szCs w:val="22"/>
        </w:rPr>
        <w:t xml:space="preserve">Review of </w:t>
      </w:r>
      <w:r w:rsidR="00BF4122">
        <w:rPr>
          <w:rFonts w:ascii="Verdana" w:hAnsi="Verdana"/>
          <w:i/>
          <w:sz w:val="22"/>
          <w:szCs w:val="22"/>
        </w:rPr>
        <w:t>t</w:t>
      </w:r>
      <w:r w:rsidR="00DA20A9">
        <w:rPr>
          <w:rFonts w:ascii="Verdana" w:hAnsi="Verdana"/>
          <w:i/>
          <w:sz w:val="22"/>
          <w:szCs w:val="22"/>
        </w:rPr>
        <w:t xml:space="preserve">ravel </w:t>
      </w:r>
      <w:r w:rsidR="00BF4122">
        <w:rPr>
          <w:rFonts w:ascii="Verdana" w:hAnsi="Verdana"/>
          <w:i/>
          <w:sz w:val="22"/>
          <w:szCs w:val="22"/>
        </w:rPr>
        <w:t>conditions</w:t>
      </w:r>
    </w:p>
    <w:p w14:paraId="75316FB6" w14:textId="5B74EC7D" w:rsidR="00BD0D97" w:rsidRDefault="00BD0D97" w:rsidP="00767B5D">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sidRPr="00BD0D97">
        <w:rPr>
          <w:rFonts w:ascii="Verdana" w:hAnsi="Verdana"/>
          <w:sz w:val="22"/>
          <w:szCs w:val="22"/>
        </w:rPr>
        <w:t xml:space="preserve">On 7 April 2025, the President of the Tribunal, Ms Holly Kramer, wrote to the Secretaries of each Commonwealth Department and the Principal Registrars of the High Court of Australia, the Federal Court of Australia, the Federal Circuit and Family Court of Australia and the Administrative Review Tribunal. </w:t>
      </w:r>
      <w:r>
        <w:rPr>
          <w:rFonts w:ascii="Verdana" w:hAnsi="Verdana"/>
          <w:sz w:val="22"/>
          <w:szCs w:val="22"/>
        </w:rPr>
        <w:t>Ms </w:t>
      </w:r>
      <w:r w:rsidRPr="00BD0D97">
        <w:rPr>
          <w:rFonts w:ascii="Verdana" w:hAnsi="Verdana"/>
          <w:sz w:val="22"/>
          <w:szCs w:val="22"/>
        </w:rPr>
        <w:t>Kramer noted the Tribunal was considering whether conditions in the Official Travel determination remained fit for purpose and in line with community expectations and sough</w:t>
      </w:r>
      <w:r>
        <w:rPr>
          <w:rFonts w:ascii="Verdana" w:hAnsi="Verdana"/>
          <w:sz w:val="22"/>
          <w:szCs w:val="22"/>
        </w:rPr>
        <w:t>t views on 2 matters:</w:t>
      </w:r>
    </w:p>
    <w:p w14:paraId="2FA16CE6" w14:textId="0AE26C3E" w:rsidR="00BD0D97" w:rsidRDefault="00BD0D97" w:rsidP="00061062">
      <w:pPr>
        <w:pStyle w:val="ListParagraph"/>
        <w:numPr>
          <w:ilvl w:val="0"/>
          <w:numId w:val="30"/>
        </w:numPr>
        <w:tabs>
          <w:tab w:val="num" w:pos="993"/>
        </w:tabs>
        <w:spacing w:line="276" w:lineRule="auto"/>
        <w:ind w:left="850" w:hanging="425"/>
        <w:contextualSpacing w:val="0"/>
        <w:rPr>
          <w:rFonts w:ascii="Verdana" w:hAnsi="Verdana"/>
          <w:sz w:val="22"/>
          <w:szCs w:val="22"/>
        </w:rPr>
      </w:pPr>
      <w:r>
        <w:rPr>
          <w:rFonts w:ascii="Verdana" w:hAnsi="Verdana"/>
          <w:sz w:val="22"/>
          <w:szCs w:val="22"/>
        </w:rPr>
        <w:t>Whether it remain</w:t>
      </w:r>
      <w:r w:rsidR="00BF4122">
        <w:rPr>
          <w:rFonts w:ascii="Verdana" w:hAnsi="Verdana"/>
          <w:sz w:val="22"/>
          <w:szCs w:val="22"/>
        </w:rPr>
        <w:t>s</w:t>
      </w:r>
      <w:r>
        <w:rPr>
          <w:rFonts w:ascii="Verdana" w:hAnsi="Verdana"/>
          <w:sz w:val="22"/>
          <w:szCs w:val="22"/>
        </w:rPr>
        <w:t xml:space="preserve"> appropriate for any office holder to be entitled to first class overseas travel</w:t>
      </w:r>
      <w:r w:rsidR="00BF4122">
        <w:rPr>
          <w:rFonts w:ascii="Verdana" w:hAnsi="Verdana"/>
          <w:sz w:val="22"/>
          <w:szCs w:val="22"/>
        </w:rPr>
        <w:t>.</w:t>
      </w:r>
    </w:p>
    <w:p w14:paraId="0BFDC77B" w14:textId="2F319166" w:rsidR="00BF4122" w:rsidRPr="00BD0D97" w:rsidRDefault="00BF4122" w:rsidP="00061062">
      <w:pPr>
        <w:pStyle w:val="ListParagraph"/>
        <w:numPr>
          <w:ilvl w:val="0"/>
          <w:numId w:val="30"/>
        </w:numPr>
        <w:tabs>
          <w:tab w:val="num" w:pos="993"/>
        </w:tabs>
        <w:spacing w:after="120" w:line="276" w:lineRule="auto"/>
        <w:ind w:left="850" w:hanging="425"/>
        <w:contextualSpacing w:val="0"/>
        <w:rPr>
          <w:rFonts w:ascii="Verdana" w:hAnsi="Verdana"/>
          <w:sz w:val="22"/>
          <w:szCs w:val="22"/>
        </w:rPr>
      </w:pPr>
      <w:r>
        <w:rPr>
          <w:rFonts w:ascii="Verdana" w:hAnsi="Verdana"/>
          <w:sz w:val="22"/>
          <w:szCs w:val="22"/>
        </w:rPr>
        <w:t xml:space="preserve">Whether it remains appropriate for Tier 2 office holders to access business class travel for short haul domestic flights, between </w:t>
      </w:r>
      <w:r w:rsidR="00A129A2">
        <w:rPr>
          <w:rFonts w:ascii="Verdana" w:hAnsi="Verdana"/>
          <w:sz w:val="22"/>
          <w:szCs w:val="22"/>
        </w:rPr>
        <w:t xml:space="preserve">any of </w:t>
      </w:r>
      <w:r>
        <w:rPr>
          <w:rFonts w:ascii="Verdana" w:hAnsi="Verdana"/>
          <w:sz w:val="22"/>
          <w:szCs w:val="22"/>
        </w:rPr>
        <w:t>Canberra</w:t>
      </w:r>
      <w:r w:rsidR="00A129A2">
        <w:rPr>
          <w:rFonts w:ascii="Verdana" w:hAnsi="Verdana"/>
          <w:sz w:val="22"/>
          <w:szCs w:val="22"/>
        </w:rPr>
        <w:t xml:space="preserve">, </w:t>
      </w:r>
      <w:r>
        <w:rPr>
          <w:rFonts w:ascii="Verdana" w:hAnsi="Verdana"/>
          <w:sz w:val="22"/>
          <w:szCs w:val="22"/>
        </w:rPr>
        <w:t xml:space="preserve">Sydney </w:t>
      </w:r>
      <w:r w:rsidR="00A129A2">
        <w:rPr>
          <w:rFonts w:ascii="Verdana" w:hAnsi="Verdana"/>
          <w:sz w:val="22"/>
          <w:szCs w:val="22"/>
        </w:rPr>
        <w:t xml:space="preserve">and </w:t>
      </w:r>
      <w:r>
        <w:rPr>
          <w:rFonts w:ascii="Verdana" w:hAnsi="Verdana"/>
          <w:sz w:val="22"/>
          <w:szCs w:val="22"/>
        </w:rPr>
        <w:t>Melbourne.</w:t>
      </w:r>
    </w:p>
    <w:p w14:paraId="071FE26E" w14:textId="0B2ED9D5" w:rsidR="00BF4122" w:rsidRDefault="00BF4122" w:rsidP="7D44B6DC">
      <w:pPr>
        <w:pStyle w:val="ListParagraph"/>
        <w:numPr>
          <w:ilvl w:val="0"/>
          <w:numId w:val="22"/>
        </w:numPr>
        <w:tabs>
          <w:tab w:val="clear" w:pos="786"/>
          <w:tab w:val="num" w:pos="426"/>
        </w:tabs>
        <w:spacing w:before="120" w:after="120" w:line="276" w:lineRule="auto"/>
        <w:ind w:left="426" w:hanging="426"/>
        <w:rPr>
          <w:rFonts w:ascii="Verdana" w:hAnsi="Verdana"/>
          <w:sz w:val="22"/>
          <w:szCs w:val="22"/>
        </w:rPr>
      </w:pPr>
      <w:r w:rsidRPr="7D44B6DC">
        <w:rPr>
          <w:rFonts w:ascii="Verdana" w:hAnsi="Verdana"/>
          <w:sz w:val="22"/>
          <w:szCs w:val="22"/>
        </w:rPr>
        <w:t xml:space="preserve">The Tribunal received </w:t>
      </w:r>
      <w:r w:rsidR="00061062">
        <w:rPr>
          <w:rFonts w:ascii="Verdana" w:hAnsi="Verdana"/>
          <w:sz w:val="22"/>
          <w:szCs w:val="22"/>
        </w:rPr>
        <w:t>16</w:t>
      </w:r>
      <w:r w:rsidRPr="7D44B6DC">
        <w:rPr>
          <w:rFonts w:ascii="Verdana" w:hAnsi="Verdana"/>
          <w:sz w:val="22"/>
          <w:szCs w:val="22"/>
        </w:rPr>
        <w:t xml:space="preserve"> responses to Ms Kramer’s request. </w:t>
      </w:r>
    </w:p>
    <w:p w14:paraId="5729DCBD" w14:textId="77777777" w:rsidR="00BF4122" w:rsidRPr="00BF4122" w:rsidRDefault="00BF4122" w:rsidP="00BF4122">
      <w:pPr>
        <w:tabs>
          <w:tab w:val="num" w:pos="426"/>
        </w:tabs>
        <w:spacing w:before="120" w:after="120" w:line="276" w:lineRule="auto"/>
        <w:rPr>
          <w:rFonts w:ascii="Verdana" w:hAnsi="Verdana"/>
          <w:i/>
          <w:sz w:val="22"/>
          <w:szCs w:val="22"/>
        </w:rPr>
      </w:pPr>
      <w:r w:rsidRPr="00BF4122">
        <w:rPr>
          <w:rFonts w:ascii="Verdana" w:hAnsi="Verdana"/>
          <w:i/>
          <w:sz w:val="22"/>
          <w:szCs w:val="22"/>
        </w:rPr>
        <w:t>Review of Travel and Motor Vehicle Allowances</w:t>
      </w:r>
    </w:p>
    <w:p w14:paraId="2F812A3A" w14:textId="296673CE" w:rsidR="00DA20A9" w:rsidRDefault="00DA20A9"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 xml:space="preserve">There was no consultation on this matter </w:t>
      </w:r>
      <w:r w:rsidR="00F32EC1">
        <w:rPr>
          <w:rFonts w:ascii="Verdana" w:hAnsi="Verdana"/>
          <w:sz w:val="22"/>
          <w:szCs w:val="22"/>
        </w:rPr>
        <w:t>noting</w:t>
      </w:r>
      <w:r>
        <w:rPr>
          <w:rFonts w:ascii="Verdana" w:hAnsi="Verdana"/>
          <w:sz w:val="22"/>
          <w:szCs w:val="22"/>
        </w:rPr>
        <w:t xml:space="preserve"> it is the Tribunal’s practice to review each year, the travel and motor vehicle allowances applicable to office holders for which it determines remuneration.</w:t>
      </w:r>
    </w:p>
    <w:p w14:paraId="31E214E6" w14:textId="30F5F63B" w:rsidR="00DA20A9" w:rsidRDefault="00DA20A9"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The Tribunal did not receive any submissions on this matter.</w:t>
      </w:r>
    </w:p>
    <w:p w14:paraId="66F3F319" w14:textId="5AF99922" w:rsidR="00DA20A9" w:rsidRPr="00D02FCB" w:rsidRDefault="00231A42" w:rsidP="001366CB">
      <w:pPr>
        <w:pStyle w:val="ListParagraph"/>
        <w:numPr>
          <w:ilvl w:val="0"/>
          <w:numId w:val="22"/>
        </w:numPr>
        <w:tabs>
          <w:tab w:val="clear" w:pos="786"/>
          <w:tab w:val="num" w:pos="426"/>
        </w:tabs>
        <w:spacing w:before="120" w:after="120" w:line="276" w:lineRule="auto"/>
        <w:ind w:left="425" w:hanging="425"/>
        <w:contextualSpacing w:val="0"/>
        <w:rPr>
          <w:rFonts w:ascii="Verdana" w:hAnsi="Verdana"/>
          <w:sz w:val="22"/>
          <w:szCs w:val="22"/>
        </w:rPr>
      </w:pPr>
      <w:r w:rsidRPr="11D9F4F6">
        <w:rPr>
          <w:rFonts w:ascii="Verdana" w:hAnsi="Verdana"/>
          <w:sz w:val="22"/>
          <w:szCs w:val="22"/>
        </w:rPr>
        <w:lastRenderedPageBreak/>
        <w:t>In conducting this review, making this determination and adjusting travel allowance rates the Tribunal has relied on Taxation Determination TD 202</w:t>
      </w:r>
      <w:r w:rsidR="00083719" w:rsidRPr="11D9F4F6">
        <w:rPr>
          <w:rFonts w:ascii="Verdana" w:hAnsi="Verdana"/>
          <w:sz w:val="22"/>
          <w:szCs w:val="22"/>
        </w:rPr>
        <w:t>5</w:t>
      </w:r>
      <w:r w:rsidRPr="11D9F4F6">
        <w:rPr>
          <w:rFonts w:ascii="Verdana" w:hAnsi="Verdana"/>
          <w:sz w:val="22"/>
          <w:szCs w:val="22"/>
        </w:rPr>
        <w:t>/</w:t>
      </w:r>
      <w:r w:rsidR="00083719" w:rsidRPr="11D9F4F6">
        <w:rPr>
          <w:rFonts w:ascii="Verdana" w:hAnsi="Verdana"/>
          <w:sz w:val="22"/>
          <w:szCs w:val="22"/>
        </w:rPr>
        <w:t>4</w:t>
      </w:r>
      <w:r w:rsidRPr="11D9F4F6">
        <w:rPr>
          <w:rFonts w:ascii="Verdana" w:hAnsi="Verdana"/>
          <w:sz w:val="22"/>
          <w:szCs w:val="22"/>
        </w:rPr>
        <w:t>:</w:t>
      </w:r>
      <w:r w:rsidRPr="11D9F4F6">
        <w:rPr>
          <w:rFonts w:ascii="Verdana" w:hAnsi="Verdana"/>
          <w:i/>
          <w:iCs/>
          <w:sz w:val="22"/>
          <w:szCs w:val="22"/>
        </w:rPr>
        <w:t xml:space="preserve"> </w:t>
      </w:r>
      <w:r w:rsidRPr="11D9F4F6">
        <w:rPr>
          <w:rFonts w:ascii="Verdana" w:hAnsi="Verdana"/>
          <w:sz w:val="22"/>
          <w:szCs w:val="22"/>
        </w:rPr>
        <w:t xml:space="preserve">Income tax: what are the reasonable travel and overtime meal allowance expense </w:t>
      </w:r>
      <w:r w:rsidR="000C33C7" w:rsidRPr="11D9F4F6">
        <w:rPr>
          <w:rFonts w:ascii="Verdana" w:hAnsi="Verdana"/>
          <w:sz w:val="22"/>
          <w:szCs w:val="22"/>
        </w:rPr>
        <w:t>amounts</w:t>
      </w:r>
      <w:r w:rsidRPr="11D9F4F6">
        <w:rPr>
          <w:rFonts w:ascii="Verdana" w:hAnsi="Verdana"/>
          <w:sz w:val="22"/>
          <w:szCs w:val="22"/>
        </w:rPr>
        <w:t xml:space="preserve"> for the 202</w:t>
      </w:r>
      <w:r w:rsidR="00083719" w:rsidRPr="11D9F4F6">
        <w:rPr>
          <w:rFonts w:ascii="Verdana" w:hAnsi="Verdana"/>
          <w:sz w:val="22"/>
          <w:szCs w:val="22"/>
        </w:rPr>
        <w:t>5</w:t>
      </w:r>
      <w:r w:rsidR="00FE4FCB" w:rsidRPr="11D9F4F6">
        <w:rPr>
          <w:rFonts w:ascii="Verdana" w:hAnsi="Verdana"/>
          <w:sz w:val="22"/>
          <w:szCs w:val="22"/>
        </w:rPr>
        <w:t>–</w:t>
      </w:r>
      <w:r w:rsidRPr="11D9F4F6">
        <w:rPr>
          <w:rFonts w:ascii="Verdana" w:hAnsi="Verdana"/>
          <w:sz w:val="22"/>
          <w:szCs w:val="22"/>
        </w:rPr>
        <w:t>2</w:t>
      </w:r>
      <w:r w:rsidR="00083719" w:rsidRPr="11D9F4F6">
        <w:rPr>
          <w:rFonts w:ascii="Verdana" w:hAnsi="Verdana"/>
          <w:sz w:val="22"/>
          <w:szCs w:val="22"/>
        </w:rPr>
        <w:t>6</w:t>
      </w:r>
      <w:r w:rsidRPr="11D9F4F6">
        <w:rPr>
          <w:rFonts w:ascii="Verdana" w:hAnsi="Verdana"/>
          <w:sz w:val="22"/>
          <w:szCs w:val="22"/>
        </w:rPr>
        <w:t xml:space="preserve"> income year? </w:t>
      </w:r>
    </w:p>
    <w:p w14:paraId="4E63412E" w14:textId="6204F1AC" w:rsidR="00231A42" w:rsidRDefault="00231A42"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sidRPr="00D02FCB">
        <w:rPr>
          <w:rFonts w:ascii="Verdana" w:hAnsi="Verdana"/>
          <w:sz w:val="22"/>
          <w:szCs w:val="22"/>
        </w:rPr>
        <w:t>Amongst other things</w:t>
      </w:r>
      <w:r w:rsidR="0049293F">
        <w:rPr>
          <w:rFonts w:ascii="Verdana" w:hAnsi="Verdana"/>
          <w:sz w:val="22"/>
          <w:szCs w:val="22"/>
        </w:rPr>
        <w:t>,</w:t>
      </w:r>
      <w:r w:rsidRPr="00D02FCB">
        <w:rPr>
          <w:rFonts w:ascii="Verdana" w:hAnsi="Verdana"/>
          <w:sz w:val="22"/>
          <w:szCs w:val="22"/>
        </w:rPr>
        <w:t xml:space="preserve"> the determination sets out the amounts that the Commissioner of Taxation considers are reasonable for the substantiation exception in Subdivision 900-B of the </w:t>
      </w:r>
      <w:r w:rsidRPr="00D02FCB">
        <w:rPr>
          <w:rFonts w:ascii="Verdana" w:hAnsi="Verdana"/>
          <w:i/>
          <w:sz w:val="22"/>
          <w:szCs w:val="22"/>
        </w:rPr>
        <w:t>Income Tax Assessment Act 1997</w:t>
      </w:r>
      <w:r w:rsidRPr="00D02FCB">
        <w:rPr>
          <w:rFonts w:ascii="Verdana" w:hAnsi="Verdana"/>
          <w:sz w:val="22"/>
          <w:szCs w:val="22"/>
        </w:rPr>
        <w:t xml:space="preserve"> for the 20</w:t>
      </w:r>
      <w:r w:rsidR="00083719">
        <w:rPr>
          <w:rFonts w:ascii="Verdana" w:hAnsi="Verdana"/>
          <w:sz w:val="22"/>
          <w:szCs w:val="22"/>
        </w:rPr>
        <w:t>25</w:t>
      </w:r>
      <w:r w:rsidRPr="00D02FCB">
        <w:rPr>
          <w:rFonts w:ascii="Verdana" w:hAnsi="Verdana"/>
          <w:sz w:val="22"/>
          <w:szCs w:val="22"/>
        </w:rPr>
        <w:t>–2</w:t>
      </w:r>
      <w:r w:rsidR="00083719">
        <w:rPr>
          <w:rFonts w:ascii="Verdana" w:hAnsi="Verdana"/>
          <w:sz w:val="22"/>
          <w:szCs w:val="22"/>
        </w:rPr>
        <w:t>6</w:t>
      </w:r>
      <w:r w:rsidRPr="00D02FCB">
        <w:rPr>
          <w:rFonts w:ascii="Verdana" w:hAnsi="Verdana"/>
          <w:sz w:val="22"/>
          <w:szCs w:val="22"/>
        </w:rPr>
        <w:t xml:space="preserve"> income year in relation</w:t>
      </w:r>
      <w:r w:rsidRPr="00231A42">
        <w:rPr>
          <w:rFonts w:ascii="Verdana" w:hAnsi="Verdana"/>
          <w:sz w:val="22"/>
          <w:szCs w:val="22"/>
        </w:rPr>
        <w:t xml:space="preserve"> to claims made by employees for domestic travel expenses and overseas travel expenses.</w:t>
      </w:r>
    </w:p>
    <w:p w14:paraId="1325656A" w14:textId="4D4DC9EB" w:rsidR="00DA20A9" w:rsidRPr="00E1116F" w:rsidRDefault="000C33C7"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TD 202</w:t>
      </w:r>
      <w:r w:rsidR="00083719">
        <w:rPr>
          <w:rFonts w:ascii="Verdana" w:hAnsi="Verdana"/>
          <w:sz w:val="22"/>
          <w:szCs w:val="22"/>
        </w:rPr>
        <w:t>5</w:t>
      </w:r>
      <w:r w:rsidR="009D65BF">
        <w:rPr>
          <w:rFonts w:ascii="Verdana" w:hAnsi="Verdana"/>
          <w:sz w:val="22"/>
          <w:szCs w:val="22"/>
        </w:rPr>
        <w:t>/</w:t>
      </w:r>
      <w:r w:rsidR="00083719">
        <w:rPr>
          <w:rFonts w:ascii="Verdana" w:hAnsi="Verdana"/>
          <w:sz w:val="22"/>
          <w:szCs w:val="22"/>
        </w:rPr>
        <w:t>4</w:t>
      </w:r>
      <w:r w:rsidR="009D65BF">
        <w:rPr>
          <w:rFonts w:ascii="Verdana" w:hAnsi="Verdana"/>
          <w:sz w:val="22"/>
          <w:szCs w:val="22"/>
        </w:rPr>
        <w:t xml:space="preserve"> </w:t>
      </w:r>
      <w:r w:rsidR="009D65BF" w:rsidRPr="009D65BF">
        <w:rPr>
          <w:rFonts w:ascii="Verdana" w:hAnsi="Verdana"/>
          <w:sz w:val="22"/>
          <w:szCs w:val="22"/>
        </w:rPr>
        <w:t xml:space="preserve">is a public ruling for the purposes of the </w:t>
      </w:r>
      <w:r w:rsidR="009D65BF" w:rsidRPr="00D02FCB">
        <w:rPr>
          <w:rFonts w:ascii="Verdana" w:hAnsi="Verdana"/>
          <w:i/>
          <w:sz w:val="22"/>
          <w:szCs w:val="22"/>
        </w:rPr>
        <w:t>Taxation Administration Act 1953</w:t>
      </w:r>
      <w:r w:rsidR="009D65BF" w:rsidRPr="009D65BF">
        <w:rPr>
          <w:rFonts w:ascii="Verdana" w:hAnsi="Verdana"/>
          <w:sz w:val="22"/>
          <w:szCs w:val="22"/>
        </w:rPr>
        <w:t xml:space="preserve"> and is available online at</w:t>
      </w:r>
      <w:r w:rsidR="009D65BF">
        <w:rPr>
          <w:rFonts w:ascii="Verdana" w:hAnsi="Verdana"/>
          <w:sz w:val="22"/>
          <w:szCs w:val="22"/>
        </w:rPr>
        <w:t xml:space="preserve"> </w:t>
      </w:r>
      <w:r w:rsidR="00BF4122" w:rsidRPr="00621E8F">
        <w:rPr>
          <w:rFonts w:ascii="Verdana" w:eastAsia="Verdana" w:hAnsi="Verdana" w:cs="Verdana"/>
          <w:sz w:val="22"/>
          <w:szCs w:val="22"/>
          <w:lang w:eastAsia="en-AU" w:bidi="en-AU"/>
        </w:rPr>
        <w:t>https://www.ato.gov.au/law/view/document?docid=TXD/TD20254/NAT/ATO/00001</w:t>
      </w:r>
      <w:r w:rsidR="00BF4122">
        <w:rPr>
          <w:rFonts w:ascii="Verdana" w:eastAsia="Verdana" w:hAnsi="Verdana" w:cs="Verdana"/>
          <w:sz w:val="22"/>
          <w:szCs w:val="22"/>
          <w:lang w:eastAsia="en-AU" w:bidi="en-AU"/>
        </w:rPr>
        <w:t>.</w:t>
      </w:r>
    </w:p>
    <w:p w14:paraId="0A37E96E" w14:textId="0DB4639A" w:rsidR="009D65BF" w:rsidRPr="00447BFA" w:rsidRDefault="7444C987" w:rsidP="003E276D">
      <w:pPr>
        <w:pStyle w:val="ListParagraph"/>
        <w:numPr>
          <w:ilvl w:val="0"/>
          <w:numId w:val="22"/>
        </w:numPr>
        <w:tabs>
          <w:tab w:val="clear" w:pos="786"/>
          <w:tab w:val="num" w:pos="426"/>
        </w:tabs>
        <w:spacing w:before="120" w:after="120" w:line="276" w:lineRule="auto"/>
        <w:ind w:left="425" w:hanging="425"/>
        <w:contextualSpacing w:val="0"/>
        <w:rPr>
          <w:rFonts w:ascii="Verdana" w:hAnsi="Verdana"/>
          <w:sz w:val="22"/>
          <w:szCs w:val="22"/>
        </w:rPr>
      </w:pPr>
      <w:r w:rsidRPr="4DDB4D5C">
        <w:rPr>
          <w:rFonts w:ascii="Verdana" w:hAnsi="Verdana"/>
          <w:sz w:val="22"/>
          <w:szCs w:val="22"/>
        </w:rPr>
        <w:t xml:space="preserve">In making this </w:t>
      </w:r>
      <w:r w:rsidR="7F5DCF72" w:rsidRPr="4DDB4D5C">
        <w:rPr>
          <w:rFonts w:ascii="Verdana" w:hAnsi="Verdana"/>
          <w:sz w:val="22"/>
          <w:szCs w:val="22"/>
        </w:rPr>
        <w:t>D</w:t>
      </w:r>
      <w:r w:rsidRPr="4DDB4D5C">
        <w:rPr>
          <w:rFonts w:ascii="Verdana" w:hAnsi="Verdana"/>
          <w:sz w:val="22"/>
          <w:szCs w:val="22"/>
        </w:rPr>
        <w:t>etermination</w:t>
      </w:r>
      <w:r w:rsidR="7F5DCF72" w:rsidRPr="4DDB4D5C">
        <w:rPr>
          <w:rFonts w:ascii="Verdana" w:hAnsi="Verdana"/>
          <w:sz w:val="22"/>
          <w:szCs w:val="22"/>
        </w:rPr>
        <w:t>,</w:t>
      </w:r>
      <w:r w:rsidRPr="4DDB4D5C">
        <w:rPr>
          <w:rFonts w:ascii="Verdana" w:hAnsi="Verdana"/>
          <w:sz w:val="22"/>
          <w:szCs w:val="22"/>
        </w:rPr>
        <w:t xml:space="preserve"> the Tribunal decided that the</w:t>
      </w:r>
      <w:r w:rsidR="45CB3ABC" w:rsidRPr="4DDB4D5C">
        <w:rPr>
          <w:rFonts w:ascii="Verdana" w:hAnsi="Verdana"/>
          <w:sz w:val="22"/>
          <w:szCs w:val="22"/>
        </w:rPr>
        <w:t xml:space="preserve"> arrangements set out </w:t>
      </w:r>
      <w:r w:rsidR="3A87C5DC" w:rsidRPr="4DDB4D5C">
        <w:rPr>
          <w:rFonts w:ascii="Verdana" w:hAnsi="Verdana"/>
          <w:sz w:val="22"/>
          <w:szCs w:val="22"/>
        </w:rPr>
        <w:t xml:space="preserve">in the </w:t>
      </w:r>
      <w:r w:rsidRPr="4DDB4D5C">
        <w:rPr>
          <w:rFonts w:ascii="Verdana" w:hAnsi="Verdana"/>
          <w:sz w:val="22"/>
          <w:szCs w:val="22"/>
        </w:rPr>
        <w:t>Table of countries of TD 202</w:t>
      </w:r>
      <w:r w:rsidR="45CB3ABC" w:rsidRPr="4DDB4D5C">
        <w:rPr>
          <w:rFonts w:ascii="Verdana" w:hAnsi="Verdana"/>
          <w:sz w:val="22"/>
          <w:szCs w:val="22"/>
        </w:rPr>
        <w:t>5</w:t>
      </w:r>
      <w:r w:rsidRPr="4DDB4D5C">
        <w:rPr>
          <w:rFonts w:ascii="Verdana" w:hAnsi="Verdana"/>
          <w:sz w:val="22"/>
          <w:szCs w:val="22"/>
        </w:rPr>
        <w:t>/</w:t>
      </w:r>
      <w:r w:rsidR="45CB3ABC" w:rsidRPr="4DDB4D5C">
        <w:rPr>
          <w:rFonts w:ascii="Verdana" w:hAnsi="Verdana"/>
          <w:sz w:val="22"/>
          <w:szCs w:val="22"/>
        </w:rPr>
        <w:t>4</w:t>
      </w:r>
      <w:r w:rsidRPr="4DDB4D5C">
        <w:rPr>
          <w:rFonts w:ascii="Verdana" w:hAnsi="Verdana"/>
          <w:sz w:val="22"/>
          <w:szCs w:val="22"/>
        </w:rPr>
        <w:t xml:space="preserve"> are appropriate for office holders in its jurisdiction to cover meal and incidental expenses incurred while travelling overseas.</w:t>
      </w:r>
      <w:r w:rsidR="0C026FBF" w:rsidRPr="4DDB4D5C">
        <w:rPr>
          <w:rFonts w:ascii="Verdana" w:hAnsi="Verdana"/>
          <w:sz w:val="22"/>
          <w:szCs w:val="22"/>
        </w:rPr>
        <w:t xml:space="preserve"> </w:t>
      </w:r>
      <w:r w:rsidRPr="4DDB4D5C">
        <w:rPr>
          <w:rFonts w:ascii="Verdana" w:hAnsi="Verdana"/>
          <w:sz w:val="22"/>
          <w:szCs w:val="22"/>
        </w:rPr>
        <w:t>Rather than replicate the detailed tables and related allowance rates in its determination</w:t>
      </w:r>
      <w:r w:rsidR="667D20C8" w:rsidRPr="4DDB4D5C">
        <w:rPr>
          <w:rFonts w:ascii="Verdana" w:hAnsi="Verdana"/>
          <w:sz w:val="22"/>
          <w:szCs w:val="22"/>
        </w:rPr>
        <w:t>,</w:t>
      </w:r>
      <w:r w:rsidRPr="4DDB4D5C">
        <w:rPr>
          <w:rFonts w:ascii="Verdana" w:hAnsi="Verdana"/>
          <w:sz w:val="22"/>
          <w:szCs w:val="22"/>
        </w:rPr>
        <w:t xml:space="preserve"> the Tribunal has incorporated these by reference to TD 202</w:t>
      </w:r>
      <w:r w:rsidR="45CB3ABC" w:rsidRPr="4DDB4D5C">
        <w:rPr>
          <w:rFonts w:ascii="Verdana" w:hAnsi="Verdana"/>
          <w:sz w:val="22"/>
          <w:szCs w:val="22"/>
        </w:rPr>
        <w:t>5</w:t>
      </w:r>
      <w:r w:rsidRPr="4DDB4D5C">
        <w:rPr>
          <w:rFonts w:ascii="Verdana" w:hAnsi="Verdana"/>
          <w:sz w:val="22"/>
          <w:szCs w:val="22"/>
        </w:rPr>
        <w:t>/</w:t>
      </w:r>
      <w:r w:rsidR="45CB3ABC" w:rsidRPr="4DDB4D5C">
        <w:rPr>
          <w:rFonts w:ascii="Verdana" w:hAnsi="Verdana"/>
          <w:sz w:val="22"/>
          <w:szCs w:val="22"/>
        </w:rPr>
        <w:t>4</w:t>
      </w:r>
      <w:r w:rsidRPr="4DDB4D5C">
        <w:rPr>
          <w:rFonts w:ascii="Verdana" w:hAnsi="Verdana"/>
          <w:sz w:val="22"/>
          <w:szCs w:val="22"/>
        </w:rPr>
        <w:t>.</w:t>
      </w:r>
      <w:r w:rsidR="0C026FBF" w:rsidRPr="4DDB4D5C">
        <w:rPr>
          <w:rFonts w:ascii="Verdana" w:hAnsi="Verdana"/>
          <w:sz w:val="22"/>
          <w:szCs w:val="22"/>
        </w:rPr>
        <w:t xml:space="preserve"> </w:t>
      </w:r>
      <w:r w:rsidRPr="4DDB4D5C">
        <w:rPr>
          <w:rFonts w:ascii="Verdana" w:hAnsi="Verdana"/>
          <w:sz w:val="22"/>
          <w:szCs w:val="22"/>
        </w:rPr>
        <w:t>The Tribunal has aligned the cost groups contained in TD 202</w:t>
      </w:r>
      <w:r w:rsidR="45CB3ABC" w:rsidRPr="4DDB4D5C">
        <w:rPr>
          <w:rFonts w:ascii="Verdana" w:hAnsi="Verdana"/>
          <w:sz w:val="22"/>
          <w:szCs w:val="22"/>
        </w:rPr>
        <w:t>5</w:t>
      </w:r>
      <w:r w:rsidRPr="4DDB4D5C">
        <w:rPr>
          <w:rFonts w:ascii="Verdana" w:hAnsi="Verdana"/>
          <w:sz w:val="22"/>
          <w:szCs w:val="22"/>
        </w:rPr>
        <w:t>/</w:t>
      </w:r>
      <w:r w:rsidR="45CB3ABC" w:rsidRPr="4DDB4D5C">
        <w:rPr>
          <w:rFonts w:ascii="Verdana" w:hAnsi="Verdana"/>
          <w:sz w:val="22"/>
          <w:szCs w:val="22"/>
        </w:rPr>
        <w:t>4</w:t>
      </w:r>
      <w:r w:rsidRPr="4DDB4D5C">
        <w:rPr>
          <w:rFonts w:ascii="Verdana" w:hAnsi="Verdana"/>
          <w:sz w:val="22"/>
          <w:szCs w:val="22"/>
        </w:rPr>
        <w:t xml:space="preserve"> to the travel tiers that it sets from time to time for office holders.</w:t>
      </w:r>
    </w:p>
    <w:p w14:paraId="164B527B" w14:textId="649CCCD6" w:rsidR="00B522DE" w:rsidRDefault="00447BFA"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sidRPr="00447BFA">
        <w:rPr>
          <w:rFonts w:ascii="Verdana" w:hAnsi="Verdana"/>
          <w:sz w:val="22"/>
          <w:szCs w:val="22"/>
        </w:rPr>
        <w:t xml:space="preserve">The Tribunal </w:t>
      </w:r>
      <w:r w:rsidR="0049293F">
        <w:rPr>
          <w:rFonts w:ascii="Verdana" w:hAnsi="Verdana"/>
          <w:sz w:val="22"/>
          <w:szCs w:val="22"/>
        </w:rPr>
        <w:t>has aligned</w:t>
      </w:r>
      <w:r w:rsidRPr="00447BFA">
        <w:rPr>
          <w:rFonts w:ascii="Verdana" w:hAnsi="Verdana"/>
          <w:sz w:val="22"/>
          <w:szCs w:val="22"/>
        </w:rPr>
        <w:t xml:space="preserve"> the motor vehicle allowance with the rate for the cents per kilometre method of calculating income tax deductions for work-related car expenses </w:t>
      </w:r>
      <w:r w:rsidR="0098193B">
        <w:rPr>
          <w:rFonts w:ascii="Verdana" w:hAnsi="Verdana"/>
          <w:sz w:val="22"/>
          <w:szCs w:val="22"/>
        </w:rPr>
        <w:t>as</w:t>
      </w:r>
      <w:r w:rsidRPr="00447BFA">
        <w:rPr>
          <w:rFonts w:ascii="Verdana" w:hAnsi="Verdana"/>
          <w:sz w:val="22"/>
          <w:szCs w:val="22"/>
        </w:rPr>
        <w:t xml:space="preserve"> determined by the Commissioner of Taxation in accordance with subsection 28-25(4) of the Income Tax Assessment Act.</w:t>
      </w:r>
      <w:r w:rsidR="00FE4FCB">
        <w:rPr>
          <w:rFonts w:ascii="Verdana" w:hAnsi="Verdana"/>
          <w:sz w:val="22"/>
          <w:szCs w:val="22"/>
        </w:rPr>
        <w:t xml:space="preserve"> </w:t>
      </w:r>
      <w:r w:rsidRPr="00447BFA">
        <w:rPr>
          <w:rFonts w:ascii="Verdana" w:hAnsi="Verdana"/>
          <w:sz w:val="22"/>
          <w:szCs w:val="22"/>
        </w:rPr>
        <w:t xml:space="preserve">The current instrument </w:t>
      </w:r>
      <w:r w:rsidRPr="00D02FCB">
        <w:rPr>
          <w:rFonts w:ascii="Verdana" w:hAnsi="Verdana"/>
          <w:sz w:val="22"/>
          <w:szCs w:val="22"/>
        </w:rPr>
        <w:t xml:space="preserve">is </w:t>
      </w:r>
      <w:r w:rsidRPr="005F2D02">
        <w:rPr>
          <w:rFonts w:ascii="Verdana" w:hAnsi="Verdana"/>
          <w:sz w:val="22"/>
          <w:szCs w:val="22"/>
        </w:rPr>
        <w:t>Income Tax Assessment</w:t>
      </w:r>
      <w:r w:rsidR="00E1116F" w:rsidRPr="005F2D02">
        <w:rPr>
          <w:rFonts w:ascii="Verdana" w:hAnsi="Verdana"/>
          <w:sz w:val="22"/>
          <w:szCs w:val="22"/>
        </w:rPr>
        <w:t xml:space="preserve"> (</w:t>
      </w:r>
      <w:r w:rsidRPr="005F2D02">
        <w:rPr>
          <w:rFonts w:ascii="Verdana" w:hAnsi="Verdana"/>
          <w:sz w:val="22"/>
          <w:szCs w:val="22"/>
        </w:rPr>
        <w:t>Cents per Kilometre Deduction Rate for Car Expenses</w:t>
      </w:r>
      <w:r w:rsidR="00E1116F" w:rsidRPr="005F2D02">
        <w:rPr>
          <w:rFonts w:ascii="Verdana" w:hAnsi="Verdana"/>
          <w:sz w:val="22"/>
          <w:szCs w:val="22"/>
        </w:rPr>
        <w:t>)</w:t>
      </w:r>
      <w:r w:rsidRPr="005F2D02">
        <w:rPr>
          <w:rFonts w:ascii="Verdana" w:hAnsi="Verdana"/>
          <w:sz w:val="22"/>
          <w:szCs w:val="22"/>
        </w:rPr>
        <w:t xml:space="preserve"> Determination 202</w:t>
      </w:r>
      <w:r w:rsidR="00E1116F" w:rsidRPr="005F2D02">
        <w:rPr>
          <w:rFonts w:ascii="Verdana" w:hAnsi="Verdana"/>
          <w:sz w:val="22"/>
          <w:szCs w:val="22"/>
        </w:rPr>
        <w:t>4</w:t>
      </w:r>
      <w:r w:rsidRPr="005F2D02">
        <w:rPr>
          <w:rFonts w:ascii="Verdana" w:hAnsi="Verdana"/>
          <w:sz w:val="22"/>
          <w:szCs w:val="22"/>
        </w:rPr>
        <w:t xml:space="preserve"> </w:t>
      </w:r>
      <w:r w:rsidRPr="00D02FCB">
        <w:rPr>
          <w:rFonts w:ascii="Verdana" w:hAnsi="Verdana"/>
          <w:sz w:val="22"/>
          <w:szCs w:val="22"/>
        </w:rPr>
        <w:t>(MVE</w:t>
      </w:r>
      <w:r>
        <w:rPr>
          <w:rFonts w:ascii="Verdana" w:hAnsi="Verdana"/>
          <w:sz w:val="22"/>
          <w:szCs w:val="22"/>
        </w:rPr>
        <w:t xml:space="preserve"> 202</w:t>
      </w:r>
      <w:r w:rsidR="00E1116F">
        <w:rPr>
          <w:rFonts w:ascii="Verdana" w:hAnsi="Verdana"/>
          <w:sz w:val="22"/>
          <w:szCs w:val="22"/>
        </w:rPr>
        <w:t>4</w:t>
      </w:r>
      <w:r>
        <w:rPr>
          <w:rFonts w:ascii="Verdana" w:hAnsi="Verdana"/>
          <w:sz w:val="22"/>
          <w:szCs w:val="22"/>
        </w:rPr>
        <w:t xml:space="preserve">) </w:t>
      </w:r>
      <w:r w:rsidRPr="00447BFA">
        <w:rPr>
          <w:rFonts w:ascii="Verdana" w:hAnsi="Verdana"/>
          <w:sz w:val="22"/>
          <w:szCs w:val="22"/>
        </w:rPr>
        <w:t>which is available online a</w:t>
      </w:r>
      <w:r w:rsidRPr="000C33C7">
        <w:rPr>
          <w:rFonts w:ascii="Verdana" w:hAnsi="Verdana"/>
          <w:sz w:val="22"/>
          <w:szCs w:val="22"/>
        </w:rPr>
        <w:t xml:space="preserve">t </w:t>
      </w:r>
      <w:r w:rsidR="00E1116F" w:rsidRPr="00621E8F">
        <w:rPr>
          <w:rFonts w:ascii="Verdana" w:eastAsiaTheme="minorEastAsia" w:hAnsi="Verdana" w:cs="Verdana"/>
          <w:sz w:val="22"/>
          <w:szCs w:val="22"/>
        </w:rPr>
        <w:t>https://www.legislation.gov.au/Detail</w:t>
      </w:r>
      <w:bookmarkStart w:id="0" w:name="_GoBack"/>
      <w:bookmarkEnd w:id="0"/>
      <w:r w:rsidR="00E1116F" w:rsidRPr="00621E8F">
        <w:rPr>
          <w:rFonts w:ascii="Verdana" w:eastAsiaTheme="minorEastAsia" w:hAnsi="Verdana" w:cs="Verdana"/>
          <w:sz w:val="22"/>
          <w:szCs w:val="22"/>
        </w:rPr>
        <w:t>s/F2024L00697</w:t>
      </w:r>
      <w:r w:rsidR="000C33C7">
        <w:rPr>
          <w:rFonts w:ascii="Verdana" w:hAnsi="Verdana"/>
          <w:sz w:val="22"/>
          <w:szCs w:val="22"/>
        </w:rPr>
        <w:t>.</w:t>
      </w:r>
    </w:p>
    <w:p w14:paraId="67AAFE0E" w14:textId="06A3C184" w:rsidR="00B522DE" w:rsidRDefault="00447BFA" w:rsidP="00FE4FCB">
      <w:pPr>
        <w:pStyle w:val="ListParagraph"/>
        <w:numPr>
          <w:ilvl w:val="0"/>
          <w:numId w:val="22"/>
        </w:numPr>
        <w:tabs>
          <w:tab w:val="clear" w:pos="786"/>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I</w:t>
      </w:r>
      <w:r w:rsidRPr="00447BFA">
        <w:rPr>
          <w:rFonts w:ascii="Verdana" w:hAnsi="Verdana"/>
          <w:sz w:val="22"/>
          <w:szCs w:val="22"/>
        </w:rPr>
        <w:t>n conducting this review, the Tribunal noted that the ATO ha</w:t>
      </w:r>
      <w:r w:rsidR="00083719">
        <w:rPr>
          <w:rFonts w:ascii="Verdana" w:hAnsi="Verdana"/>
          <w:sz w:val="22"/>
          <w:szCs w:val="22"/>
        </w:rPr>
        <w:t xml:space="preserve">s not </w:t>
      </w:r>
      <w:r w:rsidRPr="00447BFA">
        <w:rPr>
          <w:rFonts w:ascii="Verdana" w:hAnsi="Verdana"/>
          <w:sz w:val="22"/>
          <w:szCs w:val="22"/>
        </w:rPr>
        <w:t xml:space="preserve">adjusted its cents per kilometre rate </w:t>
      </w:r>
      <w:r w:rsidR="00083719">
        <w:rPr>
          <w:rFonts w:ascii="Verdana" w:hAnsi="Verdana"/>
          <w:sz w:val="22"/>
          <w:szCs w:val="22"/>
        </w:rPr>
        <w:t>in 2025.</w:t>
      </w:r>
      <w:r w:rsidR="00FE4FCB">
        <w:rPr>
          <w:rFonts w:ascii="Verdana" w:hAnsi="Verdana"/>
          <w:sz w:val="22"/>
          <w:szCs w:val="22"/>
        </w:rPr>
        <w:t xml:space="preserve"> </w:t>
      </w:r>
      <w:r w:rsidRPr="00447BFA">
        <w:rPr>
          <w:rFonts w:ascii="Verdana" w:hAnsi="Verdana"/>
          <w:sz w:val="22"/>
          <w:szCs w:val="22"/>
        </w:rPr>
        <w:t xml:space="preserve">The Tribunal has, accordingly, </w:t>
      </w:r>
      <w:r w:rsidR="00083719">
        <w:rPr>
          <w:rFonts w:ascii="Verdana" w:hAnsi="Verdana"/>
          <w:sz w:val="22"/>
          <w:szCs w:val="22"/>
        </w:rPr>
        <w:t>maintained the rate determined in 202</w:t>
      </w:r>
      <w:r w:rsidR="00BF4122">
        <w:rPr>
          <w:rFonts w:ascii="Verdana" w:hAnsi="Verdana"/>
          <w:sz w:val="22"/>
          <w:szCs w:val="22"/>
        </w:rPr>
        <w:t>4</w:t>
      </w:r>
      <w:r w:rsidR="00083719">
        <w:rPr>
          <w:rFonts w:ascii="Verdana" w:hAnsi="Verdana"/>
          <w:sz w:val="22"/>
          <w:szCs w:val="22"/>
        </w:rPr>
        <w:t>.</w:t>
      </w:r>
    </w:p>
    <w:p w14:paraId="29324B66" w14:textId="77777777" w:rsidR="00ED2810" w:rsidRPr="00ED2810" w:rsidRDefault="00ED2810" w:rsidP="00044C4A">
      <w:pPr>
        <w:keepNext/>
        <w:tabs>
          <w:tab w:val="num" w:pos="284"/>
        </w:tabs>
        <w:spacing w:before="120" w:after="120" w:line="276" w:lineRule="auto"/>
        <w:ind w:left="425" w:hanging="425"/>
        <w:jc w:val="both"/>
        <w:rPr>
          <w:rFonts w:ascii="Verdana" w:hAnsi="Verdana"/>
          <w:b/>
          <w:sz w:val="22"/>
          <w:szCs w:val="22"/>
        </w:rPr>
      </w:pPr>
      <w:r w:rsidRPr="00ED2810">
        <w:rPr>
          <w:rFonts w:ascii="Verdana" w:hAnsi="Verdana"/>
          <w:b/>
          <w:sz w:val="22"/>
          <w:szCs w:val="22"/>
        </w:rPr>
        <w:t>Exemption from sunsetting</w:t>
      </w:r>
    </w:p>
    <w:p w14:paraId="09834892" w14:textId="35746971" w:rsidR="00ED2810" w:rsidRPr="00ED2810" w:rsidRDefault="00ED2810" w:rsidP="00FE4FCB">
      <w:pPr>
        <w:pStyle w:val="ListParagraph"/>
        <w:numPr>
          <w:ilvl w:val="0"/>
          <w:numId w:val="22"/>
        </w:numPr>
        <w:spacing w:before="120" w:after="12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005F2D02">
        <w:rPr>
          <w:rFonts w:ascii="Verdana" w:hAnsi="Verdana"/>
          <w:sz w:val="22"/>
          <w:szCs w:val="22"/>
        </w:rPr>
        <w:t>Act</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0C83CB94" w14:textId="77777777" w:rsidR="00ED2810" w:rsidRPr="00ED2810" w:rsidRDefault="00ED2810" w:rsidP="00FE4FCB">
      <w:pPr>
        <w:pStyle w:val="ListParagraph"/>
        <w:numPr>
          <w:ilvl w:val="0"/>
          <w:numId w:val="22"/>
        </w:numPr>
        <w:spacing w:before="120" w:after="12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3725ABA2" w14:textId="598D095C" w:rsidR="00ED2810" w:rsidRPr="00ED2810" w:rsidRDefault="00ED2810" w:rsidP="00FE4FCB">
      <w:pPr>
        <w:pStyle w:val="ListParagraph"/>
        <w:numPr>
          <w:ilvl w:val="0"/>
          <w:numId w:val="22"/>
        </w:numPr>
        <w:spacing w:before="120" w:after="12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th</w:t>
      </w:r>
      <w:r w:rsidR="004C15F9">
        <w:rPr>
          <w:rFonts w:ascii="Verdana" w:hAnsi="Verdana"/>
          <w:sz w:val="22"/>
          <w:szCs w:val="22"/>
        </w:rPr>
        <w:t xml:space="preserve">is </w:t>
      </w:r>
      <w:r w:rsidRPr="00ED2810">
        <w:rPr>
          <w:rFonts w:ascii="Verdana" w:hAnsi="Verdana"/>
          <w:sz w:val="22"/>
          <w:szCs w:val="22"/>
        </w:rPr>
        <w:t xml:space="preserve">principal determination </w:t>
      </w:r>
      <w:r w:rsidR="004C15F9">
        <w:rPr>
          <w:rFonts w:ascii="Verdana" w:hAnsi="Verdana"/>
          <w:sz w:val="22"/>
          <w:szCs w:val="22"/>
        </w:rPr>
        <w:t xml:space="preserve">is </w:t>
      </w:r>
      <w:r w:rsidRPr="00ED2810">
        <w:rPr>
          <w:rFonts w:ascii="Verdana" w:hAnsi="Verdana"/>
          <w:sz w:val="22"/>
          <w:szCs w:val="22"/>
        </w:rPr>
        <w:t>unlikely to have any practical effect beyond the usual 10 year sunsetting period.</w:t>
      </w:r>
      <w:r w:rsidR="00FE4FCB">
        <w:rPr>
          <w:rFonts w:ascii="Verdana" w:hAnsi="Verdana"/>
          <w:sz w:val="22"/>
          <w:szCs w:val="22"/>
        </w:rPr>
        <w:t xml:space="preserve"> </w:t>
      </w:r>
      <w:r w:rsidRPr="00ED2810">
        <w:rPr>
          <w:rFonts w:ascii="Verdana" w:hAnsi="Verdana"/>
          <w:sz w:val="22"/>
          <w:szCs w:val="22"/>
        </w:rPr>
        <w:t>As such, the exemption from sunsetting will not have a practical impact on parliamentary oversight of the relevant measures.</w:t>
      </w:r>
    </w:p>
    <w:p w14:paraId="02132E56" w14:textId="05A5927C" w:rsidR="00E35674" w:rsidRPr="00140909" w:rsidRDefault="00E35674" w:rsidP="004C15F9">
      <w:pPr>
        <w:keepNext/>
        <w:tabs>
          <w:tab w:val="num" w:pos="284"/>
        </w:tabs>
        <w:spacing w:before="120" w:after="120" w:line="276" w:lineRule="auto"/>
        <w:ind w:left="425" w:hanging="425"/>
        <w:jc w:val="both"/>
        <w:rPr>
          <w:rFonts w:ascii="Verdana" w:hAnsi="Verdana"/>
          <w:b/>
          <w:sz w:val="22"/>
          <w:szCs w:val="22"/>
        </w:rPr>
      </w:pPr>
      <w:r w:rsidRPr="00140909">
        <w:rPr>
          <w:rFonts w:ascii="Verdana" w:hAnsi="Verdana"/>
          <w:b/>
          <w:sz w:val="22"/>
          <w:szCs w:val="22"/>
        </w:rPr>
        <w:lastRenderedPageBreak/>
        <w:t>The power to repeal, rescind and revoke, amend and vary</w:t>
      </w:r>
    </w:p>
    <w:p w14:paraId="102948AD" w14:textId="1AD5C6C1" w:rsidR="00C265F8" w:rsidRPr="00140909" w:rsidRDefault="00E35674" w:rsidP="00FE4FCB">
      <w:pPr>
        <w:pStyle w:val="ListParagraph"/>
        <w:numPr>
          <w:ilvl w:val="0"/>
          <w:numId w:val="22"/>
        </w:numPr>
        <w:spacing w:before="120" w:after="120" w:line="276" w:lineRule="auto"/>
        <w:ind w:left="425" w:hanging="425"/>
        <w:contextualSpacing w:val="0"/>
        <w:rPr>
          <w:rFonts w:ascii="Verdana" w:hAnsi="Verdana"/>
          <w:sz w:val="22"/>
          <w:szCs w:val="22"/>
        </w:rPr>
      </w:pPr>
      <w:r w:rsidRPr="00C265F8">
        <w:rPr>
          <w:rFonts w:ascii="Verdana" w:hAnsi="Verdana"/>
          <w:sz w:val="22"/>
          <w:szCs w:val="22"/>
        </w:rPr>
        <w:t xml:space="preserve">Under subsection 33(3) of the </w:t>
      </w:r>
      <w:r w:rsidRPr="00C265F8">
        <w:rPr>
          <w:rFonts w:ascii="Verdana" w:hAnsi="Verdana"/>
          <w:i/>
          <w:sz w:val="22"/>
          <w:szCs w:val="22"/>
        </w:rPr>
        <w:t>Acts Interpretation Act 1901</w:t>
      </w:r>
      <w:r w:rsidRPr="00C265F8">
        <w:rPr>
          <w:rFonts w:ascii="Verdana" w:hAnsi="Verdana"/>
          <w:sz w:val="22"/>
          <w:szCs w:val="22"/>
        </w:rPr>
        <w:t>, where an Act confers a power to</w:t>
      </w:r>
      <w:r w:rsidR="000C2D03" w:rsidRPr="00C265F8">
        <w:rPr>
          <w:rFonts w:ascii="Verdana" w:hAnsi="Verdana"/>
          <w:sz w:val="22"/>
          <w:szCs w:val="22"/>
        </w:rPr>
        <w:t xml:space="preserve"> </w:t>
      </w:r>
      <w:r w:rsidRPr="00C265F8">
        <w:rPr>
          <w:rFonts w:ascii="Verdana" w:hAnsi="Verdana"/>
          <w:sz w:val="22"/>
          <w:szCs w:val="22"/>
        </w:rPr>
        <w:t>make, grant or issue any instrument of a legislative or administrative character (including rules, regulations or by-laws), the power shall be construed as including a power exercisable in the like manner and subject to the like conditions (if</w:t>
      </w:r>
      <w:r w:rsidR="00763184" w:rsidRPr="00C265F8">
        <w:rPr>
          <w:rFonts w:ascii="Verdana" w:hAnsi="Verdana"/>
          <w:sz w:val="22"/>
          <w:szCs w:val="22"/>
        </w:rPr>
        <w:t> </w:t>
      </w:r>
      <w:r w:rsidRPr="00C265F8">
        <w:rPr>
          <w:rFonts w:ascii="Verdana" w:hAnsi="Verdana"/>
          <w:sz w:val="22"/>
          <w:szCs w:val="22"/>
        </w:rPr>
        <w:t>any) to repeal, rescind, revoke, amend, or vary any such instrument.</w:t>
      </w:r>
      <w:r w:rsidR="00C265F8" w:rsidRPr="00C265F8">
        <w:rPr>
          <w:rFonts w:ascii="Verdana" w:hAnsi="Verdana"/>
          <w:sz w:val="22"/>
          <w:szCs w:val="22"/>
        </w:rPr>
        <w:t xml:space="preserve"> </w:t>
      </w:r>
    </w:p>
    <w:p w14:paraId="02132E58" w14:textId="34B856B0" w:rsidR="0047043A" w:rsidRPr="00E8158E" w:rsidRDefault="0047043A" w:rsidP="0050128C">
      <w:pPr>
        <w:spacing w:before="120" w:after="200" w:line="276" w:lineRule="auto"/>
        <w:jc w:val="both"/>
        <w:rPr>
          <w:rFonts w:ascii="Verdana" w:hAnsi="Verdana"/>
          <w:b/>
          <w:sz w:val="22"/>
          <w:szCs w:val="22"/>
        </w:rPr>
      </w:pPr>
      <w:r w:rsidRPr="00E8158E">
        <w:rPr>
          <w:rFonts w:ascii="Verdana" w:hAnsi="Verdana"/>
          <w:b/>
          <w:sz w:val="22"/>
          <w:szCs w:val="22"/>
        </w:rPr>
        <w:t>Details of the determination are as follows:</w:t>
      </w:r>
    </w:p>
    <w:p w14:paraId="02132E59" w14:textId="77777777" w:rsidR="00E260AF" w:rsidRPr="00140909" w:rsidRDefault="00E260AF" w:rsidP="0050128C">
      <w:pPr>
        <w:pStyle w:val="Heading1"/>
        <w:tabs>
          <w:tab w:val="num" w:pos="284"/>
        </w:tabs>
        <w:spacing w:before="120" w:after="120" w:line="276" w:lineRule="auto"/>
        <w:ind w:left="425" w:hanging="425"/>
        <w:jc w:val="both"/>
        <w:rPr>
          <w:rStyle w:val="Strong"/>
          <w:rFonts w:ascii="Verdana" w:hAnsi="Verdana" w:cs="Arial"/>
          <w:b/>
          <w:bCs/>
          <w:sz w:val="22"/>
          <w:szCs w:val="22"/>
          <w:u w:val="none"/>
        </w:rPr>
      </w:pPr>
      <w:bookmarkStart w:id="1" w:name="_Toc387670426"/>
      <w:r w:rsidRPr="00140909">
        <w:rPr>
          <w:rStyle w:val="Strong"/>
          <w:rFonts w:ascii="Verdana" w:hAnsi="Verdana" w:cs="Arial"/>
          <w:b/>
          <w:bCs/>
          <w:sz w:val="22"/>
          <w:szCs w:val="22"/>
          <w:u w:val="none"/>
        </w:rPr>
        <w:t xml:space="preserve">PART 1 - </w:t>
      </w:r>
      <w:bookmarkEnd w:id="1"/>
      <w:r w:rsidR="005922C7" w:rsidRPr="00140909">
        <w:rPr>
          <w:rStyle w:val="Strong"/>
          <w:rFonts w:ascii="Verdana" w:hAnsi="Verdana" w:cs="Arial"/>
          <w:b/>
          <w:bCs/>
          <w:sz w:val="22"/>
          <w:szCs w:val="22"/>
          <w:u w:val="none"/>
        </w:rPr>
        <w:t>PRELIMINARY</w:t>
      </w:r>
    </w:p>
    <w:p w14:paraId="13CCFDDF" w14:textId="6CA6DE47" w:rsidR="00061062"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Section 1 specifies the name of the instrument as the Remuneration Tribunal (Official Travel) Determination 2025.</w:t>
      </w:r>
    </w:p>
    <w:p w14:paraId="58AA43A0" w14:textId="61003172" w:rsidR="00061062"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7</w:t>
      </w:r>
      <w:r>
        <w:t> </w:t>
      </w:r>
      <w:r>
        <w:rPr>
          <w:rFonts w:ascii="Verdana" w:hAnsi="Verdana"/>
          <w:sz w:val="22"/>
          <w:szCs w:val="22"/>
        </w:rPr>
        <w:t>September 2025.</w:t>
      </w:r>
    </w:p>
    <w:p w14:paraId="5F75D4FA" w14:textId="0F30457D" w:rsidR="00061062"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Section 3 specifies that the instrument takes effect at the start of 7 September 2025.</w:t>
      </w:r>
    </w:p>
    <w:p w14:paraId="49E67B18" w14:textId="65585280" w:rsidR="00061062"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instruction, subsections 5(2A) and 7(3) and (4) of the </w:t>
      </w:r>
      <w:r w:rsidRPr="00061062">
        <w:rPr>
          <w:rFonts w:ascii="Verdana" w:hAnsi="Verdana"/>
          <w:i/>
          <w:sz w:val="22"/>
          <w:szCs w:val="22"/>
        </w:rPr>
        <w:t>Remuneration Tribunal Act 1973</w:t>
      </w:r>
      <w:r>
        <w:rPr>
          <w:rFonts w:ascii="Verdana" w:hAnsi="Verdana"/>
          <w:sz w:val="22"/>
          <w:szCs w:val="22"/>
        </w:rPr>
        <w:t xml:space="preserve">. </w:t>
      </w:r>
    </w:p>
    <w:p w14:paraId="570301B2" w14:textId="3D3CA3BA" w:rsidR="00061062"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Section 5 specifies that the determination supersedes the Tribunal’s 2024 official travel determination.</w:t>
      </w:r>
    </w:p>
    <w:p w14:paraId="53CE6FB1" w14:textId="77777777" w:rsidR="00CB04DE" w:rsidRDefault="00061062"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 xml:space="preserve">Section 6 </w:t>
      </w:r>
      <w:r w:rsidR="00CB04DE">
        <w:rPr>
          <w:rFonts w:ascii="Verdana" w:hAnsi="Verdana"/>
          <w:sz w:val="22"/>
          <w:szCs w:val="22"/>
        </w:rPr>
        <w:t xml:space="preserve">specifies that instruments identified in a Schedule to this determination are amended or repealed as indicated. </w:t>
      </w:r>
    </w:p>
    <w:p w14:paraId="6D10BA43" w14:textId="77777777" w:rsidR="00CB04DE" w:rsidRDefault="00CB04DE"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Section 7 specifies definitions for certain words or terms used in the determination.</w:t>
      </w:r>
    </w:p>
    <w:p w14:paraId="02132E5B" w14:textId="099E9B04" w:rsidR="00E260AF" w:rsidRPr="00C265F8" w:rsidRDefault="00E260AF" w:rsidP="00094567">
      <w:pPr>
        <w:keepNext/>
        <w:tabs>
          <w:tab w:val="num" w:pos="284"/>
        </w:tabs>
        <w:spacing w:before="120" w:after="120" w:line="276" w:lineRule="auto"/>
        <w:jc w:val="both"/>
        <w:rPr>
          <w:rStyle w:val="Strong"/>
          <w:rFonts w:ascii="Verdana" w:hAnsi="Verdana" w:cs="Arial"/>
          <w:sz w:val="22"/>
          <w:szCs w:val="22"/>
        </w:rPr>
      </w:pPr>
      <w:bookmarkStart w:id="2" w:name="_Toc387670427"/>
      <w:r w:rsidRPr="00C265F8">
        <w:rPr>
          <w:rStyle w:val="Strong"/>
          <w:rFonts w:ascii="Verdana" w:hAnsi="Verdana" w:cs="Arial"/>
          <w:sz w:val="22"/>
          <w:szCs w:val="22"/>
        </w:rPr>
        <w:t xml:space="preserve">PART 2 – </w:t>
      </w:r>
      <w:bookmarkEnd w:id="2"/>
      <w:r w:rsidR="00D02FCB">
        <w:rPr>
          <w:rStyle w:val="Strong"/>
          <w:rFonts w:ascii="Verdana" w:hAnsi="Verdana" w:cs="Arial"/>
          <w:sz w:val="22"/>
          <w:szCs w:val="22"/>
        </w:rPr>
        <w:t>GENERAL PROVISIONS</w:t>
      </w:r>
    </w:p>
    <w:p w14:paraId="3375D521" w14:textId="0D0ADE1D" w:rsidR="00D02FCB" w:rsidRDefault="00D02FCB" w:rsidP="00FE4FCB">
      <w:pPr>
        <w:pStyle w:val="ListParagraph"/>
        <w:numPr>
          <w:ilvl w:val="0"/>
          <w:numId w:val="22"/>
        </w:numPr>
        <w:spacing w:before="120" w:after="120" w:line="276" w:lineRule="auto"/>
        <w:ind w:left="425" w:hanging="425"/>
        <w:contextualSpacing w:val="0"/>
        <w:rPr>
          <w:rFonts w:ascii="Verdana" w:hAnsi="Verdana"/>
          <w:sz w:val="22"/>
          <w:szCs w:val="22"/>
        </w:rPr>
      </w:pPr>
      <w:bookmarkStart w:id="3" w:name="_Toc387670428"/>
      <w:r w:rsidRPr="00D02FCB">
        <w:rPr>
          <w:rFonts w:ascii="Verdana" w:hAnsi="Verdana"/>
          <w:sz w:val="22"/>
          <w:szCs w:val="22"/>
        </w:rPr>
        <w:t>Part 2 sets out the purpose and application of the determination and the general principles for administering the determination.</w:t>
      </w:r>
    </w:p>
    <w:p w14:paraId="74F7A499" w14:textId="02DE290F" w:rsidR="00CB04DE" w:rsidRPr="00D02FCB" w:rsidRDefault="00CB04DE"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The general principles remain unchanged from those contained in Part 2 of the superseded determination.</w:t>
      </w:r>
    </w:p>
    <w:p w14:paraId="02132E5D" w14:textId="5833D93B" w:rsidR="00E260AF" w:rsidRPr="00C265F8" w:rsidRDefault="00E260AF" w:rsidP="0050128C">
      <w:pPr>
        <w:tabs>
          <w:tab w:val="num" w:pos="284"/>
        </w:tabs>
        <w:spacing w:before="120" w:after="120" w:line="276" w:lineRule="auto"/>
        <w:jc w:val="both"/>
        <w:rPr>
          <w:rStyle w:val="Strong"/>
          <w:rFonts w:ascii="Verdana" w:hAnsi="Verdana" w:cs="Arial"/>
          <w:sz w:val="22"/>
          <w:szCs w:val="22"/>
        </w:rPr>
      </w:pPr>
      <w:r w:rsidRPr="00C265F8">
        <w:rPr>
          <w:rStyle w:val="Strong"/>
          <w:rFonts w:ascii="Verdana" w:hAnsi="Verdana" w:cs="Arial"/>
          <w:sz w:val="22"/>
          <w:szCs w:val="22"/>
        </w:rPr>
        <w:t xml:space="preserve">PART 3 </w:t>
      </w:r>
      <w:r w:rsidR="00534474" w:rsidRPr="00C265F8">
        <w:rPr>
          <w:rStyle w:val="Strong"/>
          <w:rFonts w:ascii="Verdana" w:hAnsi="Verdana" w:cs="Arial"/>
          <w:sz w:val="22"/>
          <w:szCs w:val="22"/>
        </w:rPr>
        <w:t>–</w:t>
      </w:r>
      <w:r w:rsidRPr="00C265F8">
        <w:rPr>
          <w:rStyle w:val="Strong"/>
          <w:rFonts w:ascii="Verdana" w:hAnsi="Verdana" w:cs="Arial"/>
          <w:sz w:val="22"/>
          <w:szCs w:val="22"/>
        </w:rPr>
        <w:t xml:space="preserve"> </w:t>
      </w:r>
      <w:bookmarkEnd w:id="3"/>
      <w:r w:rsidR="00D02FCB">
        <w:rPr>
          <w:rStyle w:val="Strong"/>
          <w:rFonts w:ascii="Verdana" w:hAnsi="Verdana" w:cs="Arial"/>
          <w:sz w:val="22"/>
          <w:szCs w:val="22"/>
        </w:rPr>
        <w:t>TRAVEL ON OFFICIAL BUSINESS</w:t>
      </w:r>
    </w:p>
    <w:p w14:paraId="61AD2362" w14:textId="2186C6E8" w:rsidR="00D02FCB" w:rsidRDefault="00D02FCB" w:rsidP="00FE4FCB">
      <w:pPr>
        <w:pStyle w:val="ListParagraph"/>
        <w:numPr>
          <w:ilvl w:val="0"/>
          <w:numId w:val="22"/>
        </w:numPr>
        <w:spacing w:before="120" w:after="120" w:line="276" w:lineRule="auto"/>
        <w:ind w:left="425" w:hanging="425"/>
        <w:contextualSpacing w:val="0"/>
        <w:rPr>
          <w:rFonts w:ascii="Verdana" w:hAnsi="Verdana"/>
          <w:sz w:val="22"/>
          <w:szCs w:val="22"/>
        </w:rPr>
      </w:pPr>
      <w:bookmarkStart w:id="4" w:name="_Toc387670429"/>
      <w:r w:rsidRPr="00D02FCB">
        <w:rPr>
          <w:rFonts w:ascii="Verdana" w:hAnsi="Verdana"/>
          <w:sz w:val="22"/>
          <w:szCs w:val="22"/>
        </w:rPr>
        <w:t>Part 3 sets out the provisions for travel including class of travel, upgrades and accompanied travel provisions.</w:t>
      </w:r>
    </w:p>
    <w:p w14:paraId="4A89690E" w14:textId="5AB9E20A" w:rsidR="00CB04DE" w:rsidRDefault="00CB04DE"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Table 3A specifies the class of travel an office holder who travels on official business is entitled to. This table differs from that contained in the superseded determination in the following ways:</w:t>
      </w:r>
    </w:p>
    <w:p w14:paraId="2821908C" w14:textId="4EE2A125" w:rsidR="00CB04DE" w:rsidRDefault="00CB04DE" w:rsidP="00CB04DE">
      <w:pPr>
        <w:pStyle w:val="ListParagraph"/>
        <w:numPr>
          <w:ilvl w:val="0"/>
          <w:numId w:val="30"/>
        </w:numPr>
        <w:tabs>
          <w:tab w:val="num" w:pos="993"/>
        </w:tabs>
        <w:spacing w:line="276" w:lineRule="auto"/>
        <w:ind w:left="850" w:hanging="425"/>
        <w:contextualSpacing w:val="0"/>
        <w:rPr>
          <w:rFonts w:ascii="Verdana" w:hAnsi="Verdana"/>
          <w:sz w:val="22"/>
          <w:szCs w:val="22"/>
        </w:rPr>
      </w:pPr>
      <w:r>
        <w:rPr>
          <w:rFonts w:ascii="Verdana" w:hAnsi="Verdana"/>
          <w:sz w:val="22"/>
          <w:szCs w:val="22"/>
        </w:rPr>
        <w:t>Tier 1 office holders are entitled to business class on overseas travel. These office holders were previously entitled to first class overseas travel.</w:t>
      </w:r>
    </w:p>
    <w:p w14:paraId="674CF6A9" w14:textId="768B77B8" w:rsidR="00CB04DE" w:rsidRDefault="00CB04DE" w:rsidP="001366CB">
      <w:pPr>
        <w:pStyle w:val="ListParagraph"/>
        <w:numPr>
          <w:ilvl w:val="0"/>
          <w:numId w:val="30"/>
        </w:numPr>
        <w:tabs>
          <w:tab w:val="num" w:pos="993"/>
        </w:tabs>
        <w:spacing w:after="120" w:line="276" w:lineRule="auto"/>
        <w:ind w:left="850" w:hanging="425"/>
        <w:contextualSpacing w:val="0"/>
        <w:rPr>
          <w:rFonts w:ascii="Verdana" w:hAnsi="Verdana"/>
          <w:sz w:val="22"/>
          <w:szCs w:val="22"/>
        </w:rPr>
      </w:pPr>
      <w:r>
        <w:rPr>
          <w:rFonts w:ascii="Verdana" w:hAnsi="Verdana"/>
          <w:sz w:val="22"/>
          <w:szCs w:val="22"/>
        </w:rPr>
        <w:t>Tier 2 offices holders are entitled to economy class on domestic routes between any of Sydney, Melbourne and Canberra. These office holders were previously entitled to business class on these routes.</w:t>
      </w:r>
    </w:p>
    <w:p w14:paraId="5F7CCFC5" w14:textId="3BFB39D3" w:rsidR="00CB04DE" w:rsidRDefault="00CB04DE" w:rsidP="4CD647B0">
      <w:pPr>
        <w:pStyle w:val="ListParagraph"/>
        <w:numPr>
          <w:ilvl w:val="0"/>
          <w:numId w:val="22"/>
        </w:numPr>
        <w:spacing w:before="120" w:after="120" w:line="276" w:lineRule="auto"/>
        <w:ind w:left="425" w:hanging="425"/>
        <w:contextualSpacing w:val="0"/>
        <w:rPr>
          <w:rFonts w:ascii="Verdana" w:hAnsi="Verdana"/>
          <w:sz w:val="22"/>
          <w:szCs w:val="22"/>
        </w:rPr>
      </w:pPr>
      <w:r w:rsidRPr="4CD647B0">
        <w:rPr>
          <w:rFonts w:ascii="Verdana" w:hAnsi="Verdana"/>
          <w:sz w:val="22"/>
          <w:szCs w:val="22"/>
        </w:rPr>
        <w:lastRenderedPageBreak/>
        <w:t xml:space="preserve">Section 12 </w:t>
      </w:r>
      <w:r w:rsidR="00F94A4D" w:rsidRPr="4CD647B0">
        <w:rPr>
          <w:rFonts w:ascii="Verdana" w:hAnsi="Verdana"/>
          <w:sz w:val="22"/>
          <w:szCs w:val="22"/>
        </w:rPr>
        <w:t>has been amended to include an additional provision, so that a Tier</w:t>
      </w:r>
      <w:r w:rsidR="00E65DDE">
        <w:rPr>
          <w:rFonts w:ascii="Verdana" w:hAnsi="Verdana"/>
          <w:sz w:val="22"/>
          <w:szCs w:val="22"/>
        </w:rPr>
        <w:t> </w:t>
      </w:r>
      <w:r w:rsidR="00F94A4D" w:rsidRPr="4CD647B0">
        <w:rPr>
          <w:rFonts w:ascii="Verdana" w:hAnsi="Verdana"/>
          <w:sz w:val="22"/>
          <w:szCs w:val="22"/>
        </w:rPr>
        <w:t xml:space="preserve">2 office holder who is entitled to travel economy class may upgrade to business class if </w:t>
      </w:r>
      <w:r w:rsidR="00FB02BB" w:rsidRPr="4CD647B0">
        <w:rPr>
          <w:rFonts w:ascii="Verdana" w:hAnsi="Verdana"/>
          <w:sz w:val="22"/>
          <w:szCs w:val="22"/>
        </w:rPr>
        <w:t xml:space="preserve">the employing authority certifies </w:t>
      </w:r>
      <w:r w:rsidR="00F94A4D" w:rsidRPr="4CD647B0">
        <w:rPr>
          <w:rFonts w:ascii="Verdana" w:hAnsi="Verdana"/>
          <w:sz w:val="22"/>
          <w:szCs w:val="22"/>
        </w:rPr>
        <w:t>there is a physical or medical requirement for them to do so.</w:t>
      </w:r>
    </w:p>
    <w:p w14:paraId="44AFB04F" w14:textId="5A45B053" w:rsidR="00F94A4D" w:rsidRPr="00D02FCB" w:rsidRDefault="00F94A4D" w:rsidP="00CB04DE">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The remaining provisions in Part 3 remain unchanged from those contained in the superseded determination.</w:t>
      </w:r>
    </w:p>
    <w:p w14:paraId="02132E5F" w14:textId="103C418C" w:rsidR="00BB0EC8" w:rsidRPr="00140909" w:rsidRDefault="00BB0EC8" w:rsidP="0050128C">
      <w:pPr>
        <w:pStyle w:val="Heading1"/>
        <w:tabs>
          <w:tab w:val="num" w:pos="284"/>
        </w:tabs>
        <w:spacing w:before="120" w:after="120" w:line="276" w:lineRule="auto"/>
        <w:ind w:left="425" w:hanging="425"/>
        <w:jc w:val="both"/>
        <w:rPr>
          <w:rStyle w:val="Strong"/>
          <w:rFonts w:ascii="Verdana" w:hAnsi="Verdana" w:cs="Arial"/>
          <w:b/>
          <w:bCs/>
          <w:sz w:val="22"/>
          <w:szCs w:val="22"/>
          <w:u w:val="none"/>
        </w:rPr>
      </w:pPr>
      <w:r w:rsidRPr="00140909">
        <w:rPr>
          <w:rStyle w:val="Strong"/>
          <w:rFonts w:ascii="Verdana" w:hAnsi="Verdana" w:cs="Arial"/>
          <w:b/>
          <w:bCs/>
          <w:sz w:val="22"/>
          <w:szCs w:val="22"/>
          <w:u w:val="none"/>
        </w:rPr>
        <w:t xml:space="preserve">PART 4 – </w:t>
      </w:r>
      <w:bookmarkEnd w:id="4"/>
      <w:r w:rsidR="00D02FCB">
        <w:rPr>
          <w:rStyle w:val="Strong"/>
          <w:rFonts w:ascii="Verdana" w:hAnsi="Verdana" w:cs="Arial"/>
          <w:b/>
          <w:bCs/>
          <w:sz w:val="22"/>
          <w:szCs w:val="22"/>
          <w:u w:val="none"/>
        </w:rPr>
        <w:t>TRAVEL EXPENSES AND TRAVEL ALLOWANCE</w:t>
      </w:r>
    </w:p>
    <w:p w14:paraId="0E43152D" w14:textId="277BE72D" w:rsidR="00D02FCB" w:rsidRDefault="00D02FCB" w:rsidP="00FE4FCB">
      <w:pPr>
        <w:pStyle w:val="ListParagraph"/>
        <w:numPr>
          <w:ilvl w:val="0"/>
          <w:numId w:val="22"/>
        </w:numPr>
        <w:spacing w:before="120" w:after="120" w:line="276" w:lineRule="auto"/>
        <w:ind w:left="425" w:hanging="425"/>
        <w:contextualSpacing w:val="0"/>
        <w:rPr>
          <w:rFonts w:ascii="Verdana" w:hAnsi="Verdana"/>
          <w:sz w:val="22"/>
          <w:szCs w:val="22"/>
        </w:rPr>
      </w:pPr>
      <w:bookmarkStart w:id="5" w:name="_Toc387670430"/>
      <w:r w:rsidRPr="00D02FCB">
        <w:rPr>
          <w:rFonts w:ascii="Verdana" w:hAnsi="Verdana"/>
          <w:sz w:val="22"/>
          <w:szCs w:val="22"/>
        </w:rPr>
        <w:t>Part 4 sets out the payment arrangements and other related matters, including travel within Australia and overseas, accompanied accommodation costs and provisions for partial payments.</w:t>
      </w:r>
    </w:p>
    <w:p w14:paraId="57605E52" w14:textId="41813BB3" w:rsidR="00F94A4D" w:rsidRDefault="00F94A4D"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The provisions of this Part remain unchanged from those contained in the superseded determination.</w:t>
      </w:r>
    </w:p>
    <w:p w14:paraId="02132E61" w14:textId="45EAF0BF" w:rsidR="00BB0EC8" w:rsidRPr="00603F76" w:rsidRDefault="00BB0EC8" w:rsidP="00BF4122">
      <w:pPr>
        <w:keepNext/>
        <w:spacing w:before="120" w:after="120" w:line="276" w:lineRule="auto"/>
        <w:jc w:val="both"/>
        <w:rPr>
          <w:rFonts w:ascii="Verdana" w:hAnsi="Verdana"/>
          <w:b/>
          <w:sz w:val="22"/>
          <w:szCs w:val="22"/>
        </w:rPr>
      </w:pPr>
      <w:r w:rsidRPr="00603F76">
        <w:rPr>
          <w:rFonts w:ascii="Verdana" w:hAnsi="Verdana"/>
          <w:b/>
          <w:sz w:val="22"/>
          <w:szCs w:val="22"/>
        </w:rPr>
        <w:t xml:space="preserve">PART 5 – </w:t>
      </w:r>
      <w:bookmarkEnd w:id="5"/>
      <w:r w:rsidR="00D02FCB">
        <w:rPr>
          <w:rFonts w:ascii="Verdana" w:hAnsi="Verdana"/>
          <w:b/>
          <w:sz w:val="22"/>
          <w:szCs w:val="22"/>
        </w:rPr>
        <w:t>OFFICIAL TRAVEL BY MOTOR VEHICLE</w:t>
      </w:r>
    </w:p>
    <w:p w14:paraId="48A589AF" w14:textId="7E09876A" w:rsidR="00D02FCB" w:rsidRDefault="00D02FCB" w:rsidP="00FE4FCB">
      <w:pPr>
        <w:pStyle w:val="ListParagraph"/>
        <w:numPr>
          <w:ilvl w:val="0"/>
          <w:numId w:val="22"/>
        </w:numPr>
        <w:spacing w:before="120" w:after="120" w:line="276" w:lineRule="auto"/>
        <w:ind w:left="425" w:hanging="425"/>
        <w:contextualSpacing w:val="0"/>
        <w:rPr>
          <w:rFonts w:ascii="Verdana" w:hAnsi="Verdana"/>
          <w:sz w:val="22"/>
          <w:szCs w:val="22"/>
        </w:rPr>
      </w:pPr>
      <w:r w:rsidRPr="00D02FCB">
        <w:rPr>
          <w:rFonts w:ascii="Verdana" w:hAnsi="Verdana"/>
          <w:sz w:val="22"/>
          <w:szCs w:val="22"/>
        </w:rPr>
        <w:t>Part 5 sets out the provisions for travel by motor vehicle including motor vehicle allowance.</w:t>
      </w:r>
    </w:p>
    <w:p w14:paraId="4E9CD908" w14:textId="6CC2C7F5" w:rsidR="00F94A4D" w:rsidRPr="00D02FCB" w:rsidRDefault="00F94A4D" w:rsidP="00FE4FCB">
      <w:pPr>
        <w:pStyle w:val="ListParagraph"/>
        <w:numPr>
          <w:ilvl w:val="0"/>
          <w:numId w:val="22"/>
        </w:numPr>
        <w:spacing w:before="120" w:after="120" w:line="276" w:lineRule="auto"/>
        <w:ind w:left="425" w:hanging="425"/>
        <w:contextualSpacing w:val="0"/>
        <w:rPr>
          <w:rFonts w:ascii="Verdana" w:hAnsi="Verdana"/>
          <w:sz w:val="22"/>
          <w:szCs w:val="22"/>
        </w:rPr>
      </w:pPr>
      <w:r>
        <w:rPr>
          <w:rFonts w:ascii="Verdana" w:hAnsi="Verdana"/>
          <w:sz w:val="22"/>
          <w:szCs w:val="22"/>
        </w:rPr>
        <w:t>The provisions of this Part remain unchanged from those contained in the superseded determination.</w:t>
      </w:r>
    </w:p>
    <w:p w14:paraId="4F4973B0" w14:textId="39B53965" w:rsidR="00D02FCB" w:rsidRPr="00D02FCB" w:rsidRDefault="00D02FCB" w:rsidP="00D02FCB">
      <w:pPr>
        <w:pStyle w:val="Heading1"/>
        <w:tabs>
          <w:tab w:val="num" w:pos="284"/>
        </w:tabs>
        <w:spacing w:before="120" w:after="120" w:line="276" w:lineRule="auto"/>
        <w:ind w:left="425" w:hanging="425"/>
        <w:jc w:val="both"/>
        <w:rPr>
          <w:rFonts w:ascii="Verdana" w:hAnsi="Verdana" w:cs="Times New Roman"/>
          <w:sz w:val="22"/>
          <w:szCs w:val="22"/>
          <w:u w:val="none"/>
        </w:rPr>
      </w:pPr>
      <w:r w:rsidRPr="00D02FCB">
        <w:rPr>
          <w:rFonts w:ascii="Verdana" w:hAnsi="Verdana" w:cs="Times New Roman"/>
          <w:sz w:val="22"/>
          <w:szCs w:val="22"/>
          <w:u w:val="none"/>
        </w:rPr>
        <w:t>PART 6 – RATES OF TRAVEL ALLOWANCE</w:t>
      </w:r>
    </w:p>
    <w:p w14:paraId="7867BA38" w14:textId="40A21A4A" w:rsidR="00D02FCB" w:rsidRPr="001366CB" w:rsidRDefault="4CE15126" w:rsidP="4DDB4D5C">
      <w:pPr>
        <w:pStyle w:val="ListParagraph"/>
        <w:numPr>
          <w:ilvl w:val="0"/>
          <w:numId w:val="22"/>
        </w:numPr>
        <w:spacing w:before="120" w:after="120" w:line="276" w:lineRule="auto"/>
        <w:ind w:left="425" w:hanging="425"/>
        <w:contextualSpacing w:val="0"/>
        <w:rPr>
          <w:lang w:eastAsia="en-AU"/>
        </w:rPr>
      </w:pPr>
      <w:r w:rsidRPr="4DDB4D5C">
        <w:rPr>
          <w:rFonts w:ascii="Verdana" w:hAnsi="Verdana"/>
          <w:sz w:val="22"/>
          <w:szCs w:val="22"/>
        </w:rPr>
        <w:t>Part 6 sets out the rates of travel allowance for capital cities and country centres.</w:t>
      </w:r>
    </w:p>
    <w:p w14:paraId="25D74DE5" w14:textId="61F18D5B" w:rsidR="001366CB" w:rsidRPr="003E276D" w:rsidRDefault="44D35F3B" w:rsidP="4DDB4D5C">
      <w:pPr>
        <w:pStyle w:val="ListParagraph"/>
        <w:numPr>
          <w:ilvl w:val="0"/>
          <w:numId w:val="22"/>
        </w:numPr>
        <w:spacing w:before="120" w:after="120" w:line="276" w:lineRule="auto"/>
        <w:ind w:left="425" w:hanging="425"/>
        <w:contextualSpacing w:val="0"/>
        <w:rPr>
          <w:lang w:eastAsia="en-AU"/>
        </w:rPr>
      </w:pPr>
      <w:r w:rsidRPr="4DDB4D5C">
        <w:rPr>
          <w:rFonts w:ascii="Verdana" w:hAnsi="Verdana"/>
          <w:sz w:val="22"/>
          <w:szCs w:val="22"/>
          <w:lang w:eastAsia="en-AU"/>
        </w:rPr>
        <w:t>Table 6A specifies the rates, for each overnight absence, of travel allowance for travel to capital cities.</w:t>
      </w:r>
    </w:p>
    <w:p w14:paraId="046A982B" w14:textId="65C5B39A" w:rsidR="001366CB" w:rsidRPr="001366CB" w:rsidRDefault="44D35F3B" w:rsidP="4DDB4D5C">
      <w:pPr>
        <w:pStyle w:val="ListParagraph"/>
        <w:numPr>
          <w:ilvl w:val="0"/>
          <w:numId w:val="22"/>
        </w:numPr>
        <w:spacing w:before="120" w:after="120" w:line="276" w:lineRule="auto"/>
        <w:ind w:left="425" w:hanging="425"/>
        <w:contextualSpacing w:val="0"/>
        <w:rPr>
          <w:lang w:eastAsia="en-AU"/>
        </w:rPr>
      </w:pPr>
      <w:r w:rsidRPr="4DDB4D5C">
        <w:rPr>
          <w:rFonts w:ascii="Verdana" w:hAnsi="Verdana"/>
          <w:sz w:val="22"/>
          <w:szCs w:val="22"/>
          <w:lang w:eastAsia="en-AU"/>
        </w:rPr>
        <w:t>Table 6B specifies the rates, for each overnight absence, of travel allowance for travel to country centres.</w:t>
      </w:r>
    </w:p>
    <w:p w14:paraId="21A97E6E" w14:textId="04B91293" w:rsidR="001366CB" w:rsidRPr="00A80C43" w:rsidRDefault="44D35F3B" w:rsidP="4DDB4D5C">
      <w:pPr>
        <w:pStyle w:val="ListParagraph"/>
        <w:numPr>
          <w:ilvl w:val="0"/>
          <w:numId w:val="22"/>
        </w:numPr>
        <w:spacing w:before="120" w:after="120" w:line="276" w:lineRule="auto"/>
        <w:ind w:left="425" w:hanging="425"/>
        <w:contextualSpacing w:val="0"/>
        <w:rPr>
          <w:lang w:eastAsia="en-AU"/>
        </w:rPr>
      </w:pPr>
      <w:r w:rsidRPr="4DDB4D5C">
        <w:rPr>
          <w:rFonts w:ascii="Verdana" w:hAnsi="Verdana"/>
          <w:sz w:val="22"/>
          <w:szCs w:val="22"/>
          <w:lang w:eastAsia="en-AU"/>
        </w:rPr>
        <w:t xml:space="preserve">Table 6C specifies the meal and incidental components </w:t>
      </w:r>
      <w:r w:rsidR="75ED5BB8" w:rsidRPr="4DDB4D5C">
        <w:rPr>
          <w:rFonts w:ascii="Verdana" w:hAnsi="Verdana"/>
          <w:sz w:val="22"/>
          <w:szCs w:val="22"/>
          <w:lang w:eastAsia="en-AU"/>
        </w:rPr>
        <w:t>of the travel allowance set out in Tables 6A and 6B.</w:t>
      </w:r>
    </w:p>
    <w:p w14:paraId="4B0A5417" w14:textId="1C7F7549" w:rsidR="00A80C43" w:rsidRPr="00F94A4D" w:rsidRDefault="75ED5BB8" w:rsidP="4DDB4D5C">
      <w:pPr>
        <w:pStyle w:val="ListParagraph"/>
        <w:numPr>
          <w:ilvl w:val="0"/>
          <w:numId w:val="22"/>
        </w:numPr>
        <w:spacing w:before="120" w:after="120" w:line="276" w:lineRule="auto"/>
        <w:ind w:left="425" w:hanging="425"/>
        <w:contextualSpacing w:val="0"/>
        <w:rPr>
          <w:lang w:eastAsia="en-AU"/>
        </w:rPr>
      </w:pPr>
      <w:r w:rsidRPr="4DDB4D5C">
        <w:rPr>
          <w:rFonts w:ascii="Verdana" w:hAnsi="Verdana"/>
          <w:sz w:val="22"/>
          <w:szCs w:val="22"/>
          <w:lang w:eastAsia="en-AU"/>
        </w:rPr>
        <w:t>Table 6D specifies the meal and incidental components of travel allowance for any country centre not specified by name in Table 6B.</w:t>
      </w:r>
    </w:p>
    <w:p w14:paraId="64F1260F" w14:textId="6FEB042E" w:rsidR="00F94A4D" w:rsidRPr="00D02FCB" w:rsidRDefault="00F94A4D" w:rsidP="00FE4FCB">
      <w:pPr>
        <w:pStyle w:val="ListParagraph"/>
        <w:numPr>
          <w:ilvl w:val="0"/>
          <w:numId w:val="22"/>
        </w:numPr>
        <w:spacing w:before="120" w:after="120" w:line="276" w:lineRule="auto"/>
        <w:ind w:left="425" w:hanging="425"/>
        <w:contextualSpacing w:val="0"/>
        <w:rPr>
          <w:lang w:eastAsia="en-AU"/>
        </w:rPr>
      </w:pPr>
      <w:r>
        <w:rPr>
          <w:rFonts w:ascii="Verdana" w:hAnsi="Verdana"/>
          <w:sz w:val="22"/>
          <w:lang w:eastAsia="en-AU"/>
        </w:rPr>
        <w:t xml:space="preserve">Consistent with the approach taken by the Australian Taxation Office, in 2025 the Tribunal has removed </w:t>
      </w:r>
      <w:r w:rsidR="00A129A2">
        <w:rPr>
          <w:rFonts w:ascii="Verdana" w:hAnsi="Verdana"/>
          <w:sz w:val="22"/>
          <w:lang w:eastAsia="en-AU"/>
        </w:rPr>
        <w:t>the table of country centres previously known as Group 2 country centres from its determination. The result is that the meal and incidental components of each country centre named in the determination will be calculated with reference to Table 6C.</w:t>
      </w:r>
    </w:p>
    <w:p w14:paraId="02132E63" w14:textId="318826E9" w:rsidR="00B7219D" w:rsidRPr="00C265F8" w:rsidRDefault="00B7219D" w:rsidP="009A3469">
      <w:pPr>
        <w:keepNext/>
        <w:tabs>
          <w:tab w:val="num" w:pos="284"/>
        </w:tabs>
        <w:spacing w:before="120" w:after="120" w:line="276" w:lineRule="auto"/>
        <w:jc w:val="both"/>
        <w:rPr>
          <w:rFonts w:ascii="Verdana" w:hAnsi="Verdana"/>
          <w:b/>
          <w:sz w:val="22"/>
          <w:szCs w:val="22"/>
        </w:rPr>
      </w:pPr>
      <w:r w:rsidRPr="00C265F8">
        <w:rPr>
          <w:rFonts w:ascii="Verdana" w:hAnsi="Verdana"/>
          <w:b/>
          <w:sz w:val="22"/>
          <w:szCs w:val="22"/>
        </w:rPr>
        <w:t xml:space="preserve">SCHEDULE 1 </w:t>
      </w:r>
      <w:r w:rsidR="00534474" w:rsidRPr="00C265F8">
        <w:rPr>
          <w:rStyle w:val="Strong"/>
          <w:rFonts w:ascii="Verdana" w:hAnsi="Verdana" w:cs="Arial"/>
          <w:b w:val="0"/>
          <w:sz w:val="22"/>
          <w:szCs w:val="22"/>
        </w:rPr>
        <w:t>–</w:t>
      </w:r>
      <w:r w:rsidRPr="00C265F8">
        <w:rPr>
          <w:rFonts w:ascii="Verdana" w:hAnsi="Verdana"/>
          <w:b/>
          <w:sz w:val="22"/>
          <w:szCs w:val="22"/>
        </w:rPr>
        <w:t xml:space="preserve"> REPEALS</w:t>
      </w:r>
    </w:p>
    <w:p w14:paraId="50D48AE3" w14:textId="7F605AC4" w:rsidR="0040642D" w:rsidRPr="00667ED7" w:rsidRDefault="00B7219D" w:rsidP="00FE4FCB">
      <w:pPr>
        <w:pStyle w:val="ListParagraph"/>
        <w:numPr>
          <w:ilvl w:val="0"/>
          <w:numId w:val="22"/>
        </w:numPr>
        <w:spacing w:before="120" w:after="120" w:line="276" w:lineRule="auto"/>
        <w:ind w:left="425" w:hanging="425"/>
        <w:contextualSpacing w:val="0"/>
        <w:rPr>
          <w:rFonts w:ascii="Verdana" w:hAnsi="Verdana"/>
          <w:sz w:val="22"/>
          <w:szCs w:val="22"/>
        </w:rPr>
      </w:pPr>
      <w:r w:rsidRPr="00667ED7">
        <w:rPr>
          <w:rFonts w:ascii="Verdana" w:hAnsi="Verdana"/>
          <w:sz w:val="22"/>
          <w:szCs w:val="22"/>
        </w:rPr>
        <w:t>Schedule 1 specifies instruments which have been amended or repealed.</w:t>
      </w:r>
      <w:r w:rsidR="00C265F8" w:rsidRPr="00C265F8">
        <w:rPr>
          <w:rFonts w:ascii="Verdana" w:hAnsi="Verdana"/>
          <w:sz w:val="22"/>
          <w:szCs w:val="22"/>
        </w:rPr>
        <w:t xml:space="preserve"> </w:t>
      </w:r>
    </w:p>
    <w:p w14:paraId="02132E65" w14:textId="5935A3E9" w:rsidR="007D4D9D" w:rsidRPr="00C265F8" w:rsidRDefault="00BB0EC8" w:rsidP="00F600ED">
      <w:pPr>
        <w:pStyle w:val="ListParagraph"/>
        <w:spacing w:before="120" w:after="120" w:line="276" w:lineRule="auto"/>
        <w:ind w:left="4395"/>
        <w:contextualSpacing w:val="0"/>
        <w:jc w:val="right"/>
        <w:rPr>
          <w:rFonts w:ascii="Verdana" w:hAnsi="Verdana" w:cs="Verdana"/>
          <w:sz w:val="19"/>
          <w:szCs w:val="19"/>
        </w:rPr>
      </w:pPr>
      <w:r w:rsidRPr="00C265F8">
        <w:rPr>
          <w:rFonts w:ascii="Verdana" w:hAnsi="Verdana" w:cs="Verdana"/>
          <w:b/>
          <w:sz w:val="19"/>
          <w:szCs w:val="19"/>
        </w:rPr>
        <w:t>Authority:</w:t>
      </w:r>
      <w:r w:rsidRPr="00C265F8">
        <w:rPr>
          <w:rFonts w:ascii="Verdana" w:hAnsi="Verdana" w:cs="Verdana"/>
          <w:sz w:val="19"/>
          <w:szCs w:val="19"/>
        </w:rPr>
        <w:t xml:space="preserve"> Sub-sections </w:t>
      </w:r>
      <w:r w:rsidR="00F600ED">
        <w:rPr>
          <w:rFonts w:ascii="Verdana" w:hAnsi="Verdana" w:cs="Verdana"/>
          <w:sz w:val="19"/>
          <w:szCs w:val="19"/>
        </w:rPr>
        <w:t xml:space="preserve">5(2A) and </w:t>
      </w:r>
      <w:r w:rsidRPr="00C265F8">
        <w:rPr>
          <w:rFonts w:ascii="Verdana" w:hAnsi="Verdana" w:cs="Verdana"/>
          <w:sz w:val="19"/>
          <w:szCs w:val="19"/>
        </w:rPr>
        <w:t>7(3) and (4)</w:t>
      </w:r>
    </w:p>
    <w:p w14:paraId="02132E66" w14:textId="77777777" w:rsidR="00570B4D" w:rsidRDefault="00BB0EC8" w:rsidP="00E353B7">
      <w:pPr>
        <w:tabs>
          <w:tab w:val="left" w:pos="8222"/>
        </w:tabs>
        <w:jc w:val="right"/>
        <w:rPr>
          <w:rFonts w:ascii="Verdana" w:hAnsi="Verdana" w:cs="Verdana"/>
          <w:i/>
          <w:iCs/>
          <w:sz w:val="19"/>
          <w:szCs w:val="19"/>
        </w:rPr>
      </w:pPr>
      <w:r w:rsidRPr="007E7229">
        <w:rPr>
          <w:rFonts w:ascii="Verdana" w:hAnsi="Verdana" w:cs="Verdana"/>
          <w:i/>
          <w:iCs/>
          <w:sz w:val="19"/>
          <w:szCs w:val="19"/>
        </w:rPr>
        <w:t>Remuneration Tribunal Act 1973</w:t>
      </w:r>
    </w:p>
    <w:p w14:paraId="45AE316E" w14:textId="77777777" w:rsidR="00BB25B8" w:rsidRPr="000910A1" w:rsidRDefault="006E37A6" w:rsidP="71283E27">
      <w:pPr>
        <w:pStyle w:val="Heading2"/>
        <w:keepNext w:val="0"/>
        <w:spacing w:before="360" w:after="120"/>
        <w:rPr>
          <w:rFonts w:eastAsiaTheme="minorEastAsia" w:cstheme="minorBidi"/>
          <w:b/>
          <w:bCs/>
          <w:sz w:val="28"/>
          <w:szCs w:val="28"/>
          <w:lang w:eastAsia="en-US"/>
        </w:rPr>
      </w:pPr>
      <w:r w:rsidRPr="71283E27">
        <w:rPr>
          <w:rFonts w:ascii="Verdana" w:hAnsi="Verdana" w:cs="Verdana"/>
          <w:i/>
          <w:iCs/>
          <w:sz w:val="19"/>
          <w:szCs w:val="19"/>
        </w:rPr>
        <w:br w:type="page"/>
      </w:r>
      <w:r w:rsidR="00BB25B8" w:rsidRPr="71283E27">
        <w:rPr>
          <w:rFonts w:ascii="Times New Roman" w:eastAsiaTheme="minorEastAsia" w:hAnsi="Times New Roman" w:cstheme="minorBidi"/>
          <w:b/>
          <w:bCs/>
          <w:sz w:val="28"/>
          <w:szCs w:val="28"/>
          <w:lang w:eastAsia="en-US"/>
        </w:rPr>
        <w:lastRenderedPageBreak/>
        <w:t>Statement of Compatibility with Human Rights</w:t>
      </w:r>
    </w:p>
    <w:p w14:paraId="5D47D016" w14:textId="77777777" w:rsidR="000910A1" w:rsidRDefault="000910A1" w:rsidP="000910A1">
      <w:pPr>
        <w:spacing w:before="120" w:after="120"/>
        <w:jc w:val="center"/>
        <w:rPr>
          <w:sz w:val="24"/>
          <w:szCs w:val="24"/>
        </w:rPr>
      </w:pPr>
      <w:r>
        <w:rPr>
          <w:i/>
          <w:sz w:val="24"/>
          <w:szCs w:val="24"/>
        </w:rPr>
        <w:t>Prepared in accordance with Part 3 of the Human Rights (Parliamentary Scrutiny) Act 2011</w:t>
      </w:r>
    </w:p>
    <w:p w14:paraId="2706BFE0" w14:textId="77777777" w:rsidR="000910A1" w:rsidRDefault="000910A1" w:rsidP="000910A1">
      <w:pPr>
        <w:spacing w:before="120" w:after="120"/>
        <w:jc w:val="center"/>
        <w:rPr>
          <w:sz w:val="24"/>
          <w:szCs w:val="24"/>
        </w:rPr>
      </w:pPr>
    </w:p>
    <w:p w14:paraId="48FBACB9" w14:textId="576CEF25" w:rsidR="000910A1" w:rsidRDefault="000910A1" w:rsidP="000910A1">
      <w:pPr>
        <w:spacing w:before="120" w:after="120"/>
        <w:jc w:val="center"/>
        <w:rPr>
          <w:b/>
          <w:sz w:val="24"/>
          <w:szCs w:val="24"/>
        </w:rPr>
      </w:pPr>
      <w:r w:rsidRPr="000910A1">
        <w:rPr>
          <w:b/>
          <w:sz w:val="24"/>
          <w:szCs w:val="24"/>
        </w:rPr>
        <w:t>Remuneration Tribunal (Official Travel) Determination 202</w:t>
      </w:r>
      <w:r w:rsidR="00083719">
        <w:rPr>
          <w:b/>
          <w:sz w:val="24"/>
          <w:szCs w:val="24"/>
        </w:rPr>
        <w:t>5</w:t>
      </w:r>
      <w:r>
        <w:rPr>
          <w:b/>
          <w:sz w:val="24"/>
          <w:szCs w:val="24"/>
        </w:rPr>
        <w:t xml:space="preserve"> </w:t>
      </w:r>
    </w:p>
    <w:p w14:paraId="7A1DFF75" w14:textId="77777777" w:rsidR="000910A1" w:rsidRDefault="000910A1" w:rsidP="000910A1">
      <w:pPr>
        <w:spacing w:before="120" w:after="120"/>
        <w:jc w:val="center"/>
        <w:rPr>
          <w:sz w:val="24"/>
          <w:szCs w:val="24"/>
        </w:rPr>
      </w:pPr>
    </w:p>
    <w:p w14:paraId="6BDE2BEE" w14:textId="77777777" w:rsidR="000910A1" w:rsidRDefault="000910A1" w:rsidP="000910A1">
      <w:pPr>
        <w:spacing w:before="120" w:after="120"/>
        <w:jc w:val="center"/>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45483030" w14:textId="77777777" w:rsidR="000910A1" w:rsidRDefault="000910A1" w:rsidP="000910A1">
      <w:pPr>
        <w:spacing w:before="120" w:after="120"/>
        <w:rPr>
          <w:sz w:val="24"/>
          <w:szCs w:val="24"/>
        </w:rPr>
      </w:pPr>
    </w:p>
    <w:p w14:paraId="6B114CC1" w14:textId="77777777" w:rsidR="00BB25B8" w:rsidRPr="000910A1" w:rsidRDefault="00BB25B8" w:rsidP="000910A1">
      <w:pPr>
        <w:pStyle w:val="Heading3"/>
        <w:keepNext w:val="0"/>
        <w:spacing w:before="120" w:after="120"/>
        <w:jc w:val="both"/>
        <w:rPr>
          <w:rFonts w:ascii="Times New Roman" w:eastAsiaTheme="minorHAnsi" w:hAnsi="Times New Roman" w:cstheme="minorBidi"/>
          <w:b/>
          <w:i w:val="0"/>
          <w:iCs w:val="0"/>
          <w:lang w:eastAsia="en-US"/>
        </w:rPr>
      </w:pPr>
      <w:r w:rsidRPr="000910A1">
        <w:rPr>
          <w:rFonts w:ascii="Times New Roman" w:eastAsiaTheme="minorHAnsi" w:hAnsi="Times New Roman" w:cstheme="minorBidi"/>
          <w:b/>
          <w:i w:val="0"/>
          <w:iCs w:val="0"/>
          <w:lang w:eastAsia="en-US"/>
        </w:rPr>
        <w:t>Overview of the Legislative Instrument</w:t>
      </w:r>
    </w:p>
    <w:p w14:paraId="14783603" w14:textId="238284A0" w:rsidR="000910A1" w:rsidRDefault="000910A1" w:rsidP="000910A1">
      <w:pPr>
        <w:spacing w:before="120" w:after="120"/>
        <w:rPr>
          <w:sz w:val="24"/>
          <w:szCs w:val="24"/>
        </w:rPr>
      </w:pPr>
      <w:r w:rsidRPr="0061646C">
        <w:rPr>
          <w:sz w:val="24"/>
          <w:szCs w:val="24"/>
        </w:rPr>
        <w:t>The instrument, or determination, applies the Tribunal’s 202</w:t>
      </w:r>
      <w:r w:rsidR="00083719">
        <w:rPr>
          <w:sz w:val="24"/>
          <w:szCs w:val="24"/>
        </w:rPr>
        <w:t>5</w:t>
      </w:r>
      <w:r w:rsidRPr="0061646C">
        <w:rPr>
          <w:sz w:val="24"/>
          <w:szCs w:val="24"/>
        </w:rPr>
        <w:t xml:space="preserve"> travel and motor vehicle allowances review decisions effective from </w:t>
      </w:r>
      <w:r w:rsidR="00083719">
        <w:rPr>
          <w:sz w:val="24"/>
          <w:szCs w:val="24"/>
        </w:rPr>
        <w:t>7 September 2025</w:t>
      </w:r>
      <w:r w:rsidRPr="0061646C">
        <w:rPr>
          <w:sz w:val="24"/>
          <w:szCs w:val="24"/>
        </w:rPr>
        <w:t>. The determination supersedes the previous principal determination Remuneration Tribunal (Official Travel) Determination 202</w:t>
      </w:r>
      <w:r w:rsidR="00083719">
        <w:rPr>
          <w:sz w:val="24"/>
          <w:szCs w:val="24"/>
        </w:rPr>
        <w:t>4</w:t>
      </w:r>
      <w:r w:rsidRPr="0061646C">
        <w:rPr>
          <w:sz w:val="24"/>
          <w:szCs w:val="24"/>
        </w:rPr>
        <w:t xml:space="preserve">. </w:t>
      </w:r>
    </w:p>
    <w:p w14:paraId="583BF6C9" w14:textId="3B46087F" w:rsidR="00083719" w:rsidRDefault="000910A1" w:rsidP="000910A1">
      <w:pPr>
        <w:spacing w:before="120" w:after="120"/>
        <w:rPr>
          <w:sz w:val="24"/>
          <w:szCs w:val="24"/>
        </w:rPr>
      </w:pPr>
      <w:r w:rsidRPr="4CD647B0">
        <w:rPr>
          <w:sz w:val="24"/>
          <w:szCs w:val="24"/>
        </w:rPr>
        <w:t xml:space="preserve">The </w:t>
      </w:r>
      <w:r w:rsidR="00FB02BB" w:rsidRPr="4CD647B0">
        <w:rPr>
          <w:sz w:val="24"/>
          <w:szCs w:val="24"/>
        </w:rPr>
        <w:t xml:space="preserve">primary </w:t>
      </w:r>
      <w:r w:rsidRPr="4CD647B0">
        <w:rPr>
          <w:sz w:val="24"/>
          <w:szCs w:val="24"/>
        </w:rPr>
        <w:t>purpose of the determination is to adjust the travel allowance amounts for offices within the Remuneration Tribunal’s jurisdiction, including judicial offices. In doing this, it closely reflects the amounts determined by the Australian Taxation Office as reasonable travel expense amounts in Taxation Determination TD 202</w:t>
      </w:r>
      <w:r w:rsidR="00083719" w:rsidRPr="4CD647B0">
        <w:rPr>
          <w:sz w:val="24"/>
          <w:szCs w:val="24"/>
        </w:rPr>
        <w:t>5</w:t>
      </w:r>
      <w:r w:rsidRPr="4CD647B0">
        <w:rPr>
          <w:sz w:val="24"/>
          <w:szCs w:val="24"/>
        </w:rPr>
        <w:t>/</w:t>
      </w:r>
      <w:r w:rsidR="00083719" w:rsidRPr="4CD647B0">
        <w:rPr>
          <w:sz w:val="24"/>
          <w:szCs w:val="24"/>
        </w:rPr>
        <w:t>4</w:t>
      </w:r>
      <w:r w:rsidRPr="4CD647B0">
        <w:rPr>
          <w:sz w:val="24"/>
          <w:szCs w:val="24"/>
        </w:rPr>
        <w:t>: Income tax: what are the reasonable travel and overtime meal allowance expense amounts for the 202</w:t>
      </w:r>
      <w:r w:rsidR="00083719" w:rsidRPr="4CD647B0">
        <w:rPr>
          <w:sz w:val="24"/>
          <w:szCs w:val="24"/>
        </w:rPr>
        <w:t>5</w:t>
      </w:r>
      <w:r w:rsidRPr="4CD647B0">
        <w:rPr>
          <w:sz w:val="24"/>
          <w:szCs w:val="24"/>
        </w:rPr>
        <w:t>-2</w:t>
      </w:r>
      <w:r w:rsidR="00083719" w:rsidRPr="4CD647B0">
        <w:rPr>
          <w:sz w:val="24"/>
          <w:szCs w:val="24"/>
        </w:rPr>
        <w:t>6</w:t>
      </w:r>
      <w:r w:rsidRPr="4CD647B0">
        <w:rPr>
          <w:sz w:val="24"/>
          <w:szCs w:val="24"/>
        </w:rPr>
        <w:t xml:space="preserve"> income year? </w:t>
      </w:r>
    </w:p>
    <w:p w14:paraId="4CF77048" w14:textId="34A6DFF2" w:rsidR="00083719" w:rsidRDefault="000910A1" w:rsidP="000910A1">
      <w:pPr>
        <w:spacing w:before="120" w:after="120"/>
        <w:rPr>
          <w:sz w:val="24"/>
          <w:szCs w:val="24"/>
        </w:rPr>
      </w:pPr>
      <w:r w:rsidRPr="612F1249">
        <w:rPr>
          <w:sz w:val="24"/>
          <w:szCs w:val="24"/>
        </w:rPr>
        <w:t xml:space="preserve">The determination includes substantively similar provisions to the previous principal determination with adjustments to allowance rates. </w:t>
      </w:r>
      <w:r w:rsidR="00083719" w:rsidRPr="612F1249">
        <w:rPr>
          <w:sz w:val="24"/>
          <w:szCs w:val="24"/>
        </w:rPr>
        <w:t xml:space="preserve">It makes 2 changes with respect to </w:t>
      </w:r>
      <w:r w:rsidR="008A0B0D" w:rsidRPr="612F1249">
        <w:rPr>
          <w:sz w:val="24"/>
          <w:szCs w:val="24"/>
        </w:rPr>
        <w:t xml:space="preserve">the airline cabin class </w:t>
      </w:r>
      <w:r w:rsidR="00083719" w:rsidRPr="612F1249">
        <w:rPr>
          <w:sz w:val="24"/>
          <w:szCs w:val="24"/>
        </w:rPr>
        <w:t>office holders</w:t>
      </w:r>
      <w:r w:rsidR="008A0B0D" w:rsidRPr="612F1249">
        <w:rPr>
          <w:sz w:val="24"/>
          <w:szCs w:val="24"/>
        </w:rPr>
        <w:t xml:space="preserve"> may access in certain situations. Tier 1 office holders may no longer travel first class on international flights. Tier 2 office holders may no longer travel business class on short haul domestic flights</w:t>
      </w:r>
      <w:r w:rsidR="00A129A2">
        <w:rPr>
          <w:sz w:val="24"/>
          <w:szCs w:val="24"/>
        </w:rPr>
        <w:t xml:space="preserve"> between any of Sydney, Melbourne and Canberra</w:t>
      </w:r>
      <w:r w:rsidR="008A0B0D" w:rsidRPr="612F1249">
        <w:rPr>
          <w:sz w:val="24"/>
          <w:szCs w:val="24"/>
        </w:rPr>
        <w:t>. A</w:t>
      </w:r>
      <w:r w:rsidR="008A0B0D" w:rsidRPr="612F1249">
        <w:rPr>
          <w:rFonts w:eastAsia="Calibri"/>
          <w:sz w:val="24"/>
          <w:szCs w:val="24"/>
        </w:rPr>
        <w:t xml:space="preserve">n exception is available for </w:t>
      </w:r>
      <w:r w:rsidR="00A129A2">
        <w:rPr>
          <w:rFonts w:eastAsia="Calibri"/>
          <w:sz w:val="24"/>
          <w:szCs w:val="24"/>
        </w:rPr>
        <w:t xml:space="preserve">Tier 2 </w:t>
      </w:r>
      <w:r w:rsidR="008A0B0D" w:rsidRPr="612F1249">
        <w:rPr>
          <w:rFonts w:eastAsia="Calibri"/>
          <w:sz w:val="24"/>
          <w:szCs w:val="24"/>
        </w:rPr>
        <w:t xml:space="preserve">office holders with a physical limitation or impairment who require access to business class on </w:t>
      </w:r>
      <w:r w:rsidR="00A129A2">
        <w:rPr>
          <w:rFonts w:eastAsia="Calibri"/>
          <w:sz w:val="24"/>
          <w:szCs w:val="24"/>
        </w:rPr>
        <w:t>these flights</w:t>
      </w:r>
      <w:r w:rsidR="008A0B0D" w:rsidRPr="612F1249">
        <w:rPr>
          <w:rFonts w:eastAsia="Calibri"/>
          <w:sz w:val="24"/>
          <w:szCs w:val="24"/>
        </w:rPr>
        <w:t xml:space="preserve">. </w:t>
      </w:r>
    </w:p>
    <w:p w14:paraId="1FFA3562" w14:textId="77777777" w:rsidR="000910A1" w:rsidRDefault="000910A1" w:rsidP="00FE4FCB">
      <w:pPr>
        <w:spacing w:before="120" w:after="120"/>
        <w:rPr>
          <w:rFonts w:ascii="Verdana" w:hAnsi="Verdana"/>
        </w:rPr>
      </w:pPr>
    </w:p>
    <w:p w14:paraId="067A6E93" w14:textId="77777777" w:rsidR="00BB25B8" w:rsidRPr="000910A1" w:rsidRDefault="00BB25B8" w:rsidP="000910A1">
      <w:pPr>
        <w:pStyle w:val="Heading3"/>
        <w:keepNext w:val="0"/>
        <w:spacing w:before="120" w:after="120"/>
        <w:jc w:val="both"/>
        <w:rPr>
          <w:rFonts w:ascii="Times New Roman" w:eastAsiaTheme="minorHAnsi" w:hAnsi="Times New Roman" w:cstheme="minorBidi"/>
          <w:b/>
          <w:i w:val="0"/>
          <w:iCs w:val="0"/>
          <w:lang w:eastAsia="en-US"/>
        </w:rPr>
      </w:pPr>
      <w:r w:rsidRPr="000910A1">
        <w:rPr>
          <w:rFonts w:ascii="Times New Roman" w:eastAsiaTheme="minorHAnsi" w:hAnsi="Times New Roman" w:cstheme="minorBidi"/>
          <w:b/>
          <w:i w:val="0"/>
          <w:iCs w:val="0"/>
          <w:lang w:eastAsia="en-US"/>
        </w:rPr>
        <w:t>Human rights implications</w:t>
      </w:r>
    </w:p>
    <w:p w14:paraId="50740E7B" w14:textId="77777777" w:rsidR="000910A1" w:rsidRDefault="000910A1" w:rsidP="000910A1">
      <w:pPr>
        <w:spacing w:before="120" w:after="120"/>
        <w:rPr>
          <w:sz w:val="24"/>
          <w:szCs w:val="24"/>
        </w:rPr>
      </w:pPr>
      <w:r>
        <w:rPr>
          <w:sz w:val="24"/>
          <w:szCs w:val="24"/>
        </w:rPr>
        <w:t xml:space="preserve">This instrument </w:t>
      </w:r>
      <w:r w:rsidRPr="00C2674E">
        <w:rPr>
          <w:sz w:val="24"/>
          <w:szCs w:val="24"/>
        </w:rPr>
        <w:t>engage</w:t>
      </w:r>
      <w:r>
        <w:rPr>
          <w:sz w:val="24"/>
          <w:szCs w:val="24"/>
        </w:rPr>
        <w:t>s</w:t>
      </w:r>
      <w:r w:rsidRPr="00C2674E">
        <w:rPr>
          <w:sz w:val="24"/>
          <w:szCs w:val="24"/>
        </w:rPr>
        <w:t xml:space="preserve"> the </w:t>
      </w:r>
      <w:r>
        <w:rPr>
          <w:sz w:val="24"/>
          <w:szCs w:val="24"/>
        </w:rPr>
        <w:t xml:space="preserve">following </w:t>
      </w:r>
      <w:r w:rsidRPr="00C2674E">
        <w:rPr>
          <w:sz w:val="24"/>
          <w:szCs w:val="24"/>
        </w:rPr>
        <w:t>rights</w:t>
      </w:r>
      <w:r>
        <w:rPr>
          <w:sz w:val="24"/>
          <w:szCs w:val="24"/>
        </w:rPr>
        <w:t>:</w:t>
      </w:r>
    </w:p>
    <w:p w14:paraId="0F5C5B4E" w14:textId="77777777" w:rsidR="000910A1" w:rsidRPr="00416030" w:rsidRDefault="000910A1" w:rsidP="000910A1">
      <w:pPr>
        <w:pStyle w:val="ListParagraph"/>
        <w:numPr>
          <w:ilvl w:val="0"/>
          <w:numId w:val="48"/>
        </w:numPr>
        <w:contextualSpacing w:val="0"/>
        <w:rPr>
          <w:sz w:val="24"/>
        </w:rPr>
      </w:pPr>
      <w:r w:rsidRPr="00416030">
        <w:rPr>
          <w:sz w:val="24"/>
        </w:rPr>
        <w:t xml:space="preserve">right to work and to just and favourable conditions of work in Articles 6 and 7 of the </w:t>
      </w:r>
      <w:r w:rsidRPr="00416030">
        <w:rPr>
          <w:i/>
          <w:sz w:val="24"/>
        </w:rPr>
        <w:t>International Covenant on Economic, Social and Cultural Rights</w:t>
      </w:r>
      <w:r w:rsidRPr="00416030">
        <w:rPr>
          <w:sz w:val="24"/>
        </w:rPr>
        <w:t xml:space="preserve"> </w:t>
      </w:r>
      <w:r w:rsidRPr="00F94A4D">
        <w:rPr>
          <w:sz w:val="24"/>
        </w:rPr>
        <w:t>(ICESCR)</w:t>
      </w:r>
    </w:p>
    <w:p w14:paraId="652771E9" w14:textId="77777777" w:rsidR="000910A1" w:rsidRPr="00416030" w:rsidRDefault="000910A1" w:rsidP="000910A1">
      <w:pPr>
        <w:pStyle w:val="ListParagraph"/>
        <w:numPr>
          <w:ilvl w:val="0"/>
          <w:numId w:val="48"/>
        </w:numPr>
        <w:contextualSpacing w:val="0"/>
        <w:rPr>
          <w:sz w:val="24"/>
        </w:rPr>
      </w:pPr>
      <w:r w:rsidRPr="00416030">
        <w:rPr>
          <w:sz w:val="24"/>
        </w:rPr>
        <w:t xml:space="preserve">rights of people with disability in Articles 5 and 26 of the </w:t>
      </w:r>
      <w:r w:rsidRPr="00416030">
        <w:rPr>
          <w:i/>
          <w:sz w:val="24"/>
        </w:rPr>
        <w:t>Convention on the Rights of Persons with Disabilities</w:t>
      </w:r>
      <w:r w:rsidRPr="00416030">
        <w:rPr>
          <w:sz w:val="24"/>
        </w:rPr>
        <w:t xml:space="preserve"> (CRPD). </w:t>
      </w:r>
    </w:p>
    <w:p w14:paraId="3549E8CA" w14:textId="77777777" w:rsidR="000910A1" w:rsidRDefault="000910A1" w:rsidP="000910A1">
      <w:pPr>
        <w:pStyle w:val="Default"/>
        <w:rPr>
          <w:sz w:val="22"/>
          <w:szCs w:val="22"/>
        </w:rPr>
      </w:pPr>
    </w:p>
    <w:p w14:paraId="6F744B7F" w14:textId="77777777" w:rsidR="000910A1" w:rsidRPr="00D83C7B" w:rsidDel="00C150C1" w:rsidRDefault="000910A1" w:rsidP="000910A1">
      <w:pPr>
        <w:pStyle w:val="Default"/>
        <w:rPr>
          <w:b/>
          <w:i/>
          <w:sz w:val="22"/>
          <w:szCs w:val="22"/>
        </w:rPr>
      </w:pPr>
      <w:r w:rsidRPr="00D83C7B">
        <w:rPr>
          <w:b/>
          <w:i/>
          <w:sz w:val="22"/>
          <w:szCs w:val="22"/>
        </w:rPr>
        <w:t xml:space="preserve">Right to work and to just and favourable conditions of work </w:t>
      </w:r>
    </w:p>
    <w:p w14:paraId="0730A216" w14:textId="77777777" w:rsidR="000910A1" w:rsidRDefault="000910A1" w:rsidP="000910A1">
      <w:pPr>
        <w:spacing w:before="120" w:after="120"/>
        <w:rPr>
          <w:rFonts w:eastAsia="Calibri"/>
          <w:sz w:val="24"/>
          <w:szCs w:val="24"/>
        </w:rPr>
      </w:pPr>
      <w:r w:rsidRPr="00D83C7B">
        <w:rPr>
          <w:rFonts w:eastAsia="Calibri"/>
          <w:sz w:val="24"/>
          <w:szCs w:val="24"/>
        </w:rPr>
        <w:t xml:space="preserve">Article 6 of the ICESCR recognises </w:t>
      </w:r>
      <w:r w:rsidRPr="00BF0ED7">
        <w:rPr>
          <w:rFonts w:eastAsia="Calibri"/>
          <w:sz w:val="24"/>
          <w:szCs w:val="24"/>
        </w:rPr>
        <w:t>‘</w:t>
      </w:r>
      <w:r w:rsidRPr="00D83C7B">
        <w:rPr>
          <w:rFonts w:eastAsia="Calibri"/>
          <w:i/>
          <w:sz w:val="24"/>
          <w:szCs w:val="24"/>
        </w:rPr>
        <w:t>… the right of everyone to the opportunity to gain his living by work which he freely chooses or accepts …</w:t>
      </w:r>
      <w:r w:rsidRPr="00D83C7B">
        <w:rPr>
          <w:rFonts w:eastAsia="Calibri"/>
          <w:sz w:val="24"/>
          <w:szCs w:val="24"/>
        </w:rPr>
        <w:t xml:space="preserve">’ The right to just and favourable conditions of work includes, but is not limited to, ensuring </w:t>
      </w:r>
      <w:r>
        <w:rPr>
          <w:rFonts w:eastAsia="Calibri"/>
          <w:sz w:val="24"/>
          <w:szCs w:val="24"/>
        </w:rPr>
        <w:t>‘</w:t>
      </w:r>
      <w:r w:rsidRPr="00D83C7B">
        <w:rPr>
          <w:rFonts w:eastAsia="Calibri"/>
          <w:i/>
          <w:sz w:val="24"/>
          <w:szCs w:val="24"/>
        </w:rPr>
        <w:t>fair wages and equal remuneration for work of equal value without distinction of any kind</w:t>
      </w:r>
      <w:r>
        <w:rPr>
          <w:rFonts w:eastAsia="Calibri"/>
          <w:sz w:val="24"/>
          <w:szCs w:val="24"/>
        </w:rPr>
        <w:t>’, and ‘</w:t>
      </w:r>
      <w:r w:rsidRPr="00D83C7B">
        <w:rPr>
          <w:rFonts w:eastAsia="Calibri"/>
          <w:i/>
          <w:sz w:val="24"/>
          <w:szCs w:val="24"/>
        </w:rPr>
        <w:t>a decent living for themselves and their families</w:t>
      </w:r>
      <w:r>
        <w:rPr>
          <w:rFonts w:eastAsia="Calibri"/>
          <w:sz w:val="24"/>
          <w:szCs w:val="24"/>
        </w:rPr>
        <w:t>’</w:t>
      </w:r>
      <w:r w:rsidRPr="00D83C7B">
        <w:rPr>
          <w:rFonts w:eastAsia="Calibri"/>
          <w:sz w:val="24"/>
          <w:szCs w:val="24"/>
        </w:rPr>
        <w:t xml:space="preserve"> (</w:t>
      </w:r>
      <w:r>
        <w:rPr>
          <w:rFonts w:eastAsia="Calibri"/>
          <w:sz w:val="24"/>
          <w:szCs w:val="24"/>
        </w:rPr>
        <w:t>A</w:t>
      </w:r>
      <w:r w:rsidRPr="00D83C7B">
        <w:rPr>
          <w:rFonts w:eastAsia="Calibri"/>
          <w:sz w:val="24"/>
          <w:szCs w:val="24"/>
        </w:rPr>
        <w:t>rticle 7</w:t>
      </w:r>
      <w:r>
        <w:rPr>
          <w:rFonts w:eastAsia="Calibri"/>
          <w:sz w:val="24"/>
          <w:szCs w:val="24"/>
        </w:rPr>
        <w:t>(1)</w:t>
      </w:r>
      <w:r w:rsidRPr="00D83C7B">
        <w:rPr>
          <w:rFonts w:eastAsia="Calibri"/>
          <w:sz w:val="24"/>
          <w:szCs w:val="24"/>
        </w:rPr>
        <w:t>(a)).</w:t>
      </w:r>
    </w:p>
    <w:p w14:paraId="1158317B" w14:textId="6F1B63CF" w:rsidR="00416030" w:rsidRPr="008F4673" w:rsidRDefault="194C64F2" w:rsidP="00416030">
      <w:pPr>
        <w:pStyle w:val="Default"/>
      </w:pPr>
      <w:r w:rsidRPr="4DDB4D5C">
        <w:rPr>
          <w:rFonts w:eastAsiaTheme="minorEastAsia" w:cstheme="minorBidi"/>
          <w:color w:val="auto"/>
        </w:rPr>
        <w:t xml:space="preserve">This instrument ensures that the office holders who are the subject of the determination continue to be provided with current and </w:t>
      </w:r>
      <w:r>
        <w:t>reasonable travel allowance amounts</w:t>
      </w:r>
      <w:r w:rsidR="75ED5BB8">
        <w:t xml:space="preserve"> and reasonable travel arrangements</w:t>
      </w:r>
      <w:r>
        <w:t xml:space="preserve"> to </w:t>
      </w:r>
      <w:r w:rsidRPr="4DDB4D5C">
        <w:rPr>
          <w:rFonts w:eastAsiaTheme="minorEastAsia" w:cstheme="minorBidi"/>
          <w:color w:val="auto"/>
        </w:rPr>
        <w:t xml:space="preserve">fairly support the duties they are required to perform as public office holders. This would not be the case if public office holders were required to </w:t>
      </w:r>
      <w:r w:rsidR="36EDFCA6" w:rsidRPr="4DDB4D5C">
        <w:rPr>
          <w:rFonts w:eastAsiaTheme="minorEastAsia" w:cstheme="minorBidi"/>
          <w:color w:val="auto"/>
        </w:rPr>
        <w:t xml:space="preserve">personally </w:t>
      </w:r>
      <w:r w:rsidRPr="4DDB4D5C">
        <w:rPr>
          <w:rFonts w:eastAsiaTheme="minorEastAsia" w:cstheme="minorBidi"/>
          <w:color w:val="auto"/>
        </w:rPr>
        <w:t xml:space="preserve">finance the travel and accommodation costs they incur in discharging their duties. This instrument therefore </w:t>
      </w:r>
      <w:r>
        <w:t xml:space="preserve">promotes </w:t>
      </w:r>
      <w:r w:rsidRPr="4DDB4D5C">
        <w:rPr>
          <w:lang w:eastAsia="en-AU"/>
        </w:rPr>
        <w:t>‘</w:t>
      </w:r>
      <w:r w:rsidRPr="4DDB4D5C">
        <w:rPr>
          <w:i/>
          <w:iCs/>
          <w:lang w:eastAsia="en-AU"/>
        </w:rPr>
        <w:t xml:space="preserve">… the right of everyone to the opportunity to gain his living by work which he freely </w:t>
      </w:r>
      <w:r w:rsidRPr="4DDB4D5C">
        <w:rPr>
          <w:i/>
          <w:iCs/>
          <w:lang w:eastAsia="en-AU"/>
        </w:rPr>
        <w:lastRenderedPageBreak/>
        <w:t>chooses or accepts …</w:t>
      </w:r>
      <w:r w:rsidRPr="4DDB4D5C">
        <w:rPr>
          <w:lang w:eastAsia="en-AU"/>
        </w:rPr>
        <w:t xml:space="preserve">’ and </w:t>
      </w:r>
      <w:r>
        <w:t>the principle of ‘</w:t>
      </w:r>
      <w:r w:rsidRPr="4DDB4D5C">
        <w:rPr>
          <w:i/>
          <w:iCs/>
          <w:lang w:eastAsia="en-AU"/>
        </w:rPr>
        <w:t>fair wages and equal remuneration for work of equal value</w:t>
      </w:r>
      <w:r w:rsidRPr="4DDB4D5C">
        <w:rPr>
          <w:lang w:eastAsia="en-AU"/>
        </w:rPr>
        <w:t>’ per Articles 6 and 7 of the ICESCR.</w:t>
      </w:r>
    </w:p>
    <w:p w14:paraId="7BA4C521" w14:textId="1147AF72" w:rsidR="000910A1" w:rsidRDefault="000910A1" w:rsidP="00FE4FCB">
      <w:pPr>
        <w:spacing w:after="80"/>
        <w:rPr>
          <w:rFonts w:ascii="Verdana" w:hAnsi="Verdana"/>
        </w:rPr>
      </w:pPr>
    </w:p>
    <w:p w14:paraId="06480475" w14:textId="77777777" w:rsidR="00416030" w:rsidRPr="00D83C7B" w:rsidDel="00C150C1" w:rsidRDefault="00416030" w:rsidP="00416030">
      <w:pPr>
        <w:pStyle w:val="Default"/>
        <w:keepNext/>
        <w:rPr>
          <w:b/>
          <w:i/>
          <w:sz w:val="22"/>
          <w:szCs w:val="22"/>
        </w:rPr>
      </w:pPr>
      <w:r w:rsidRPr="00D83C7B">
        <w:rPr>
          <w:b/>
          <w:i/>
          <w:sz w:val="22"/>
          <w:szCs w:val="22"/>
        </w:rPr>
        <w:t>Right</w:t>
      </w:r>
      <w:r>
        <w:rPr>
          <w:b/>
          <w:i/>
          <w:sz w:val="22"/>
          <w:szCs w:val="22"/>
        </w:rPr>
        <w:t>s</w:t>
      </w:r>
      <w:r w:rsidRPr="00D83C7B">
        <w:rPr>
          <w:b/>
          <w:i/>
          <w:sz w:val="22"/>
          <w:szCs w:val="22"/>
        </w:rPr>
        <w:t xml:space="preserve"> </w:t>
      </w:r>
      <w:r>
        <w:rPr>
          <w:b/>
          <w:i/>
          <w:sz w:val="22"/>
          <w:szCs w:val="22"/>
        </w:rPr>
        <w:t>of people with disabilities</w:t>
      </w:r>
      <w:r w:rsidRPr="00D83C7B">
        <w:rPr>
          <w:b/>
          <w:i/>
          <w:sz w:val="22"/>
          <w:szCs w:val="22"/>
        </w:rPr>
        <w:t xml:space="preserve"> </w:t>
      </w:r>
    </w:p>
    <w:p w14:paraId="077A8158" w14:textId="77777777" w:rsidR="00416030" w:rsidRPr="002065B7" w:rsidRDefault="00416030" w:rsidP="00416030">
      <w:pPr>
        <w:spacing w:before="240"/>
        <w:rPr>
          <w:rFonts w:eastAsia="Calibri"/>
          <w:sz w:val="24"/>
          <w:szCs w:val="24"/>
        </w:rPr>
      </w:pPr>
      <w:r>
        <w:rPr>
          <w:rFonts w:eastAsia="Calibri"/>
          <w:sz w:val="24"/>
          <w:szCs w:val="24"/>
        </w:rPr>
        <w:t>Article 5.3 of the CRPD provides ‘</w:t>
      </w:r>
      <w:r w:rsidRPr="003452B0">
        <w:rPr>
          <w:rFonts w:eastAsia="Calibri"/>
          <w:i/>
          <w:sz w:val="24"/>
          <w:szCs w:val="24"/>
        </w:rPr>
        <w:t>In order to promote equality and eliminate discrimination, States Parties shall take all appropriate steps to ensure that reasonable accommodation is provided</w:t>
      </w:r>
      <w:r>
        <w:rPr>
          <w:rFonts w:eastAsia="Calibri"/>
          <w:sz w:val="24"/>
          <w:szCs w:val="24"/>
        </w:rPr>
        <w:t>’.</w:t>
      </w:r>
      <w:r w:rsidRPr="002065B7">
        <w:rPr>
          <w:rFonts w:eastAsia="Calibri"/>
          <w:sz w:val="24"/>
          <w:szCs w:val="24"/>
        </w:rPr>
        <w:t xml:space="preserve"> 'Reasonable accommodation' means providing necessary and appropriate modifications and adjustments, which do not impose a disproportionate or undue burden, where needed in a particular case.</w:t>
      </w:r>
      <w:r>
        <w:rPr>
          <w:rFonts w:eastAsia="Calibri"/>
          <w:sz w:val="24"/>
          <w:szCs w:val="24"/>
        </w:rPr>
        <w:t xml:space="preserve"> The CRPD also obligates </w:t>
      </w:r>
      <w:r w:rsidRPr="005B55FF">
        <w:rPr>
          <w:rFonts w:eastAsia="Calibri"/>
          <w:sz w:val="24"/>
          <w:szCs w:val="24"/>
        </w:rPr>
        <w:t>States Parties</w:t>
      </w:r>
      <w:r w:rsidRPr="003452B0">
        <w:rPr>
          <w:rFonts w:eastAsia="Calibri"/>
          <w:i/>
          <w:sz w:val="24"/>
          <w:szCs w:val="24"/>
        </w:rPr>
        <w:t xml:space="preserve"> </w:t>
      </w:r>
      <w:r w:rsidRPr="005B55FF">
        <w:rPr>
          <w:rFonts w:eastAsia="Calibri"/>
          <w:sz w:val="24"/>
          <w:szCs w:val="24"/>
        </w:rPr>
        <w:t>to</w:t>
      </w:r>
      <w:r>
        <w:rPr>
          <w:rFonts w:eastAsia="Calibri"/>
          <w:i/>
          <w:sz w:val="24"/>
          <w:szCs w:val="24"/>
        </w:rPr>
        <w:t xml:space="preserve"> ‘</w:t>
      </w:r>
      <w:r w:rsidRPr="003452B0">
        <w:rPr>
          <w:rFonts w:eastAsia="Calibri"/>
          <w:i/>
          <w:sz w:val="24"/>
          <w:szCs w:val="24"/>
        </w:rPr>
        <w:t>take effective and appropriate measures</w:t>
      </w:r>
      <w:r>
        <w:rPr>
          <w:rFonts w:eastAsia="Calibri"/>
          <w:i/>
          <w:sz w:val="24"/>
          <w:szCs w:val="24"/>
        </w:rPr>
        <w:t xml:space="preserve">… </w:t>
      </w:r>
      <w:r w:rsidRPr="003452B0">
        <w:rPr>
          <w:rFonts w:eastAsia="Calibri"/>
          <w:i/>
          <w:sz w:val="24"/>
          <w:szCs w:val="24"/>
        </w:rPr>
        <w:t>to enable persons with disabilities to attain and maintain maximum independence, full physical, mental, social and vocational ability, and full inclusion and participation in all aspects of life</w:t>
      </w:r>
      <w:r>
        <w:rPr>
          <w:rFonts w:eastAsia="Calibri"/>
          <w:sz w:val="24"/>
          <w:szCs w:val="24"/>
        </w:rPr>
        <w:t>’ (Article 26)</w:t>
      </w:r>
      <w:r w:rsidRPr="002065B7">
        <w:rPr>
          <w:rFonts w:eastAsia="Calibri"/>
          <w:sz w:val="24"/>
          <w:szCs w:val="24"/>
        </w:rPr>
        <w:t>.</w:t>
      </w:r>
      <w:r>
        <w:rPr>
          <w:rFonts w:eastAsia="Calibri"/>
          <w:sz w:val="24"/>
          <w:szCs w:val="24"/>
        </w:rPr>
        <w:t xml:space="preserve"> </w:t>
      </w:r>
    </w:p>
    <w:p w14:paraId="581A0450" w14:textId="4C2FB75D" w:rsidR="00416030" w:rsidRDefault="194C64F2" w:rsidP="00416030">
      <w:pPr>
        <w:spacing w:before="240"/>
        <w:rPr>
          <w:rFonts w:eastAsia="Calibri"/>
          <w:sz w:val="24"/>
          <w:szCs w:val="24"/>
        </w:rPr>
      </w:pPr>
      <w:r w:rsidRPr="4DDB4D5C">
        <w:rPr>
          <w:rFonts w:eastAsia="Calibri"/>
          <w:sz w:val="24"/>
          <w:szCs w:val="24"/>
        </w:rPr>
        <w:t xml:space="preserve">This instrument engages Australia’s obligations in the CRPD to provide ‘reasonable accommodation’ to ensure people with disability can enjoy their rights on an equal basis with others and be included and participate in employment. Specifically, this instrument </w:t>
      </w:r>
      <w:r w:rsidR="48114A2B" w:rsidRPr="4DDB4D5C">
        <w:rPr>
          <w:rFonts w:eastAsia="Calibri"/>
          <w:sz w:val="24"/>
          <w:szCs w:val="24"/>
        </w:rPr>
        <w:t xml:space="preserve">includes </w:t>
      </w:r>
      <w:r w:rsidRPr="4DDB4D5C">
        <w:rPr>
          <w:rFonts w:eastAsia="Calibri"/>
          <w:sz w:val="24"/>
          <w:szCs w:val="24"/>
        </w:rPr>
        <w:t xml:space="preserve">provisions enabling an office holder with a physical limitation or impairment and who requires accessible accommodation to have their travel allowance supplemented to take into account the additional cost of that accommodation, where necessary. </w:t>
      </w:r>
      <w:r w:rsidR="48114A2B" w:rsidRPr="4DDB4D5C">
        <w:rPr>
          <w:rFonts w:eastAsia="Calibri"/>
          <w:sz w:val="24"/>
          <w:szCs w:val="24"/>
        </w:rPr>
        <w:t xml:space="preserve">This </w:t>
      </w:r>
      <w:r w:rsidR="7917C692" w:rsidRPr="4DDB4D5C">
        <w:rPr>
          <w:rFonts w:eastAsia="Calibri"/>
          <w:sz w:val="24"/>
          <w:szCs w:val="24"/>
        </w:rPr>
        <w:t>instrument also provides for a Tier</w:t>
      </w:r>
      <w:r w:rsidR="4A4890DE" w:rsidRPr="4DDB4D5C">
        <w:rPr>
          <w:rFonts w:eastAsia="Calibri"/>
          <w:sz w:val="24"/>
          <w:szCs w:val="24"/>
        </w:rPr>
        <w:t> </w:t>
      </w:r>
      <w:r w:rsidR="7917C692" w:rsidRPr="4DDB4D5C">
        <w:rPr>
          <w:rFonts w:eastAsia="Calibri"/>
          <w:sz w:val="24"/>
          <w:szCs w:val="24"/>
        </w:rPr>
        <w:t xml:space="preserve">2 </w:t>
      </w:r>
      <w:r w:rsidR="48114A2B" w:rsidRPr="4DDB4D5C">
        <w:rPr>
          <w:rFonts w:eastAsia="Calibri"/>
          <w:sz w:val="24"/>
          <w:szCs w:val="24"/>
        </w:rPr>
        <w:t xml:space="preserve">office holder with a physical limitation or impairment who requires to travel at business class on short haul domestic flights, to do so. These </w:t>
      </w:r>
      <w:r w:rsidRPr="4DDB4D5C">
        <w:rPr>
          <w:rFonts w:eastAsia="Calibri"/>
          <w:sz w:val="24"/>
          <w:szCs w:val="24"/>
        </w:rPr>
        <w:t>provision</w:t>
      </w:r>
      <w:r w:rsidR="48114A2B" w:rsidRPr="4DDB4D5C">
        <w:rPr>
          <w:rFonts w:eastAsia="Calibri"/>
          <w:sz w:val="24"/>
          <w:szCs w:val="24"/>
        </w:rPr>
        <w:t>s</w:t>
      </w:r>
      <w:r w:rsidRPr="4DDB4D5C">
        <w:rPr>
          <w:rFonts w:eastAsia="Calibri"/>
          <w:sz w:val="24"/>
          <w:szCs w:val="24"/>
        </w:rPr>
        <w:t xml:space="preserve"> promote the inclusion and participation of office holders with disabilities in employment, thereby contributing to the implementation of Australia’s obligations under the CRPD.</w:t>
      </w:r>
    </w:p>
    <w:p w14:paraId="06226B2E" w14:textId="77777777" w:rsidR="00416030" w:rsidRDefault="00416030" w:rsidP="00FE4FCB">
      <w:pPr>
        <w:spacing w:after="80"/>
        <w:rPr>
          <w:rFonts w:ascii="Verdana" w:hAnsi="Verdana"/>
        </w:rPr>
      </w:pPr>
    </w:p>
    <w:p w14:paraId="2C78F9FC" w14:textId="77777777" w:rsidR="00BB25B8" w:rsidRPr="00416030" w:rsidRDefault="00BB25B8" w:rsidP="00416030">
      <w:pPr>
        <w:pStyle w:val="Heading3"/>
        <w:keepNext w:val="0"/>
        <w:spacing w:before="120" w:after="120"/>
        <w:jc w:val="both"/>
        <w:rPr>
          <w:rFonts w:ascii="Times New Roman" w:eastAsiaTheme="minorHAnsi" w:hAnsi="Times New Roman" w:cstheme="minorBidi"/>
          <w:b/>
          <w:i w:val="0"/>
          <w:iCs w:val="0"/>
          <w:lang w:eastAsia="en-US"/>
        </w:rPr>
      </w:pPr>
      <w:r w:rsidRPr="00416030">
        <w:rPr>
          <w:rFonts w:ascii="Times New Roman" w:eastAsiaTheme="minorHAnsi" w:hAnsi="Times New Roman" w:cstheme="minorBidi"/>
          <w:b/>
          <w:i w:val="0"/>
          <w:iCs w:val="0"/>
          <w:lang w:eastAsia="en-US"/>
        </w:rPr>
        <w:t>Conclusion</w:t>
      </w:r>
    </w:p>
    <w:p w14:paraId="057661CF" w14:textId="1C3740C3" w:rsidR="00416030" w:rsidRDefault="00416030" w:rsidP="00FE4FCB">
      <w:pPr>
        <w:spacing w:before="40" w:after="120"/>
        <w:rPr>
          <w:rFonts w:eastAsia="Calibri"/>
          <w:sz w:val="24"/>
          <w:szCs w:val="24"/>
        </w:rPr>
      </w:pPr>
      <w:r w:rsidRPr="3B16C3CA">
        <w:rPr>
          <w:sz w:val="24"/>
          <w:szCs w:val="24"/>
        </w:rPr>
        <w:t xml:space="preserve">This instrument is compatible with human rights because it enhances and promotes the protection of human rights, and in particular, the right to just and favourable conditions of work through maintaining the principle of </w:t>
      </w:r>
      <w:r w:rsidR="008B1BA4" w:rsidRPr="3B16C3CA">
        <w:rPr>
          <w:rFonts w:eastAsiaTheme="minorEastAsia" w:cstheme="minorBidi"/>
          <w:sz w:val="24"/>
          <w:szCs w:val="24"/>
        </w:rPr>
        <w:t xml:space="preserve">current and </w:t>
      </w:r>
      <w:r w:rsidR="008B1BA4" w:rsidRPr="3B16C3CA">
        <w:rPr>
          <w:sz w:val="24"/>
          <w:szCs w:val="24"/>
        </w:rPr>
        <w:t xml:space="preserve">reasonable travel allowance amounts </w:t>
      </w:r>
      <w:r w:rsidR="00A80C43" w:rsidRPr="3B16C3CA">
        <w:rPr>
          <w:sz w:val="24"/>
          <w:szCs w:val="24"/>
        </w:rPr>
        <w:t xml:space="preserve">and reasonable travel arrangements </w:t>
      </w:r>
      <w:r w:rsidR="008B1BA4" w:rsidRPr="3B16C3CA">
        <w:rPr>
          <w:sz w:val="24"/>
          <w:szCs w:val="24"/>
        </w:rPr>
        <w:t>for travel in the performance of duties</w:t>
      </w:r>
      <w:r w:rsidRPr="3B16C3CA">
        <w:rPr>
          <w:sz w:val="24"/>
          <w:szCs w:val="24"/>
        </w:rPr>
        <w:t xml:space="preserve">, and the provision of </w:t>
      </w:r>
      <w:r w:rsidRPr="3B16C3CA">
        <w:rPr>
          <w:rFonts w:eastAsia="Calibri"/>
          <w:sz w:val="24"/>
          <w:szCs w:val="24"/>
        </w:rPr>
        <w:t xml:space="preserve">‘reasonable accommodation’ to </w:t>
      </w:r>
      <w:r w:rsidR="008B1BA4" w:rsidRPr="3B16C3CA">
        <w:rPr>
          <w:rFonts w:eastAsia="Calibri"/>
          <w:sz w:val="24"/>
          <w:szCs w:val="24"/>
        </w:rPr>
        <w:t>support the inclusion and participation of</w:t>
      </w:r>
      <w:r w:rsidRPr="3B16C3CA">
        <w:rPr>
          <w:rFonts w:eastAsia="Calibri"/>
          <w:sz w:val="24"/>
          <w:szCs w:val="24"/>
        </w:rPr>
        <w:t xml:space="preserve"> </w:t>
      </w:r>
      <w:r w:rsidR="008B1BA4" w:rsidRPr="3B16C3CA">
        <w:rPr>
          <w:rFonts w:eastAsia="Calibri"/>
          <w:sz w:val="24"/>
          <w:szCs w:val="24"/>
        </w:rPr>
        <w:t>office holders</w:t>
      </w:r>
      <w:r w:rsidRPr="3B16C3CA">
        <w:rPr>
          <w:rFonts w:eastAsia="Calibri"/>
          <w:sz w:val="24"/>
          <w:szCs w:val="24"/>
        </w:rPr>
        <w:t xml:space="preserve"> with disabilities in employment on an equal basis with others.</w:t>
      </w:r>
    </w:p>
    <w:p w14:paraId="182A02C7" w14:textId="77777777" w:rsidR="00416030" w:rsidRDefault="00416030" w:rsidP="00FE4FCB">
      <w:pPr>
        <w:spacing w:before="40" w:after="120"/>
        <w:rPr>
          <w:rFonts w:eastAsia="Calibri"/>
          <w:sz w:val="24"/>
          <w:szCs w:val="24"/>
        </w:rPr>
      </w:pPr>
    </w:p>
    <w:p w14:paraId="00F39945" w14:textId="77777777" w:rsidR="00BB25B8" w:rsidRPr="00416030" w:rsidRDefault="00BB25B8" w:rsidP="00416030">
      <w:pPr>
        <w:pStyle w:val="Default"/>
        <w:jc w:val="center"/>
        <w:rPr>
          <w:b/>
          <w:bCs/>
          <w:lang w:eastAsia="en-AU"/>
        </w:rPr>
      </w:pPr>
      <w:r w:rsidRPr="00416030">
        <w:rPr>
          <w:b/>
          <w:bCs/>
          <w:lang w:eastAsia="en-AU"/>
        </w:rPr>
        <w:t>The Remuneration Tribunal</w:t>
      </w:r>
    </w:p>
    <w:p w14:paraId="02132E67" w14:textId="733ADB39" w:rsidR="006E37A6" w:rsidRPr="00144D7F" w:rsidRDefault="006E37A6" w:rsidP="00630F7D">
      <w:pPr>
        <w:spacing w:after="200" w:line="276" w:lineRule="auto"/>
        <w:rPr>
          <w:rFonts w:ascii="Verdana" w:hAnsi="Verdana" w:cs="Tahoma"/>
        </w:rPr>
      </w:pPr>
    </w:p>
    <w:sectPr w:rsidR="006E37A6" w:rsidRPr="00144D7F" w:rsidSect="0058042E">
      <w:headerReference w:type="default" r:id="rId12"/>
      <w:footerReference w:type="even" r:id="rId13"/>
      <w:footerReference w:type="default" r:id="rId14"/>
      <w:headerReference w:type="first" r:id="rId15"/>
      <w:footerReference w:type="first" r:id="rId16"/>
      <w:pgSz w:w="11906" w:h="16838" w:code="9"/>
      <w:pgMar w:top="709" w:right="1416" w:bottom="0" w:left="1134" w:header="720" w:footer="567" w:gutter="0"/>
      <w:pgNumType w:start="1"/>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608C5E69" w16cid:durableId="38851DCF"/>
  <w16cid:commentId w16cid:paraId="5D641EA6" w16cid:durableId="5CD861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0130" w14:textId="77777777" w:rsidR="00E93C8B" w:rsidRPr="00DD2B8F" w:rsidRDefault="00E93C8B">
      <w:pPr>
        <w:rPr>
          <w:sz w:val="19"/>
          <w:szCs w:val="19"/>
        </w:rPr>
      </w:pPr>
      <w:r w:rsidRPr="00DD2B8F">
        <w:rPr>
          <w:sz w:val="19"/>
          <w:szCs w:val="19"/>
        </w:rPr>
        <w:separator/>
      </w:r>
    </w:p>
  </w:endnote>
  <w:endnote w:type="continuationSeparator" w:id="0">
    <w:p w14:paraId="2D6E362B" w14:textId="77777777" w:rsidR="00E93C8B" w:rsidRPr="00DD2B8F" w:rsidRDefault="00E93C8B">
      <w:pPr>
        <w:rPr>
          <w:sz w:val="19"/>
          <w:szCs w:val="19"/>
        </w:rPr>
      </w:pPr>
      <w:r w:rsidRPr="00DD2B8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0" w14:textId="77777777" w:rsidR="00394B1E" w:rsidRDefault="00394B1E" w:rsidP="001F6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32E71" w14:textId="77777777" w:rsidR="00394B1E" w:rsidRDefault="00394B1E" w:rsidP="00E23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2" w14:textId="3879CC60" w:rsidR="007D4D9D" w:rsidRDefault="007D4D9D">
    <w:pPr>
      <w:pStyle w:val="Footer"/>
      <w:jc w:val="center"/>
    </w:pPr>
    <w:r>
      <w:fldChar w:fldCharType="begin"/>
    </w:r>
    <w:r>
      <w:instrText xml:space="preserve"> PAGE   \* MERGEFORMAT </w:instrText>
    </w:r>
    <w:r>
      <w:fldChar w:fldCharType="separate"/>
    </w:r>
    <w:r w:rsidR="00621E8F">
      <w:rPr>
        <w:noProof/>
      </w:rPr>
      <w:t>2</w:t>
    </w:r>
    <w:r>
      <w:fldChar w:fldCharType="end"/>
    </w:r>
  </w:p>
  <w:p w14:paraId="02132E73" w14:textId="77777777" w:rsidR="00394B1E" w:rsidRPr="00DD2B8F" w:rsidRDefault="00394B1E" w:rsidP="007D4D9D">
    <w:pPr>
      <w:pStyle w:val="Footer"/>
      <w:tabs>
        <w:tab w:val="clear" w:pos="4153"/>
        <w:tab w:val="clear" w:pos="8306"/>
        <w:tab w:val="center" w:pos="7338"/>
      </w:tabs>
      <w:spacing w:before="60" w:after="60"/>
      <w:ind w:right="360"/>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5" w14:textId="404CAA3F" w:rsidR="007D4D9D" w:rsidRDefault="007D4D9D">
    <w:pPr>
      <w:pStyle w:val="Footer"/>
      <w:jc w:val="center"/>
    </w:pPr>
    <w:r>
      <w:fldChar w:fldCharType="begin"/>
    </w:r>
    <w:r>
      <w:instrText xml:space="preserve"> PAGE   \* MERGEFORMAT </w:instrText>
    </w:r>
    <w:r>
      <w:fldChar w:fldCharType="separate"/>
    </w:r>
    <w:r w:rsidR="00621E8F">
      <w:rPr>
        <w:noProof/>
      </w:rPr>
      <w:t>1</w:t>
    </w:r>
    <w:r>
      <w:fldChar w:fldCharType="end"/>
    </w:r>
  </w:p>
  <w:p w14:paraId="02132E76" w14:textId="77777777" w:rsidR="007D4D9D" w:rsidRDefault="007D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8C16" w14:textId="77777777" w:rsidR="00E93C8B" w:rsidRPr="00DD2B8F" w:rsidRDefault="00E93C8B">
      <w:pPr>
        <w:rPr>
          <w:sz w:val="19"/>
          <w:szCs w:val="19"/>
        </w:rPr>
      </w:pPr>
      <w:r w:rsidRPr="00DD2B8F">
        <w:rPr>
          <w:sz w:val="19"/>
          <w:szCs w:val="19"/>
        </w:rPr>
        <w:separator/>
      </w:r>
    </w:p>
  </w:footnote>
  <w:footnote w:type="continuationSeparator" w:id="0">
    <w:p w14:paraId="6D4DE440" w14:textId="77777777" w:rsidR="00E93C8B" w:rsidRPr="00DD2B8F" w:rsidRDefault="00E93C8B">
      <w:pPr>
        <w:rPr>
          <w:sz w:val="19"/>
          <w:szCs w:val="19"/>
        </w:rPr>
      </w:pPr>
      <w:r w:rsidRPr="00DD2B8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6E" w14:textId="77777777" w:rsidR="00394B1E" w:rsidRDefault="00394B1E" w:rsidP="00394E67">
    <w:pPr>
      <w:pStyle w:val="Header"/>
      <w:jc w:val="center"/>
    </w:pPr>
  </w:p>
  <w:p w14:paraId="02132E6F" w14:textId="77777777" w:rsidR="00394B1E" w:rsidRDefault="00394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4" w14:textId="4FD293D3" w:rsidR="00783A3C" w:rsidRPr="00783A3C" w:rsidRDefault="000C33C7" w:rsidP="00394E67">
    <w:pPr>
      <w:pStyle w:val="Header"/>
      <w:jc w:val="center"/>
    </w:pPr>
    <w:r w:rsidRPr="00163E1D">
      <w:rPr>
        <w:noProof/>
      </w:rPr>
      <w:drawing>
        <wp:inline distT="0" distB="0" distL="0" distR="0" wp14:anchorId="23E7633C" wp14:editId="6E6CCAA3">
          <wp:extent cx="2043851" cy="1014095"/>
          <wp:effectExtent l="0" t="0" r="0" b="0"/>
          <wp:docPr id="5" name="Picture 9" descr="Commonwealth government Crest above text reading Remuneration Tribunal" title="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Remuneration Tribunal" title="Commonwealth Government Crest.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3851"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6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3D825A0"/>
    <w:multiLevelType w:val="hybridMultilevel"/>
    <w:tmpl w:val="34BEE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B94545"/>
    <w:multiLevelType w:val="hybridMultilevel"/>
    <w:tmpl w:val="3FF4D4B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95855"/>
    <w:multiLevelType w:val="hybridMultilevel"/>
    <w:tmpl w:val="015A1B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B37649"/>
    <w:multiLevelType w:val="multilevel"/>
    <w:tmpl w:val="3FF4D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9B27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8E75D2"/>
    <w:multiLevelType w:val="singleLevel"/>
    <w:tmpl w:val="7FD0E988"/>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1FD13E47"/>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8" w15:restartNumberingAfterBreak="0">
    <w:nsid w:val="23233997"/>
    <w:multiLevelType w:val="hybridMultilevel"/>
    <w:tmpl w:val="DA14DE78"/>
    <w:lvl w:ilvl="0" w:tplc="227C32BE">
      <w:start w:val="1"/>
      <w:numFmt w:val="decimal"/>
      <w:lvlText w:val="%1."/>
      <w:lvlJc w:val="left"/>
      <w:pPr>
        <w:tabs>
          <w:tab w:val="num" w:pos="786"/>
        </w:tabs>
        <w:ind w:left="786" w:hanging="360"/>
      </w:pPr>
      <w:rPr>
        <w:rFonts w:ascii="Verdana" w:hAnsi="Verdana" w:cs="Times New Roman" w:hint="default"/>
        <w:b w:val="0"/>
        <w:i w:val="0"/>
        <w:sz w:val="22"/>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1B55AA"/>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2A0E057C"/>
    <w:multiLevelType w:val="singleLevel"/>
    <w:tmpl w:val="994ED97E"/>
    <w:lvl w:ilvl="0">
      <w:start w:val="1"/>
      <w:numFmt w:val="lowerLetter"/>
      <w:lvlText w:val="(%1)"/>
      <w:lvlJc w:val="left"/>
      <w:pPr>
        <w:tabs>
          <w:tab w:val="num" w:pos="720"/>
        </w:tabs>
        <w:ind w:left="720" w:hanging="720"/>
      </w:pPr>
      <w:rPr>
        <w:rFonts w:cs="Times New Roman" w:hint="default"/>
      </w:rPr>
    </w:lvl>
  </w:abstractNum>
  <w:abstractNum w:abstractNumId="11" w15:restartNumberingAfterBreak="0">
    <w:nsid w:val="2A3032E9"/>
    <w:multiLevelType w:val="hybridMultilevel"/>
    <w:tmpl w:val="BA944B9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4E45D0"/>
    <w:multiLevelType w:val="singleLevel"/>
    <w:tmpl w:val="F5A6A262"/>
    <w:lvl w:ilvl="0">
      <w:start w:val="2"/>
      <w:numFmt w:val="upperLetter"/>
      <w:lvlText w:val="(%1)"/>
      <w:lvlJc w:val="left"/>
      <w:pPr>
        <w:tabs>
          <w:tab w:val="num" w:pos="360"/>
        </w:tabs>
        <w:ind w:left="360" w:hanging="360"/>
      </w:pPr>
      <w:rPr>
        <w:rFonts w:cs="Times New Roman" w:hint="default"/>
      </w:rPr>
    </w:lvl>
  </w:abstractNum>
  <w:abstractNum w:abstractNumId="13" w15:restartNumberingAfterBreak="0">
    <w:nsid w:val="2EA36701"/>
    <w:multiLevelType w:val="hybridMultilevel"/>
    <w:tmpl w:val="61624ED2"/>
    <w:lvl w:ilvl="0" w:tplc="27569B1E">
      <w:start w:val="1"/>
      <w:numFmt w:val="decimal"/>
      <w:lvlText w:val="%1."/>
      <w:lvlJc w:val="left"/>
      <w:pPr>
        <w:ind w:left="885" w:hanging="425"/>
      </w:pPr>
      <w:rPr>
        <w:rFonts w:ascii="Verdana" w:hAnsi="Verdana" w:hint="default"/>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4" w15:restartNumberingAfterBreak="0">
    <w:nsid w:val="32B45E80"/>
    <w:multiLevelType w:val="hybridMultilevel"/>
    <w:tmpl w:val="2AE2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D1591"/>
    <w:multiLevelType w:val="hybridMultilevel"/>
    <w:tmpl w:val="1A84A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D9531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3ADA6D85"/>
    <w:multiLevelType w:val="multilevel"/>
    <w:tmpl w:val="0CE2A7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CF37F58"/>
    <w:multiLevelType w:val="hybridMultilevel"/>
    <w:tmpl w:val="BC5469E2"/>
    <w:lvl w:ilvl="0" w:tplc="5B1A7ADC">
      <w:start w:val="1"/>
      <w:numFmt w:val="decimal"/>
      <w:lvlText w:val="%1."/>
      <w:lvlJc w:val="left"/>
      <w:pPr>
        <w:tabs>
          <w:tab w:val="num" w:pos="786"/>
        </w:tabs>
        <w:ind w:left="786" w:hanging="36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AA192C"/>
    <w:multiLevelType w:val="hybridMultilevel"/>
    <w:tmpl w:val="B8CAAC5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D22D5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1" w15:restartNumberingAfterBreak="0">
    <w:nsid w:val="4C17537B"/>
    <w:multiLevelType w:val="hybridMultilevel"/>
    <w:tmpl w:val="C48C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5009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F3799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522E6DB8"/>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25" w15:restartNumberingAfterBreak="0">
    <w:nsid w:val="56D73833"/>
    <w:multiLevelType w:val="hybridMultilevel"/>
    <w:tmpl w:val="560C99D0"/>
    <w:lvl w:ilvl="0" w:tplc="CA0EF228">
      <w:start w:val="16"/>
      <w:numFmt w:val="decimal"/>
      <w:lvlText w:val="%1."/>
      <w:lvlJc w:val="left"/>
      <w:pPr>
        <w:ind w:left="36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8271205"/>
    <w:multiLevelType w:val="hybridMultilevel"/>
    <w:tmpl w:val="099611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790EF5"/>
    <w:multiLevelType w:val="hybridMultilevel"/>
    <w:tmpl w:val="E38E6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12C1C6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9" w15:restartNumberingAfterBreak="0">
    <w:nsid w:val="654C6D4A"/>
    <w:multiLevelType w:val="hybridMultilevel"/>
    <w:tmpl w:val="54D0247A"/>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613231"/>
    <w:multiLevelType w:val="hybridMultilevel"/>
    <w:tmpl w:val="211ED6F4"/>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1"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32" w15:restartNumberingAfterBreak="0">
    <w:nsid w:val="68F67B9C"/>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3" w15:restartNumberingAfterBreak="0">
    <w:nsid w:val="6C247A32"/>
    <w:multiLevelType w:val="hybridMultilevel"/>
    <w:tmpl w:val="433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0B54AE"/>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5" w15:restartNumberingAfterBreak="0">
    <w:nsid w:val="77A55A2F"/>
    <w:multiLevelType w:val="hybridMultilevel"/>
    <w:tmpl w:val="FA1C8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CB7A7B"/>
    <w:multiLevelType w:val="hybridMultilevel"/>
    <w:tmpl w:val="2160A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38" w15:restartNumberingAfterBreak="0">
    <w:nsid w:val="785F27C7"/>
    <w:multiLevelType w:val="singleLevel"/>
    <w:tmpl w:val="0C090019"/>
    <w:lvl w:ilvl="0">
      <w:start w:val="2"/>
      <w:numFmt w:val="lowerLetter"/>
      <w:lvlText w:val="(%1)"/>
      <w:lvlJc w:val="left"/>
      <w:pPr>
        <w:tabs>
          <w:tab w:val="num" w:pos="360"/>
        </w:tabs>
        <w:ind w:left="360" w:hanging="360"/>
      </w:pPr>
      <w:rPr>
        <w:rFonts w:cs="Times New Roman" w:hint="default"/>
      </w:rPr>
    </w:lvl>
  </w:abstractNum>
  <w:abstractNum w:abstractNumId="39" w15:restartNumberingAfterBreak="0">
    <w:nsid w:val="79272B9D"/>
    <w:multiLevelType w:val="hybridMultilevel"/>
    <w:tmpl w:val="A7422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082493"/>
    <w:multiLevelType w:val="singleLevel"/>
    <w:tmpl w:val="9C2A93F6"/>
    <w:lvl w:ilvl="0">
      <w:start w:val="1"/>
      <w:numFmt w:val="lowerLetter"/>
      <w:lvlText w:val="(%1)"/>
      <w:lvlJc w:val="left"/>
      <w:pPr>
        <w:tabs>
          <w:tab w:val="num" w:pos="375"/>
        </w:tabs>
        <w:ind w:left="375" w:hanging="375"/>
      </w:pPr>
      <w:rPr>
        <w:rFonts w:cs="Times New Roman" w:hint="default"/>
      </w:rPr>
    </w:lvl>
  </w:abstractNum>
  <w:abstractNum w:abstractNumId="41" w15:restartNumberingAfterBreak="0">
    <w:nsid w:val="7C3843F1"/>
    <w:multiLevelType w:val="multilevel"/>
    <w:tmpl w:val="433E2A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BF0D01"/>
    <w:multiLevelType w:val="hybridMultilevel"/>
    <w:tmpl w:val="0CE2A72C"/>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F7D33DF"/>
    <w:multiLevelType w:val="hybridMultilevel"/>
    <w:tmpl w:val="3550C0C2"/>
    <w:lvl w:ilvl="0" w:tplc="806A08F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5"/>
  </w:num>
  <w:num w:numId="3">
    <w:abstractNumId w:val="38"/>
  </w:num>
  <w:num w:numId="4">
    <w:abstractNumId w:val="12"/>
  </w:num>
  <w:num w:numId="5">
    <w:abstractNumId w:val="6"/>
  </w:num>
  <w:num w:numId="6">
    <w:abstractNumId w:val="10"/>
  </w:num>
  <w:num w:numId="7">
    <w:abstractNumId w:val="0"/>
  </w:num>
  <w:num w:numId="8">
    <w:abstractNumId w:val="9"/>
  </w:num>
  <w:num w:numId="9">
    <w:abstractNumId w:val="7"/>
  </w:num>
  <w:num w:numId="10">
    <w:abstractNumId w:val="34"/>
  </w:num>
  <w:num w:numId="11">
    <w:abstractNumId w:val="23"/>
  </w:num>
  <w:num w:numId="12">
    <w:abstractNumId w:val="24"/>
  </w:num>
  <w:num w:numId="13">
    <w:abstractNumId w:val="32"/>
  </w:num>
  <w:num w:numId="14">
    <w:abstractNumId w:val="28"/>
  </w:num>
  <w:num w:numId="15">
    <w:abstractNumId w:val="20"/>
  </w:num>
  <w:num w:numId="16">
    <w:abstractNumId w:val="16"/>
  </w:num>
  <w:num w:numId="17">
    <w:abstractNumId w:val="40"/>
  </w:num>
  <w:num w:numId="18">
    <w:abstractNumId w:val="3"/>
  </w:num>
  <w:num w:numId="19">
    <w:abstractNumId w:val="19"/>
  </w:num>
  <w:num w:numId="20">
    <w:abstractNumId w:val="26"/>
  </w:num>
  <w:num w:numId="21">
    <w:abstractNumId w:val="11"/>
  </w:num>
  <w:num w:numId="22">
    <w:abstractNumId w:val="8"/>
  </w:num>
  <w:num w:numId="23">
    <w:abstractNumId w:val="33"/>
  </w:num>
  <w:num w:numId="24">
    <w:abstractNumId w:val="41"/>
  </w:num>
  <w:num w:numId="25">
    <w:abstractNumId w:val="2"/>
  </w:num>
  <w:num w:numId="26">
    <w:abstractNumId w:val="4"/>
  </w:num>
  <w:num w:numId="27">
    <w:abstractNumId w:val="42"/>
  </w:num>
  <w:num w:numId="28">
    <w:abstractNumId w:val="17"/>
  </w:num>
  <w:num w:numId="29">
    <w:abstractNumId w:val="43"/>
  </w:num>
  <w:num w:numId="30">
    <w:abstractNumId w:val="37"/>
  </w:num>
  <w:num w:numId="31">
    <w:abstractNumId w:val="3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num>
  <w:num w:numId="35">
    <w:abstractNumId w:val="15"/>
  </w:num>
  <w:num w:numId="36">
    <w:abstractNumId w:val="29"/>
  </w:num>
  <w:num w:numId="37">
    <w:abstractNumId w:val="1"/>
  </w:num>
  <w:num w:numId="38">
    <w:abstractNumId w:val="30"/>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9"/>
  </w:num>
  <w:num w:numId="42">
    <w:abstractNumId w:val="25"/>
  </w:num>
  <w:num w:numId="43">
    <w:abstractNumId w:val="14"/>
  </w:num>
  <w:num w:numId="44">
    <w:abstractNumId w:val="21"/>
  </w:num>
  <w:num w:numId="4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0E3A"/>
    <w:rsid w:val="00001820"/>
    <w:rsid w:val="00003155"/>
    <w:rsid w:val="000054DB"/>
    <w:rsid w:val="0000569D"/>
    <w:rsid w:val="0000604F"/>
    <w:rsid w:val="00006463"/>
    <w:rsid w:val="00007F56"/>
    <w:rsid w:val="0001005C"/>
    <w:rsid w:val="00011599"/>
    <w:rsid w:val="00012A12"/>
    <w:rsid w:val="000143C9"/>
    <w:rsid w:val="00014722"/>
    <w:rsid w:val="0002276A"/>
    <w:rsid w:val="000239DD"/>
    <w:rsid w:val="00023A2F"/>
    <w:rsid w:val="00023EC0"/>
    <w:rsid w:val="000250DD"/>
    <w:rsid w:val="00030437"/>
    <w:rsid w:val="00035730"/>
    <w:rsid w:val="00043D60"/>
    <w:rsid w:val="00044C4A"/>
    <w:rsid w:val="000527B4"/>
    <w:rsid w:val="000536F5"/>
    <w:rsid w:val="000542DA"/>
    <w:rsid w:val="00054784"/>
    <w:rsid w:val="00061062"/>
    <w:rsid w:val="00061675"/>
    <w:rsid w:val="00062AA8"/>
    <w:rsid w:val="00062F20"/>
    <w:rsid w:val="000647AA"/>
    <w:rsid w:val="000648F3"/>
    <w:rsid w:val="00073E6D"/>
    <w:rsid w:val="000747AD"/>
    <w:rsid w:val="000774AE"/>
    <w:rsid w:val="00082295"/>
    <w:rsid w:val="00083719"/>
    <w:rsid w:val="000845E7"/>
    <w:rsid w:val="0008482D"/>
    <w:rsid w:val="00085C85"/>
    <w:rsid w:val="000906CF"/>
    <w:rsid w:val="000910A1"/>
    <w:rsid w:val="00092B54"/>
    <w:rsid w:val="00093445"/>
    <w:rsid w:val="00094567"/>
    <w:rsid w:val="00095297"/>
    <w:rsid w:val="000A2222"/>
    <w:rsid w:val="000A54E8"/>
    <w:rsid w:val="000B251F"/>
    <w:rsid w:val="000B368D"/>
    <w:rsid w:val="000B750C"/>
    <w:rsid w:val="000C2D03"/>
    <w:rsid w:val="000C2EB4"/>
    <w:rsid w:val="000C33C7"/>
    <w:rsid w:val="000C539F"/>
    <w:rsid w:val="000C541F"/>
    <w:rsid w:val="000C689F"/>
    <w:rsid w:val="000C6FEC"/>
    <w:rsid w:val="000D0ACB"/>
    <w:rsid w:val="000D520F"/>
    <w:rsid w:val="000D6E33"/>
    <w:rsid w:val="000D724E"/>
    <w:rsid w:val="000D78EA"/>
    <w:rsid w:val="000D7B93"/>
    <w:rsid w:val="000E0809"/>
    <w:rsid w:val="000E3967"/>
    <w:rsid w:val="000E5342"/>
    <w:rsid w:val="000E6B59"/>
    <w:rsid w:val="000F3B16"/>
    <w:rsid w:val="000F69A7"/>
    <w:rsid w:val="000F7C34"/>
    <w:rsid w:val="0010048F"/>
    <w:rsid w:val="00101BE6"/>
    <w:rsid w:val="001027C8"/>
    <w:rsid w:val="00107D83"/>
    <w:rsid w:val="001115D0"/>
    <w:rsid w:val="00113E51"/>
    <w:rsid w:val="0011677D"/>
    <w:rsid w:val="0012043A"/>
    <w:rsid w:val="00123E19"/>
    <w:rsid w:val="00127F00"/>
    <w:rsid w:val="001306A9"/>
    <w:rsid w:val="00130C02"/>
    <w:rsid w:val="001314E8"/>
    <w:rsid w:val="001366CB"/>
    <w:rsid w:val="00137F10"/>
    <w:rsid w:val="00140909"/>
    <w:rsid w:val="0014198B"/>
    <w:rsid w:val="001440B0"/>
    <w:rsid w:val="00144D7F"/>
    <w:rsid w:val="00145526"/>
    <w:rsid w:val="0014739A"/>
    <w:rsid w:val="001478B5"/>
    <w:rsid w:val="0015150C"/>
    <w:rsid w:val="00151BAA"/>
    <w:rsid w:val="001567B8"/>
    <w:rsid w:val="0015682A"/>
    <w:rsid w:val="001579DC"/>
    <w:rsid w:val="001602B0"/>
    <w:rsid w:val="00162D52"/>
    <w:rsid w:val="00163F4C"/>
    <w:rsid w:val="001657C7"/>
    <w:rsid w:val="00166148"/>
    <w:rsid w:val="0016751D"/>
    <w:rsid w:val="0017011B"/>
    <w:rsid w:val="00171581"/>
    <w:rsid w:val="00171CFF"/>
    <w:rsid w:val="00172F04"/>
    <w:rsid w:val="00174CDE"/>
    <w:rsid w:val="00175216"/>
    <w:rsid w:val="00175419"/>
    <w:rsid w:val="00182B77"/>
    <w:rsid w:val="00184911"/>
    <w:rsid w:val="00187965"/>
    <w:rsid w:val="00187A2F"/>
    <w:rsid w:val="001A0973"/>
    <w:rsid w:val="001A09D7"/>
    <w:rsid w:val="001A0D6D"/>
    <w:rsid w:val="001A216A"/>
    <w:rsid w:val="001A6FF7"/>
    <w:rsid w:val="001A7D9D"/>
    <w:rsid w:val="001B10A5"/>
    <w:rsid w:val="001B5D4A"/>
    <w:rsid w:val="001B6E3B"/>
    <w:rsid w:val="001B7746"/>
    <w:rsid w:val="001C3664"/>
    <w:rsid w:val="001C3B5F"/>
    <w:rsid w:val="001C4AA5"/>
    <w:rsid w:val="001C4C34"/>
    <w:rsid w:val="001D1F5E"/>
    <w:rsid w:val="001D2767"/>
    <w:rsid w:val="001D2FF1"/>
    <w:rsid w:val="001D6044"/>
    <w:rsid w:val="001E48AF"/>
    <w:rsid w:val="001E5890"/>
    <w:rsid w:val="001E655E"/>
    <w:rsid w:val="001E6EB1"/>
    <w:rsid w:val="001E76C2"/>
    <w:rsid w:val="001E7E9B"/>
    <w:rsid w:val="001F09CE"/>
    <w:rsid w:val="001F56EB"/>
    <w:rsid w:val="001F6819"/>
    <w:rsid w:val="001F6FD4"/>
    <w:rsid w:val="0020016F"/>
    <w:rsid w:val="002029FD"/>
    <w:rsid w:val="002038C1"/>
    <w:rsid w:val="00204F55"/>
    <w:rsid w:val="002060A8"/>
    <w:rsid w:val="00206147"/>
    <w:rsid w:val="00215CC3"/>
    <w:rsid w:val="00216751"/>
    <w:rsid w:val="00220AA8"/>
    <w:rsid w:val="00223D07"/>
    <w:rsid w:val="00225ECE"/>
    <w:rsid w:val="00226E6D"/>
    <w:rsid w:val="00227F28"/>
    <w:rsid w:val="00230C2C"/>
    <w:rsid w:val="00231A42"/>
    <w:rsid w:val="002322E5"/>
    <w:rsid w:val="00234F23"/>
    <w:rsid w:val="00235357"/>
    <w:rsid w:val="002422A4"/>
    <w:rsid w:val="00243104"/>
    <w:rsid w:val="00243940"/>
    <w:rsid w:val="002458AC"/>
    <w:rsid w:val="0024734F"/>
    <w:rsid w:val="00250BE1"/>
    <w:rsid w:val="002513C4"/>
    <w:rsid w:val="0025414F"/>
    <w:rsid w:val="002562A0"/>
    <w:rsid w:val="00256C94"/>
    <w:rsid w:val="00265913"/>
    <w:rsid w:val="00272E48"/>
    <w:rsid w:val="002761BD"/>
    <w:rsid w:val="00277838"/>
    <w:rsid w:val="00282FDC"/>
    <w:rsid w:val="00286391"/>
    <w:rsid w:val="002864B5"/>
    <w:rsid w:val="00297090"/>
    <w:rsid w:val="002A011B"/>
    <w:rsid w:val="002A22D7"/>
    <w:rsid w:val="002A4514"/>
    <w:rsid w:val="002A6745"/>
    <w:rsid w:val="002B046F"/>
    <w:rsid w:val="002B18CE"/>
    <w:rsid w:val="002B3B7D"/>
    <w:rsid w:val="002B628C"/>
    <w:rsid w:val="002B6835"/>
    <w:rsid w:val="002C2600"/>
    <w:rsid w:val="002C362C"/>
    <w:rsid w:val="002C4DF9"/>
    <w:rsid w:val="002C6A9D"/>
    <w:rsid w:val="002D4CA4"/>
    <w:rsid w:val="002D542E"/>
    <w:rsid w:val="002E3646"/>
    <w:rsid w:val="002E3844"/>
    <w:rsid w:val="002E4E55"/>
    <w:rsid w:val="002F3EAC"/>
    <w:rsid w:val="00302961"/>
    <w:rsid w:val="00304B1B"/>
    <w:rsid w:val="00310E06"/>
    <w:rsid w:val="00315F0A"/>
    <w:rsid w:val="00315F72"/>
    <w:rsid w:val="003223AD"/>
    <w:rsid w:val="00322A0D"/>
    <w:rsid w:val="00326E55"/>
    <w:rsid w:val="00332633"/>
    <w:rsid w:val="0033369C"/>
    <w:rsid w:val="003339AA"/>
    <w:rsid w:val="003346C6"/>
    <w:rsid w:val="003350C3"/>
    <w:rsid w:val="003361C1"/>
    <w:rsid w:val="0034148E"/>
    <w:rsid w:val="003466BF"/>
    <w:rsid w:val="00352095"/>
    <w:rsid w:val="00353CF4"/>
    <w:rsid w:val="00365484"/>
    <w:rsid w:val="00371E3B"/>
    <w:rsid w:val="0037275A"/>
    <w:rsid w:val="00372834"/>
    <w:rsid w:val="003743A6"/>
    <w:rsid w:val="003771D4"/>
    <w:rsid w:val="00377376"/>
    <w:rsid w:val="00377623"/>
    <w:rsid w:val="0038089E"/>
    <w:rsid w:val="003844E8"/>
    <w:rsid w:val="00384526"/>
    <w:rsid w:val="00385BAC"/>
    <w:rsid w:val="003901D7"/>
    <w:rsid w:val="003924A6"/>
    <w:rsid w:val="003948E6"/>
    <w:rsid w:val="00394B1E"/>
    <w:rsid w:val="00394E67"/>
    <w:rsid w:val="003A0C31"/>
    <w:rsid w:val="003A74DB"/>
    <w:rsid w:val="003B3321"/>
    <w:rsid w:val="003C1445"/>
    <w:rsid w:val="003C28BF"/>
    <w:rsid w:val="003C5462"/>
    <w:rsid w:val="003C5A84"/>
    <w:rsid w:val="003E16DB"/>
    <w:rsid w:val="003E276D"/>
    <w:rsid w:val="003E3FBD"/>
    <w:rsid w:val="003E7F77"/>
    <w:rsid w:val="003F099F"/>
    <w:rsid w:val="003F173E"/>
    <w:rsid w:val="003F1FAE"/>
    <w:rsid w:val="003F40B2"/>
    <w:rsid w:val="003F4B23"/>
    <w:rsid w:val="003F7AA9"/>
    <w:rsid w:val="004049C8"/>
    <w:rsid w:val="00405E81"/>
    <w:rsid w:val="0040642D"/>
    <w:rsid w:val="00410062"/>
    <w:rsid w:val="004119AD"/>
    <w:rsid w:val="004136ED"/>
    <w:rsid w:val="0041394C"/>
    <w:rsid w:val="004147EF"/>
    <w:rsid w:val="00416030"/>
    <w:rsid w:val="00416FF2"/>
    <w:rsid w:val="00417AE2"/>
    <w:rsid w:val="00422902"/>
    <w:rsid w:val="00427B72"/>
    <w:rsid w:val="0043003B"/>
    <w:rsid w:val="00433C29"/>
    <w:rsid w:val="00447BFA"/>
    <w:rsid w:val="00451FFA"/>
    <w:rsid w:val="00452649"/>
    <w:rsid w:val="0045339F"/>
    <w:rsid w:val="004572F2"/>
    <w:rsid w:val="0046433D"/>
    <w:rsid w:val="004656CF"/>
    <w:rsid w:val="00466C13"/>
    <w:rsid w:val="00466E56"/>
    <w:rsid w:val="004702FB"/>
    <w:rsid w:val="0047043A"/>
    <w:rsid w:val="0048030A"/>
    <w:rsid w:val="00481714"/>
    <w:rsid w:val="00482BE3"/>
    <w:rsid w:val="00483DE0"/>
    <w:rsid w:val="00486368"/>
    <w:rsid w:val="0049279B"/>
    <w:rsid w:val="0049293F"/>
    <w:rsid w:val="0049412C"/>
    <w:rsid w:val="00496773"/>
    <w:rsid w:val="00496B07"/>
    <w:rsid w:val="004A043C"/>
    <w:rsid w:val="004A0D28"/>
    <w:rsid w:val="004A1690"/>
    <w:rsid w:val="004A2E63"/>
    <w:rsid w:val="004A4E17"/>
    <w:rsid w:val="004A57C9"/>
    <w:rsid w:val="004A5AF7"/>
    <w:rsid w:val="004A708D"/>
    <w:rsid w:val="004B0A0C"/>
    <w:rsid w:val="004B3A7E"/>
    <w:rsid w:val="004B5342"/>
    <w:rsid w:val="004B537F"/>
    <w:rsid w:val="004B63EC"/>
    <w:rsid w:val="004C0ADD"/>
    <w:rsid w:val="004C15F9"/>
    <w:rsid w:val="004C1674"/>
    <w:rsid w:val="004C5743"/>
    <w:rsid w:val="004D1AF9"/>
    <w:rsid w:val="004D7870"/>
    <w:rsid w:val="004E3608"/>
    <w:rsid w:val="004E3866"/>
    <w:rsid w:val="004E4C50"/>
    <w:rsid w:val="004E530A"/>
    <w:rsid w:val="004E7BEA"/>
    <w:rsid w:val="004E7E0C"/>
    <w:rsid w:val="004F1242"/>
    <w:rsid w:val="004F46C8"/>
    <w:rsid w:val="004F4A52"/>
    <w:rsid w:val="004F4B4E"/>
    <w:rsid w:val="0050128C"/>
    <w:rsid w:val="005078BF"/>
    <w:rsid w:val="00515212"/>
    <w:rsid w:val="00515FEF"/>
    <w:rsid w:val="005161AF"/>
    <w:rsid w:val="0051744C"/>
    <w:rsid w:val="005200CE"/>
    <w:rsid w:val="00520983"/>
    <w:rsid w:val="0052232D"/>
    <w:rsid w:val="00523C64"/>
    <w:rsid w:val="0052488C"/>
    <w:rsid w:val="00527056"/>
    <w:rsid w:val="00534474"/>
    <w:rsid w:val="00535D7A"/>
    <w:rsid w:val="0053679E"/>
    <w:rsid w:val="00536951"/>
    <w:rsid w:val="0054034D"/>
    <w:rsid w:val="00543542"/>
    <w:rsid w:val="00543615"/>
    <w:rsid w:val="00544BA6"/>
    <w:rsid w:val="005453DF"/>
    <w:rsid w:val="005513F7"/>
    <w:rsid w:val="00553754"/>
    <w:rsid w:val="00555F24"/>
    <w:rsid w:val="00556586"/>
    <w:rsid w:val="00557AF4"/>
    <w:rsid w:val="00563179"/>
    <w:rsid w:val="005638D7"/>
    <w:rsid w:val="00570B4D"/>
    <w:rsid w:val="0057232D"/>
    <w:rsid w:val="00572E24"/>
    <w:rsid w:val="00576CE0"/>
    <w:rsid w:val="0058042E"/>
    <w:rsid w:val="00580588"/>
    <w:rsid w:val="00582357"/>
    <w:rsid w:val="0058254F"/>
    <w:rsid w:val="00583828"/>
    <w:rsid w:val="005864B5"/>
    <w:rsid w:val="00591AFF"/>
    <w:rsid w:val="005922C7"/>
    <w:rsid w:val="005945D8"/>
    <w:rsid w:val="00597B17"/>
    <w:rsid w:val="005A2442"/>
    <w:rsid w:val="005A2B8A"/>
    <w:rsid w:val="005A4D90"/>
    <w:rsid w:val="005A593B"/>
    <w:rsid w:val="005A6697"/>
    <w:rsid w:val="005A6D39"/>
    <w:rsid w:val="005B11DB"/>
    <w:rsid w:val="005B1BF6"/>
    <w:rsid w:val="005B2089"/>
    <w:rsid w:val="005B2F4C"/>
    <w:rsid w:val="005B3097"/>
    <w:rsid w:val="005B416F"/>
    <w:rsid w:val="005C3A68"/>
    <w:rsid w:val="005C3BAD"/>
    <w:rsid w:val="005C7471"/>
    <w:rsid w:val="005D0540"/>
    <w:rsid w:val="005D2CB3"/>
    <w:rsid w:val="005D7CC2"/>
    <w:rsid w:val="005E275B"/>
    <w:rsid w:val="005F0AA2"/>
    <w:rsid w:val="005F15CE"/>
    <w:rsid w:val="005F1C6A"/>
    <w:rsid w:val="005F2D02"/>
    <w:rsid w:val="005F4CAB"/>
    <w:rsid w:val="005F532D"/>
    <w:rsid w:val="006007B1"/>
    <w:rsid w:val="0060184C"/>
    <w:rsid w:val="006020F7"/>
    <w:rsid w:val="00603F76"/>
    <w:rsid w:val="006046C1"/>
    <w:rsid w:val="00604812"/>
    <w:rsid w:val="0061163D"/>
    <w:rsid w:val="006216C1"/>
    <w:rsid w:val="00621E8F"/>
    <w:rsid w:val="00622F99"/>
    <w:rsid w:val="00630158"/>
    <w:rsid w:val="00630F7D"/>
    <w:rsid w:val="00633E3B"/>
    <w:rsid w:val="00637CE9"/>
    <w:rsid w:val="0064049D"/>
    <w:rsid w:val="00642692"/>
    <w:rsid w:val="006428F4"/>
    <w:rsid w:val="00643556"/>
    <w:rsid w:val="00644933"/>
    <w:rsid w:val="00645226"/>
    <w:rsid w:val="006453CA"/>
    <w:rsid w:val="00646B3B"/>
    <w:rsid w:val="00651B17"/>
    <w:rsid w:val="0065319E"/>
    <w:rsid w:val="006612E0"/>
    <w:rsid w:val="00663345"/>
    <w:rsid w:val="00664723"/>
    <w:rsid w:val="00667266"/>
    <w:rsid w:val="006678D8"/>
    <w:rsid w:val="00667ED7"/>
    <w:rsid w:val="00674A21"/>
    <w:rsid w:val="0067677C"/>
    <w:rsid w:val="006767ED"/>
    <w:rsid w:val="00676E6C"/>
    <w:rsid w:val="0068044A"/>
    <w:rsid w:val="006811D1"/>
    <w:rsid w:val="00681FBD"/>
    <w:rsid w:val="006835C1"/>
    <w:rsid w:val="0068378F"/>
    <w:rsid w:val="006851B9"/>
    <w:rsid w:val="00687098"/>
    <w:rsid w:val="00690395"/>
    <w:rsid w:val="00690A14"/>
    <w:rsid w:val="00693642"/>
    <w:rsid w:val="006A0F81"/>
    <w:rsid w:val="006B6B4E"/>
    <w:rsid w:val="006D2F3B"/>
    <w:rsid w:val="006D47F0"/>
    <w:rsid w:val="006D4F77"/>
    <w:rsid w:val="006E058C"/>
    <w:rsid w:val="006E37A6"/>
    <w:rsid w:val="006E3CA6"/>
    <w:rsid w:val="006E4C9C"/>
    <w:rsid w:val="006E6A74"/>
    <w:rsid w:val="006E6FEA"/>
    <w:rsid w:val="006F1243"/>
    <w:rsid w:val="006F5A81"/>
    <w:rsid w:val="007000AE"/>
    <w:rsid w:val="0070665D"/>
    <w:rsid w:val="00706934"/>
    <w:rsid w:val="0071100C"/>
    <w:rsid w:val="00712EDA"/>
    <w:rsid w:val="00714928"/>
    <w:rsid w:val="00717712"/>
    <w:rsid w:val="00724BAE"/>
    <w:rsid w:val="00727914"/>
    <w:rsid w:val="00730355"/>
    <w:rsid w:val="00731CB2"/>
    <w:rsid w:val="007320FF"/>
    <w:rsid w:val="00734DB2"/>
    <w:rsid w:val="00735002"/>
    <w:rsid w:val="007350E5"/>
    <w:rsid w:val="00735CDC"/>
    <w:rsid w:val="00736E9F"/>
    <w:rsid w:val="007375C6"/>
    <w:rsid w:val="007444AF"/>
    <w:rsid w:val="007461D1"/>
    <w:rsid w:val="007474CB"/>
    <w:rsid w:val="00747DF2"/>
    <w:rsid w:val="00750866"/>
    <w:rsid w:val="00754510"/>
    <w:rsid w:val="00763184"/>
    <w:rsid w:val="00763D91"/>
    <w:rsid w:val="00765B21"/>
    <w:rsid w:val="00765FB9"/>
    <w:rsid w:val="007665EA"/>
    <w:rsid w:val="007701DE"/>
    <w:rsid w:val="00770826"/>
    <w:rsid w:val="00774E70"/>
    <w:rsid w:val="0078281F"/>
    <w:rsid w:val="00783A3C"/>
    <w:rsid w:val="00783BC8"/>
    <w:rsid w:val="00790709"/>
    <w:rsid w:val="00794555"/>
    <w:rsid w:val="00794BB5"/>
    <w:rsid w:val="00796100"/>
    <w:rsid w:val="007A10CE"/>
    <w:rsid w:val="007A13C9"/>
    <w:rsid w:val="007A28BC"/>
    <w:rsid w:val="007A4343"/>
    <w:rsid w:val="007A599D"/>
    <w:rsid w:val="007A67EA"/>
    <w:rsid w:val="007A6EDE"/>
    <w:rsid w:val="007B070E"/>
    <w:rsid w:val="007B7689"/>
    <w:rsid w:val="007C0575"/>
    <w:rsid w:val="007C4343"/>
    <w:rsid w:val="007D28A8"/>
    <w:rsid w:val="007D4D9D"/>
    <w:rsid w:val="007D6201"/>
    <w:rsid w:val="007D7570"/>
    <w:rsid w:val="007E4503"/>
    <w:rsid w:val="007E64AC"/>
    <w:rsid w:val="007E7229"/>
    <w:rsid w:val="007F0865"/>
    <w:rsid w:val="007F4C81"/>
    <w:rsid w:val="008014C5"/>
    <w:rsid w:val="00811534"/>
    <w:rsid w:val="008120A6"/>
    <w:rsid w:val="00814ABC"/>
    <w:rsid w:val="00816547"/>
    <w:rsid w:val="00820279"/>
    <w:rsid w:val="008202C8"/>
    <w:rsid w:val="0082150C"/>
    <w:rsid w:val="00821F1B"/>
    <w:rsid w:val="00823609"/>
    <w:rsid w:val="008327A8"/>
    <w:rsid w:val="0083746E"/>
    <w:rsid w:val="00840F42"/>
    <w:rsid w:val="00845412"/>
    <w:rsid w:val="0084757B"/>
    <w:rsid w:val="0085554F"/>
    <w:rsid w:val="00856D87"/>
    <w:rsid w:val="00857131"/>
    <w:rsid w:val="00860C24"/>
    <w:rsid w:val="00860CC7"/>
    <w:rsid w:val="00863DE5"/>
    <w:rsid w:val="00865EB6"/>
    <w:rsid w:val="00865FB2"/>
    <w:rsid w:val="0086704C"/>
    <w:rsid w:val="00873E23"/>
    <w:rsid w:val="00873E71"/>
    <w:rsid w:val="0088232B"/>
    <w:rsid w:val="00883690"/>
    <w:rsid w:val="0089001B"/>
    <w:rsid w:val="0089095F"/>
    <w:rsid w:val="00891EE8"/>
    <w:rsid w:val="008924DB"/>
    <w:rsid w:val="00897BAF"/>
    <w:rsid w:val="008A05A9"/>
    <w:rsid w:val="008A05E9"/>
    <w:rsid w:val="008A0B0D"/>
    <w:rsid w:val="008A1591"/>
    <w:rsid w:val="008A23BB"/>
    <w:rsid w:val="008A26DB"/>
    <w:rsid w:val="008A3DF3"/>
    <w:rsid w:val="008B0DF5"/>
    <w:rsid w:val="008B1093"/>
    <w:rsid w:val="008B1BA4"/>
    <w:rsid w:val="008B26E9"/>
    <w:rsid w:val="008B3E9D"/>
    <w:rsid w:val="008C4B07"/>
    <w:rsid w:val="008C634A"/>
    <w:rsid w:val="008C676D"/>
    <w:rsid w:val="008D0E2F"/>
    <w:rsid w:val="008D3244"/>
    <w:rsid w:val="008E0C1E"/>
    <w:rsid w:val="008E47EF"/>
    <w:rsid w:val="008E67CE"/>
    <w:rsid w:val="008E7D3B"/>
    <w:rsid w:val="008F3D93"/>
    <w:rsid w:val="008F4C1E"/>
    <w:rsid w:val="00900D1E"/>
    <w:rsid w:val="009063FA"/>
    <w:rsid w:val="00907260"/>
    <w:rsid w:val="00907E89"/>
    <w:rsid w:val="00914325"/>
    <w:rsid w:val="0091530D"/>
    <w:rsid w:val="009171BC"/>
    <w:rsid w:val="00923954"/>
    <w:rsid w:val="0092456D"/>
    <w:rsid w:val="009252DC"/>
    <w:rsid w:val="009324EA"/>
    <w:rsid w:val="009327CD"/>
    <w:rsid w:val="00934DEC"/>
    <w:rsid w:val="009365ED"/>
    <w:rsid w:val="0094077F"/>
    <w:rsid w:val="00943332"/>
    <w:rsid w:val="0094431D"/>
    <w:rsid w:val="0094500F"/>
    <w:rsid w:val="00945892"/>
    <w:rsid w:val="00951692"/>
    <w:rsid w:val="00951EAE"/>
    <w:rsid w:val="00953F1C"/>
    <w:rsid w:val="009558A0"/>
    <w:rsid w:val="009566A2"/>
    <w:rsid w:val="009625CE"/>
    <w:rsid w:val="00970A01"/>
    <w:rsid w:val="00972E94"/>
    <w:rsid w:val="00973AF8"/>
    <w:rsid w:val="009754AF"/>
    <w:rsid w:val="0097600D"/>
    <w:rsid w:val="009769A4"/>
    <w:rsid w:val="00981906"/>
    <w:rsid w:val="0098193B"/>
    <w:rsid w:val="00984673"/>
    <w:rsid w:val="00984F4D"/>
    <w:rsid w:val="00997A3E"/>
    <w:rsid w:val="009A088D"/>
    <w:rsid w:val="009A2081"/>
    <w:rsid w:val="009A3469"/>
    <w:rsid w:val="009A4AF8"/>
    <w:rsid w:val="009A57EB"/>
    <w:rsid w:val="009A5AB6"/>
    <w:rsid w:val="009A5F02"/>
    <w:rsid w:val="009B04CC"/>
    <w:rsid w:val="009B1B9B"/>
    <w:rsid w:val="009B2C9E"/>
    <w:rsid w:val="009B3EDB"/>
    <w:rsid w:val="009B71E6"/>
    <w:rsid w:val="009C1707"/>
    <w:rsid w:val="009C4004"/>
    <w:rsid w:val="009C556B"/>
    <w:rsid w:val="009D2028"/>
    <w:rsid w:val="009D4004"/>
    <w:rsid w:val="009D5027"/>
    <w:rsid w:val="009D5181"/>
    <w:rsid w:val="009D65BF"/>
    <w:rsid w:val="009D758E"/>
    <w:rsid w:val="009E5455"/>
    <w:rsid w:val="009E58A8"/>
    <w:rsid w:val="009E684A"/>
    <w:rsid w:val="009E705C"/>
    <w:rsid w:val="009E7F72"/>
    <w:rsid w:val="009F2E24"/>
    <w:rsid w:val="009F2F16"/>
    <w:rsid w:val="009F51C6"/>
    <w:rsid w:val="009F76F4"/>
    <w:rsid w:val="00A04CE1"/>
    <w:rsid w:val="00A05C2E"/>
    <w:rsid w:val="00A101C1"/>
    <w:rsid w:val="00A102A1"/>
    <w:rsid w:val="00A11170"/>
    <w:rsid w:val="00A129A2"/>
    <w:rsid w:val="00A13853"/>
    <w:rsid w:val="00A161C1"/>
    <w:rsid w:val="00A17E38"/>
    <w:rsid w:val="00A2171E"/>
    <w:rsid w:val="00A23329"/>
    <w:rsid w:val="00A278E9"/>
    <w:rsid w:val="00A30689"/>
    <w:rsid w:val="00A32B54"/>
    <w:rsid w:val="00A33688"/>
    <w:rsid w:val="00A3431E"/>
    <w:rsid w:val="00A35541"/>
    <w:rsid w:val="00A37410"/>
    <w:rsid w:val="00A436D9"/>
    <w:rsid w:val="00A46BF8"/>
    <w:rsid w:val="00A51706"/>
    <w:rsid w:val="00A52F7F"/>
    <w:rsid w:val="00A571BC"/>
    <w:rsid w:val="00A618F3"/>
    <w:rsid w:val="00A61BA7"/>
    <w:rsid w:val="00A65518"/>
    <w:rsid w:val="00A66E3B"/>
    <w:rsid w:val="00A77FFE"/>
    <w:rsid w:val="00A80183"/>
    <w:rsid w:val="00A8062D"/>
    <w:rsid w:val="00A80C43"/>
    <w:rsid w:val="00A831D8"/>
    <w:rsid w:val="00A91081"/>
    <w:rsid w:val="00A9133F"/>
    <w:rsid w:val="00A92BF1"/>
    <w:rsid w:val="00A93963"/>
    <w:rsid w:val="00A956F1"/>
    <w:rsid w:val="00A96098"/>
    <w:rsid w:val="00AA112A"/>
    <w:rsid w:val="00AA328F"/>
    <w:rsid w:val="00AA34AD"/>
    <w:rsid w:val="00AA4D53"/>
    <w:rsid w:val="00AB4F21"/>
    <w:rsid w:val="00AB66EF"/>
    <w:rsid w:val="00AB6839"/>
    <w:rsid w:val="00AB6DB6"/>
    <w:rsid w:val="00AC380B"/>
    <w:rsid w:val="00AC68DF"/>
    <w:rsid w:val="00AC69C4"/>
    <w:rsid w:val="00AD14DD"/>
    <w:rsid w:val="00AD2E18"/>
    <w:rsid w:val="00AD51B5"/>
    <w:rsid w:val="00AD52E6"/>
    <w:rsid w:val="00AD7633"/>
    <w:rsid w:val="00AD77B9"/>
    <w:rsid w:val="00AE3B9E"/>
    <w:rsid w:val="00AE5F7C"/>
    <w:rsid w:val="00AF315A"/>
    <w:rsid w:val="00AF400C"/>
    <w:rsid w:val="00B01F8F"/>
    <w:rsid w:val="00B0388E"/>
    <w:rsid w:val="00B03B2A"/>
    <w:rsid w:val="00B04434"/>
    <w:rsid w:val="00B05ED3"/>
    <w:rsid w:val="00B12D35"/>
    <w:rsid w:val="00B13FFF"/>
    <w:rsid w:val="00B225A6"/>
    <w:rsid w:val="00B231D1"/>
    <w:rsid w:val="00B24C14"/>
    <w:rsid w:val="00B24CBE"/>
    <w:rsid w:val="00B25E58"/>
    <w:rsid w:val="00B277F5"/>
    <w:rsid w:val="00B331BE"/>
    <w:rsid w:val="00B3335F"/>
    <w:rsid w:val="00B334C6"/>
    <w:rsid w:val="00B3358C"/>
    <w:rsid w:val="00B33C0E"/>
    <w:rsid w:val="00B34F96"/>
    <w:rsid w:val="00B354F2"/>
    <w:rsid w:val="00B37FDF"/>
    <w:rsid w:val="00B42A7A"/>
    <w:rsid w:val="00B447EE"/>
    <w:rsid w:val="00B45B2E"/>
    <w:rsid w:val="00B46753"/>
    <w:rsid w:val="00B51A3E"/>
    <w:rsid w:val="00B51B4E"/>
    <w:rsid w:val="00B522DE"/>
    <w:rsid w:val="00B52563"/>
    <w:rsid w:val="00B527DF"/>
    <w:rsid w:val="00B53340"/>
    <w:rsid w:val="00B60013"/>
    <w:rsid w:val="00B61634"/>
    <w:rsid w:val="00B6194F"/>
    <w:rsid w:val="00B63F30"/>
    <w:rsid w:val="00B7219D"/>
    <w:rsid w:val="00B73E88"/>
    <w:rsid w:val="00B821ED"/>
    <w:rsid w:val="00B824B8"/>
    <w:rsid w:val="00B82D02"/>
    <w:rsid w:val="00B85005"/>
    <w:rsid w:val="00B8542E"/>
    <w:rsid w:val="00B8649B"/>
    <w:rsid w:val="00B86502"/>
    <w:rsid w:val="00B94BD1"/>
    <w:rsid w:val="00B96558"/>
    <w:rsid w:val="00BA0ACB"/>
    <w:rsid w:val="00BA1791"/>
    <w:rsid w:val="00BA257E"/>
    <w:rsid w:val="00BA3BDD"/>
    <w:rsid w:val="00BA6ACA"/>
    <w:rsid w:val="00BB015F"/>
    <w:rsid w:val="00BB0983"/>
    <w:rsid w:val="00BB0EC8"/>
    <w:rsid w:val="00BB19B4"/>
    <w:rsid w:val="00BB25B8"/>
    <w:rsid w:val="00BB4098"/>
    <w:rsid w:val="00BC25E7"/>
    <w:rsid w:val="00BC2F6B"/>
    <w:rsid w:val="00BC4C2A"/>
    <w:rsid w:val="00BC5868"/>
    <w:rsid w:val="00BD0D97"/>
    <w:rsid w:val="00BD3477"/>
    <w:rsid w:val="00BD353D"/>
    <w:rsid w:val="00BD50B2"/>
    <w:rsid w:val="00BD6D49"/>
    <w:rsid w:val="00BE3031"/>
    <w:rsid w:val="00BE3573"/>
    <w:rsid w:val="00BE3EF2"/>
    <w:rsid w:val="00BE44DB"/>
    <w:rsid w:val="00BE4543"/>
    <w:rsid w:val="00BE501F"/>
    <w:rsid w:val="00BE7A4E"/>
    <w:rsid w:val="00BF05CA"/>
    <w:rsid w:val="00BF1BD4"/>
    <w:rsid w:val="00BF1DE1"/>
    <w:rsid w:val="00BF39AE"/>
    <w:rsid w:val="00BF4122"/>
    <w:rsid w:val="00BF58E4"/>
    <w:rsid w:val="00C00F56"/>
    <w:rsid w:val="00C01E57"/>
    <w:rsid w:val="00C022A3"/>
    <w:rsid w:val="00C02EC8"/>
    <w:rsid w:val="00C04344"/>
    <w:rsid w:val="00C06CB3"/>
    <w:rsid w:val="00C126F6"/>
    <w:rsid w:val="00C13972"/>
    <w:rsid w:val="00C13AD9"/>
    <w:rsid w:val="00C13C23"/>
    <w:rsid w:val="00C14CD6"/>
    <w:rsid w:val="00C21D14"/>
    <w:rsid w:val="00C236AC"/>
    <w:rsid w:val="00C265F8"/>
    <w:rsid w:val="00C316C9"/>
    <w:rsid w:val="00C31F1B"/>
    <w:rsid w:val="00C34548"/>
    <w:rsid w:val="00C35A82"/>
    <w:rsid w:val="00C44741"/>
    <w:rsid w:val="00C50F11"/>
    <w:rsid w:val="00C52143"/>
    <w:rsid w:val="00C53156"/>
    <w:rsid w:val="00C55434"/>
    <w:rsid w:val="00C608CE"/>
    <w:rsid w:val="00C62FD7"/>
    <w:rsid w:val="00C64654"/>
    <w:rsid w:val="00C649AE"/>
    <w:rsid w:val="00C65360"/>
    <w:rsid w:val="00C70283"/>
    <w:rsid w:val="00C72D95"/>
    <w:rsid w:val="00C754E2"/>
    <w:rsid w:val="00C76921"/>
    <w:rsid w:val="00C81680"/>
    <w:rsid w:val="00C844E7"/>
    <w:rsid w:val="00C85AB2"/>
    <w:rsid w:val="00C8616C"/>
    <w:rsid w:val="00C94F15"/>
    <w:rsid w:val="00C95AF8"/>
    <w:rsid w:val="00CA1B07"/>
    <w:rsid w:val="00CA351E"/>
    <w:rsid w:val="00CA36D9"/>
    <w:rsid w:val="00CA4451"/>
    <w:rsid w:val="00CB04DE"/>
    <w:rsid w:val="00CB1613"/>
    <w:rsid w:val="00CC0D27"/>
    <w:rsid w:val="00CC2551"/>
    <w:rsid w:val="00CC2F2E"/>
    <w:rsid w:val="00CC73FF"/>
    <w:rsid w:val="00CD0175"/>
    <w:rsid w:val="00CD0EF5"/>
    <w:rsid w:val="00CD1A09"/>
    <w:rsid w:val="00CD4437"/>
    <w:rsid w:val="00CD5250"/>
    <w:rsid w:val="00CE584A"/>
    <w:rsid w:val="00CE5F20"/>
    <w:rsid w:val="00CE668C"/>
    <w:rsid w:val="00CE7510"/>
    <w:rsid w:val="00CE7A32"/>
    <w:rsid w:val="00CF0058"/>
    <w:rsid w:val="00CF256C"/>
    <w:rsid w:val="00CF410E"/>
    <w:rsid w:val="00D02FCB"/>
    <w:rsid w:val="00D079C2"/>
    <w:rsid w:val="00D11563"/>
    <w:rsid w:val="00D11EBA"/>
    <w:rsid w:val="00D120F0"/>
    <w:rsid w:val="00D16A41"/>
    <w:rsid w:val="00D309FE"/>
    <w:rsid w:val="00D32565"/>
    <w:rsid w:val="00D33650"/>
    <w:rsid w:val="00D33F3D"/>
    <w:rsid w:val="00D346FD"/>
    <w:rsid w:val="00D370BD"/>
    <w:rsid w:val="00D37162"/>
    <w:rsid w:val="00D44A33"/>
    <w:rsid w:val="00D45B0F"/>
    <w:rsid w:val="00D465CC"/>
    <w:rsid w:val="00D46A8A"/>
    <w:rsid w:val="00D47806"/>
    <w:rsid w:val="00D56E94"/>
    <w:rsid w:val="00D61503"/>
    <w:rsid w:val="00D64B41"/>
    <w:rsid w:val="00D64C5C"/>
    <w:rsid w:val="00D651EE"/>
    <w:rsid w:val="00D65F48"/>
    <w:rsid w:val="00D67D4D"/>
    <w:rsid w:val="00D80F98"/>
    <w:rsid w:val="00D9287D"/>
    <w:rsid w:val="00D93B5E"/>
    <w:rsid w:val="00D94F0D"/>
    <w:rsid w:val="00D95283"/>
    <w:rsid w:val="00DA20A9"/>
    <w:rsid w:val="00DA2133"/>
    <w:rsid w:val="00DA24DE"/>
    <w:rsid w:val="00DA25C3"/>
    <w:rsid w:val="00DB0293"/>
    <w:rsid w:val="00DB7158"/>
    <w:rsid w:val="00DB766D"/>
    <w:rsid w:val="00DC2A11"/>
    <w:rsid w:val="00DC4F89"/>
    <w:rsid w:val="00DC5C4C"/>
    <w:rsid w:val="00DC6A03"/>
    <w:rsid w:val="00DC7DBC"/>
    <w:rsid w:val="00DD098A"/>
    <w:rsid w:val="00DD09ED"/>
    <w:rsid w:val="00DD1568"/>
    <w:rsid w:val="00DD2B77"/>
    <w:rsid w:val="00DD2B8F"/>
    <w:rsid w:val="00DD5480"/>
    <w:rsid w:val="00DD5847"/>
    <w:rsid w:val="00DD7C03"/>
    <w:rsid w:val="00DD7F15"/>
    <w:rsid w:val="00DE13EF"/>
    <w:rsid w:val="00DE2049"/>
    <w:rsid w:val="00DE3BDC"/>
    <w:rsid w:val="00DE4433"/>
    <w:rsid w:val="00DF1070"/>
    <w:rsid w:val="00E0274F"/>
    <w:rsid w:val="00E02EA0"/>
    <w:rsid w:val="00E03B89"/>
    <w:rsid w:val="00E1116F"/>
    <w:rsid w:val="00E12CA7"/>
    <w:rsid w:val="00E207ED"/>
    <w:rsid w:val="00E23BC8"/>
    <w:rsid w:val="00E2400B"/>
    <w:rsid w:val="00E260AF"/>
    <w:rsid w:val="00E27314"/>
    <w:rsid w:val="00E30C02"/>
    <w:rsid w:val="00E31335"/>
    <w:rsid w:val="00E353B7"/>
    <w:rsid w:val="00E35674"/>
    <w:rsid w:val="00E378F2"/>
    <w:rsid w:val="00E4135E"/>
    <w:rsid w:val="00E42CC3"/>
    <w:rsid w:val="00E451CA"/>
    <w:rsid w:val="00E45F65"/>
    <w:rsid w:val="00E46234"/>
    <w:rsid w:val="00E47A41"/>
    <w:rsid w:val="00E53768"/>
    <w:rsid w:val="00E54E29"/>
    <w:rsid w:val="00E55C8C"/>
    <w:rsid w:val="00E625B2"/>
    <w:rsid w:val="00E64C61"/>
    <w:rsid w:val="00E657D3"/>
    <w:rsid w:val="00E65DDE"/>
    <w:rsid w:val="00E66662"/>
    <w:rsid w:val="00E73151"/>
    <w:rsid w:val="00E7373C"/>
    <w:rsid w:val="00E8158E"/>
    <w:rsid w:val="00E84CD1"/>
    <w:rsid w:val="00E853A5"/>
    <w:rsid w:val="00E86D63"/>
    <w:rsid w:val="00E86E90"/>
    <w:rsid w:val="00E902CE"/>
    <w:rsid w:val="00E93C8B"/>
    <w:rsid w:val="00E97BCF"/>
    <w:rsid w:val="00EA0485"/>
    <w:rsid w:val="00EA2BC3"/>
    <w:rsid w:val="00EA3433"/>
    <w:rsid w:val="00EA45BD"/>
    <w:rsid w:val="00EA5DE9"/>
    <w:rsid w:val="00EB30C2"/>
    <w:rsid w:val="00EB54FD"/>
    <w:rsid w:val="00EC0858"/>
    <w:rsid w:val="00EC3630"/>
    <w:rsid w:val="00EC4BB0"/>
    <w:rsid w:val="00ED2810"/>
    <w:rsid w:val="00ED2C54"/>
    <w:rsid w:val="00ED3DFB"/>
    <w:rsid w:val="00ED4C99"/>
    <w:rsid w:val="00ED5DCD"/>
    <w:rsid w:val="00EE003E"/>
    <w:rsid w:val="00EE025E"/>
    <w:rsid w:val="00EE2D90"/>
    <w:rsid w:val="00EE4B3A"/>
    <w:rsid w:val="00EE5639"/>
    <w:rsid w:val="00EE5CF5"/>
    <w:rsid w:val="00EE7134"/>
    <w:rsid w:val="00EF1694"/>
    <w:rsid w:val="00EF1A9D"/>
    <w:rsid w:val="00EF1C38"/>
    <w:rsid w:val="00EF2F70"/>
    <w:rsid w:val="00EF35F1"/>
    <w:rsid w:val="00EF5768"/>
    <w:rsid w:val="00EF64E6"/>
    <w:rsid w:val="00EF663C"/>
    <w:rsid w:val="00F01C92"/>
    <w:rsid w:val="00F0291B"/>
    <w:rsid w:val="00F03EDC"/>
    <w:rsid w:val="00F05175"/>
    <w:rsid w:val="00F11527"/>
    <w:rsid w:val="00F22496"/>
    <w:rsid w:val="00F25092"/>
    <w:rsid w:val="00F27F5D"/>
    <w:rsid w:val="00F31315"/>
    <w:rsid w:val="00F32EC1"/>
    <w:rsid w:val="00F33B5E"/>
    <w:rsid w:val="00F35D61"/>
    <w:rsid w:val="00F36584"/>
    <w:rsid w:val="00F370DD"/>
    <w:rsid w:val="00F41F63"/>
    <w:rsid w:val="00F422B8"/>
    <w:rsid w:val="00F4615E"/>
    <w:rsid w:val="00F52069"/>
    <w:rsid w:val="00F540E1"/>
    <w:rsid w:val="00F600ED"/>
    <w:rsid w:val="00F62A75"/>
    <w:rsid w:val="00F63408"/>
    <w:rsid w:val="00F63A49"/>
    <w:rsid w:val="00F656C5"/>
    <w:rsid w:val="00F667CC"/>
    <w:rsid w:val="00F66A67"/>
    <w:rsid w:val="00F705EE"/>
    <w:rsid w:val="00F7173A"/>
    <w:rsid w:val="00F72B5B"/>
    <w:rsid w:val="00F7535F"/>
    <w:rsid w:val="00F754E5"/>
    <w:rsid w:val="00F76AF1"/>
    <w:rsid w:val="00F76DA0"/>
    <w:rsid w:val="00F80F55"/>
    <w:rsid w:val="00F84A90"/>
    <w:rsid w:val="00F92F7B"/>
    <w:rsid w:val="00F93C5E"/>
    <w:rsid w:val="00F94158"/>
    <w:rsid w:val="00F94709"/>
    <w:rsid w:val="00F94A4D"/>
    <w:rsid w:val="00F97ED3"/>
    <w:rsid w:val="00FA0DC0"/>
    <w:rsid w:val="00FA22C9"/>
    <w:rsid w:val="00FA2683"/>
    <w:rsid w:val="00FA749E"/>
    <w:rsid w:val="00FB02BB"/>
    <w:rsid w:val="00FB0684"/>
    <w:rsid w:val="00FB070C"/>
    <w:rsid w:val="00FB4121"/>
    <w:rsid w:val="00FB72B0"/>
    <w:rsid w:val="00FC0D96"/>
    <w:rsid w:val="00FC3A16"/>
    <w:rsid w:val="00FC49CF"/>
    <w:rsid w:val="00FC54AD"/>
    <w:rsid w:val="00FC6822"/>
    <w:rsid w:val="00FC74A2"/>
    <w:rsid w:val="00FD528E"/>
    <w:rsid w:val="00FD726D"/>
    <w:rsid w:val="00FE051C"/>
    <w:rsid w:val="00FE4127"/>
    <w:rsid w:val="00FE4236"/>
    <w:rsid w:val="00FE4FCB"/>
    <w:rsid w:val="00FE67E9"/>
    <w:rsid w:val="00FE7EFB"/>
    <w:rsid w:val="00FF00B0"/>
    <w:rsid w:val="00FF1002"/>
    <w:rsid w:val="00FF2308"/>
    <w:rsid w:val="00FF38E5"/>
    <w:rsid w:val="00FF5506"/>
    <w:rsid w:val="00FF7DE5"/>
    <w:rsid w:val="0822ABC8"/>
    <w:rsid w:val="0C026FBF"/>
    <w:rsid w:val="11D9F4F6"/>
    <w:rsid w:val="145B98BF"/>
    <w:rsid w:val="194C64F2"/>
    <w:rsid w:val="36EDFCA6"/>
    <w:rsid w:val="3A87C5DC"/>
    <w:rsid w:val="3B16C3CA"/>
    <w:rsid w:val="4429ABF3"/>
    <w:rsid w:val="44D35F3B"/>
    <w:rsid w:val="45CB3ABC"/>
    <w:rsid w:val="48114A2B"/>
    <w:rsid w:val="4A4890DE"/>
    <w:rsid w:val="4CD647B0"/>
    <w:rsid w:val="4CE15126"/>
    <w:rsid w:val="4DDB4D5C"/>
    <w:rsid w:val="5C0D168A"/>
    <w:rsid w:val="612F1249"/>
    <w:rsid w:val="667D20C8"/>
    <w:rsid w:val="71283E27"/>
    <w:rsid w:val="7444C987"/>
    <w:rsid w:val="75ED5BB8"/>
    <w:rsid w:val="78FBA572"/>
    <w:rsid w:val="7917C692"/>
    <w:rsid w:val="7D44B6DC"/>
    <w:rsid w:val="7F5DC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2132E39"/>
  <w14:defaultImageDpi w14:val="96"/>
  <w15:docId w15:val="{CEB7B4D8-9E04-4987-BE34-8127A6B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C9"/>
    <w:pPr>
      <w:spacing w:after="0" w:line="240" w:lineRule="auto"/>
    </w:pPr>
    <w:rPr>
      <w:sz w:val="20"/>
      <w:szCs w:val="20"/>
    </w:rPr>
  </w:style>
  <w:style w:type="paragraph" w:styleId="Heading1">
    <w:name w:val="heading 1"/>
    <w:basedOn w:val="Normal"/>
    <w:next w:val="Normal"/>
    <w:link w:val="Heading1Char"/>
    <w:uiPriority w:val="99"/>
    <w:qFormat/>
    <w:rsid w:val="00FA22C9"/>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
    <w:qFormat/>
    <w:rsid w:val="00FA22C9"/>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FA22C9"/>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FA22C9"/>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FA22C9"/>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FA22C9"/>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FA22C9"/>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FA22C9"/>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22C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FA22C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FA22C9"/>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A22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A22C9"/>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A22C9"/>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A22C9"/>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A22C9"/>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FA22C9"/>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FA22C9"/>
    <w:rPr>
      <w:rFonts w:cs="Times New Roman"/>
      <w:sz w:val="20"/>
      <w:szCs w:val="20"/>
    </w:rPr>
  </w:style>
  <w:style w:type="paragraph" w:styleId="BodyText3">
    <w:name w:val="Body Text 3"/>
    <w:basedOn w:val="Normal"/>
    <w:link w:val="BodyText3Char"/>
    <w:uiPriority w:val="99"/>
    <w:rsid w:val="00FA22C9"/>
    <w:pPr>
      <w:spacing w:before="60" w:after="60"/>
      <w:jc w:val="center"/>
    </w:pPr>
    <w:rPr>
      <w:b/>
      <w:bCs/>
    </w:rPr>
  </w:style>
  <w:style w:type="character" w:customStyle="1" w:styleId="BodyText3Char">
    <w:name w:val="Body Text 3 Char"/>
    <w:basedOn w:val="DefaultParagraphFont"/>
    <w:link w:val="BodyText3"/>
    <w:uiPriority w:val="99"/>
    <w:semiHidden/>
    <w:locked/>
    <w:rsid w:val="00FA22C9"/>
    <w:rPr>
      <w:rFonts w:cs="Times New Roman"/>
      <w:sz w:val="16"/>
      <w:szCs w:val="16"/>
    </w:rPr>
  </w:style>
  <w:style w:type="paragraph" w:styleId="CommentText">
    <w:name w:val="annotation text"/>
    <w:basedOn w:val="Normal"/>
    <w:link w:val="CommentTextChar"/>
    <w:uiPriority w:val="99"/>
    <w:rsid w:val="00FA22C9"/>
    <w:pPr>
      <w:spacing w:before="60" w:after="60"/>
    </w:pPr>
    <w:rPr>
      <w:rFonts w:ascii="Verdana" w:hAnsi="Verdana" w:cs="Verdana"/>
    </w:rPr>
  </w:style>
  <w:style w:type="character" w:customStyle="1" w:styleId="CommentTextChar">
    <w:name w:val="Comment Text Char"/>
    <w:basedOn w:val="DefaultParagraphFont"/>
    <w:link w:val="CommentText"/>
    <w:uiPriority w:val="99"/>
    <w:locked/>
    <w:rsid w:val="00FA22C9"/>
    <w:rPr>
      <w:rFonts w:cs="Times New Roman"/>
      <w:sz w:val="20"/>
      <w:szCs w:val="20"/>
    </w:rPr>
  </w:style>
  <w:style w:type="paragraph" w:styleId="Caption">
    <w:name w:val="caption"/>
    <w:basedOn w:val="Normal"/>
    <w:next w:val="Normal"/>
    <w:uiPriority w:val="99"/>
    <w:qFormat/>
    <w:rsid w:val="00FA22C9"/>
    <w:pPr>
      <w:spacing w:before="60" w:after="60"/>
      <w:jc w:val="center"/>
    </w:pPr>
    <w:rPr>
      <w:b/>
      <w:bCs/>
      <w:noProof/>
      <w:sz w:val="24"/>
      <w:szCs w:val="24"/>
    </w:rPr>
  </w:style>
  <w:style w:type="paragraph" w:styleId="DocumentMap">
    <w:name w:val="Document Map"/>
    <w:basedOn w:val="Normal"/>
    <w:link w:val="DocumentMapChar"/>
    <w:uiPriority w:val="99"/>
    <w:semiHidden/>
    <w:rsid w:val="00FA22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22C9"/>
    <w:rPr>
      <w:rFonts w:ascii="Tahoma" w:hAnsi="Tahoma" w:cs="Tahoma"/>
      <w:sz w:val="16"/>
      <w:szCs w:val="16"/>
    </w:rPr>
  </w:style>
  <w:style w:type="paragraph" w:styleId="BodyText">
    <w:name w:val="Body Text"/>
    <w:basedOn w:val="Normal"/>
    <w:link w:val="BodyTextChar"/>
    <w:uiPriority w:val="99"/>
    <w:rsid w:val="00FA22C9"/>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FA22C9"/>
    <w:rPr>
      <w:rFonts w:cs="Times New Roman"/>
      <w:sz w:val="20"/>
      <w:szCs w:val="20"/>
    </w:rPr>
  </w:style>
  <w:style w:type="paragraph" w:styleId="Header">
    <w:name w:val="header"/>
    <w:basedOn w:val="Normal"/>
    <w:link w:val="HeaderChar"/>
    <w:uiPriority w:val="99"/>
    <w:rsid w:val="00FA22C9"/>
    <w:pPr>
      <w:tabs>
        <w:tab w:val="center" w:pos="4153"/>
        <w:tab w:val="right" w:pos="8306"/>
      </w:tabs>
    </w:pPr>
  </w:style>
  <w:style w:type="character" w:customStyle="1" w:styleId="HeaderChar">
    <w:name w:val="Header Char"/>
    <w:basedOn w:val="DefaultParagraphFont"/>
    <w:link w:val="Header"/>
    <w:uiPriority w:val="99"/>
    <w:semiHidden/>
    <w:locked/>
    <w:rsid w:val="00FA22C9"/>
    <w:rPr>
      <w:rFonts w:cs="Times New Roman"/>
      <w:sz w:val="20"/>
      <w:szCs w:val="20"/>
    </w:rPr>
  </w:style>
  <w:style w:type="paragraph" w:styleId="Footer">
    <w:name w:val="footer"/>
    <w:basedOn w:val="Normal"/>
    <w:link w:val="FooterChar"/>
    <w:uiPriority w:val="99"/>
    <w:rsid w:val="00FA22C9"/>
    <w:pPr>
      <w:tabs>
        <w:tab w:val="center" w:pos="4153"/>
        <w:tab w:val="right" w:pos="8306"/>
      </w:tabs>
    </w:pPr>
  </w:style>
  <w:style w:type="character" w:customStyle="1" w:styleId="FooterChar">
    <w:name w:val="Footer Char"/>
    <w:basedOn w:val="DefaultParagraphFont"/>
    <w:link w:val="Footer"/>
    <w:uiPriority w:val="99"/>
    <w:locked/>
    <w:rsid w:val="00FA22C9"/>
    <w:rPr>
      <w:rFonts w:cs="Times New Roman"/>
      <w:sz w:val="20"/>
      <w:szCs w:val="20"/>
    </w:rPr>
  </w:style>
  <w:style w:type="character" w:styleId="PageNumber">
    <w:name w:val="page number"/>
    <w:basedOn w:val="DefaultParagraphFont"/>
    <w:uiPriority w:val="99"/>
    <w:rsid w:val="00FA22C9"/>
    <w:rPr>
      <w:rFonts w:cs="Times New Roman"/>
    </w:rPr>
  </w:style>
  <w:style w:type="character" w:styleId="Hyperlink">
    <w:name w:val="Hyperlink"/>
    <w:basedOn w:val="DefaultParagraphFont"/>
    <w:uiPriority w:val="99"/>
    <w:rsid w:val="00FA22C9"/>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2C9"/>
    <w:rPr>
      <w:rFonts w:ascii="Tahoma" w:hAnsi="Tahoma" w:cs="Tahoma"/>
      <w:sz w:val="16"/>
      <w:szCs w:val="16"/>
    </w:rPr>
  </w:style>
  <w:style w:type="character" w:styleId="CommentReference">
    <w:name w:val="annotation reference"/>
    <w:basedOn w:val="DefaultParagraphFont"/>
    <w:uiPriority w:val="99"/>
    <w:semiHidden/>
    <w:unhideWhenUsed/>
    <w:rsid w:val="00D65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D651EE"/>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651EE"/>
    <w:rPr>
      <w:rFonts w:cs="Times New Roman"/>
      <w:b/>
      <w:bCs/>
      <w:sz w:val="20"/>
      <w:szCs w:val="20"/>
    </w:rPr>
  </w:style>
  <w:style w:type="paragraph" w:styleId="Revision">
    <w:name w:val="Revision"/>
    <w:hidden/>
    <w:uiPriority w:val="99"/>
    <w:semiHidden/>
    <w:rsid w:val="00D651EE"/>
    <w:pPr>
      <w:spacing w:after="0" w:line="240" w:lineRule="auto"/>
    </w:pPr>
    <w:rPr>
      <w:sz w:val="20"/>
      <w:szCs w:val="20"/>
    </w:rPr>
  </w:style>
  <w:style w:type="character" w:styleId="Strong">
    <w:name w:val="Strong"/>
    <w:basedOn w:val="DefaultParagraphFont"/>
    <w:uiPriority w:val="22"/>
    <w:qFormat/>
    <w:rsid w:val="00690395"/>
    <w:rPr>
      <w:rFonts w:cs="Times New Roman"/>
      <w:b/>
      <w:bCs/>
    </w:rPr>
  </w:style>
  <w:style w:type="paragraph" w:styleId="TOC1">
    <w:name w:val="toc 1"/>
    <w:basedOn w:val="Normal"/>
    <w:next w:val="Normal"/>
    <w:autoRedefine/>
    <w:uiPriority w:val="39"/>
    <w:unhideWhenUsed/>
    <w:rsid w:val="00690395"/>
    <w:pPr>
      <w:spacing w:after="100"/>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47043A"/>
    <w:pPr>
      <w:ind w:left="720"/>
      <w:contextualSpacing/>
    </w:pPr>
    <w:rPr>
      <w:lang w:eastAsia="en-US"/>
    </w:rPr>
  </w:style>
  <w:style w:type="character" w:styleId="FollowedHyperlink">
    <w:name w:val="FollowedHyperlink"/>
    <w:basedOn w:val="DefaultParagraphFont"/>
    <w:uiPriority w:val="99"/>
    <w:rsid w:val="00C01E57"/>
    <w:rPr>
      <w:color w:val="800080" w:themeColor="followedHyperlink"/>
      <w:u w:val="single"/>
    </w:rPr>
  </w:style>
  <w:style w:type="paragraph" w:customStyle="1" w:styleId="Default">
    <w:name w:val="Default"/>
    <w:rsid w:val="000910A1"/>
    <w:pPr>
      <w:autoSpaceDE w:val="0"/>
      <w:autoSpaceDN w:val="0"/>
      <w:adjustRightInd w:val="0"/>
      <w:spacing w:after="0" w:line="240" w:lineRule="auto"/>
    </w:pPr>
    <w:rPr>
      <w:rFonts w:eastAsia="Calibri"/>
      <w:color w:val="000000"/>
      <w:sz w:val="24"/>
      <w:szCs w:val="24"/>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0910A1"/>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75319">
      <w:bodyDiv w:val="1"/>
      <w:marLeft w:val="0"/>
      <w:marRight w:val="0"/>
      <w:marTop w:val="0"/>
      <w:marBottom w:val="0"/>
      <w:divBdr>
        <w:top w:val="none" w:sz="0" w:space="0" w:color="auto"/>
        <w:left w:val="none" w:sz="0" w:space="0" w:color="auto"/>
        <w:bottom w:val="none" w:sz="0" w:space="0" w:color="auto"/>
        <w:right w:val="none" w:sz="0" w:space="0" w:color="auto"/>
      </w:divBdr>
    </w:div>
    <w:div w:id="862013855">
      <w:bodyDiv w:val="1"/>
      <w:marLeft w:val="0"/>
      <w:marRight w:val="0"/>
      <w:marTop w:val="0"/>
      <w:marBottom w:val="0"/>
      <w:divBdr>
        <w:top w:val="none" w:sz="0" w:space="0" w:color="auto"/>
        <w:left w:val="none" w:sz="0" w:space="0" w:color="auto"/>
        <w:bottom w:val="none" w:sz="0" w:space="0" w:color="auto"/>
        <w:right w:val="none" w:sz="0" w:space="0" w:color="auto"/>
      </w:divBdr>
    </w:div>
    <w:div w:id="1696152919">
      <w:marLeft w:val="0"/>
      <w:marRight w:val="0"/>
      <w:marTop w:val="0"/>
      <w:marBottom w:val="0"/>
      <w:divBdr>
        <w:top w:val="none" w:sz="0" w:space="0" w:color="auto"/>
        <w:left w:val="none" w:sz="0" w:space="0" w:color="auto"/>
        <w:bottom w:val="none" w:sz="0" w:space="0" w:color="auto"/>
        <w:right w:val="none" w:sz="0" w:space="0" w:color="auto"/>
      </w:divBdr>
    </w:div>
    <w:div w:id="1696152920">
      <w:marLeft w:val="0"/>
      <w:marRight w:val="0"/>
      <w:marTop w:val="0"/>
      <w:marBottom w:val="0"/>
      <w:divBdr>
        <w:top w:val="none" w:sz="0" w:space="0" w:color="auto"/>
        <w:left w:val="none" w:sz="0" w:space="0" w:color="auto"/>
        <w:bottom w:val="none" w:sz="0" w:space="0" w:color="auto"/>
        <w:right w:val="none" w:sz="0" w:space="0" w:color="auto"/>
      </w:divBdr>
    </w:div>
    <w:div w:id="1696152921">
      <w:marLeft w:val="0"/>
      <w:marRight w:val="0"/>
      <w:marTop w:val="0"/>
      <w:marBottom w:val="0"/>
      <w:divBdr>
        <w:top w:val="none" w:sz="0" w:space="0" w:color="auto"/>
        <w:left w:val="none" w:sz="0" w:space="0" w:color="auto"/>
        <w:bottom w:val="none" w:sz="0" w:space="0" w:color="auto"/>
        <w:right w:val="none" w:sz="0" w:space="0" w:color="auto"/>
      </w:divBdr>
    </w:div>
    <w:div w:id="1696152922">
      <w:marLeft w:val="0"/>
      <w:marRight w:val="0"/>
      <w:marTop w:val="0"/>
      <w:marBottom w:val="0"/>
      <w:divBdr>
        <w:top w:val="none" w:sz="0" w:space="0" w:color="auto"/>
        <w:left w:val="none" w:sz="0" w:space="0" w:color="auto"/>
        <w:bottom w:val="none" w:sz="0" w:space="0" w:color="auto"/>
        <w:right w:val="none" w:sz="0" w:space="0" w:color="auto"/>
      </w:divBdr>
    </w:div>
    <w:div w:id="1696152923">
      <w:marLeft w:val="0"/>
      <w:marRight w:val="0"/>
      <w:marTop w:val="0"/>
      <w:marBottom w:val="0"/>
      <w:divBdr>
        <w:top w:val="none" w:sz="0" w:space="0" w:color="auto"/>
        <w:left w:val="none" w:sz="0" w:space="0" w:color="auto"/>
        <w:bottom w:val="none" w:sz="0" w:space="0" w:color="auto"/>
        <w:right w:val="none" w:sz="0" w:space="0" w:color="auto"/>
      </w:divBdr>
    </w:div>
    <w:div w:id="1696152924">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75a3de71f373442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SHD23-85860</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APSCdoc-806379271-18618</_dlc_DocId>
    <_dlc_DocIdPersistId xmlns="9eb1f307-a489-40bf-8d3d-f7559b8c4701">false</_dlc_DocIdPersistId>
    <_dlc_DocIdUrl xmlns="9eb1f307-a489-40bf-8d3d-f7559b8c4701">
      <Url>https://pmc01.sharepoint.com/sites/apsc-rt/_layouts/15/DocIdRedir.aspx?ID=APSCdoc-806379271-18618</Url>
      <Description>APSCdoc-806379271-18618</Description>
    </_dlc_DocIdUrl>
    <lcf76f155ced4ddcb4097134ff3c332f xmlns="76b77999-d5d7-44f3-8dd0-caf71a7f76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9A0E-0E5A-4824-AD05-11D0B81E34FA}">
  <ds:schemaRefs>
    <ds:schemaRef ds:uri="76b77999-d5d7-44f3-8dd0-caf71a7f76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9eb1f307-a489-40bf-8d3d-f7559b8c4701"/>
    <ds:schemaRef ds:uri="http://www.w3.org/XML/1998/namespace"/>
    <ds:schemaRef ds:uri="http://purl.org/dc/dcmitype/"/>
  </ds:schemaRefs>
</ds:datastoreItem>
</file>

<file path=customXml/itemProps2.xml><?xml version="1.0" encoding="utf-8"?>
<ds:datastoreItem xmlns:ds="http://schemas.openxmlformats.org/officeDocument/2006/customXml" ds:itemID="{691AC93D-3991-4361-9691-652858938F08}">
  <ds:schemaRefs>
    <ds:schemaRef ds:uri="http://schemas.microsoft.com/sharepoint/v3/contenttype/forms"/>
  </ds:schemaRefs>
</ds:datastoreItem>
</file>

<file path=customXml/itemProps3.xml><?xml version="1.0" encoding="utf-8"?>
<ds:datastoreItem xmlns:ds="http://schemas.openxmlformats.org/officeDocument/2006/customXml" ds:itemID="{9C21B3BF-E693-461B-9C98-156182D25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61443-5CB9-4D2A-BECA-F45347835A51}">
  <ds:schemaRefs>
    <ds:schemaRef ds:uri="http://schemas.microsoft.com/sharepoint/events"/>
  </ds:schemaRefs>
</ds:datastoreItem>
</file>

<file path=customXml/itemProps5.xml><?xml version="1.0" encoding="utf-8"?>
<ds:datastoreItem xmlns:ds="http://schemas.openxmlformats.org/officeDocument/2006/customXml" ds:itemID="{A80D8655-941E-43EB-B475-37F1E99C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Explanatory Statement - Dets 16 and 17</vt:lpstr>
    </vt:vector>
  </TitlesOfParts>
  <Company>DOFA</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Urquhart, Kate</cp:lastModifiedBy>
  <cp:revision>21</cp:revision>
  <cp:lastPrinted>2025-08-18T05:48:00Z</cp:lastPrinted>
  <dcterms:created xsi:type="dcterms:W3CDTF">2025-07-22T04:29:00Z</dcterms:created>
  <dcterms:modified xsi:type="dcterms:W3CDTF">2025-08-18T05:49:00Z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Level">
    <vt:lpwstr>3;#OFFICIAL|11463c70-78df-4e3b-b0ff-f66cd3cb26ec</vt:lpwstr>
  </property>
  <property fmtid="{D5CDD505-2E9C-101B-9397-08002B2CF9AE}" pid="10" name="HPRMSecurityCaveat">
    <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3a11c942-e9d4-45b5-be2c-42c054d321c4</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2dffcbfa-7e49-4144-bf50-fd10f08b8e7b</vt:lpwstr>
  </property>
  <property fmtid="{D5CDD505-2E9C-101B-9397-08002B2CF9AE}" pid="26" name="MediaServiceImageTags">
    <vt:lpwstr/>
  </property>
</Properties>
</file>