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D5CF3" w14:textId="77777777" w:rsidR="00261551" w:rsidRPr="008A3617" w:rsidRDefault="00261551" w:rsidP="00261551">
      <w:pPr>
        <w:jc w:val="center"/>
        <w:rPr>
          <w:rFonts w:cs="Times New Roman"/>
          <w:b/>
          <w:bCs/>
          <w:i/>
          <w:iCs/>
          <w:szCs w:val="24"/>
        </w:rPr>
      </w:pPr>
    </w:p>
    <w:p w14:paraId="18F38FE6" w14:textId="77777777" w:rsidR="00261551" w:rsidRPr="008A3617" w:rsidRDefault="00261551" w:rsidP="00261551">
      <w:pPr>
        <w:jc w:val="center"/>
        <w:rPr>
          <w:rFonts w:cs="Times New Roman"/>
          <w:b/>
          <w:bCs/>
          <w:i/>
          <w:iCs/>
          <w:szCs w:val="24"/>
        </w:rPr>
      </w:pPr>
    </w:p>
    <w:p w14:paraId="52E4382E" w14:textId="77777777" w:rsidR="00261551" w:rsidRDefault="00261551" w:rsidP="00261551">
      <w:pPr>
        <w:jc w:val="center"/>
        <w:rPr>
          <w:rFonts w:cs="Times New Roman"/>
          <w:b/>
          <w:bCs/>
          <w:i/>
          <w:iCs/>
          <w:szCs w:val="24"/>
        </w:rPr>
      </w:pPr>
    </w:p>
    <w:p w14:paraId="184C1D72" w14:textId="77777777" w:rsidR="00261551" w:rsidRDefault="00261551" w:rsidP="00261551">
      <w:pPr>
        <w:jc w:val="center"/>
        <w:rPr>
          <w:rFonts w:cs="Times New Roman"/>
          <w:b/>
          <w:bCs/>
          <w:i/>
          <w:iCs/>
          <w:szCs w:val="24"/>
        </w:rPr>
      </w:pPr>
    </w:p>
    <w:p w14:paraId="3B1264FF" w14:textId="77777777" w:rsidR="00261551" w:rsidRDefault="00261551" w:rsidP="00261551">
      <w:pPr>
        <w:jc w:val="center"/>
        <w:rPr>
          <w:rFonts w:cs="Times New Roman"/>
          <w:b/>
          <w:bCs/>
          <w:i/>
          <w:iCs/>
          <w:szCs w:val="24"/>
        </w:rPr>
      </w:pPr>
    </w:p>
    <w:p w14:paraId="4BB96885" w14:textId="77777777" w:rsidR="00261551" w:rsidRPr="008A3617" w:rsidRDefault="00261551" w:rsidP="00261551">
      <w:pPr>
        <w:jc w:val="center"/>
        <w:rPr>
          <w:rFonts w:cs="Times New Roman"/>
          <w:b/>
          <w:bCs/>
          <w:i/>
          <w:iCs/>
          <w:szCs w:val="24"/>
        </w:rPr>
      </w:pPr>
    </w:p>
    <w:p w14:paraId="22EBA703" w14:textId="77777777" w:rsidR="00261551" w:rsidRDefault="00261551" w:rsidP="00261551">
      <w:pPr>
        <w:jc w:val="center"/>
        <w:rPr>
          <w:rFonts w:cs="Times New Roman"/>
          <w:b/>
          <w:bCs/>
          <w:i/>
          <w:iCs/>
          <w:szCs w:val="24"/>
        </w:rPr>
      </w:pPr>
    </w:p>
    <w:p w14:paraId="4572D8C2" w14:textId="77777777" w:rsidR="00261551" w:rsidRDefault="00261551" w:rsidP="00261551">
      <w:pPr>
        <w:jc w:val="center"/>
        <w:rPr>
          <w:rFonts w:cs="Times New Roman"/>
          <w:b/>
          <w:bCs/>
          <w:i/>
          <w:iCs/>
          <w:szCs w:val="24"/>
        </w:rPr>
      </w:pPr>
    </w:p>
    <w:p w14:paraId="61F26CEE" w14:textId="6CE036F9" w:rsidR="001D1B45" w:rsidRDefault="001D1B45" w:rsidP="001D1B45">
      <w:pPr>
        <w:pStyle w:val="ShortT"/>
        <w:jc w:val="center"/>
        <w:rPr>
          <w:i/>
          <w:caps/>
          <w:sz w:val="24"/>
          <w:szCs w:val="24"/>
        </w:rPr>
      </w:pPr>
      <w:r w:rsidRPr="001D1B45">
        <w:rPr>
          <w:i/>
          <w:caps/>
          <w:sz w:val="24"/>
          <w:szCs w:val="24"/>
        </w:rPr>
        <w:t xml:space="preserve">Federal Court Amendment </w:t>
      </w:r>
      <w:r w:rsidR="00372583">
        <w:rPr>
          <w:i/>
          <w:caps/>
          <w:sz w:val="24"/>
          <w:szCs w:val="24"/>
        </w:rPr>
        <w:t xml:space="preserve">(2025 Measures no. 1) </w:t>
      </w:r>
      <w:r w:rsidRPr="001D1B45">
        <w:rPr>
          <w:i/>
          <w:caps/>
          <w:sz w:val="24"/>
          <w:szCs w:val="24"/>
        </w:rPr>
        <w:t>Rules 202</w:t>
      </w:r>
      <w:r w:rsidR="0024077A">
        <w:rPr>
          <w:i/>
          <w:caps/>
          <w:sz w:val="24"/>
          <w:szCs w:val="24"/>
        </w:rPr>
        <w:t>5</w:t>
      </w:r>
    </w:p>
    <w:p w14:paraId="2C49DA3A" w14:textId="77777777" w:rsidR="001D1B45" w:rsidRPr="008A3617" w:rsidRDefault="001D1B45" w:rsidP="00261551">
      <w:pPr>
        <w:spacing w:after="0"/>
        <w:jc w:val="center"/>
        <w:rPr>
          <w:rFonts w:cs="Times New Roman"/>
          <w:b/>
          <w:bCs/>
          <w:i/>
          <w:iCs/>
          <w:szCs w:val="24"/>
        </w:rPr>
      </w:pPr>
    </w:p>
    <w:p w14:paraId="2845AEE6" w14:textId="77777777" w:rsidR="00261551" w:rsidRDefault="00261551" w:rsidP="00261551">
      <w:pPr>
        <w:jc w:val="center"/>
        <w:rPr>
          <w:rFonts w:cs="Times New Roman"/>
          <w:b/>
          <w:bCs/>
          <w:iCs/>
          <w:szCs w:val="24"/>
        </w:rPr>
      </w:pPr>
    </w:p>
    <w:p w14:paraId="14538081" w14:textId="77777777" w:rsidR="00261551" w:rsidRPr="00261551" w:rsidRDefault="00261551" w:rsidP="00261551">
      <w:pPr>
        <w:jc w:val="center"/>
        <w:rPr>
          <w:rFonts w:cs="Times New Roman"/>
          <w:b/>
          <w:bCs/>
          <w:iCs/>
          <w:szCs w:val="24"/>
        </w:rPr>
      </w:pPr>
    </w:p>
    <w:p w14:paraId="62758B42" w14:textId="77777777" w:rsidR="00261551" w:rsidRPr="008A3617" w:rsidRDefault="00261551" w:rsidP="00261551">
      <w:pPr>
        <w:jc w:val="center"/>
        <w:rPr>
          <w:rFonts w:cs="Times New Roman"/>
          <w:b/>
          <w:bCs/>
          <w:szCs w:val="24"/>
        </w:rPr>
      </w:pPr>
      <w:r w:rsidRPr="008A3617">
        <w:rPr>
          <w:rFonts w:cs="Times New Roman"/>
          <w:b/>
          <w:bCs/>
          <w:szCs w:val="24"/>
        </w:rPr>
        <w:t>EXPLANATORY STATEMENT</w:t>
      </w:r>
    </w:p>
    <w:p w14:paraId="526C5E3C" w14:textId="77777777" w:rsidR="00261551" w:rsidRPr="008A3617" w:rsidRDefault="00261551" w:rsidP="00261551">
      <w:pPr>
        <w:rPr>
          <w:rFonts w:cs="Times New Roman"/>
          <w:b/>
          <w:bCs/>
          <w:szCs w:val="24"/>
        </w:rPr>
      </w:pPr>
      <w:r w:rsidRPr="008A3617">
        <w:rPr>
          <w:rFonts w:cs="Times New Roman"/>
          <w:b/>
          <w:bCs/>
          <w:szCs w:val="24"/>
        </w:rPr>
        <w:br w:type="page"/>
      </w:r>
    </w:p>
    <w:p w14:paraId="2300E3F9" w14:textId="6438CC5E" w:rsidR="00372583" w:rsidRPr="00372583" w:rsidRDefault="00372583" w:rsidP="00372583">
      <w:pPr>
        <w:pStyle w:val="ShortT"/>
        <w:rPr>
          <w:b w:val="0"/>
          <w:bCs/>
          <w:iCs/>
          <w:caps/>
          <w:sz w:val="24"/>
          <w:szCs w:val="24"/>
        </w:rPr>
      </w:pPr>
      <w:r w:rsidRPr="00372583">
        <w:rPr>
          <w:b w:val="0"/>
          <w:bCs/>
          <w:iCs/>
          <w:caps/>
          <w:sz w:val="24"/>
          <w:szCs w:val="24"/>
        </w:rPr>
        <w:lastRenderedPageBreak/>
        <w:t>Federal Court Amendment (2025 Measures no. 1) Rules 2025</w:t>
      </w:r>
    </w:p>
    <w:p w14:paraId="09521536" w14:textId="77777777" w:rsidR="00261551" w:rsidRDefault="00261551" w:rsidP="005E694D">
      <w:pPr>
        <w:spacing w:line="240" w:lineRule="auto"/>
        <w:jc w:val="both"/>
      </w:pPr>
    </w:p>
    <w:p w14:paraId="2D046E1E" w14:textId="77777777" w:rsidR="00261551" w:rsidRDefault="005E694D" w:rsidP="005E694D">
      <w:pPr>
        <w:spacing w:line="240" w:lineRule="auto"/>
        <w:jc w:val="both"/>
        <w:rPr>
          <w:b/>
        </w:rPr>
      </w:pPr>
      <w:r>
        <w:rPr>
          <w:b/>
        </w:rPr>
        <w:t>EXPLANATORY STATEMENT</w:t>
      </w:r>
    </w:p>
    <w:p w14:paraId="31704EC4" w14:textId="5C9F32ED" w:rsidR="00261551" w:rsidRDefault="00261551" w:rsidP="005E694D">
      <w:pPr>
        <w:spacing w:line="240" w:lineRule="auto"/>
        <w:jc w:val="both"/>
      </w:pPr>
      <w:r>
        <w:rPr>
          <w:b/>
        </w:rPr>
        <w:t xml:space="preserve">Issued by the authority of </w:t>
      </w:r>
      <w:r w:rsidR="00D516D2">
        <w:rPr>
          <w:b/>
        </w:rPr>
        <w:t xml:space="preserve">the Judges </w:t>
      </w:r>
      <w:r>
        <w:rPr>
          <w:b/>
        </w:rPr>
        <w:t>of the Federal Court of Australia</w:t>
      </w:r>
    </w:p>
    <w:p w14:paraId="3C8A8D8B" w14:textId="3FD6B00C" w:rsidR="00D516D2" w:rsidRPr="00D516D2" w:rsidRDefault="009A3305" w:rsidP="005E694D">
      <w:pPr>
        <w:spacing w:line="240" w:lineRule="auto"/>
        <w:jc w:val="both"/>
        <w:rPr>
          <w:szCs w:val="24"/>
          <w:highlight w:val="yellow"/>
        </w:rPr>
      </w:pPr>
      <w:r w:rsidRPr="00D516D2">
        <w:rPr>
          <w:szCs w:val="24"/>
        </w:rPr>
        <w:t>Section 59</w:t>
      </w:r>
      <w:r w:rsidR="00AE4D7F">
        <w:rPr>
          <w:szCs w:val="24"/>
        </w:rPr>
        <w:t>(1)</w:t>
      </w:r>
      <w:r w:rsidR="00261551" w:rsidRPr="00D516D2">
        <w:rPr>
          <w:szCs w:val="24"/>
        </w:rPr>
        <w:t xml:space="preserve"> of the </w:t>
      </w:r>
      <w:r w:rsidR="00261551" w:rsidRPr="00D516D2">
        <w:rPr>
          <w:i/>
          <w:szCs w:val="24"/>
        </w:rPr>
        <w:t xml:space="preserve">Federal Court of Australia Act </w:t>
      </w:r>
      <w:r w:rsidRPr="00D516D2">
        <w:rPr>
          <w:i/>
          <w:szCs w:val="24"/>
        </w:rPr>
        <w:t>1976</w:t>
      </w:r>
      <w:r w:rsidR="00D516D2" w:rsidRPr="00D516D2">
        <w:rPr>
          <w:i/>
          <w:szCs w:val="24"/>
        </w:rPr>
        <w:t xml:space="preserve"> </w:t>
      </w:r>
      <w:r w:rsidR="00261551" w:rsidRPr="00D516D2">
        <w:rPr>
          <w:szCs w:val="24"/>
        </w:rPr>
        <w:t>(</w:t>
      </w:r>
      <w:proofErr w:type="spellStart"/>
      <w:r w:rsidR="00261551" w:rsidRPr="00D516D2">
        <w:rPr>
          <w:szCs w:val="24"/>
        </w:rPr>
        <w:t>Cth</w:t>
      </w:r>
      <w:proofErr w:type="spellEnd"/>
      <w:r w:rsidR="00261551" w:rsidRPr="00D516D2">
        <w:rPr>
          <w:szCs w:val="24"/>
        </w:rPr>
        <w:t>) (‘the Act’)</w:t>
      </w:r>
      <w:r w:rsidR="00D516D2" w:rsidRPr="00D516D2">
        <w:rPr>
          <w:szCs w:val="24"/>
        </w:rPr>
        <w:t xml:space="preserve"> provides </w:t>
      </w:r>
      <w:r w:rsidR="00D516D2">
        <w:rPr>
          <w:szCs w:val="24"/>
        </w:rPr>
        <w:t>that t</w:t>
      </w:r>
      <w:r w:rsidR="00D516D2" w:rsidRPr="00D516D2">
        <w:rPr>
          <w:color w:val="000000"/>
          <w:szCs w:val="24"/>
          <w:shd w:val="clear" w:color="auto" w:fill="FFFFFF"/>
        </w:rPr>
        <w:t>he Judges of the Court or a majority of them may make Rules of Court, not inconsistent with th</w:t>
      </w:r>
      <w:r w:rsidR="00D516D2">
        <w:rPr>
          <w:color w:val="000000"/>
          <w:szCs w:val="24"/>
          <w:shd w:val="clear" w:color="auto" w:fill="FFFFFF"/>
        </w:rPr>
        <w:t>e</w:t>
      </w:r>
      <w:r w:rsidR="00D516D2" w:rsidRPr="00D516D2">
        <w:rPr>
          <w:color w:val="000000"/>
          <w:szCs w:val="24"/>
          <w:shd w:val="clear" w:color="auto" w:fill="FFFFFF"/>
        </w:rPr>
        <w:t xml:space="preserve"> Act, making provision for or in relation to the practice and procedure to be followed in the Court (including the practice and procedure to be followed in Registries of the Court) and for or in relation to all matters and things incidental to any such practice or procedure, or necessary or convenient to be prescribed for the conduct of any business of the Court.</w:t>
      </w:r>
      <w:r w:rsidR="00261551" w:rsidRPr="00D516D2">
        <w:rPr>
          <w:szCs w:val="24"/>
          <w:highlight w:val="yellow"/>
        </w:rPr>
        <w:t xml:space="preserve"> </w:t>
      </w:r>
    </w:p>
    <w:p w14:paraId="2A64ED42" w14:textId="0B31C412" w:rsidR="00261551" w:rsidRPr="00D516D2" w:rsidRDefault="00261551" w:rsidP="005E694D">
      <w:pPr>
        <w:spacing w:line="240" w:lineRule="auto"/>
        <w:jc w:val="both"/>
      </w:pPr>
      <w:r w:rsidRPr="00D516D2">
        <w:t>The</w:t>
      </w:r>
      <w:r w:rsidR="00D516D2" w:rsidRPr="00D516D2">
        <w:t xml:space="preserve"> </w:t>
      </w:r>
      <w:r w:rsidR="008A64D4">
        <w:t xml:space="preserve">Judges of the Court or </w:t>
      </w:r>
      <w:proofErr w:type="gramStart"/>
      <w:r w:rsidR="008A64D4">
        <w:t xml:space="preserve">a </w:t>
      </w:r>
      <w:r w:rsidR="00D516D2" w:rsidRPr="00350C5B">
        <w:t>majority of</w:t>
      </w:r>
      <w:proofErr w:type="gramEnd"/>
      <w:r w:rsidR="00D516D2" w:rsidRPr="00350C5B">
        <w:t xml:space="preserve"> </w:t>
      </w:r>
      <w:r w:rsidR="008A64D4">
        <w:t>them</w:t>
      </w:r>
      <w:r w:rsidR="00D516D2" w:rsidRPr="00D516D2">
        <w:t xml:space="preserve"> </w:t>
      </w:r>
      <w:r w:rsidR="00350C5B">
        <w:t xml:space="preserve">have previously </w:t>
      </w:r>
      <w:r w:rsidR="00D516D2" w:rsidRPr="00D516D2">
        <w:t>made</w:t>
      </w:r>
      <w:r w:rsidRPr="00D516D2">
        <w:t xml:space="preserve"> the </w:t>
      </w:r>
      <w:r w:rsidR="00D516D2" w:rsidRPr="00D516D2">
        <w:rPr>
          <w:i/>
        </w:rPr>
        <w:t>Federal Court Rules 2011</w:t>
      </w:r>
      <w:r w:rsidR="0024077A">
        <w:t xml:space="preserve">.  </w:t>
      </w:r>
      <w:r w:rsidR="00D516D2" w:rsidRPr="00D516D2">
        <w:t>T</w:t>
      </w:r>
      <w:r w:rsidR="0011345B" w:rsidRPr="00D516D2">
        <w:t>he</w:t>
      </w:r>
      <w:r w:rsidR="00D516D2" w:rsidRPr="00D516D2">
        <w:t>se</w:t>
      </w:r>
      <w:r w:rsidR="0011345B" w:rsidRPr="00D516D2">
        <w:t xml:space="preserve"> amending rules, the </w:t>
      </w:r>
      <w:r w:rsidR="00D516D2" w:rsidRPr="00177804">
        <w:rPr>
          <w:i/>
        </w:rPr>
        <w:t>F</w:t>
      </w:r>
      <w:r w:rsidR="00D516D2" w:rsidRPr="00D516D2">
        <w:rPr>
          <w:i/>
        </w:rPr>
        <w:t>ederal Court Amendment</w:t>
      </w:r>
      <w:r w:rsidR="00372583">
        <w:rPr>
          <w:i/>
        </w:rPr>
        <w:t xml:space="preserve"> (2025 Measures No.1)</w:t>
      </w:r>
      <w:r w:rsidR="00D516D2" w:rsidRPr="00D516D2">
        <w:rPr>
          <w:i/>
        </w:rPr>
        <w:t xml:space="preserve"> Rules 202</w:t>
      </w:r>
      <w:r w:rsidR="0024077A">
        <w:rPr>
          <w:i/>
        </w:rPr>
        <w:t>5</w:t>
      </w:r>
      <w:r w:rsidR="0011345B" w:rsidRPr="00D516D2">
        <w:rPr>
          <w:i/>
        </w:rPr>
        <w:t xml:space="preserve"> </w:t>
      </w:r>
      <w:r w:rsidR="0011345B" w:rsidRPr="00D516D2">
        <w:t xml:space="preserve">(‘the amendments’), have now been made by </w:t>
      </w:r>
      <w:proofErr w:type="gramStart"/>
      <w:r w:rsidR="007A08EA">
        <w:t>a majority of</w:t>
      </w:r>
      <w:proofErr w:type="gramEnd"/>
      <w:r w:rsidR="007A08EA">
        <w:t xml:space="preserve"> </w:t>
      </w:r>
      <w:r w:rsidR="0011345B" w:rsidRPr="00D516D2">
        <w:t>the Judge</w:t>
      </w:r>
      <w:r w:rsidR="00D516D2" w:rsidRPr="00D516D2">
        <w:t>s</w:t>
      </w:r>
      <w:r w:rsidR="0011345B" w:rsidRPr="00D516D2">
        <w:t xml:space="preserve"> </w:t>
      </w:r>
      <w:r w:rsidR="00952679">
        <w:t xml:space="preserve">of the Court to amend </w:t>
      </w:r>
      <w:proofErr w:type="gramStart"/>
      <w:r w:rsidR="00952679">
        <w:t>those</w:t>
      </w:r>
      <w:proofErr w:type="gramEnd"/>
      <w:r w:rsidR="0011345B" w:rsidRPr="00D516D2">
        <w:t xml:space="preserve"> Rules.</w:t>
      </w:r>
    </w:p>
    <w:p w14:paraId="7CEEB5B2" w14:textId="11533604" w:rsidR="0011345B" w:rsidRPr="00251E15" w:rsidRDefault="00D516D2" w:rsidP="005E694D">
      <w:pPr>
        <w:spacing w:line="240" w:lineRule="auto"/>
        <w:jc w:val="both"/>
        <w:rPr>
          <w:szCs w:val="24"/>
        </w:rPr>
      </w:pPr>
      <w:r w:rsidRPr="00251E15">
        <w:rPr>
          <w:szCs w:val="24"/>
        </w:rPr>
        <w:t>Subsection 59(4</w:t>
      </w:r>
      <w:r w:rsidR="0011345B" w:rsidRPr="00251E15">
        <w:rPr>
          <w:szCs w:val="24"/>
        </w:rPr>
        <w:t xml:space="preserve">) of the Act provides that the </w:t>
      </w:r>
      <w:r w:rsidR="0011345B" w:rsidRPr="00251E15">
        <w:rPr>
          <w:i/>
          <w:szCs w:val="24"/>
        </w:rPr>
        <w:t xml:space="preserve">Legislation Act 2003 </w:t>
      </w:r>
      <w:r w:rsidR="0011345B" w:rsidRPr="00251E15">
        <w:rPr>
          <w:szCs w:val="24"/>
        </w:rPr>
        <w:t>(</w:t>
      </w:r>
      <w:proofErr w:type="spellStart"/>
      <w:r w:rsidR="0011345B" w:rsidRPr="00251E15">
        <w:rPr>
          <w:szCs w:val="24"/>
        </w:rPr>
        <w:t>Cth</w:t>
      </w:r>
      <w:proofErr w:type="spellEnd"/>
      <w:r w:rsidR="0011345B" w:rsidRPr="00251E15">
        <w:rPr>
          <w:szCs w:val="24"/>
        </w:rPr>
        <w:t xml:space="preserve">) (other than sections 8, 9, 10, 16 and Part 4 of Chapter 3) applies to rules of court. In this application, a reference to a legislative instrument in the </w:t>
      </w:r>
      <w:r w:rsidR="0011345B" w:rsidRPr="00251E15">
        <w:rPr>
          <w:i/>
          <w:szCs w:val="24"/>
        </w:rPr>
        <w:t xml:space="preserve">Legislation Act 2003 </w:t>
      </w:r>
      <w:r w:rsidR="0011345B" w:rsidRPr="00251E15">
        <w:rPr>
          <w:szCs w:val="24"/>
        </w:rPr>
        <w:t>(</w:t>
      </w:r>
      <w:proofErr w:type="spellStart"/>
      <w:r w:rsidR="0011345B" w:rsidRPr="00251E15">
        <w:rPr>
          <w:szCs w:val="24"/>
        </w:rPr>
        <w:t>Cth</w:t>
      </w:r>
      <w:proofErr w:type="spellEnd"/>
      <w:r w:rsidR="0011345B" w:rsidRPr="00251E15">
        <w:rPr>
          <w:szCs w:val="24"/>
        </w:rPr>
        <w:t xml:space="preserve">) is to be read as a reference to a rule of court </w:t>
      </w:r>
      <w:r w:rsidR="0011345B" w:rsidRPr="00E122A2">
        <w:rPr>
          <w:szCs w:val="24"/>
        </w:rPr>
        <w:t xml:space="preserve">and a reference to a rule-maker as a reference to the </w:t>
      </w:r>
      <w:r w:rsidR="00251E15" w:rsidRPr="00E122A2">
        <w:rPr>
          <w:szCs w:val="24"/>
          <w:shd w:val="clear" w:color="auto" w:fill="FFFFFF"/>
        </w:rPr>
        <w:t>Chief Justice acting on behalf of the Judges of the Court</w:t>
      </w:r>
      <w:r w:rsidR="00E122A2">
        <w:rPr>
          <w:szCs w:val="24"/>
        </w:rPr>
        <w:t xml:space="preserve">, subject to such further modification or adaptations as are provided for in regulations made under section 59A of the Act.  </w:t>
      </w:r>
    </w:p>
    <w:p w14:paraId="072B3C23" w14:textId="3C20A058" w:rsidR="005E694D" w:rsidRPr="00D02E34" w:rsidRDefault="005E694D" w:rsidP="005E694D">
      <w:pPr>
        <w:spacing w:line="240" w:lineRule="auto"/>
        <w:jc w:val="both"/>
      </w:pPr>
      <w:r w:rsidRPr="00D02E34">
        <w:t>The Court</w:t>
      </w:r>
      <w:r w:rsidR="003E1B10">
        <w:t xml:space="preserve"> holds the view that a </w:t>
      </w:r>
      <w:r w:rsidRPr="00D02E34">
        <w:t xml:space="preserve">statement of compatibility with human rights is not required to be included in an explanatory statement to rules of court, as whilst the Act applies the </w:t>
      </w:r>
      <w:r w:rsidRPr="00D02E34">
        <w:rPr>
          <w:i/>
        </w:rPr>
        <w:t xml:space="preserve">Legislation Act 2003 </w:t>
      </w:r>
      <w:r w:rsidRPr="00D02E34">
        <w:t>(</w:t>
      </w:r>
      <w:proofErr w:type="spellStart"/>
      <w:r w:rsidRPr="00D02E34">
        <w:t>Cth</w:t>
      </w:r>
      <w:proofErr w:type="spellEnd"/>
      <w:r w:rsidRPr="00D02E34">
        <w:t xml:space="preserve">) to rules of court, it does not expressly translate a reference to a legislative instrument in legislation other than the </w:t>
      </w:r>
      <w:r w:rsidRPr="00D02E34">
        <w:rPr>
          <w:i/>
        </w:rPr>
        <w:t xml:space="preserve">Legislation Act 2003 </w:t>
      </w:r>
      <w:r w:rsidRPr="00D02E34">
        <w:t>(</w:t>
      </w:r>
      <w:proofErr w:type="spellStart"/>
      <w:r w:rsidRPr="00D02E34">
        <w:t>Cth</w:t>
      </w:r>
      <w:proofErr w:type="spellEnd"/>
      <w:r w:rsidRPr="00D02E34">
        <w:t xml:space="preserve">) into a reference to rules of court, such as in the </w:t>
      </w:r>
      <w:r w:rsidRPr="00D02E34">
        <w:rPr>
          <w:i/>
        </w:rPr>
        <w:t xml:space="preserve">Human Rights (Parliamentary Scrutiny) Act 2011 </w:t>
      </w:r>
      <w:r w:rsidRPr="00D02E34">
        <w:t>(</w:t>
      </w:r>
      <w:proofErr w:type="spellStart"/>
      <w:r w:rsidRPr="00D02E34">
        <w:t>Cth</w:t>
      </w:r>
      <w:proofErr w:type="spellEnd"/>
      <w:r w:rsidRPr="00D02E34">
        <w:t>).</w:t>
      </w:r>
    </w:p>
    <w:p w14:paraId="20AECD1B" w14:textId="2B951C07" w:rsidR="005E694D" w:rsidRDefault="005E694D" w:rsidP="005E694D">
      <w:pPr>
        <w:spacing w:line="240" w:lineRule="auto"/>
        <w:jc w:val="both"/>
      </w:pPr>
      <w:r w:rsidRPr="00D02E34">
        <w:t>The Court notes that different views are held as to whether a statement of compatibility with human rights is formally required to be included in an explanatory statement to rules of court.</w:t>
      </w:r>
      <w:r w:rsidR="00BE1CB0">
        <w:t xml:space="preserve"> </w:t>
      </w:r>
      <w:r w:rsidR="00D47A9F" w:rsidRPr="00D02E34">
        <w:t>However,</w:t>
      </w:r>
      <w:r w:rsidRPr="00D02E34">
        <w:t xml:space="preserve"> for the avoidance of doubt, a statement of compatibility with human rights is included below.</w:t>
      </w:r>
      <w:r>
        <w:t xml:space="preserve"> </w:t>
      </w:r>
    </w:p>
    <w:p w14:paraId="122244A5" w14:textId="6F5D0853" w:rsidR="00E70AAC" w:rsidRDefault="00E70AAC">
      <w:pPr>
        <w:spacing w:line="276" w:lineRule="auto"/>
      </w:pPr>
      <w:r>
        <w:br w:type="page"/>
      </w:r>
    </w:p>
    <w:p w14:paraId="6CFF35BC" w14:textId="77777777" w:rsidR="005E694D" w:rsidRDefault="005E694D" w:rsidP="005E694D">
      <w:pPr>
        <w:spacing w:line="240" w:lineRule="auto"/>
        <w:jc w:val="center"/>
        <w:rPr>
          <w:b/>
        </w:rPr>
      </w:pPr>
      <w:r>
        <w:rPr>
          <w:b/>
        </w:rPr>
        <w:lastRenderedPageBreak/>
        <w:t>Statement of Compatibility with Human Rights</w:t>
      </w:r>
    </w:p>
    <w:p w14:paraId="23355805" w14:textId="77777777" w:rsidR="00372583" w:rsidRPr="00372583" w:rsidRDefault="00372583" w:rsidP="00230225">
      <w:pPr>
        <w:spacing w:line="240" w:lineRule="auto"/>
        <w:jc w:val="both"/>
        <w:rPr>
          <w:b/>
          <w:bCs/>
          <w:iCs/>
        </w:rPr>
      </w:pPr>
      <w:r w:rsidRPr="00372583">
        <w:rPr>
          <w:b/>
          <w:bCs/>
          <w:iCs/>
        </w:rPr>
        <w:t xml:space="preserve">Federal Court Amendment (2025 Measures No.1) Rules 2025 </w:t>
      </w:r>
    </w:p>
    <w:p w14:paraId="3B2AB622" w14:textId="63071ECC" w:rsidR="005E694D" w:rsidRDefault="005E694D" w:rsidP="00230225">
      <w:pPr>
        <w:spacing w:line="240" w:lineRule="auto"/>
        <w:jc w:val="both"/>
      </w:pPr>
      <w:r>
        <w:t xml:space="preserve">This legislative instrument is compatible with the human rights and freedoms recognised or declared in the international instruments listed in section 3 of the </w:t>
      </w:r>
      <w:r>
        <w:rPr>
          <w:i/>
        </w:rPr>
        <w:t xml:space="preserve">Human Rights (Parliamentary Scrutiny) Act 2011 </w:t>
      </w:r>
      <w:r>
        <w:t>(</w:t>
      </w:r>
      <w:proofErr w:type="spellStart"/>
      <w:r>
        <w:t>Cth</w:t>
      </w:r>
      <w:proofErr w:type="spellEnd"/>
      <w:r>
        <w:t>).</w:t>
      </w:r>
    </w:p>
    <w:p w14:paraId="709A06BF" w14:textId="77777777" w:rsidR="005E694D" w:rsidRDefault="005E694D" w:rsidP="00230225">
      <w:pPr>
        <w:spacing w:line="240" w:lineRule="auto"/>
        <w:jc w:val="both"/>
        <w:rPr>
          <w:b/>
        </w:rPr>
      </w:pPr>
      <w:r>
        <w:rPr>
          <w:b/>
        </w:rPr>
        <w:t>Human rights implications</w:t>
      </w:r>
    </w:p>
    <w:p w14:paraId="6001C9C4" w14:textId="77777777" w:rsidR="005E694D" w:rsidRDefault="005E694D" w:rsidP="00230225">
      <w:pPr>
        <w:spacing w:line="240" w:lineRule="auto"/>
      </w:pPr>
      <w:r>
        <w:t xml:space="preserve">This legislative instrument engages </w:t>
      </w:r>
      <w:r w:rsidR="00230225">
        <w:t xml:space="preserve">the following </w:t>
      </w:r>
      <w:r>
        <w:t>applicable human rights or f</w:t>
      </w:r>
      <w:r w:rsidR="00230225">
        <w:t>reedoms</w:t>
      </w:r>
      <w:r>
        <w:t>:</w:t>
      </w:r>
    </w:p>
    <w:p w14:paraId="3FA65220" w14:textId="7364C3FD" w:rsidR="005E694D" w:rsidRPr="00AE7993" w:rsidRDefault="005E694D" w:rsidP="00230225">
      <w:pPr>
        <w:pStyle w:val="ListParagraph"/>
        <w:numPr>
          <w:ilvl w:val="0"/>
          <w:numId w:val="1"/>
        </w:numPr>
        <w:spacing w:line="240" w:lineRule="auto"/>
        <w:rPr>
          <w:bCs/>
          <w:iCs/>
        </w:rPr>
      </w:pPr>
      <w:r>
        <w:rPr>
          <w:b/>
          <w:i/>
        </w:rPr>
        <w:t>Equality before courts and tribunals:</w:t>
      </w:r>
      <w:r>
        <w:t xml:space="preserve"> Article 14 of the </w:t>
      </w:r>
      <w:r>
        <w:rPr>
          <w:bCs/>
          <w:i/>
          <w:iCs/>
        </w:rPr>
        <w:t xml:space="preserve">International Covenant on Civil and Political Rights </w:t>
      </w:r>
      <w:r>
        <w:t>provides for equality of all persons before courts and tribunals, and the right to a fair and public hearing before a competent, independent and impartial decision maker established by law.</w:t>
      </w:r>
    </w:p>
    <w:p w14:paraId="578997E5" w14:textId="63F454A4" w:rsidR="006442FF" w:rsidRPr="00822FC9" w:rsidRDefault="00230225" w:rsidP="006442FF">
      <w:pPr>
        <w:spacing w:line="240" w:lineRule="auto"/>
        <w:jc w:val="both"/>
      </w:pPr>
      <w:r w:rsidRPr="00767386">
        <w:t>These amendments</w:t>
      </w:r>
      <w:r w:rsidR="00C5640A">
        <w:t xml:space="preserve"> aid in achieving the right to a fair and timely hearing </w:t>
      </w:r>
      <w:r w:rsidR="00A13DEC">
        <w:t xml:space="preserve">in </w:t>
      </w:r>
      <w:r w:rsidR="00C601F9">
        <w:t>several</w:t>
      </w:r>
      <w:r w:rsidR="00A13DEC">
        <w:t xml:space="preserve"> ways.  </w:t>
      </w:r>
      <w:r w:rsidR="007B0F17">
        <w:t>The amendments ensure</w:t>
      </w:r>
      <w:r w:rsidR="00C5640A">
        <w:t xml:space="preserve"> </w:t>
      </w:r>
      <w:r w:rsidR="00D8259F">
        <w:t xml:space="preserve">an effective application process </w:t>
      </w:r>
      <w:r w:rsidR="00A71A7B">
        <w:t>in relation</w:t>
      </w:r>
      <w:r w:rsidR="00F969B7">
        <w:t xml:space="preserve"> to</w:t>
      </w:r>
      <w:r w:rsidR="00A71A7B">
        <w:t xml:space="preserve"> </w:t>
      </w:r>
      <w:r w:rsidR="00383A7E">
        <w:t xml:space="preserve">the </w:t>
      </w:r>
      <w:r w:rsidR="0024077A">
        <w:t xml:space="preserve">inspection of documents.  </w:t>
      </w:r>
      <w:r w:rsidR="00DB7522">
        <w:t>They</w:t>
      </w:r>
      <w:r w:rsidR="005709BA">
        <w:t xml:space="preserve"> </w:t>
      </w:r>
      <w:r w:rsidR="00241DC7">
        <w:t>clarify the</w:t>
      </w:r>
      <w:r w:rsidR="0024077A">
        <w:t xml:space="preserve"> provisions with respect to return dates</w:t>
      </w:r>
      <w:r w:rsidR="00F969B7">
        <w:t xml:space="preserve"> for</w:t>
      </w:r>
      <w:r w:rsidR="0024077A">
        <w:t xml:space="preserve"> attending hearings, directions and filing of material, as well as service of originating documents</w:t>
      </w:r>
      <w:r w:rsidR="00E54000">
        <w:t>.</w:t>
      </w:r>
      <w:r w:rsidR="00F969B7">
        <w:t xml:space="preserve">  </w:t>
      </w:r>
      <w:r w:rsidR="00E06968">
        <w:t>Further, t</w:t>
      </w:r>
      <w:r w:rsidR="004A6CA4">
        <w:t>hey</w:t>
      </w:r>
      <w:r w:rsidR="00F969B7">
        <w:t xml:space="preserve"> also clarify the time for filing of a notice of address for service, and discontinuance.  They refine the rules with respect to varying or setting aside a judgment or order before it has been entered, and the entry of an order.  </w:t>
      </w:r>
    </w:p>
    <w:p w14:paraId="7E153D34" w14:textId="284F7059" w:rsidR="00AE7993" w:rsidRPr="00230225" w:rsidRDefault="00230225" w:rsidP="00230225">
      <w:pPr>
        <w:spacing w:line="240" w:lineRule="auto"/>
        <w:jc w:val="both"/>
      </w:pPr>
      <w:r w:rsidRPr="00767386">
        <w:t xml:space="preserve">Otherwise, as these amendments are minor and </w:t>
      </w:r>
      <w:r w:rsidR="00130632">
        <w:t xml:space="preserve">generally </w:t>
      </w:r>
      <w:r w:rsidRPr="00767386">
        <w:t>procedural only, they do not have any significant effect on human rights or freedoms.</w:t>
      </w:r>
    </w:p>
    <w:p w14:paraId="0FDA0029" w14:textId="77777777" w:rsidR="00230225" w:rsidRDefault="00230225" w:rsidP="00230225">
      <w:pPr>
        <w:spacing w:line="240" w:lineRule="auto"/>
        <w:rPr>
          <w:b/>
        </w:rPr>
      </w:pPr>
      <w:r>
        <w:rPr>
          <w:b/>
        </w:rPr>
        <w:t>Conclusion</w:t>
      </w:r>
    </w:p>
    <w:p w14:paraId="3944D992" w14:textId="77777777" w:rsidR="00230225" w:rsidRDefault="00230225" w:rsidP="00230225">
      <w:pPr>
        <w:spacing w:line="240" w:lineRule="auto"/>
      </w:pPr>
      <w:r>
        <w:t>This legislative instrument is therefore compatible with human rights as it does not raise any human rights issues.</w:t>
      </w:r>
    </w:p>
    <w:p w14:paraId="215B841E" w14:textId="3E359AE2" w:rsidR="00391E4C" w:rsidRDefault="006D3370" w:rsidP="006B1AAD">
      <w:pPr>
        <w:pStyle w:val="ListParagraph"/>
        <w:numPr>
          <w:ilvl w:val="0"/>
          <w:numId w:val="2"/>
        </w:numPr>
        <w:spacing w:line="240" w:lineRule="auto"/>
        <w:rPr>
          <w:b/>
          <w:u w:val="single"/>
        </w:rPr>
      </w:pPr>
      <w:r>
        <w:br w:type="column"/>
      </w:r>
      <w:r>
        <w:rPr>
          <w:b/>
          <w:u w:val="single"/>
        </w:rPr>
        <w:lastRenderedPageBreak/>
        <w:t>General Outline</w:t>
      </w:r>
    </w:p>
    <w:p w14:paraId="2983B003" w14:textId="6271A575" w:rsidR="00C32972" w:rsidRPr="0050681B" w:rsidRDefault="002B7448" w:rsidP="00181370">
      <w:pPr>
        <w:spacing w:line="240" w:lineRule="auto"/>
        <w:jc w:val="both"/>
        <w:rPr>
          <w:b/>
          <w:bCs/>
        </w:rPr>
      </w:pPr>
      <w:r w:rsidRPr="0050681B">
        <w:rPr>
          <w:b/>
          <w:bCs/>
        </w:rPr>
        <w:t xml:space="preserve">Schedule 1 </w:t>
      </w:r>
      <w:r w:rsidR="008276F5">
        <w:rPr>
          <w:b/>
          <w:bCs/>
        </w:rPr>
        <w:t>–</w:t>
      </w:r>
      <w:r w:rsidRPr="0050681B">
        <w:rPr>
          <w:b/>
          <w:bCs/>
        </w:rPr>
        <w:t xml:space="preserve"> Amendments</w:t>
      </w:r>
    </w:p>
    <w:p w14:paraId="3FFDA556" w14:textId="6FD68E6B" w:rsidR="00C32972" w:rsidRDefault="0050681B" w:rsidP="00C32972">
      <w:pPr>
        <w:spacing w:line="240" w:lineRule="auto"/>
        <w:rPr>
          <w:bCs/>
        </w:rPr>
      </w:pPr>
      <w:r w:rsidRPr="0050681B">
        <w:rPr>
          <w:bCs/>
        </w:rPr>
        <w:t xml:space="preserve">Schedule 1 contains </w:t>
      </w:r>
      <w:r w:rsidR="00E82E40">
        <w:rPr>
          <w:bCs/>
        </w:rPr>
        <w:t xml:space="preserve">amendments to the </w:t>
      </w:r>
      <w:r w:rsidR="00E82E40" w:rsidRPr="003148A4">
        <w:rPr>
          <w:bCs/>
          <w:i/>
          <w:iCs/>
        </w:rPr>
        <w:t>Federal Court Rules 2011</w:t>
      </w:r>
      <w:r w:rsidR="00B93D32">
        <w:rPr>
          <w:bCs/>
        </w:rPr>
        <w:t xml:space="preserve">, including the following:  </w:t>
      </w:r>
    </w:p>
    <w:p w14:paraId="739A7DAB" w14:textId="0E1339B8" w:rsidR="003A2AE4" w:rsidRPr="00C32806" w:rsidRDefault="0002515D" w:rsidP="00B93D32">
      <w:pPr>
        <w:pStyle w:val="ListParagraph"/>
        <w:numPr>
          <w:ilvl w:val="0"/>
          <w:numId w:val="4"/>
        </w:numPr>
        <w:spacing w:line="240" w:lineRule="auto"/>
        <w:rPr>
          <w:bCs/>
        </w:rPr>
      </w:pPr>
      <w:r w:rsidRPr="00C32806">
        <w:t>Amending rule</w:t>
      </w:r>
      <w:r w:rsidR="009D719E" w:rsidRPr="00C32806">
        <w:t xml:space="preserve"> 2.32(2)</w:t>
      </w:r>
      <w:r w:rsidRPr="00C32806">
        <w:t xml:space="preserve"> </w:t>
      </w:r>
      <w:r w:rsidR="009D719E" w:rsidRPr="00C32806">
        <w:t>with respect to inspection of documents.</w:t>
      </w:r>
    </w:p>
    <w:p w14:paraId="664A1EE7" w14:textId="4D3831AA" w:rsidR="001D6AB4" w:rsidRPr="00C32806" w:rsidRDefault="00AA7E20" w:rsidP="00B93D32">
      <w:pPr>
        <w:pStyle w:val="ListParagraph"/>
        <w:numPr>
          <w:ilvl w:val="0"/>
          <w:numId w:val="4"/>
        </w:numPr>
        <w:spacing w:line="240" w:lineRule="auto"/>
        <w:rPr>
          <w:bCs/>
        </w:rPr>
      </w:pPr>
      <w:r w:rsidRPr="00C32806">
        <w:t>Amending rule</w:t>
      </w:r>
      <w:r w:rsidR="009D719E" w:rsidRPr="00C32806">
        <w:t>s 5.01, 5.02, subrule 5.03(1), subrule 5.04(2)</w:t>
      </w:r>
      <w:r w:rsidR="001D6AB4" w:rsidRPr="00C32806">
        <w:t xml:space="preserve"> and</w:t>
      </w:r>
      <w:r w:rsidR="009D719E" w:rsidRPr="00C32806">
        <w:t xml:space="preserve"> rule 5.06</w:t>
      </w:r>
      <w:r w:rsidR="001D6AB4" w:rsidRPr="00C32806">
        <w:t xml:space="preserve"> to </w:t>
      </w:r>
      <w:r w:rsidR="00F92B45" w:rsidRPr="00C32806">
        <w:t xml:space="preserve">clarify </w:t>
      </w:r>
      <w:r w:rsidR="001D6AB4" w:rsidRPr="00C32806">
        <w:t>return dates, filing of material and directions.</w:t>
      </w:r>
    </w:p>
    <w:p w14:paraId="0572DFC2" w14:textId="05397673" w:rsidR="00455B4A" w:rsidRPr="00C32806" w:rsidRDefault="001D6AB4" w:rsidP="00B93D32">
      <w:pPr>
        <w:pStyle w:val="ListParagraph"/>
        <w:numPr>
          <w:ilvl w:val="0"/>
          <w:numId w:val="4"/>
        </w:numPr>
        <w:spacing w:line="240" w:lineRule="auto"/>
        <w:rPr>
          <w:bCs/>
        </w:rPr>
      </w:pPr>
      <w:r w:rsidRPr="00C32806">
        <w:t>Amending rule 8.06 with respect to the timing of service of originating documents</w:t>
      </w:r>
      <w:r w:rsidR="00455B4A" w:rsidRPr="00C32806">
        <w:t>.</w:t>
      </w:r>
    </w:p>
    <w:p w14:paraId="4D8B1080" w14:textId="712D114B" w:rsidR="001D6AB4" w:rsidRPr="00C32806" w:rsidRDefault="001D6AB4" w:rsidP="00B93D32">
      <w:pPr>
        <w:pStyle w:val="ListParagraph"/>
        <w:numPr>
          <w:ilvl w:val="0"/>
          <w:numId w:val="4"/>
        </w:numPr>
        <w:spacing w:line="240" w:lineRule="auto"/>
        <w:rPr>
          <w:bCs/>
        </w:rPr>
      </w:pPr>
      <w:r w:rsidRPr="00C32806">
        <w:rPr>
          <w:bCs/>
        </w:rPr>
        <w:t>Amending rule 10.43C(1)(a) with respect to when an originating application may be served outside Australia without leave.</w:t>
      </w:r>
    </w:p>
    <w:p w14:paraId="5C935367" w14:textId="6211E6B9" w:rsidR="001D6AB4" w:rsidRPr="00C32806" w:rsidRDefault="001D6AB4" w:rsidP="00B93D32">
      <w:pPr>
        <w:pStyle w:val="ListParagraph"/>
        <w:numPr>
          <w:ilvl w:val="0"/>
          <w:numId w:val="4"/>
        </w:numPr>
        <w:spacing w:line="240" w:lineRule="auto"/>
        <w:rPr>
          <w:bCs/>
        </w:rPr>
      </w:pPr>
      <w:r w:rsidRPr="00C32806">
        <w:rPr>
          <w:bCs/>
        </w:rPr>
        <w:t>Amending rule 11.06 to clarify when a notice of address for</w:t>
      </w:r>
      <w:r w:rsidR="00114BBB">
        <w:rPr>
          <w:bCs/>
        </w:rPr>
        <w:t xml:space="preserve"> service</w:t>
      </w:r>
      <w:r w:rsidRPr="00C32806">
        <w:rPr>
          <w:bCs/>
        </w:rPr>
        <w:t xml:space="preserve"> must be filed.</w:t>
      </w:r>
    </w:p>
    <w:p w14:paraId="12372349" w14:textId="60CDA772" w:rsidR="001D6AB4" w:rsidRPr="00C32806" w:rsidRDefault="001D6AB4" w:rsidP="00B93D32">
      <w:pPr>
        <w:pStyle w:val="ListParagraph"/>
        <w:numPr>
          <w:ilvl w:val="0"/>
          <w:numId w:val="4"/>
        </w:numPr>
        <w:spacing w:line="240" w:lineRule="auto"/>
        <w:rPr>
          <w:bCs/>
        </w:rPr>
      </w:pPr>
      <w:r w:rsidRPr="00C32806">
        <w:rPr>
          <w:bCs/>
        </w:rPr>
        <w:t xml:space="preserve">Amending subparagraph 26.12(2)(a)(i) with respect to the timing </w:t>
      </w:r>
      <w:r w:rsidR="00114BBB">
        <w:rPr>
          <w:bCs/>
        </w:rPr>
        <w:t>within which a party may discontinue a proceeding without leave of the Court or the other party’s consent.</w:t>
      </w:r>
    </w:p>
    <w:p w14:paraId="1F7DB28F" w14:textId="293806C9" w:rsidR="001D6AB4" w:rsidRPr="00C32806" w:rsidRDefault="001D6AB4" w:rsidP="00B93D32">
      <w:pPr>
        <w:pStyle w:val="ListParagraph"/>
        <w:numPr>
          <w:ilvl w:val="0"/>
          <w:numId w:val="4"/>
        </w:numPr>
        <w:spacing w:line="240" w:lineRule="auto"/>
        <w:rPr>
          <w:bCs/>
        </w:rPr>
      </w:pPr>
      <w:r w:rsidRPr="00C32806">
        <w:rPr>
          <w:bCs/>
        </w:rPr>
        <w:t>Amending rule 39.04 by adding subrules 39.04(2), (3), (4) and (5) which extends the provision with respect to varying or setting aside a judgment or order before it has been entered.</w:t>
      </w:r>
    </w:p>
    <w:p w14:paraId="0C91C848" w14:textId="01388716" w:rsidR="001D6AB4" w:rsidRPr="00C32806" w:rsidRDefault="001D6AB4" w:rsidP="00B93D32">
      <w:pPr>
        <w:pStyle w:val="ListParagraph"/>
        <w:numPr>
          <w:ilvl w:val="0"/>
          <w:numId w:val="4"/>
        </w:numPr>
        <w:spacing w:line="240" w:lineRule="auto"/>
        <w:rPr>
          <w:bCs/>
        </w:rPr>
      </w:pPr>
      <w:r w:rsidRPr="00C32806">
        <w:rPr>
          <w:bCs/>
        </w:rPr>
        <w:t>Amending subrule 39.32(3) by removing the reference to a specific number of days</w:t>
      </w:r>
      <w:r w:rsidR="00114BBB">
        <w:rPr>
          <w:bCs/>
        </w:rPr>
        <w:t xml:space="preserve"> after authentication before which a judgment or order is taken to be entered</w:t>
      </w:r>
      <w:r w:rsidRPr="00C32806">
        <w:rPr>
          <w:bCs/>
        </w:rPr>
        <w:t>.</w:t>
      </w:r>
    </w:p>
    <w:p w14:paraId="09D4E99A" w14:textId="6418570B" w:rsidR="001D6AB4" w:rsidRPr="00C32806" w:rsidRDefault="001D6AB4" w:rsidP="00B93D32">
      <w:pPr>
        <w:pStyle w:val="ListParagraph"/>
        <w:numPr>
          <w:ilvl w:val="0"/>
          <w:numId w:val="4"/>
        </w:numPr>
        <w:spacing w:line="240" w:lineRule="auto"/>
        <w:rPr>
          <w:bCs/>
        </w:rPr>
      </w:pPr>
      <w:r w:rsidRPr="00C32806">
        <w:rPr>
          <w:bCs/>
        </w:rPr>
        <w:t>Adding Division 43.1</w:t>
      </w:r>
      <w:r w:rsidRPr="00C32806">
        <w:rPr>
          <w:bCs/>
          <w:color w:val="000000"/>
          <w:sz w:val="28"/>
          <w:szCs w:val="28"/>
        </w:rPr>
        <w:t xml:space="preserve"> </w:t>
      </w:r>
      <w:r w:rsidRPr="0075009C">
        <w:rPr>
          <w:bCs/>
        </w:rPr>
        <w:t>Transitional provisions relating to the</w:t>
      </w:r>
      <w:r w:rsidRPr="00C32806">
        <w:rPr>
          <w:bCs/>
          <w:i/>
          <w:iCs/>
        </w:rPr>
        <w:t xml:space="preserve"> Federal Court Amendment (2025 Measures No. 1) Rules 2025</w:t>
      </w:r>
      <w:r w:rsidRPr="00C32806">
        <w:rPr>
          <w:bCs/>
        </w:rPr>
        <w:t>.</w:t>
      </w:r>
    </w:p>
    <w:p w14:paraId="12BB8637" w14:textId="1B48DB1C" w:rsidR="001D6AB4" w:rsidRPr="00C32806" w:rsidRDefault="001D6AB4" w:rsidP="00B93D32">
      <w:pPr>
        <w:pStyle w:val="ListParagraph"/>
        <w:numPr>
          <w:ilvl w:val="0"/>
          <w:numId w:val="4"/>
        </w:numPr>
        <w:spacing w:line="240" w:lineRule="auto"/>
        <w:rPr>
          <w:bCs/>
        </w:rPr>
      </w:pPr>
      <w:r w:rsidRPr="00C32806">
        <w:rPr>
          <w:bCs/>
        </w:rPr>
        <w:t>Amending Part 3.7 of Schedule 2</w:t>
      </w:r>
      <w:r w:rsidR="00C32806" w:rsidRPr="00C32806">
        <w:rPr>
          <w:bCs/>
        </w:rPr>
        <w:t xml:space="preserve"> by repealing items 104 and 112.</w:t>
      </w:r>
    </w:p>
    <w:p w14:paraId="0E99C56D" w14:textId="1299FF72" w:rsidR="00C32806" w:rsidRPr="00C32806" w:rsidRDefault="00C32806" w:rsidP="00B93D32">
      <w:pPr>
        <w:pStyle w:val="ListParagraph"/>
        <w:numPr>
          <w:ilvl w:val="0"/>
          <w:numId w:val="4"/>
        </w:numPr>
        <w:spacing w:line="240" w:lineRule="auto"/>
        <w:rPr>
          <w:bCs/>
        </w:rPr>
      </w:pPr>
      <w:r w:rsidRPr="00C32806">
        <w:rPr>
          <w:bCs/>
        </w:rPr>
        <w:t>Amending Part 3.7 of Schedule 2 by omitting rule 39.04 and substituting wit</w:t>
      </w:r>
      <w:r w:rsidR="0075009C">
        <w:rPr>
          <w:bCs/>
        </w:rPr>
        <w:t>h</w:t>
      </w:r>
      <w:r w:rsidRPr="00C32806">
        <w:rPr>
          <w:bCs/>
        </w:rPr>
        <w:t xml:space="preserve"> subrule 39.04(1).</w:t>
      </w:r>
    </w:p>
    <w:p w14:paraId="2EC5091B" w14:textId="4051828E" w:rsidR="00C32806" w:rsidRPr="00C32806" w:rsidRDefault="00C32806" w:rsidP="00B93D32">
      <w:pPr>
        <w:pStyle w:val="ListParagraph"/>
        <w:numPr>
          <w:ilvl w:val="0"/>
          <w:numId w:val="4"/>
        </w:numPr>
        <w:spacing w:line="240" w:lineRule="auto"/>
        <w:rPr>
          <w:bCs/>
        </w:rPr>
      </w:pPr>
      <w:r w:rsidRPr="00C32806">
        <w:rPr>
          <w:bCs/>
        </w:rPr>
        <w:t>Repealing Item 1A of Schedule 3 and substituting with a new item 1A</w:t>
      </w:r>
      <w:r w:rsidR="0075009C">
        <w:rPr>
          <w:bCs/>
        </w:rPr>
        <w:t xml:space="preserve"> to reference the updated legislation</w:t>
      </w:r>
      <w:r w:rsidRPr="00C32806">
        <w:rPr>
          <w:bCs/>
        </w:rPr>
        <w:t>.</w:t>
      </w:r>
    </w:p>
    <w:p w14:paraId="58D26A68" w14:textId="61E732B0" w:rsidR="00EC2E05" w:rsidRPr="00C32806" w:rsidRDefault="00C32806" w:rsidP="00C32806">
      <w:pPr>
        <w:pStyle w:val="ListParagraph"/>
        <w:numPr>
          <w:ilvl w:val="0"/>
          <w:numId w:val="4"/>
        </w:numPr>
        <w:spacing w:line="240" w:lineRule="auto"/>
        <w:rPr>
          <w:bCs/>
        </w:rPr>
      </w:pPr>
      <w:r w:rsidRPr="00C32806">
        <w:rPr>
          <w:bCs/>
        </w:rPr>
        <w:t xml:space="preserve">Amending Schedule 3 to </w:t>
      </w:r>
      <w:r w:rsidR="007D7B3A" w:rsidRPr="00C32806">
        <w:t>provide for an increase in the costs allowable for work done and services performed consistent with the recommendations of the 1</w:t>
      </w:r>
      <w:r w:rsidRPr="00C32806">
        <w:t>7</w:t>
      </w:r>
      <w:r w:rsidR="007D7B3A" w:rsidRPr="00C32806">
        <w:rPr>
          <w:vertAlign w:val="superscript"/>
        </w:rPr>
        <w:t>th</w:t>
      </w:r>
      <w:r w:rsidR="007D7B3A" w:rsidRPr="00C32806">
        <w:t xml:space="preserve"> Report of the Joint Cost Advisory Committee.  </w:t>
      </w:r>
    </w:p>
    <w:p w14:paraId="4BC499D7" w14:textId="77777777" w:rsidR="002851EC" w:rsidRDefault="002851EC" w:rsidP="002851EC">
      <w:pPr>
        <w:pStyle w:val="ListParagraph"/>
        <w:spacing w:line="240" w:lineRule="auto"/>
      </w:pPr>
    </w:p>
    <w:p w14:paraId="1DD7CB87" w14:textId="77777777" w:rsidR="006C0953" w:rsidRPr="006C249B" w:rsidRDefault="006C0953" w:rsidP="002851EC">
      <w:pPr>
        <w:pStyle w:val="ListParagraph"/>
        <w:spacing w:line="240" w:lineRule="auto"/>
      </w:pPr>
    </w:p>
    <w:p w14:paraId="26F43775" w14:textId="77777777" w:rsidR="006D3370" w:rsidRPr="00BB2E31" w:rsidRDefault="006D3370" w:rsidP="006B1AAD">
      <w:pPr>
        <w:pStyle w:val="ListParagraph"/>
        <w:numPr>
          <w:ilvl w:val="0"/>
          <w:numId w:val="2"/>
        </w:numPr>
        <w:spacing w:line="240" w:lineRule="auto"/>
        <w:rPr>
          <w:b/>
          <w:u w:val="single"/>
        </w:rPr>
      </w:pPr>
      <w:r w:rsidRPr="00BB2E31">
        <w:rPr>
          <w:b/>
          <w:u w:val="single"/>
        </w:rPr>
        <w:t>Consultation</w:t>
      </w:r>
    </w:p>
    <w:p w14:paraId="67901C1E" w14:textId="0DF0119C" w:rsidR="006B06C5" w:rsidRPr="00BB2E31" w:rsidRDefault="003D0C23" w:rsidP="002A2DD6">
      <w:pPr>
        <w:spacing w:line="240" w:lineRule="auto"/>
        <w:jc w:val="both"/>
      </w:pPr>
      <w:r w:rsidRPr="00BB2E31">
        <w:t>The</w:t>
      </w:r>
      <w:r w:rsidR="00E0787E" w:rsidRPr="00BB2E31">
        <w:t xml:space="preserve"> </w:t>
      </w:r>
      <w:r w:rsidR="00E0787E" w:rsidRPr="00BB2E31">
        <w:rPr>
          <w:i/>
          <w:iCs/>
        </w:rPr>
        <w:t>Legislation Act 2003</w:t>
      </w:r>
      <w:r w:rsidR="00E0787E" w:rsidRPr="00BB2E31">
        <w:t xml:space="preserve"> (</w:t>
      </w:r>
      <w:proofErr w:type="spellStart"/>
      <w:r w:rsidR="00E0787E" w:rsidRPr="00BB2E31">
        <w:t>Cth</w:t>
      </w:r>
      <w:proofErr w:type="spellEnd"/>
      <w:r w:rsidR="00E0787E" w:rsidRPr="00BB2E31">
        <w:t xml:space="preserve">) provides for certain </w:t>
      </w:r>
      <w:r w:rsidR="00052857" w:rsidRPr="00BB2E31">
        <w:t xml:space="preserve">consultation </w:t>
      </w:r>
      <w:r w:rsidR="00DC38FC" w:rsidRPr="00BB2E31">
        <w:t xml:space="preserve">obligations when </w:t>
      </w:r>
      <w:r w:rsidR="003E1B10" w:rsidRPr="00BB2E31">
        <w:t>r</w:t>
      </w:r>
      <w:r w:rsidR="00DC38FC" w:rsidRPr="00BB2E31">
        <w:t xml:space="preserve">ules are made.  </w:t>
      </w:r>
    </w:p>
    <w:p w14:paraId="230E9EC0" w14:textId="77777777" w:rsidR="00971BD8" w:rsidRPr="00BB2E31" w:rsidRDefault="00E122A2" w:rsidP="002A2DD6">
      <w:pPr>
        <w:spacing w:line="240" w:lineRule="auto"/>
        <w:jc w:val="both"/>
      </w:pPr>
      <w:r w:rsidRPr="00BB2E31">
        <w:t xml:space="preserve">The Court consults regularly with the legal profession, both nationally and locally, about practice and procedure generally and in its different practice areas.  </w:t>
      </w:r>
    </w:p>
    <w:p w14:paraId="39E98E5D" w14:textId="36E2BEC6" w:rsidR="00114BBB" w:rsidRPr="0099133B" w:rsidRDefault="009735E2" w:rsidP="002A2DD6">
      <w:pPr>
        <w:spacing w:line="240" w:lineRule="auto"/>
        <w:jc w:val="both"/>
      </w:pPr>
      <w:r w:rsidRPr="0099133B">
        <w:t xml:space="preserve">Internally, the Court consulted with </w:t>
      </w:r>
      <w:r w:rsidR="003E1B10" w:rsidRPr="0099133B">
        <w:t>j</w:t>
      </w:r>
      <w:r w:rsidRPr="0099133B">
        <w:t>udges, r</w:t>
      </w:r>
      <w:r w:rsidR="00034441" w:rsidRPr="0099133B">
        <w:t>e</w:t>
      </w:r>
      <w:r w:rsidRPr="0099133B">
        <w:t>gistrars</w:t>
      </w:r>
      <w:r w:rsidR="00034441" w:rsidRPr="0099133B">
        <w:t xml:space="preserve"> and staff.  </w:t>
      </w:r>
    </w:p>
    <w:p w14:paraId="4345ED51" w14:textId="7EBC94BC" w:rsidR="00114BBB" w:rsidRPr="0099133B" w:rsidRDefault="0099133B" w:rsidP="002A2DD6">
      <w:pPr>
        <w:spacing w:line="240" w:lineRule="auto"/>
        <w:jc w:val="both"/>
      </w:pPr>
      <w:r w:rsidRPr="0099133B">
        <w:t>External c</w:t>
      </w:r>
      <w:r w:rsidR="00114BBB" w:rsidRPr="0099133B">
        <w:t xml:space="preserve">onsultation was undertaken with representatives of the media </w:t>
      </w:r>
      <w:r w:rsidR="000E2125" w:rsidRPr="0099133B">
        <w:t xml:space="preserve">through the Federal Court Media Committee </w:t>
      </w:r>
      <w:r w:rsidR="00114BBB" w:rsidRPr="0099133B">
        <w:t>on changes to rule 2.32(2) with respect to the inspection of documents.</w:t>
      </w:r>
    </w:p>
    <w:p w14:paraId="48BC5CF0" w14:textId="6EFB0453" w:rsidR="00391E4C" w:rsidRDefault="00811964" w:rsidP="006B1AAD">
      <w:pPr>
        <w:spacing w:line="240" w:lineRule="auto"/>
        <w:jc w:val="both"/>
      </w:pPr>
      <w:r w:rsidRPr="0099133B">
        <w:t>In respect of other amendments, e</w:t>
      </w:r>
      <w:r w:rsidR="00391E4C" w:rsidRPr="0099133B">
        <w:t>xternal consultation was not considered necessary due to their very limited imp</w:t>
      </w:r>
      <w:r w:rsidR="00B969A8" w:rsidRPr="0099133B">
        <w:t>act</w:t>
      </w:r>
      <w:r w:rsidR="003E1B10" w:rsidRPr="0099133B">
        <w:t xml:space="preserve"> on</w:t>
      </w:r>
      <w:r w:rsidR="00B969A8" w:rsidRPr="0099133B">
        <w:t xml:space="preserve"> parties to proceedings </w:t>
      </w:r>
      <w:r w:rsidR="00391E4C" w:rsidRPr="0099133B">
        <w:t xml:space="preserve">and the fact that they are administrative or </w:t>
      </w:r>
      <w:r w:rsidR="00B969A8" w:rsidRPr="0099133B">
        <w:t>internal in nature.</w:t>
      </w:r>
      <w:r w:rsidR="00B969A8" w:rsidRPr="00B969A8">
        <w:t xml:space="preserve">  </w:t>
      </w:r>
    </w:p>
    <w:p w14:paraId="28CEE228" w14:textId="77777777" w:rsidR="006C0953" w:rsidRPr="006C0953" w:rsidRDefault="006C0953" w:rsidP="006B1AAD">
      <w:pPr>
        <w:spacing w:line="240" w:lineRule="auto"/>
        <w:jc w:val="both"/>
      </w:pPr>
    </w:p>
    <w:p w14:paraId="7D4641AB" w14:textId="77777777" w:rsidR="006D3370" w:rsidRPr="0006435B" w:rsidRDefault="006D3370" w:rsidP="006B1AAD">
      <w:pPr>
        <w:pStyle w:val="ListParagraph"/>
        <w:numPr>
          <w:ilvl w:val="0"/>
          <w:numId w:val="2"/>
        </w:numPr>
        <w:spacing w:line="240" w:lineRule="auto"/>
        <w:rPr>
          <w:b/>
          <w:u w:val="single"/>
        </w:rPr>
      </w:pPr>
      <w:r w:rsidRPr="0006435B">
        <w:rPr>
          <w:b/>
          <w:u w:val="single"/>
        </w:rPr>
        <w:t>Details of Amend</w:t>
      </w:r>
      <w:r w:rsidR="00AE7993" w:rsidRPr="0006435B">
        <w:rPr>
          <w:b/>
          <w:u w:val="single"/>
        </w:rPr>
        <w:t>m</w:t>
      </w:r>
      <w:r w:rsidRPr="0006435B">
        <w:rPr>
          <w:b/>
          <w:u w:val="single"/>
        </w:rPr>
        <w:t>ents</w:t>
      </w:r>
    </w:p>
    <w:p w14:paraId="0B523F33" w14:textId="5FCF1AE5" w:rsidR="00971EFD" w:rsidRPr="00971EFD" w:rsidRDefault="00AE05AA" w:rsidP="006B1AAD">
      <w:pPr>
        <w:spacing w:line="240" w:lineRule="auto"/>
        <w:jc w:val="both"/>
        <w:rPr>
          <w:b/>
        </w:rPr>
      </w:pPr>
      <w:r>
        <w:rPr>
          <w:b/>
        </w:rPr>
        <w:lastRenderedPageBreak/>
        <w:t xml:space="preserve">[1] </w:t>
      </w:r>
      <w:r w:rsidR="00971EFD" w:rsidRPr="00971EFD">
        <w:rPr>
          <w:b/>
        </w:rPr>
        <w:t>Name</w:t>
      </w:r>
    </w:p>
    <w:p w14:paraId="6D4F4797" w14:textId="27EC2438" w:rsidR="00971EFD" w:rsidRPr="00971EFD" w:rsidRDefault="00971EFD" w:rsidP="006B1AAD">
      <w:pPr>
        <w:spacing w:line="240" w:lineRule="auto"/>
        <w:jc w:val="both"/>
      </w:pPr>
      <w:r w:rsidRPr="00971EFD">
        <w:t xml:space="preserve">The name of the rules is the </w:t>
      </w:r>
      <w:r w:rsidR="00196207" w:rsidRPr="002A2DD6">
        <w:rPr>
          <w:i/>
        </w:rPr>
        <w:t>Federal Court Amendment</w:t>
      </w:r>
      <w:r w:rsidR="00196207">
        <w:rPr>
          <w:i/>
        </w:rPr>
        <w:t xml:space="preserve"> (2025 Measures No.1)</w:t>
      </w:r>
      <w:r w:rsidR="00196207" w:rsidRPr="002A2DD6">
        <w:rPr>
          <w:i/>
        </w:rPr>
        <w:t xml:space="preserve"> Rule</w:t>
      </w:r>
      <w:r w:rsidR="00196207">
        <w:rPr>
          <w:i/>
        </w:rPr>
        <w:t>s</w:t>
      </w:r>
      <w:r w:rsidR="00196207" w:rsidRPr="002A2DD6">
        <w:rPr>
          <w:i/>
        </w:rPr>
        <w:t xml:space="preserve"> 202</w:t>
      </w:r>
      <w:r w:rsidR="00196207">
        <w:rPr>
          <w:i/>
        </w:rPr>
        <w:t>5</w:t>
      </w:r>
      <w:r w:rsidR="002A2DD6">
        <w:rPr>
          <w:i/>
        </w:rPr>
        <w:t>.</w:t>
      </w:r>
    </w:p>
    <w:p w14:paraId="157A5150" w14:textId="48CD5B7E" w:rsidR="00971EFD" w:rsidRPr="00971EFD" w:rsidRDefault="00B009C2" w:rsidP="006B1AAD">
      <w:pPr>
        <w:spacing w:line="240" w:lineRule="auto"/>
        <w:jc w:val="both"/>
        <w:rPr>
          <w:b/>
        </w:rPr>
      </w:pPr>
      <w:r>
        <w:rPr>
          <w:b/>
        </w:rPr>
        <w:t xml:space="preserve">[2] </w:t>
      </w:r>
      <w:r w:rsidR="00971EFD" w:rsidRPr="00971EFD">
        <w:rPr>
          <w:b/>
        </w:rPr>
        <w:t>Commencement</w:t>
      </w:r>
    </w:p>
    <w:p w14:paraId="108E1B72" w14:textId="1F766EB9" w:rsidR="00971EFD" w:rsidRPr="00971EFD" w:rsidRDefault="00971EFD" w:rsidP="006B1AAD">
      <w:pPr>
        <w:spacing w:line="240" w:lineRule="auto"/>
        <w:jc w:val="both"/>
      </w:pPr>
      <w:r w:rsidRPr="00971EFD">
        <w:t>The whole of the</w:t>
      </w:r>
      <w:r w:rsidR="003E1B10" w:rsidRPr="003E1B10">
        <w:rPr>
          <w:i/>
        </w:rPr>
        <w:t xml:space="preserve"> </w:t>
      </w:r>
      <w:r w:rsidR="003E1B10" w:rsidRPr="002A2DD6">
        <w:rPr>
          <w:i/>
        </w:rPr>
        <w:t>Federal Court Amendment</w:t>
      </w:r>
      <w:r w:rsidR="00114BBB">
        <w:rPr>
          <w:i/>
        </w:rPr>
        <w:t xml:space="preserve"> (2025 Measures No.1)</w:t>
      </w:r>
      <w:r w:rsidR="003E1B10" w:rsidRPr="002A2DD6">
        <w:rPr>
          <w:i/>
        </w:rPr>
        <w:t xml:space="preserve"> Rule</w:t>
      </w:r>
      <w:r w:rsidR="003E1B10">
        <w:rPr>
          <w:i/>
        </w:rPr>
        <w:t>s</w:t>
      </w:r>
      <w:r w:rsidR="003E1B10" w:rsidRPr="002A2DD6">
        <w:rPr>
          <w:i/>
        </w:rPr>
        <w:t xml:space="preserve"> 202</w:t>
      </w:r>
      <w:r w:rsidR="00DD37E8">
        <w:rPr>
          <w:i/>
        </w:rPr>
        <w:t>5</w:t>
      </w:r>
      <w:r w:rsidRPr="00971EFD">
        <w:t xml:space="preserve"> </w:t>
      </w:r>
      <w:proofErr w:type="gramStart"/>
      <w:r w:rsidRPr="00971EFD">
        <w:t>commence</w:t>
      </w:r>
      <w:proofErr w:type="gramEnd"/>
      <w:r w:rsidRPr="00971EFD">
        <w:t xml:space="preserve"> on </w:t>
      </w:r>
      <w:r>
        <w:t xml:space="preserve">the </w:t>
      </w:r>
      <w:r w:rsidR="00DD37E8">
        <w:t xml:space="preserve">fourteenth </w:t>
      </w:r>
      <w:r>
        <w:t xml:space="preserve">day after </w:t>
      </w:r>
      <w:r w:rsidR="00B45E01">
        <w:t>registration</w:t>
      </w:r>
      <w:r>
        <w:t>.</w:t>
      </w:r>
    </w:p>
    <w:p w14:paraId="36BF8C6D" w14:textId="48ACB3C4" w:rsidR="00971EFD" w:rsidRPr="00971EFD" w:rsidRDefault="00590AC5" w:rsidP="006B1AAD">
      <w:pPr>
        <w:spacing w:line="240" w:lineRule="auto"/>
        <w:jc w:val="both"/>
        <w:rPr>
          <w:b/>
        </w:rPr>
      </w:pPr>
      <w:r>
        <w:rPr>
          <w:b/>
        </w:rPr>
        <w:t>[</w:t>
      </w:r>
      <w:r w:rsidR="00971EFD" w:rsidRPr="00971EFD">
        <w:rPr>
          <w:b/>
        </w:rPr>
        <w:t>3</w:t>
      </w:r>
      <w:r w:rsidR="00D55EEC">
        <w:rPr>
          <w:b/>
        </w:rPr>
        <w:t>]</w:t>
      </w:r>
      <w:r w:rsidR="00971EFD" w:rsidRPr="00971EFD">
        <w:rPr>
          <w:b/>
        </w:rPr>
        <w:t xml:space="preserve"> Authority</w:t>
      </w:r>
    </w:p>
    <w:p w14:paraId="6D7B0B49" w14:textId="0716F8FE" w:rsidR="00971EFD" w:rsidRPr="00971EFD" w:rsidRDefault="00971EFD" w:rsidP="006B1AAD">
      <w:pPr>
        <w:spacing w:line="240" w:lineRule="auto"/>
        <w:jc w:val="both"/>
      </w:pPr>
      <w:r w:rsidRPr="00971EFD">
        <w:t>The</w:t>
      </w:r>
      <w:r w:rsidR="003E1B10" w:rsidRPr="003E1B10">
        <w:rPr>
          <w:i/>
        </w:rPr>
        <w:t xml:space="preserve"> </w:t>
      </w:r>
      <w:r w:rsidR="00114BBB" w:rsidRPr="002A2DD6">
        <w:rPr>
          <w:i/>
        </w:rPr>
        <w:t>Federal Court Amendment</w:t>
      </w:r>
      <w:r w:rsidR="00114BBB">
        <w:rPr>
          <w:i/>
        </w:rPr>
        <w:t xml:space="preserve"> (2025 Measures No.1)</w:t>
      </w:r>
      <w:r w:rsidR="00114BBB" w:rsidRPr="002A2DD6">
        <w:rPr>
          <w:i/>
        </w:rPr>
        <w:t xml:space="preserve"> Rule</w:t>
      </w:r>
      <w:r w:rsidR="00114BBB">
        <w:rPr>
          <w:i/>
        </w:rPr>
        <w:t>s</w:t>
      </w:r>
      <w:r w:rsidR="00114BBB" w:rsidRPr="002A2DD6">
        <w:rPr>
          <w:i/>
        </w:rPr>
        <w:t xml:space="preserve"> 202</w:t>
      </w:r>
      <w:r w:rsidR="00114BBB">
        <w:rPr>
          <w:i/>
        </w:rPr>
        <w:t>5</w:t>
      </w:r>
      <w:r w:rsidR="00114BBB" w:rsidRPr="00971EFD">
        <w:t xml:space="preserve"> </w:t>
      </w:r>
      <w:r w:rsidRPr="00971EFD">
        <w:t xml:space="preserve">are made under the </w:t>
      </w:r>
      <w:r>
        <w:rPr>
          <w:i/>
        </w:rPr>
        <w:t xml:space="preserve">Federal Court of Australia Act </w:t>
      </w:r>
      <w:r w:rsidR="002A2DD6">
        <w:rPr>
          <w:i/>
        </w:rPr>
        <w:t xml:space="preserve">1976 </w:t>
      </w:r>
      <w:r w:rsidRPr="00971EFD">
        <w:t>(</w:t>
      </w:r>
      <w:proofErr w:type="spellStart"/>
      <w:r w:rsidRPr="00971EFD">
        <w:t>Cth</w:t>
      </w:r>
      <w:proofErr w:type="spellEnd"/>
      <w:r w:rsidRPr="00971EFD">
        <w:t>).</w:t>
      </w:r>
    </w:p>
    <w:p w14:paraId="246CD99F" w14:textId="15FD91E0" w:rsidR="00971EFD" w:rsidRPr="00971EFD" w:rsidRDefault="00C95DBD" w:rsidP="006B1AAD">
      <w:pPr>
        <w:spacing w:line="240" w:lineRule="auto"/>
        <w:jc w:val="both"/>
        <w:rPr>
          <w:b/>
        </w:rPr>
      </w:pPr>
      <w:r>
        <w:rPr>
          <w:b/>
        </w:rPr>
        <w:t>[</w:t>
      </w:r>
      <w:r w:rsidR="00971EFD" w:rsidRPr="00971EFD">
        <w:rPr>
          <w:b/>
        </w:rPr>
        <w:t>4</w:t>
      </w:r>
      <w:r>
        <w:rPr>
          <w:b/>
        </w:rPr>
        <w:t>]</w:t>
      </w:r>
      <w:r w:rsidR="00971EFD" w:rsidRPr="00971EFD">
        <w:rPr>
          <w:b/>
        </w:rPr>
        <w:t xml:space="preserve"> Schedules</w:t>
      </w:r>
    </w:p>
    <w:p w14:paraId="2A237F1A" w14:textId="11445FAC" w:rsidR="00C04291" w:rsidRPr="00C95DBD" w:rsidRDefault="00A6727F" w:rsidP="006B1AAD">
      <w:pPr>
        <w:spacing w:line="240" w:lineRule="auto"/>
        <w:jc w:val="both"/>
        <w:rPr>
          <w:iCs/>
        </w:rPr>
      </w:pPr>
      <w:r>
        <w:rPr>
          <w:iCs/>
        </w:rPr>
        <w:t xml:space="preserve">Indicates that each instrument that is specified in a schedule to these </w:t>
      </w:r>
      <w:r w:rsidR="00114BBB" w:rsidRPr="002A2DD6">
        <w:rPr>
          <w:i/>
        </w:rPr>
        <w:t>Federal Court Amendment</w:t>
      </w:r>
      <w:r w:rsidR="00114BBB">
        <w:rPr>
          <w:i/>
        </w:rPr>
        <w:t xml:space="preserve"> (2025 Measures No.1)</w:t>
      </w:r>
      <w:r w:rsidR="00114BBB" w:rsidRPr="002A2DD6">
        <w:rPr>
          <w:i/>
        </w:rPr>
        <w:t xml:space="preserve"> Rule</w:t>
      </w:r>
      <w:r w:rsidR="00114BBB">
        <w:rPr>
          <w:i/>
        </w:rPr>
        <w:t>s</w:t>
      </w:r>
      <w:r w:rsidR="00114BBB" w:rsidRPr="002A2DD6">
        <w:rPr>
          <w:i/>
        </w:rPr>
        <w:t xml:space="preserve"> 202</w:t>
      </w:r>
      <w:r w:rsidR="00114BBB">
        <w:rPr>
          <w:i/>
        </w:rPr>
        <w:t>5</w:t>
      </w:r>
      <w:r w:rsidR="003E1B10">
        <w:rPr>
          <w:i/>
        </w:rPr>
        <w:t xml:space="preserve"> </w:t>
      </w:r>
      <w:r>
        <w:rPr>
          <w:iCs/>
        </w:rPr>
        <w:t xml:space="preserve">is amended or repealed as set out in the applicable items in the Schedule concerned, and any other item in a Schedule to these Rules has effect according to its terms.  </w:t>
      </w:r>
    </w:p>
    <w:p w14:paraId="0F8BECA6" w14:textId="77777777" w:rsidR="002475E9" w:rsidRDefault="002475E9" w:rsidP="0006435B">
      <w:pPr>
        <w:spacing w:line="240" w:lineRule="auto"/>
        <w:jc w:val="both"/>
        <w:rPr>
          <w:b/>
          <w:u w:val="single"/>
        </w:rPr>
      </w:pPr>
    </w:p>
    <w:p w14:paraId="1DEFB1AC" w14:textId="3485E416" w:rsidR="0006435B" w:rsidRDefault="0006435B" w:rsidP="0006435B">
      <w:pPr>
        <w:spacing w:line="240" w:lineRule="auto"/>
        <w:jc w:val="both"/>
        <w:rPr>
          <w:b/>
          <w:u w:val="single"/>
        </w:rPr>
      </w:pPr>
      <w:r>
        <w:rPr>
          <w:b/>
          <w:u w:val="single"/>
        </w:rPr>
        <w:t>Schedule 1 – Amendment of the Federal Court Rules 2011</w:t>
      </w:r>
    </w:p>
    <w:p w14:paraId="5D72AA32" w14:textId="4FF72686" w:rsidR="002B6536" w:rsidRDefault="002B6536" w:rsidP="0006435B">
      <w:pPr>
        <w:spacing w:line="240" w:lineRule="auto"/>
        <w:jc w:val="both"/>
        <w:rPr>
          <w:b/>
        </w:rPr>
      </w:pPr>
      <w:r>
        <w:rPr>
          <w:b/>
        </w:rPr>
        <w:t xml:space="preserve">[1] </w:t>
      </w:r>
      <w:r w:rsidR="00DD37E8">
        <w:rPr>
          <w:b/>
        </w:rPr>
        <w:t xml:space="preserve">Subrule 2.32(2) </w:t>
      </w:r>
      <w:r>
        <w:rPr>
          <w:b/>
        </w:rPr>
        <w:t xml:space="preserve"> </w:t>
      </w:r>
    </w:p>
    <w:p w14:paraId="7C0E86CB" w14:textId="45EFAC23" w:rsidR="00FE00FE" w:rsidRDefault="00DD37E8" w:rsidP="00FE00FE">
      <w:pPr>
        <w:spacing w:line="240" w:lineRule="auto"/>
        <w:jc w:val="both"/>
      </w:pPr>
      <w:r>
        <w:t xml:space="preserve">Repeals the subrule and substitutes it with </w:t>
      </w:r>
      <w:r w:rsidR="00027DAC">
        <w:t>the new rule</w:t>
      </w:r>
      <w:r>
        <w:t xml:space="preserve"> 2.32(2) and (2A)</w:t>
      </w:r>
      <w:r w:rsidR="00027DAC">
        <w:t xml:space="preserve">.  </w:t>
      </w:r>
    </w:p>
    <w:p w14:paraId="03B210EB" w14:textId="5DEAD13D" w:rsidR="002B6536" w:rsidRDefault="002B6536" w:rsidP="0006435B">
      <w:pPr>
        <w:spacing w:line="240" w:lineRule="auto"/>
        <w:jc w:val="both"/>
        <w:rPr>
          <w:b/>
        </w:rPr>
      </w:pPr>
      <w:r>
        <w:rPr>
          <w:b/>
        </w:rPr>
        <w:t xml:space="preserve">[2] </w:t>
      </w:r>
      <w:r w:rsidR="00DD37E8">
        <w:rPr>
          <w:b/>
        </w:rPr>
        <w:t>Subrule 2.32(4)</w:t>
      </w:r>
    </w:p>
    <w:p w14:paraId="579EBC75" w14:textId="1498DBD2" w:rsidR="00DD37E8" w:rsidRDefault="00DD37E8" w:rsidP="007143C2">
      <w:pPr>
        <w:spacing w:line="240" w:lineRule="auto"/>
        <w:rPr>
          <w:bCs/>
        </w:rPr>
      </w:pPr>
      <w:r>
        <w:rPr>
          <w:bCs/>
        </w:rPr>
        <w:t>Omits “A person may apply to the Court” and substitutes “Subject to subrule (3</w:t>
      </w:r>
      <w:r w:rsidR="00114BBB">
        <w:rPr>
          <w:bCs/>
        </w:rPr>
        <w:t>)</w:t>
      </w:r>
      <w:r>
        <w:rPr>
          <w:bCs/>
        </w:rPr>
        <w:t>, a person may apply to a Registrar”.</w:t>
      </w:r>
    </w:p>
    <w:p w14:paraId="386CED9D" w14:textId="637492CF" w:rsidR="00C64322" w:rsidRDefault="00C64322" w:rsidP="0006435B">
      <w:pPr>
        <w:spacing w:line="240" w:lineRule="auto"/>
        <w:jc w:val="both"/>
        <w:rPr>
          <w:b/>
        </w:rPr>
      </w:pPr>
      <w:r>
        <w:rPr>
          <w:b/>
        </w:rPr>
        <w:t xml:space="preserve">[3] </w:t>
      </w:r>
      <w:r w:rsidR="00090825">
        <w:rPr>
          <w:b/>
        </w:rPr>
        <w:t>Division 5.1 (heading)</w:t>
      </w:r>
    </w:p>
    <w:p w14:paraId="13CA5AE4" w14:textId="0C914681" w:rsidR="00090825" w:rsidRDefault="00090825" w:rsidP="0006435B">
      <w:pPr>
        <w:spacing w:line="240" w:lineRule="auto"/>
        <w:jc w:val="both"/>
      </w:pPr>
      <w:r>
        <w:t>Omits the words “Return date” and substitutes with “Attendance”.</w:t>
      </w:r>
    </w:p>
    <w:p w14:paraId="383FA8D2" w14:textId="34123AF5" w:rsidR="00C64322" w:rsidRDefault="005171B9" w:rsidP="0006435B">
      <w:pPr>
        <w:spacing w:line="240" w:lineRule="auto"/>
        <w:jc w:val="both"/>
        <w:rPr>
          <w:b/>
        </w:rPr>
      </w:pPr>
      <w:r>
        <w:rPr>
          <w:b/>
        </w:rPr>
        <w:t xml:space="preserve">[4] </w:t>
      </w:r>
      <w:r w:rsidR="00090825">
        <w:rPr>
          <w:b/>
        </w:rPr>
        <w:t>Rule 5.01</w:t>
      </w:r>
    </w:p>
    <w:p w14:paraId="2B8738F8" w14:textId="77777777" w:rsidR="006C0953" w:rsidRDefault="00CA36E4" w:rsidP="0006435B">
      <w:pPr>
        <w:spacing w:line="240" w:lineRule="auto"/>
        <w:jc w:val="both"/>
      </w:pPr>
      <w:r>
        <w:t xml:space="preserve">Repeals the </w:t>
      </w:r>
      <w:r w:rsidR="00090825">
        <w:t>rule and substitutes with the new rule 5.01</w:t>
      </w:r>
      <w:r w:rsidR="0091133C">
        <w:t xml:space="preserve">.  </w:t>
      </w:r>
    </w:p>
    <w:p w14:paraId="1EF38367" w14:textId="7D3669D6" w:rsidR="005171B9" w:rsidRPr="008E0AB3" w:rsidRDefault="00956748" w:rsidP="0006435B">
      <w:pPr>
        <w:spacing w:line="240" w:lineRule="auto"/>
        <w:jc w:val="both"/>
      </w:pPr>
      <w:r>
        <w:rPr>
          <w:b/>
        </w:rPr>
        <w:t xml:space="preserve">[5] </w:t>
      </w:r>
      <w:r w:rsidR="00090825">
        <w:rPr>
          <w:b/>
        </w:rPr>
        <w:t>Rule 5.02 (heading)</w:t>
      </w:r>
    </w:p>
    <w:p w14:paraId="00C68B9A" w14:textId="327A4028" w:rsidR="00956748" w:rsidRDefault="00090825" w:rsidP="0006435B">
      <w:pPr>
        <w:spacing w:line="240" w:lineRule="auto"/>
        <w:jc w:val="both"/>
      </w:pPr>
      <w:r>
        <w:t>Omits the words “before return date”.</w:t>
      </w:r>
      <w:r w:rsidR="00956748">
        <w:t xml:space="preserve"> </w:t>
      </w:r>
    </w:p>
    <w:p w14:paraId="43DADF51" w14:textId="7E4A9415" w:rsidR="008B5561" w:rsidRDefault="008B5561" w:rsidP="0006435B">
      <w:pPr>
        <w:spacing w:line="240" w:lineRule="auto"/>
        <w:jc w:val="both"/>
        <w:rPr>
          <w:b/>
        </w:rPr>
      </w:pPr>
      <w:r>
        <w:rPr>
          <w:b/>
        </w:rPr>
        <w:t xml:space="preserve">[6] </w:t>
      </w:r>
      <w:r w:rsidR="00090825">
        <w:rPr>
          <w:b/>
        </w:rPr>
        <w:t>Rule 5.02</w:t>
      </w:r>
      <w:r>
        <w:rPr>
          <w:b/>
        </w:rPr>
        <w:t xml:space="preserve"> </w:t>
      </w:r>
    </w:p>
    <w:p w14:paraId="03A3DD8B" w14:textId="6D7DCD33" w:rsidR="00CA36E4" w:rsidRDefault="00090825" w:rsidP="0006435B">
      <w:pPr>
        <w:spacing w:line="240" w:lineRule="auto"/>
        <w:jc w:val="both"/>
      </w:pPr>
      <w:r w:rsidRPr="00090825">
        <w:t>Omit</w:t>
      </w:r>
      <w:r>
        <w:t>s the words</w:t>
      </w:r>
      <w:r w:rsidRPr="00090825">
        <w:t xml:space="preserve"> “return date fixed in the originating application”, </w:t>
      </w:r>
      <w:r>
        <w:t xml:space="preserve">and </w:t>
      </w:r>
      <w:r w:rsidRPr="00090825">
        <w:t xml:space="preserve">substitute </w:t>
      </w:r>
      <w:r>
        <w:t xml:space="preserve">with </w:t>
      </w:r>
      <w:r w:rsidRPr="00090825">
        <w:t>“first directions hearing or the hearing, whichever is the earlier”.</w:t>
      </w:r>
    </w:p>
    <w:p w14:paraId="10016C35" w14:textId="1631FE17" w:rsidR="00090825" w:rsidRPr="00090825" w:rsidRDefault="003F5E33" w:rsidP="00090825">
      <w:pPr>
        <w:spacing w:line="240" w:lineRule="auto"/>
        <w:jc w:val="both"/>
        <w:rPr>
          <w:b/>
        </w:rPr>
      </w:pPr>
      <w:r>
        <w:rPr>
          <w:b/>
        </w:rPr>
        <w:t>[7]</w:t>
      </w:r>
      <w:r w:rsidR="00090825" w:rsidRPr="00090825">
        <w:rPr>
          <w:rFonts w:cs="Times New Roman"/>
          <w:color w:val="000000"/>
          <w:szCs w:val="24"/>
        </w:rPr>
        <w:t xml:space="preserve"> </w:t>
      </w:r>
      <w:r w:rsidR="00090825" w:rsidRPr="00090825">
        <w:rPr>
          <w:b/>
        </w:rPr>
        <w:t xml:space="preserve">Subrule 5.03(1) </w:t>
      </w:r>
    </w:p>
    <w:p w14:paraId="1DFC17B0" w14:textId="37D93C30" w:rsidR="003F5E33" w:rsidRPr="00090825" w:rsidRDefault="00090825" w:rsidP="00090825">
      <w:pPr>
        <w:spacing w:line="240" w:lineRule="auto"/>
        <w:jc w:val="both"/>
        <w:rPr>
          <w:bCs/>
        </w:rPr>
      </w:pPr>
      <w:r w:rsidRPr="00090825">
        <w:rPr>
          <w:bCs/>
        </w:rPr>
        <w:t xml:space="preserve">Omits the words “return date fixed in the originating application”, substitutes with “first directions hearing or the hearing, whichever is the earlier”. </w:t>
      </w:r>
      <w:r w:rsidR="007A2511" w:rsidRPr="00090825">
        <w:rPr>
          <w:bCs/>
        </w:rPr>
        <w:t xml:space="preserve"> </w:t>
      </w:r>
    </w:p>
    <w:p w14:paraId="25CAE463" w14:textId="608D63BD" w:rsidR="00090825" w:rsidRPr="00090825" w:rsidRDefault="007B0BBD" w:rsidP="00090825">
      <w:pPr>
        <w:spacing w:line="240" w:lineRule="auto"/>
        <w:jc w:val="both"/>
      </w:pPr>
      <w:r>
        <w:rPr>
          <w:b/>
        </w:rPr>
        <w:t xml:space="preserve">[8] </w:t>
      </w:r>
      <w:r w:rsidR="00090825" w:rsidRPr="00090825">
        <w:rPr>
          <w:b/>
          <w:bCs/>
        </w:rPr>
        <w:t xml:space="preserve">Subrule 5.04(2) </w:t>
      </w:r>
    </w:p>
    <w:p w14:paraId="334424CD" w14:textId="0B1A186E" w:rsidR="00090825" w:rsidRDefault="00090825" w:rsidP="00090825">
      <w:pPr>
        <w:spacing w:line="240" w:lineRule="auto"/>
        <w:jc w:val="both"/>
      </w:pPr>
      <w:r>
        <w:lastRenderedPageBreak/>
        <w:t>This</w:t>
      </w:r>
      <w:r w:rsidRPr="00090825">
        <w:t xml:space="preserve"> subrule</w:t>
      </w:r>
      <w:r>
        <w:t xml:space="preserve"> is repealed</w:t>
      </w:r>
      <w:r w:rsidRPr="00090825">
        <w:t>.</w:t>
      </w:r>
    </w:p>
    <w:p w14:paraId="4FC8EB89" w14:textId="0FCBB5C2" w:rsidR="00DC74DE" w:rsidRDefault="00DC74DE" w:rsidP="0006435B">
      <w:pPr>
        <w:spacing w:line="240" w:lineRule="auto"/>
        <w:jc w:val="both"/>
        <w:rPr>
          <w:b/>
        </w:rPr>
      </w:pPr>
      <w:r>
        <w:rPr>
          <w:b/>
        </w:rPr>
        <w:t>[9]</w:t>
      </w:r>
      <w:r w:rsidR="00090825" w:rsidRPr="00090825">
        <w:rPr>
          <w:rFonts w:ascii="Arial" w:hAnsi="Arial" w:cs="Arial"/>
          <w:b/>
          <w:bCs/>
          <w:color w:val="000000"/>
          <w:sz w:val="23"/>
          <w:szCs w:val="23"/>
        </w:rPr>
        <w:t xml:space="preserve"> </w:t>
      </w:r>
      <w:r w:rsidR="00090825" w:rsidRPr="00090825">
        <w:rPr>
          <w:b/>
          <w:bCs/>
        </w:rPr>
        <w:t xml:space="preserve">Rule 5.06 </w:t>
      </w:r>
      <w:r w:rsidR="00090825" w:rsidRPr="00090825">
        <w:rPr>
          <w:rFonts w:ascii="Arial" w:hAnsi="Arial" w:cs="Arial"/>
          <w:b/>
          <w:bCs/>
          <w:color w:val="000000"/>
          <w:sz w:val="23"/>
          <w:szCs w:val="23"/>
        </w:rPr>
        <w:t xml:space="preserve"> </w:t>
      </w:r>
    </w:p>
    <w:p w14:paraId="2DCB6062" w14:textId="45D41B04" w:rsidR="007A2511" w:rsidRDefault="00090825" w:rsidP="0006435B">
      <w:pPr>
        <w:spacing w:line="240" w:lineRule="auto"/>
        <w:jc w:val="both"/>
      </w:pPr>
      <w:r>
        <w:t>This rule is repealed.</w:t>
      </w:r>
    </w:p>
    <w:p w14:paraId="6D5E7014" w14:textId="419A95E5" w:rsidR="004C15D6" w:rsidRDefault="004C15D6" w:rsidP="0006435B">
      <w:pPr>
        <w:spacing w:line="240" w:lineRule="auto"/>
        <w:jc w:val="both"/>
        <w:rPr>
          <w:b/>
        </w:rPr>
      </w:pPr>
      <w:r>
        <w:rPr>
          <w:b/>
        </w:rPr>
        <w:t xml:space="preserve">[10] </w:t>
      </w:r>
      <w:r w:rsidR="00090825" w:rsidRPr="00090825">
        <w:rPr>
          <w:b/>
          <w:bCs/>
        </w:rPr>
        <w:t>Rule 8.06</w:t>
      </w:r>
    </w:p>
    <w:p w14:paraId="31EE91FA" w14:textId="2C2EF696" w:rsidR="00090825" w:rsidRDefault="00090825" w:rsidP="0006435B">
      <w:pPr>
        <w:spacing w:line="240" w:lineRule="auto"/>
        <w:jc w:val="both"/>
      </w:pPr>
      <w:r w:rsidRPr="00090825">
        <w:t>Omit</w:t>
      </w:r>
      <w:r>
        <w:t>s the words</w:t>
      </w:r>
      <w:r w:rsidRPr="00090825">
        <w:t xml:space="preserve"> “return date fixed in an originating application,”, </w:t>
      </w:r>
      <w:r>
        <w:t xml:space="preserve">and </w:t>
      </w:r>
      <w:r w:rsidRPr="00090825">
        <w:t>substitute</w:t>
      </w:r>
      <w:r>
        <w:t>s with</w:t>
      </w:r>
      <w:r w:rsidRPr="00090825">
        <w:t xml:space="preserve"> “first directions hearing or the hearing, whichever is the earlier,”.</w:t>
      </w:r>
    </w:p>
    <w:p w14:paraId="72EB9D95" w14:textId="11B81393" w:rsidR="0073673C" w:rsidRDefault="00763741" w:rsidP="0006435B">
      <w:pPr>
        <w:spacing w:line="240" w:lineRule="auto"/>
        <w:jc w:val="both"/>
        <w:rPr>
          <w:b/>
        </w:rPr>
      </w:pPr>
      <w:r>
        <w:rPr>
          <w:b/>
        </w:rPr>
        <w:t>[1</w:t>
      </w:r>
      <w:r w:rsidR="00E45C47">
        <w:rPr>
          <w:b/>
        </w:rPr>
        <w:t>1</w:t>
      </w:r>
      <w:r>
        <w:rPr>
          <w:b/>
        </w:rPr>
        <w:t xml:space="preserve">] </w:t>
      </w:r>
      <w:r w:rsidR="00090825" w:rsidRPr="00090825">
        <w:rPr>
          <w:b/>
          <w:bCs/>
        </w:rPr>
        <w:t>Rule 8.06 (note 3)</w:t>
      </w:r>
    </w:p>
    <w:p w14:paraId="1F1FD386" w14:textId="4F56199A" w:rsidR="00090825" w:rsidRDefault="00090825" w:rsidP="00E50D1E">
      <w:pPr>
        <w:spacing w:line="240" w:lineRule="auto"/>
        <w:jc w:val="both"/>
      </w:pPr>
      <w:r w:rsidRPr="00090825">
        <w:t>Omit</w:t>
      </w:r>
      <w:r>
        <w:t>s the words</w:t>
      </w:r>
      <w:r w:rsidRPr="00090825">
        <w:t xml:space="preserve"> “This will provide time for steps required under practice notes issued by the Chief Justice to be undertaken before the return date.”.</w:t>
      </w:r>
    </w:p>
    <w:p w14:paraId="40BE364C" w14:textId="01EDB669" w:rsidR="00E50D1E" w:rsidRDefault="00E50D1E" w:rsidP="00E50D1E">
      <w:pPr>
        <w:spacing w:line="240" w:lineRule="auto"/>
        <w:jc w:val="both"/>
        <w:rPr>
          <w:b/>
        </w:rPr>
      </w:pPr>
      <w:r>
        <w:rPr>
          <w:b/>
        </w:rPr>
        <w:t>[1</w:t>
      </w:r>
      <w:r w:rsidR="00D11AA1">
        <w:rPr>
          <w:b/>
        </w:rPr>
        <w:t>2</w:t>
      </w:r>
      <w:r>
        <w:rPr>
          <w:b/>
        </w:rPr>
        <w:t xml:space="preserve">] </w:t>
      </w:r>
      <w:r w:rsidR="00090825" w:rsidRPr="00090825">
        <w:rPr>
          <w:b/>
          <w:bCs/>
        </w:rPr>
        <w:t>Paragraph 10.43C(1)(a)</w:t>
      </w:r>
    </w:p>
    <w:p w14:paraId="5806A653" w14:textId="4A48BEF2" w:rsidR="00AF5999" w:rsidRPr="001C6F44" w:rsidRDefault="00090825" w:rsidP="00090825">
      <w:pPr>
        <w:spacing w:line="240" w:lineRule="auto"/>
        <w:jc w:val="both"/>
      </w:pPr>
      <w:r w:rsidRPr="00090825">
        <w:t>Repeal</w:t>
      </w:r>
      <w:r w:rsidR="00383A7E">
        <w:t>s</w:t>
      </w:r>
      <w:r w:rsidRPr="00090825">
        <w:t xml:space="preserve"> the paragraph,</w:t>
      </w:r>
      <w:r w:rsidR="00383A7E">
        <w:t xml:space="preserve"> and</w:t>
      </w:r>
      <w:r w:rsidRPr="00090825">
        <w:t xml:space="preserve"> substitute</w:t>
      </w:r>
      <w:r w:rsidR="00383A7E">
        <w:t>s with</w:t>
      </w:r>
      <w:r>
        <w:t xml:space="preserve"> “</w:t>
      </w:r>
      <w:r w:rsidRPr="00090825">
        <w:t>(a) the first directions hearing; and</w:t>
      </w:r>
      <w:r>
        <w:t>”.</w:t>
      </w:r>
    </w:p>
    <w:p w14:paraId="433C2EA4" w14:textId="6B6D5E1B" w:rsidR="005C1D4C" w:rsidRDefault="005C1D4C" w:rsidP="0006435B">
      <w:pPr>
        <w:spacing w:line="240" w:lineRule="auto"/>
        <w:jc w:val="both"/>
        <w:rPr>
          <w:b/>
        </w:rPr>
      </w:pPr>
      <w:r w:rsidRPr="00415F58">
        <w:rPr>
          <w:b/>
        </w:rPr>
        <w:t>[1</w:t>
      </w:r>
      <w:r w:rsidR="001C6F44">
        <w:rPr>
          <w:b/>
        </w:rPr>
        <w:t>3</w:t>
      </w:r>
      <w:r w:rsidRPr="00415F58">
        <w:rPr>
          <w:b/>
        </w:rPr>
        <w:t xml:space="preserve">] </w:t>
      </w:r>
      <w:r w:rsidR="00090825" w:rsidRPr="00090825">
        <w:rPr>
          <w:b/>
        </w:rPr>
        <w:t>Rule 11.06</w:t>
      </w:r>
    </w:p>
    <w:p w14:paraId="118BA250" w14:textId="77777777" w:rsidR="00090825" w:rsidRDefault="00090825" w:rsidP="0006435B">
      <w:pPr>
        <w:spacing w:line="240" w:lineRule="auto"/>
        <w:jc w:val="both"/>
        <w:rPr>
          <w:bCs/>
        </w:rPr>
      </w:pPr>
      <w:r w:rsidRPr="00090825">
        <w:rPr>
          <w:bCs/>
        </w:rPr>
        <w:t>Omit</w:t>
      </w:r>
      <w:r>
        <w:rPr>
          <w:bCs/>
        </w:rPr>
        <w:t>s the words</w:t>
      </w:r>
      <w:r w:rsidRPr="00090825">
        <w:rPr>
          <w:bCs/>
        </w:rPr>
        <w:t xml:space="preserve"> “before the return date fixed in the originating application”, </w:t>
      </w:r>
      <w:r>
        <w:rPr>
          <w:bCs/>
        </w:rPr>
        <w:t xml:space="preserve">and </w:t>
      </w:r>
      <w:r w:rsidRPr="00090825">
        <w:rPr>
          <w:bCs/>
        </w:rPr>
        <w:t>substitute</w:t>
      </w:r>
      <w:r>
        <w:rPr>
          <w:bCs/>
        </w:rPr>
        <w:t>s with</w:t>
      </w:r>
      <w:r w:rsidRPr="00090825">
        <w:rPr>
          <w:bCs/>
        </w:rPr>
        <w:t xml:space="preserve"> “within the time required by rule 5.02”. </w:t>
      </w:r>
    </w:p>
    <w:p w14:paraId="186EF47D" w14:textId="741C96F3" w:rsidR="005C1D4C" w:rsidRDefault="005C1D4C" w:rsidP="0006435B">
      <w:pPr>
        <w:spacing w:line="240" w:lineRule="auto"/>
        <w:jc w:val="both"/>
        <w:rPr>
          <w:b/>
        </w:rPr>
      </w:pPr>
      <w:r w:rsidRPr="004B6E47">
        <w:rPr>
          <w:b/>
        </w:rPr>
        <w:t>[1</w:t>
      </w:r>
      <w:r w:rsidR="00AE7857">
        <w:rPr>
          <w:b/>
        </w:rPr>
        <w:t>4</w:t>
      </w:r>
      <w:r w:rsidRPr="004B6E47">
        <w:rPr>
          <w:b/>
        </w:rPr>
        <w:t xml:space="preserve">] </w:t>
      </w:r>
      <w:r w:rsidR="00090825" w:rsidRPr="00090825">
        <w:rPr>
          <w:b/>
          <w:bCs/>
        </w:rPr>
        <w:t>Subparagraph 26.12(2)(a)(i)</w:t>
      </w:r>
    </w:p>
    <w:p w14:paraId="466259D5" w14:textId="77777777" w:rsidR="00090825" w:rsidRDefault="00090825" w:rsidP="004B6E47">
      <w:pPr>
        <w:spacing w:line="240" w:lineRule="auto"/>
        <w:jc w:val="both"/>
      </w:pPr>
      <w:r w:rsidRPr="00090825">
        <w:t>Omit</w:t>
      </w:r>
      <w:r>
        <w:t xml:space="preserve">s the words </w:t>
      </w:r>
      <w:r w:rsidRPr="00090825">
        <w:t xml:space="preserve">“return date fixed in the originating application”, </w:t>
      </w:r>
      <w:r>
        <w:t xml:space="preserve">and </w:t>
      </w:r>
      <w:r w:rsidRPr="00090825">
        <w:t>substitute</w:t>
      </w:r>
      <w:r>
        <w:t>s with</w:t>
      </w:r>
      <w:r w:rsidRPr="00090825">
        <w:t xml:space="preserve"> “earlier of the first directions hearing and the hearing”. </w:t>
      </w:r>
    </w:p>
    <w:p w14:paraId="1B40DD91" w14:textId="461D1CB1" w:rsidR="00090825" w:rsidRPr="00090825" w:rsidRDefault="00D40E0B" w:rsidP="00090825">
      <w:pPr>
        <w:spacing w:line="240" w:lineRule="auto"/>
        <w:jc w:val="both"/>
        <w:rPr>
          <w:b/>
          <w:bCs/>
        </w:rPr>
      </w:pPr>
      <w:r w:rsidRPr="00D40E0B">
        <w:rPr>
          <w:b/>
          <w:bCs/>
        </w:rPr>
        <w:t xml:space="preserve">[15] </w:t>
      </w:r>
      <w:r w:rsidR="00090825" w:rsidRPr="00090825">
        <w:rPr>
          <w:b/>
          <w:bCs/>
        </w:rPr>
        <w:t xml:space="preserve">Rule 39.04 </w:t>
      </w:r>
    </w:p>
    <w:p w14:paraId="00C54F7D" w14:textId="0FF491D0" w:rsidR="000F7199" w:rsidRPr="00090825" w:rsidRDefault="00090825" w:rsidP="00090825">
      <w:pPr>
        <w:spacing w:line="240" w:lineRule="auto"/>
        <w:jc w:val="both"/>
      </w:pPr>
      <w:r>
        <w:t xml:space="preserve">The amendment </w:t>
      </w:r>
      <w:r w:rsidRPr="00090825">
        <w:t>insert</w:t>
      </w:r>
      <w:r>
        <w:t>s</w:t>
      </w:r>
      <w:r w:rsidRPr="00090825">
        <w:t xml:space="preserve"> “(1)”</w:t>
      </w:r>
      <w:r>
        <w:t xml:space="preserve"> before </w:t>
      </w:r>
      <w:r w:rsidRPr="00090825">
        <w:t>“The Court”</w:t>
      </w:r>
      <w:r w:rsidR="00383A7E">
        <w:t>.</w:t>
      </w:r>
    </w:p>
    <w:p w14:paraId="2AE48D9B" w14:textId="0873494F" w:rsidR="00BE1F4D" w:rsidRPr="00BE1F4D" w:rsidRDefault="00BE1F4D" w:rsidP="004B6E47">
      <w:pPr>
        <w:spacing w:line="240" w:lineRule="auto"/>
        <w:jc w:val="both"/>
        <w:rPr>
          <w:b/>
          <w:bCs/>
        </w:rPr>
      </w:pPr>
      <w:r w:rsidRPr="00BE1F4D">
        <w:rPr>
          <w:b/>
          <w:bCs/>
        </w:rPr>
        <w:t xml:space="preserve">[16] </w:t>
      </w:r>
      <w:r w:rsidR="00090825" w:rsidRPr="00090825">
        <w:rPr>
          <w:b/>
          <w:bCs/>
        </w:rPr>
        <w:t>At the end of rule 39.04</w:t>
      </w:r>
    </w:p>
    <w:p w14:paraId="7BE216B5" w14:textId="6D5E3062" w:rsidR="00BE1F4D" w:rsidRPr="00193354" w:rsidRDefault="002E6CCD" w:rsidP="004B6E47">
      <w:pPr>
        <w:spacing w:line="240" w:lineRule="auto"/>
        <w:jc w:val="both"/>
      </w:pPr>
      <w:r>
        <w:t>This amendment adds</w:t>
      </w:r>
      <w:r w:rsidR="00090825">
        <w:t xml:space="preserve"> subrules (2), (3), (4) and (5)</w:t>
      </w:r>
      <w:r>
        <w:t xml:space="preserve"> </w:t>
      </w:r>
      <w:r w:rsidR="00090825">
        <w:t xml:space="preserve">to the rule.  The subrules </w:t>
      </w:r>
      <w:r w:rsidR="00B42276">
        <w:t>clarifies the way in which the Court may vary or set aside a judgment before it is entered.</w:t>
      </w:r>
    </w:p>
    <w:p w14:paraId="02F819BD" w14:textId="5F087F48" w:rsidR="00661AFD" w:rsidRDefault="00661AFD" w:rsidP="0006435B">
      <w:pPr>
        <w:spacing w:line="240" w:lineRule="auto"/>
        <w:jc w:val="both"/>
        <w:rPr>
          <w:b/>
        </w:rPr>
      </w:pPr>
      <w:r>
        <w:rPr>
          <w:b/>
        </w:rPr>
        <w:t xml:space="preserve">[17] </w:t>
      </w:r>
      <w:r w:rsidR="00B42276" w:rsidRPr="00B42276">
        <w:rPr>
          <w:b/>
        </w:rPr>
        <w:t>Subrule 39.32(3)</w:t>
      </w:r>
    </w:p>
    <w:p w14:paraId="533053D7" w14:textId="5300CD37" w:rsidR="00077751" w:rsidRDefault="004B6E47" w:rsidP="00B42276">
      <w:pPr>
        <w:spacing w:line="240" w:lineRule="auto"/>
        <w:jc w:val="both"/>
      </w:pPr>
      <w:r>
        <w:t>Th</w:t>
      </w:r>
      <w:r w:rsidR="00AB78FC">
        <w:t>is amendment</w:t>
      </w:r>
      <w:r w:rsidR="00B42276" w:rsidRPr="00B42276">
        <w:rPr>
          <w:rFonts w:cs="Times New Roman"/>
          <w:color w:val="000000"/>
          <w:sz w:val="22"/>
        </w:rPr>
        <w:t xml:space="preserve"> </w:t>
      </w:r>
      <w:r w:rsidR="006C0953">
        <w:t>o</w:t>
      </w:r>
      <w:r w:rsidR="006C0953" w:rsidRPr="00B42276">
        <w:t>mits</w:t>
      </w:r>
      <w:r w:rsidR="00B42276">
        <w:t xml:space="preserve"> the words</w:t>
      </w:r>
      <w:r w:rsidR="00B42276" w:rsidRPr="00B42276">
        <w:t xml:space="preserve"> “the 14th day after”</w:t>
      </w:r>
      <w:r w:rsidR="00114BBB">
        <w:t>, thereby removing the reference to a specific number of days after authentication before which a judgment or order is taken to be entered.</w:t>
      </w:r>
    </w:p>
    <w:p w14:paraId="02B3DB4D" w14:textId="69D32B83" w:rsidR="00B42276" w:rsidRPr="00B42276" w:rsidRDefault="00B42276" w:rsidP="00B42276">
      <w:pPr>
        <w:spacing w:line="240" w:lineRule="auto"/>
        <w:jc w:val="both"/>
        <w:rPr>
          <w:b/>
          <w:bCs/>
        </w:rPr>
      </w:pPr>
      <w:r>
        <w:rPr>
          <w:b/>
          <w:bCs/>
        </w:rPr>
        <w:t>[</w:t>
      </w:r>
      <w:r w:rsidRPr="00B42276">
        <w:rPr>
          <w:b/>
          <w:bCs/>
        </w:rPr>
        <w:t>18</w:t>
      </w:r>
      <w:r>
        <w:rPr>
          <w:b/>
          <w:bCs/>
        </w:rPr>
        <w:t>]</w:t>
      </w:r>
      <w:r w:rsidRPr="00B42276">
        <w:rPr>
          <w:b/>
          <w:bCs/>
        </w:rPr>
        <w:t xml:space="preserve"> In the appropriate position in Part 43 </w:t>
      </w:r>
    </w:p>
    <w:p w14:paraId="25300069" w14:textId="088A2F3F" w:rsidR="00B42276" w:rsidRDefault="00383A7E" w:rsidP="00B42276">
      <w:pPr>
        <w:spacing w:line="240" w:lineRule="auto"/>
        <w:jc w:val="both"/>
      </w:pPr>
      <w:r>
        <w:t>The amendment i</w:t>
      </w:r>
      <w:r w:rsidR="00B42276" w:rsidRPr="00B42276">
        <w:t>nsert</w:t>
      </w:r>
      <w:r>
        <w:t>s</w:t>
      </w:r>
      <w:r w:rsidR="00B42276">
        <w:t xml:space="preserve"> “</w:t>
      </w:r>
      <w:r w:rsidR="00B42276" w:rsidRPr="00B42276">
        <w:t>Division 43.1—Transitional provisions relating to the Federal Court Amendment (2025 Measures No. 1) Rules 2025</w:t>
      </w:r>
      <w:r w:rsidR="00B42276">
        <w:t>”</w:t>
      </w:r>
      <w:r>
        <w:t>, and</w:t>
      </w:r>
      <w:r w:rsidR="00B42276">
        <w:t xml:space="preserve"> rules 43.01 and 43.02 which define and outline the application of the amendments.</w:t>
      </w:r>
    </w:p>
    <w:p w14:paraId="2E90FE71" w14:textId="77777777" w:rsidR="00B42276" w:rsidRDefault="00B42276" w:rsidP="00B42276">
      <w:pPr>
        <w:spacing w:line="240" w:lineRule="auto"/>
        <w:jc w:val="both"/>
      </w:pPr>
      <w:r>
        <w:rPr>
          <w:b/>
          <w:bCs/>
        </w:rPr>
        <w:t xml:space="preserve">[19] </w:t>
      </w:r>
      <w:r w:rsidRPr="00B42276">
        <w:rPr>
          <w:b/>
          <w:bCs/>
        </w:rPr>
        <w:t xml:space="preserve">Part 3.7 of Schedule 2 (table items 104 and 112) </w:t>
      </w:r>
    </w:p>
    <w:p w14:paraId="6D3D3657" w14:textId="0DF8A920" w:rsidR="00B42276" w:rsidRDefault="00B42276" w:rsidP="00B42276">
      <w:pPr>
        <w:spacing w:line="240" w:lineRule="auto"/>
        <w:jc w:val="both"/>
      </w:pPr>
      <w:r>
        <w:t xml:space="preserve">This amendment repeals the </w:t>
      </w:r>
      <w:r w:rsidRPr="00B42276">
        <w:t>items.</w:t>
      </w:r>
    </w:p>
    <w:p w14:paraId="5A797F9B" w14:textId="11453311" w:rsidR="00B42276" w:rsidRPr="00B42276" w:rsidRDefault="00B42276" w:rsidP="00B42276">
      <w:pPr>
        <w:spacing w:line="240" w:lineRule="auto"/>
        <w:jc w:val="both"/>
        <w:rPr>
          <w:b/>
        </w:rPr>
      </w:pPr>
      <w:r w:rsidRPr="00B42276">
        <w:rPr>
          <w:b/>
          <w:bCs/>
        </w:rPr>
        <w:t xml:space="preserve">[20] Part 3.7 of Schedule 2 (table item 215, column headed “Provision”) </w:t>
      </w:r>
    </w:p>
    <w:p w14:paraId="54629780" w14:textId="44ECA941" w:rsidR="00B42276" w:rsidRDefault="00B42276" w:rsidP="00B42276">
      <w:pPr>
        <w:spacing w:line="240" w:lineRule="auto"/>
        <w:jc w:val="both"/>
        <w:rPr>
          <w:bCs/>
        </w:rPr>
      </w:pPr>
      <w:r>
        <w:rPr>
          <w:bCs/>
        </w:rPr>
        <w:lastRenderedPageBreak/>
        <w:t>This amendment o</w:t>
      </w:r>
      <w:r w:rsidRPr="00B42276">
        <w:rPr>
          <w:bCs/>
        </w:rPr>
        <w:t>mit</w:t>
      </w:r>
      <w:r>
        <w:rPr>
          <w:bCs/>
        </w:rPr>
        <w:t>s</w:t>
      </w:r>
      <w:r w:rsidRPr="00B42276">
        <w:rPr>
          <w:bCs/>
        </w:rPr>
        <w:t xml:space="preserve"> “Rule 39.04”, </w:t>
      </w:r>
      <w:r>
        <w:rPr>
          <w:bCs/>
        </w:rPr>
        <w:t xml:space="preserve">and </w:t>
      </w:r>
      <w:r w:rsidRPr="00B42276">
        <w:rPr>
          <w:bCs/>
        </w:rPr>
        <w:t>substitute</w:t>
      </w:r>
      <w:r w:rsidR="00383A7E">
        <w:rPr>
          <w:bCs/>
        </w:rPr>
        <w:t>s with</w:t>
      </w:r>
      <w:r w:rsidRPr="00B42276">
        <w:rPr>
          <w:bCs/>
        </w:rPr>
        <w:t xml:space="preserve"> “Subrule 39.04(1)”.</w:t>
      </w:r>
    </w:p>
    <w:p w14:paraId="60344307" w14:textId="60ED0182" w:rsidR="00B42276" w:rsidRDefault="00B42276" w:rsidP="00B42276">
      <w:pPr>
        <w:spacing w:line="240" w:lineRule="auto"/>
        <w:jc w:val="both"/>
        <w:rPr>
          <w:b/>
          <w:bCs/>
        </w:rPr>
      </w:pPr>
      <w:r>
        <w:rPr>
          <w:b/>
          <w:bCs/>
        </w:rPr>
        <w:t>[</w:t>
      </w:r>
      <w:r w:rsidRPr="00B42276">
        <w:rPr>
          <w:b/>
          <w:bCs/>
        </w:rPr>
        <w:t>21</w:t>
      </w:r>
      <w:r>
        <w:rPr>
          <w:b/>
          <w:bCs/>
        </w:rPr>
        <w:t>]</w:t>
      </w:r>
      <w:r w:rsidRPr="00B42276">
        <w:rPr>
          <w:b/>
          <w:bCs/>
        </w:rPr>
        <w:t xml:space="preserve"> Item 1A of Schedule 3</w:t>
      </w:r>
    </w:p>
    <w:p w14:paraId="15C06208" w14:textId="656E6485" w:rsidR="00B42276" w:rsidRDefault="00B42276" w:rsidP="00B42276">
      <w:pPr>
        <w:spacing w:line="240" w:lineRule="auto"/>
        <w:jc w:val="both"/>
      </w:pPr>
      <w:r w:rsidRPr="00B42276">
        <w:t xml:space="preserve">This amendment repeals the item and substitutes it with </w:t>
      </w:r>
      <w:r>
        <w:t xml:space="preserve">an updated subrule which refers to </w:t>
      </w:r>
      <w:r w:rsidRPr="00B42276">
        <w:rPr>
          <w:i/>
          <w:iCs/>
        </w:rPr>
        <w:t>Federal Court Amendment (2025 Measures No. 1) Rules 2025</w:t>
      </w:r>
      <w:r>
        <w:t>.</w:t>
      </w:r>
    </w:p>
    <w:p w14:paraId="16483862" w14:textId="0E26FAAC" w:rsidR="00B42276" w:rsidRDefault="00B42276" w:rsidP="00B42276">
      <w:pPr>
        <w:spacing w:line="240" w:lineRule="auto"/>
        <w:jc w:val="both"/>
        <w:rPr>
          <w:b/>
          <w:bCs/>
        </w:rPr>
      </w:pPr>
      <w:r>
        <w:rPr>
          <w:b/>
          <w:bCs/>
        </w:rPr>
        <w:t xml:space="preserve">[22] </w:t>
      </w:r>
      <w:r w:rsidRPr="00B42276">
        <w:rPr>
          <w:b/>
          <w:bCs/>
        </w:rPr>
        <w:t>Amendments of listed provisions—Schedule 3</w:t>
      </w:r>
    </w:p>
    <w:p w14:paraId="453E60EC" w14:textId="7B5C1F3A" w:rsidR="00B42276" w:rsidRPr="00B42276" w:rsidRDefault="00B42276" w:rsidP="00B42276">
      <w:pPr>
        <w:spacing w:line="240" w:lineRule="auto"/>
        <w:jc w:val="both"/>
      </w:pPr>
      <w:r w:rsidRPr="00B42276">
        <w:t>The provisions of Schedule 3 are amended as listed in the table set out in this amendment.</w:t>
      </w:r>
    </w:p>
    <w:p w14:paraId="7FA17198" w14:textId="1D898AFC" w:rsidR="00754224" w:rsidRPr="00754224" w:rsidRDefault="00754224" w:rsidP="00E50D1E">
      <w:pPr>
        <w:pStyle w:val="Item"/>
        <w:spacing w:before="0" w:after="200"/>
        <w:ind w:left="0"/>
        <w:jc w:val="both"/>
        <w:rPr>
          <w:sz w:val="24"/>
          <w:szCs w:val="24"/>
        </w:rPr>
      </w:pPr>
    </w:p>
    <w:p w14:paraId="433C7B44" w14:textId="77777777" w:rsidR="004F01FA" w:rsidRPr="004F01FA" w:rsidRDefault="004F01FA" w:rsidP="004F01FA">
      <w:pPr>
        <w:pStyle w:val="ItemHead"/>
      </w:pPr>
    </w:p>
    <w:p w14:paraId="33AA0D5D" w14:textId="77777777" w:rsidR="00971EFD" w:rsidRPr="004F01FA" w:rsidRDefault="00971EFD" w:rsidP="004F01FA">
      <w:pPr>
        <w:spacing w:line="240" w:lineRule="auto"/>
        <w:jc w:val="both"/>
        <w:rPr>
          <w:rFonts w:cs="Times New Roman"/>
          <w:szCs w:val="24"/>
        </w:rPr>
      </w:pPr>
    </w:p>
    <w:sectPr w:rsidR="00971EFD" w:rsidRPr="004F01F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EC067" w14:textId="77777777" w:rsidR="003622F2" w:rsidRDefault="003622F2" w:rsidP="00261551">
      <w:pPr>
        <w:spacing w:after="0" w:line="240" w:lineRule="auto"/>
      </w:pPr>
      <w:r>
        <w:separator/>
      </w:r>
    </w:p>
  </w:endnote>
  <w:endnote w:type="continuationSeparator" w:id="0">
    <w:p w14:paraId="0CA8ED69" w14:textId="77777777" w:rsidR="003622F2" w:rsidRDefault="003622F2" w:rsidP="00261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B1BE8" w14:textId="77777777" w:rsidR="00DC0FA4" w:rsidRDefault="00DC0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4331042"/>
      <w:docPartObj>
        <w:docPartGallery w:val="Page Numbers (Bottom of Page)"/>
        <w:docPartUnique/>
      </w:docPartObj>
    </w:sdtPr>
    <w:sdtEndPr>
      <w:rPr>
        <w:noProof/>
      </w:rPr>
    </w:sdtEndPr>
    <w:sdtContent>
      <w:p w14:paraId="694BF662" w14:textId="65A3A2CE" w:rsidR="00261551" w:rsidRDefault="00261551">
        <w:pPr>
          <w:pStyle w:val="Footer"/>
          <w:jc w:val="right"/>
        </w:pPr>
        <w:r>
          <w:fldChar w:fldCharType="begin"/>
        </w:r>
        <w:r>
          <w:instrText xml:space="preserve"> PAGE   \* MERGEFORMAT </w:instrText>
        </w:r>
        <w:r>
          <w:fldChar w:fldCharType="separate"/>
        </w:r>
        <w:r w:rsidR="00AB675D">
          <w:rPr>
            <w:noProof/>
          </w:rPr>
          <w:t>1</w:t>
        </w:r>
        <w:r>
          <w:rPr>
            <w:noProof/>
          </w:rPr>
          <w:fldChar w:fldCharType="end"/>
        </w:r>
      </w:p>
    </w:sdtContent>
  </w:sdt>
  <w:p w14:paraId="2237F84D" w14:textId="77777777" w:rsidR="00261551" w:rsidRDefault="00261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FCE96" w14:textId="77777777" w:rsidR="00DC0FA4" w:rsidRDefault="00DC0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53073" w14:textId="77777777" w:rsidR="003622F2" w:rsidRDefault="003622F2" w:rsidP="00261551">
      <w:pPr>
        <w:spacing w:after="0" w:line="240" w:lineRule="auto"/>
      </w:pPr>
      <w:r>
        <w:separator/>
      </w:r>
    </w:p>
  </w:footnote>
  <w:footnote w:type="continuationSeparator" w:id="0">
    <w:p w14:paraId="49AE6A82" w14:textId="77777777" w:rsidR="003622F2" w:rsidRDefault="003622F2" w:rsidP="00261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E4925" w14:textId="77777777" w:rsidR="00DC0FA4" w:rsidRDefault="00DC0F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C3E6B" w14:textId="53E746E2" w:rsidR="00DC0FA4" w:rsidRDefault="00DC0F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FDD51" w14:textId="77777777" w:rsidR="00DC0FA4" w:rsidRDefault="00DC0F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EA72E1"/>
    <w:multiLevelType w:val="hybridMultilevel"/>
    <w:tmpl w:val="0170747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3E5D3678"/>
    <w:multiLevelType w:val="hybridMultilevel"/>
    <w:tmpl w:val="F13644BC"/>
    <w:lvl w:ilvl="0" w:tplc="4E661620">
      <w:start w:val="1"/>
      <w:numFmt w:val="bullet"/>
      <w:pStyle w:val="Subbody"/>
      <w:lvlText w:val=""/>
      <w:lvlJc w:val="left"/>
      <w:pPr>
        <w:ind w:left="360" w:hanging="360"/>
      </w:pPr>
      <w:rPr>
        <w:rFonts w:ascii="Symbol" w:hAnsi="Symbol" w:hint="default"/>
      </w:rPr>
    </w:lvl>
    <w:lvl w:ilvl="1" w:tplc="0C090003">
      <w:start w:val="1"/>
      <w:numFmt w:val="bullet"/>
      <w:lvlText w:val="o"/>
      <w:lvlJc w:val="left"/>
      <w:pPr>
        <w:ind w:left="1363" w:hanging="360"/>
      </w:pPr>
      <w:rPr>
        <w:rFonts w:ascii="Courier New" w:hAnsi="Courier New" w:cs="Courier New" w:hint="default"/>
      </w:rPr>
    </w:lvl>
    <w:lvl w:ilvl="2" w:tplc="0C090005">
      <w:start w:val="1"/>
      <w:numFmt w:val="bullet"/>
      <w:lvlText w:val=""/>
      <w:lvlJc w:val="left"/>
      <w:pPr>
        <w:ind w:left="2083" w:hanging="360"/>
      </w:pPr>
      <w:rPr>
        <w:rFonts w:ascii="Wingdings" w:hAnsi="Wingdings" w:hint="default"/>
      </w:rPr>
    </w:lvl>
    <w:lvl w:ilvl="3" w:tplc="0C090001">
      <w:start w:val="1"/>
      <w:numFmt w:val="bullet"/>
      <w:lvlText w:val=""/>
      <w:lvlJc w:val="left"/>
      <w:pPr>
        <w:ind w:left="2803" w:hanging="360"/>
      </w:pPr>
      <w:rPr>
        <w:rFonts w:ascii="Symbol" w:hAnsi="Symbol" w:hint="default"/>
      </w:rPr>
    </w:lvl>
    <w:lvl w:ilvl="4" w:tplc="0C090003">
      <w:start w:val="1"/>
      <w:numFmt w:val="bullet"/>
      <w:lvlText w:val="o"/>
      <w:lvlJc w:val="left"/>
      <w:pPr>
        <w:ind w:left="3523" w:hanging="360"/>
      </w:pPr>
      <w:rPr>
        <w:rFonts w:ascii="Courier New" w:hAnsi="Courier New" w:cs="Courier New" w:hint="default"/>
      </w:rPr>
    </w:lvl>
    <w:lvl w:ilvl="5" w:tplc="0C090005">
      <w:start w:val="1"/>
      <w:numFmt w:val="bullet"/>
      <w:lvlText w:val=""/>
      <w:lvlJc w:val="left"/>
      <w:pPr>
        <w:ind w:left="4243" w:hanging="360"/>
      </w:pPr>
      <w:rPr>
        <w:rFonts w:ascii="Wingdings" w:hAnsi="Wingdings" w:hint="default"/>
      </w:rPr>
    </w:lvl>
    <w:lvl w:ilvl="6" w:tplc="0C090001">
      <w:start w:val="1"/>
      <w:numFmt w:val="bullet"/>
      <w:lvlText w:val=""/>
      <w:lvlJc w:val="left"/>
      <w:pPr>
        <w:ind w:left="4963" w:hanging="360"/>
      </w:pPr>
      <w:rPr>
        <w:rFonts w:ascii="Symbol" w:hAnsi="Symbol" w:hint="default"/>
      </w:rPr>
    </w:lvl>
    <w:lvl w:ilvl="7" w:tplc="0C090003">
      <w:start w:val="1"/>
      <w:numFmt w:val="bullet"/>
      <w:lvlText w:val="o"/>
      <w:lvlJc w:val="left"/>
      <w:pPr>
        <w:ind w:left="5683" w:hanging="360"/>
      </w:pPr>
      <w:rPr>
        <w:rFonts w:ascii="Courier New" w:hAnsi="Courier New" w:cs="Courier New" w:hint="default"/>
      </w:rPr>
    </w:lvl>
    <w:lvl w:ilvl="8" w:tplc="0C090005">
      <w:start w:val="1"/>
      <w:numFmt w:val="bullet"/>
      <w:lvlText w:val=""/>
      <w:lvlJc w:val="left"/>
      <w:pPr>
        <w:ind w:left="6403" w:hanging="360"/>
      </w:pPr>
      <w:rPr>
        <w:rFonts w:ascii="Wingdings" w:hAnsi="Wingdings" w:hint="default"/>
      </w:rPr>
    </w:lvl>
  </w:abstractNum>
  <w:abstractNum w:abstractNumId="3" w15:restartNumberingAfterBreak="0">
    <w:nsid w:val="47BE75BD"/>
    <w:multiLevelType w:val="hybridMultilevel"/>
    <w:tmpl w:val="2CB81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43438308">
    <w:abstractNumId w:val="2"/>
  </w:num>
  <w:num w:numId="2" w16cid:durableId="445465927">
    <w:abstractNumId w:val="1"/>
  </w:num>
  <w:num w:numId="3" w16cid:durableId="1967933129">
    <w:abstractNumId w:val="0"/>
  </w:num>
  <w:num w:numId="4" w16cid:durableId="10338498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551"/>
    <w:rsid w:val="000042F7"/>
    <w:rsid w:val="0002515D"/>
    <w:rsid w:val="00025E33"/>
    <w:rsid w:val="00027DAC"/>
    <w:rsid w:val="00030806"/>
    <w:rsid w:val="000316E7"/>
    <w:rsid w:val="000329E4"/>
    <w:rsid w:val="000337DC"/>
    <w:rsid w:val="00034441"/>
    <w:rsid w:val="000359F4"/>
    <w:rsid w:val="00041F5A"/>
    <w:rsid w:val="0004252A"/>
    <w:rsid w:val="00050A5F"/>
    <w:rsid w:val="00050FEC"/>
    <w:rsid w:val="00052857"/>
    <w:rsid w:val="00060D87"/>
    <w:rsid w:val="0006435B"/>
    <w:rsid w:val="00070AEA"/>
    <w:rsid w:val="00074BB8"/>
    <w:rsid w:val="00077751"/>
    <w:rsid w:val="0008439D"/>
    <w:rsid w:val="0008470B"/>
    <w:rsid w:val="00090825"/>
    <w:rsid w:val="000953D3"/>
    <w:rsid w:val="000A2386"/>
    <w:rsid w:val="000A454D"/>
    <w:rsid w:val="000B146C"/>
    <w:rsid w:val="000B1AC2"/>
    <w:rsid w:val="000B750A"/>
    <w:rsid w:val="000E2125"/>
    <w:rsid w:val="000E3F7B"/>
    <w:rsid w:val="000F2039"/>
    <w:rsid w:val="000F7199"/>
    <w:rsid w:val="001020D9"/>
    <w:rsid w:val="001068C4"/>
    <w:rsid w:val="001126A7"/>
    <w:rsid w:val="0011345B"/>
    <w:rsid w:val="00114BBB"/>
    <w:rsid w:val="00130632"/>
    <w:rsid w:val="0013707D"/>
    <w:rsid w:val="00140393"/>
    <w:rsid w:val="0014366C"/>
    <w:rsid w:val="0016284D"/>
    <w:rsid w:val="00173572"/>
    <w:rsid w:val="00175444"/>
    <w:rsid w:val="001763A0"/>
    <w:rsid w:val="00177804"/>
    <w:rsid w:val="00180DCB"/>
    <w:rsid w:val="00181370"/>
    <w:rsid w:val="00181415"/>
    <w:rsid w:val="001927ED"/>
    <w:rsid w:val="00196207"/>
    <w:rsid w:val="001A665D"/>
    <w:rsid w:val="001A7365"/>
    <w:rsid w:val="001B179F"/>
    <w:rsid w:val="001C5A18"/>
    <w:rsid w:val="001C6BF6"/>
    <w:rsid w:val="001C6F44"/>
    <w:rsid w:val="001D1B45"/>
    <w:rsid w:val="001D4F6B"/>
    <w:rsid w:val="001D6AB4"/>
    <w:rsid w:val="001E7331"/>
    <w:rsid w:val="00212FFC"/>
    <w:rsid w:val="00230225"/>
    <w:rsid w:val="00233248"/>
    <w:rsid w:val="0023381D"/>
    <w:rsid w:val="0024077A"/>
    <w:rsid w:val="00241DC7"/>
    <w:rsid w:val="002475E9"/>
    <w:rsid w:val="00251D91"/>
    <w:rsid w:val="00251E15"/>
    <w:rsid w:val="0025415D"/>
    <w:rsid w:val="00261551"/>
    <w:rsid w:val="0027265C"/>
    <w:rsid w:val="002764C0"/>
    <w:rsid w:val="00280B56"/>
    <w:rsid w:val="00283B05"/>
    <w:rsid w:val="002851EC"/>
    <w:rsid w:val="00294A21"/>
    <w:rsid w:val="002A2DD6"/>
    <w:rsid w:val="002A6F29"/>
    <w:rsid w:val="002B58E0"/>
    <w:rsid w:val="002B6536"/>
    <w:rsid w:val="002B6CCB"/>
    <w:rsid w:val="002B7448"/>
    <w:rsid w:val="002D4093"/>
    <w:rsid w:val="002D4AF8"/>
    <w:rsid w:val="002D6FC4"/>
    <w:rsid w:val="002E6CCD"/>
    <w:rsid w:val="002F0802"/>
    <w:rsid w:val="002F757F"/>
    <w:rsid w:val="00303B4A"/>
    <w:rsid w:val="00306E9B"/>
    <w:rsid w:val="003148A4"/>
    <w:rsid w:val="00315C84"/>
    <w:rsid w:val="0032648C"/>
    <w:rsid w:val="003343B6"/>
    <w:rsid w:val="00334EC8"/>
    <w:rsid w:val="00345704"/>
    <w:rsid w:val="00345C2C"/>
    <w:rsid w:val="00346039"/>
    <w:rsid w:val="00350C5B"/>
    <w:rsid w:val="003522DD"/>
    <w:rsid w:val="00354114"/>
    <w:rsid w:val="00354F25"/>
    <w:rsid w:val="0035594E"/>
    <w:rsid w:val="003575BA"/>
    <w:rsid w:val="00357A4D"/>
    <w:rsid w:val="00360504"/>
    <w:rsid w:val="003622F2"/>
    <w:rsid w:val="00367F37"/>
    <w:rsid w:val="00372583"/>
    <w:rsid w:val="00383A7E"/>
    <w:rsid w:val="00391E4C"/>
    <w:rsid w:val="0039310B"/>
    <w:rsid w:val="003947D6"/>
    <w:rsid w:val="00395A19"/>
    <w:rsid w:val="003A0819"/>
    <w:rsid w:val="003A2AE4"/>
    <w:rsid w:val="003A5EE5"/>
    <w:rsid w:val="003D0C23"/>
    <w:rsid w:val="003D35C4"/>
    <w:rsid w:val="003E1B10"/>
    <w:rsid w:val="003E29C5"/>
    <w:rsid w:val="003E487C"/>
    <w:rsid w:val="003F2288"/>
    <w:rsid w:val="003F5E33"/>
    <w:rsid w:val="003F7CAB"/>
    <w:rsid w:val="00402A6A"/>
    <w:rsid w:val="00411E6D"/>
    <w:rsid w:val="0041274F"/>
    <w:rsid w:val="00415F58"/>
    <w:rsid w:val="0042279C"/>
    <w:rsid w:val="0042657D"/>
    <w:rsid w:val="00431B76"/>
    <w:rsid w:val="00435716"/>
    <w:rsid w:val="0045084D"/>
    <w:rsid w:val="00453D32"/>
    <w:rsid w:val="00455B4A"/>
    <w:rsid w:val="004578FD"/>
    <w:rsid w:val="00457B22"/>
    <w:rsid w:val="00470E9C"/>
    <w:rsid w:val="00472274"/>
    <w:rsid w:val="004733A5"/>
    <w:rsid w:val="004A071D"/>
    <w:rsid w:val="004A5F18"/>
    <w:rsid w:val="004A6CA4"/>
    <w:rsid w:val="004B6E47"/>
    <w:rsid w:val="004C15D6"/>
    <w:rsid w:val="004D527C"/>
    <w:rsid w:val="004D5942"/>
    <w:rsid w:val="004D5D6A"/>
    <w:rsid w:val="004F01FA"/>
    <w:rsid w:val="004F464B"/>
    <w:rsid w:val="00500600"/>
    <w:rsid w:val="0050681B"/>
    <w:rsid w:val="005171B9"/>
    <w:rsid w:val="00517F3F"/>
    <w:rsid w:val="00522E09"/>
    <w:rsid w:val="00546F9A"/>
    <w:rsid w:val="005628F6"/>
    <w:rsid w:val="005709BA"/>
    <w:rsid w:val="00585B1F"/>
    <w:rsid w:val="00590AC5"/>
    <w:rsid w:val="00591A44"/>
    <w:rsid w:val="005A0AB4"/>
    <w:rsid w:val="005A11E0"/>
    <w:rsid w:val="005A1706"/>
    <w:rsid w:val="005A23F5"/>
    <w:rsid w:val="005A523B"/>
    <w:rsid w:val="005B7087"/>
    <w:rsid w:val="005C03E9"/>
    <w:rsid w:val="005C0621"/>
    <w:rsid w:val="005C1D4C"/>
    <w:rsid w:val="005D1FF4"/>
    <w:rsid w:val="005D6099"/>
    <w:rsid w:val="005D6B50"/>
    <w:rsid w:val="005E694D"/>
    <w:rsid w:val="00611E9B"/>
    <w:rsid w:val="00621856"/>
    <w:rsid w:val="006442FF"/>
    <w:rsid w:val="00646DCB"/>
    <w:rsid w:val="00650394"/>
    <w:rsid w:val="00657818"/>
    <w:rsid w:val="0066146F"/>
    <w:rsid w:val="00661AFD"/>
    <w:rsid w:val="00663E24"/>
    <w:rsid w:val="006661F1"/>
    <w:rsid w:val="0066629C"/>
    <w:rsid w:val="006678D5"/>
    <w:rsid w:val="00674EEE"/>
    <w:rsid w:val="006A6175"/>
    <w:rsid w:val="006B06C5"/>
    <w:rsid w:val="006B1AAD"/>
    <w:rsid w:val="006B25D4"/>
    <w:rsid w:val="006B2CDA"/>
    <w:rsid w:val="006B5874"/>
    <w:rsid w:val="006B7F7D"/>
    <w:rsid w:val="006C0953"/>
    <w:rsid w:val="006C249B"/>
    <w:rsid w:val="006C4237"/>
    <w:rsid w:val="006D2154"/>
    <w:rsid w:val="006D3370"/>
    <w:rsid w:val="006D701B"/>
    <w:rsid w:val="006E0522"/>
    <w:rsid w:val="00710513"/>
    <w:rsid w:val="007143C2"/>
    <w:rsid w:val="00714D7F"/>
    <w:rsid w:val="007246AB"/>
    <w:rsid w:val="0073673C"/>
    <w:rsid w:val="00736E0F"/>
    <w:rsid w:val="0075009C"/>
    <w:rsid w:val="00754224"/>
    <w:rsid w:val="00755AE6"/>
    <w:rsid w:val="007621CD"/>
    <w:rsid w:val="00763741"/>
    <w:rsid w:val="00767386"/>
    <w:rsid w:val="00773053"/>
    <w:rsid w:val="00775A92"/>
    <w:rsid w:val="007A027D"/>
    <w:rsid w:val="007A08EA"/>
    <w:rsid w:val="007A2511"/>
    <w:rsid w:val="007B0667"/>
    <w:rsid w:val="007B0BBD"/>
    <w:rsid w:val="007B0F17"/>
    <w:rsid w:val="007B42E7"/>
    <w:rsid w:val="007C2644"/>
    <w:rsid w:val="007C3562"/>
    <w:rsid w:val="007D2306"/>
    <w:rsid w:val="007D3758"/>
    <w:rsid w:val="007D7B3A"/>
    <w:rsid w:val="007E1E50"/>
    <w:rsid w:val="007F73E2"/>
    <w:rsid w:val="008023E3"/>
    <w:rsid w:val="00811964"/>
    <w:rsid w:val="00814979"/>
    <w:rsid w:val="00822FC9"/>
    <w:rsid w:val="008276F5"/>
    <w:rsid w:val="00836A06"/>
    <w:rsid w:val="008559D4"/>
    <w:rsid w:val="00871F89"/>
    <w:rsid w:val="00882CA5"/>
    <w:rsid w:val="008856BA"/>
    <w:rsid w:val="00887A49"/>
    <w:rsid w:val="008A64D4"/>
    <w:rsid w:val="008B1707"/>
    <w:rsid w:val="008B5561"/>
    <w:rsid w:val="008D5108"/>
    <w:rsid w:val="008E0AB3"/>
    <w:rsid w:val="008E4B92"/>
    <w:rsid w:val="008F1B50"/>
    <w:rsid w:val="00905E19"/>
    <w:rsid w:val="0091133C"/>
    <w:rsid w:val="0091631B"/>
    <w:rsid w:val="00916F57"/>
    <w:rsid w:val="00921D48"/>
    <w:rsid w:val="009226A1"/>
    <w:rsid w:val="00932E97"/>
    <w:rsid w:val="0093467F"/>
    <w:rsid w:val="00952679"/>
    <w:rsid w:val="00954827"/>
    <w:rsid w:val="00956748"/>
    <w:rsid w:val="009676F7"/>
    <w:rsid w:val="00971BD8"/>
    <w:rsid w:val="00971EFD"/>
    <w:rsid w:val="009735E2"/>
    <w:rsid w:val="009858D2"/>
    <w:rsid w:val="0099133B"/>
    <w:rsid w:val="00995064"/>
    <w:rsid w:val="009A073D"/>
    <w:rsid w:val="009A3305"/>
    <w:rsid w:val="009A57BC"/>
    <w:rsid w:val="009B4407"/>
    <w:rsid w:val="009B4546"/>
    <w:rsid w:val="009C1CFB"/>
    <w:rsid w:val="009C552B"/>
    <w:rsid w:val="009D3D58"/>
    <w:rsid w:val="009D719E"/>
    <w:rsid w:val="009E6502"/>
    <w:rsid w:val="009F43A1"/>
    <w:rsid w:val="009F6075"/>
    <w:rsid w:val="00A13DEC"/>
    <w:rsid w:val="00A155A7"/>
    <w:rsid w:val="00A15724"/>
    <w:rsid w:val="00A30EBE"/>
    <w:rsid w:val="00A34913"/>
    <w:rsid w:val="00A352E2"/>
    <w:rsid w:val="00A43864"/>
    <w:rsid w:val="00A50D1F"/>
    <w:rsid w:val="00A53392"/>
    <w:rsid w:val="00A53C70"/>
    <w:rsid w:val="00A63878"/>
    <w:rsid w:val="00A63DC8"/>
    <w:rsid w:val="00A668B0"/>
    <w:rsid w:val="00A6727F"/>
    <w:rsid w:val="00A71A7B"/>
    <w:rsid w:val="00A74621"/>
    <w:rsid w:val="00A760B4"/>
    <w:rsid w:val="00A852CE"/>
    <w:rsid w:val="00A907A4"/>
    <w:rsid w:val="00AA7E20"/>
    <w:rsid w:val="00AB1CEF"/>
    <w:rsid w:val="00AB675D"/>
    <w:rsid w:val="00AB78FC"/>
    <w:rsid w:val="00AD3C7B"/>
    <w:rsid w:val="00AD4E1B"/>
    <w:rsid w:val="00AD6602"/>
    <w:rsid w:val="00AE05AA"/>
    <w:rsid w:val="00AE4D7F"/>
    <w:rsid w:val="00AE7642"/>
    <w:rsid w:val="00AE7857"/>
    <w:rsid w:val="00AE7993"/>
    <w:rsid w:val="00AF2FCE"/>
    <w:rsid w:val="00AF451D"/>
    <w:rsid w:val="00AF5999"/>
    <w:rsid w:val="00B009C2"/>
    <w:rsid w:val="00B03515"/>
    <w:rsid w:val="00B07B4C"/>
    <w:rsid w:val="00B10A19"/>
    <w:rsid w:val="00B162E5"/>
    <w:rsid w:val="00B273FD"/>
    <w:rsid w:val="00B42276"/>
    <w:rsid w:val="00B42B5E"/>
    <w:rsid w:val="00B45E01"/>
    <w:rsid w:val="00B470CB"/>
    <w:rsid w:val="00B63FD6"/>
    <w:rsid w:val="00B7729F"/>
    <w:rsid w:val="00B84BF9"/>
    <w:rsid w:val="00B912EB"/>
    <w:rsid w:val="00B93D32"/>
    <w:rsid w:val="00B969A8"/>
    <w:rsid w:val="00BA1F0F"/>
    <w:rsid w:val="00BA731E"/>
    <w:rsid w:val="00BB0FD5"/>
    <w:rsid w:val="00BB2E31"/>
    <w:rsid w:val="00BB382F"/>
    <w:rsid w:val="00BC163A"/>
    <w:rsid w:val="00BC4B2D"/>
    <w:rsid w:val="00BD7386"/>
    <w:rsid w:val="00BE1CB0"/>
    <w:rsid w:val="00BE1F4D"/>
    <w:rsid w:val="00BF765A"/>
    <w:rsid w:val="00C04291"/>
    <w:rsid w:val="00C05489"/>
    <w:rsid w:val="00C054B3"/>
    <w:rsid w:val="00C1509A"/>
    <w:rsid w:val="00C32806"/>
    <w:rsid w:val="00C32972"/>
    <w:rsid w:val="00C4315B"/>
    <w:rsid w:val="00C5640A"/>
    <w:rsid w:val="00C601F9"/>
    <w:rsid w:val="00C64322"/>
    <w:rsid w:val="00C6629C"/>
    <w:rsid w:val="00C6710A"/>
    <w:rsid w:val="00C73FBB"/>
    <w:rsid w:val="00C80D11"/>
    <w:rsid w:val="00C855E4"/>
    <w:rsid w:val="00C8799F"/>
    <w:rsid w:val="00C95DBD"/>
    <w:rsid w:val="00CA2F33"/>
    <w:rsid w:val="00CA36E4"/>
    <w:rsid w:val="00CB5B00"/>
    <w:rsid w:val="00CF2D55"/>
    <w:rsid w:val="00D02E34"/>
    <w:rsid w:val="00D069ED"/>
    <w:rsid w:val="00D11AA1"/>
    <w:rsid w:val="00D40C91"/>
    <w:rsid w:val="00D40E0B"/>
    <w:rsid w:val="00D47A9F"/>
    <w:rsid w:val="00D516D2"/>
    <w:rsid w:val="00D55445"/>
    <w:rsid w:val="00D55EEC"/>
    <w:rsid w:val="00D6556E"/>
    <w:rsid w:val="00D7218B"/>
    <w:rsid w:val="00D721C9"/>
    <w:rsid w:val="00D7647E"/>
    <w:rsid w:val="00D8259F"/>
    <w:rsid w:val="00DA0BEF"/>
    <w:rsid w:val="00DB7522"/>
    <w:rsid w:val="00DC0FA4"/>
    <w:rsid w:val="00DC38FC"/>
    <w:rsid w:val="00DC7089"/>
    <w:rsid w:val="00DC74DE"/>
    <w:rsid w:val="00DD37E8"/>
    <w:rsid w:val="00DD6927"/>
    <w:rsid w:val="00DE173F"/>
    <w:rsid w:val="00DF2222"/>
    <w:rsid w:val="00E05033"/>
    <w:rsid w:val="00E06968"/>
    <w:rsid w:val="00E0787E"/>
    <w:rsid w:val="00E122A2"/>
    <w:rsid w:val="00E23A41"/>
    <w:rsid w:val="00E3621E"/>
    <w:rsid w:val="00E41ACB"/>
    <w:rsid w:val="00E446C2"/>
    <w:rsid w:val="00E45817"/>
    <w:rsid w:val="00E45C47"/>
    <w:rsid w:val="00E45C6C"/>
    <w:rsid w:val="00E50D1E"/>
    <w:rsid w:val="00E54000"/>
    <w:rsid w:val="00E70AAC"/>
    <w:rsid w:val="00E75753"/>
    <w:rsid w:val="00E82E40"/>
    <w:rsid w:val="00E91829"/>
    <w:rsid w:val="00EA4DE4"/>
    <w:rsid w:val="00EA77A9"/>
    <w:rsid w:val="00EB1D0E"/>
    <w:rsid w:val="00EB25F6"/>
    <w:rsid w:val="00EB7B44"/>
    <w:rsid w:val="00EC2E05"/>
    <w:rsid w:val="00EC7E0B"/>
    <w:rsid w:val="00EE1084"/>
    <w:rsid w:val="00EE6BA4"/>
    <w:rsid w:val="00F01850"/>
    <w:rsid w:val="00F205E8"/>
    <w:rsid w:val="00F219F8"/>
    <w:rsid w:val="00F25A21"/>
    <w:rsid w:val="00F2766E"/>
    <w:rsid w:val="00F3164F"/>
    <w:rsid w:val="00F4496F"/>
    <w:rsid w:val="00F468FD"/>
    <w:rsid w:val="00F549E6"/>
    <w:rsid w:val="00F55F94"/>
    <w:rsid w:val="00F6789E"/>
    <w:rsid w:val="00F67DC8"/>
    <w:rsid w:val="00F73C3F"/>
    <w:rsid w:val="00F745A4"/>
    <w:rsid w:val="00F84C0F"/>
    <w:rsid w:val="00F8626A"/>
    <w:rsid w:val="00F92B45"/>
    <w:rsid w:val="00F969B7"/>
    <w:rsid w:val="00FC1F82"/>
    <w:rsid w:val="00FC59B0"/>
    <w:rsid w:val="00FC6739"/>
    <w:rsid w:val="00FD1429"/>
    <w:rsid w:val="00FD2021"/>
    <w:rsid w:val="00FD5BD1"/>
    <w:rsid w:val="00FD6F18"/>
    <w:rsid w:val="00FE00FE"/>
    <w:rsid w:val="00FE0549"/>
    <w:rsid w:val="00FE6C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402FA"/>
  <w15:chartTrackingRefBased/>
  <w15:docId w15:val="{AC9FF073-16B4-46DE-B50B-D7B22EBB1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551"/>
    <w:pPr>
      <w:spacing w:line="288"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5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551"/>
    <w:rPr>
      <w:rFonts w:ascii="Times New Roman" w:hAnsi="Times New Roman"/>
      <w:sz w:val="24"/>
    </w:rPr>
  </w:style>
  <w:style w:type="paragraph" w:styleId="Footer">
    <w:name w:val="footer"/>
    <w:basedOn w:val="Normal"/>
    <w:link w:val="FooterChar"/>
    <w:uiPriority w:val="99"/>
    <w:unhideWhenUsed/>
    <w:rsid w:val="002615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551"/>
    <w:rPr>
      <w:rFonts w:ascii="Times New Roman" w:hAnsi="Times New Roman"/>
      <w:sz w:val="24"/>
    </w:rPr>
  </w:style>
  <w:style w:type="paragraph" w:customStyle="1" w:styleId="paragraph">
    <w:name w:val="paragraph"/>
    <w:aliases w:val="a"/>
    <w:basedOn w:val="Normal"/>
    <w:rsid w:val="005E694D"/>
    <w:pPr>
      <w:spacing w:before="100" w:beforeAutospacing="1" w:after="100" w:afterAutospacing="1" w:line="240" w:lineRule="auto"/>
    </w:pPr>
    <w:rPr>
      <w:rFonts w:eastAsia="Times New Roman" w:cs="Times New Roman"/>
      <w:szCs w:val="24"/>
      <w:lang w:eastAsia="en-AU"/>
    </w:rPr>
  </w:style>
  <w:style w:type="character" w:customStyle="1" w:styleId="ListParagraphChar">
    <w:name w:val="List Paragraph Char"/>
    <w:aliases w:val="Recommendation Char,L Char,List Paragraph1 Char,List Paragraph11 Char,CV text Char,Table text Char,F5 List Paragraph Char,Dot pt Char,List Paragraph111 Char,Medium Grid 1 - Accent 21 Char,List Paragraph2 Char,FooterText Char,列出段 Char"/>
    <w:link w:val="ListParagraph"/>
    <w:uiPriority w:val="34"/>
    <w:qFormat/>
    <w:locked/>
    <w:rsid w:val="005E694D"/>
    <w:rPr>
      <w:rFonts w:ascii="Times New Roman" w:hAnsi="Times New Roman" w:cs="Times New Roman"/>
      <w:sz w:val="24"/>
      <w:szCs w:val="24"/>
    </w:rPr>
  </w:style>
  <w:style w:type="paragraph" w:styleId="ListParagraph">
    <w:name w:val="List Paragraph"/>
    <w:aliases w:val="Recommendation,L,List Paragraph1,List Paragraph11,CV text,Table text,F5 List Paragraph,Dot pt,List Paragraph111,Medium Grid 1 - Accent 21,List Paragraph2,NFP GP Bulleted List,FooterText,numbered,Paragraphe de liste1,列出段,List Bullet Cab"/>
    <w:basedOn w:val="Normal"/>
    <w:link w:val="ListParagraphChar"/>
    <w:uiPriority w:val="34"/>
    <w:qFormat/>
    <w:rsid w:val="005E694D"/>
    <w:pPr>
      <w:spacing w:line="276" w:lineRule="auto"/>
      <w:ind w:left="720"/>
      <w:contextualSpacing/>
      <w:jc w:val="both"/>
    </w:pPr>
    <w:rPr>
      <w:rFonts w:cs="Times New Roman"/>
      <w:szCs w:val="24"/>
    </w:rPr>
  </w:style>
  <w:style w:type="paragraph" w:customStyle="1" w:styleId="Subbody">
    <w:name w:val="Sub body"/>
    <w:basedOn w:val="ListParagraph"/>
    <w:qFormat/>
    <w:rsid w:val="005E694D"/>
    <w:pPr>
      <w:numPr>
        <w:numId w:val="1"/>
      </w:numPr>
      <w:tabs>
        <w:tab w:val="num" w:pos="360"/>
      </w:tabs>
      <w:spacing w:before="240" w:after="0" w:line="240" w:lineRule="auto"/>
      <w:ind w:left="720" w:firstLine="0"/>
      <w:contextualSpacing w:val="0"/>
      <w:jc w:val="left"/>
    </w:pPr>
    <w:rPr>
      <w:rFonts w:eastAsia="Calibri"/>
    </w:rPr>
  </w:style>
  <w:style w:type="paragraph" w:customStyle="1" w:styleId="ShortT">
    <w:name w:val="ShortT"/>
    <w:basedOn w:val="Normal"/>
    <w:next w:val="Normal"/>
    <w:qFormat/>
    <w:rsid w:val="001D1B45"/>
    <w:pPr>
      <w:spacing w:after="0" w:line="240" w:lineRule="auto"/>
    </w:pPr>
    <w:rPr>
      <w:rFonts w:eastAsia="Times New Roman" w:cs="Times New Roman"/>
      <w:b/>
      <w:sz w:val="40"/>
      <w:szCs w:val="20"/>
      <w:lang w:eastAsia="en-AU"/>
    </w:rPr>
  </w:style>
  <w:style w:type="character" w:styleId="CommentReference">
    <w:name w:val="annotation reference"/>
    <w:basedOn w:val="DefaultParagraphFont"/>
    <w:uiPriority w:val="99"/>
    <w:semiHidden/>
    <w:unhideWhenUsed/>
    <w:rsid w:val="00D516D2"/>
    <w:rPr>
      <w:sz w:val="16"/>
      <w:szCs w:val="16"/>
    </w:rPr>
  </w:style>
  <w:style w:type="paragraph" w:styleId="CommentText">
    <w:name w:val="annotation text"/>
    <w:basedOn w:val="Normal"/>
    <w:link w:val="CommentTextChar"/>
    <w:uiPriority w:val="99"/>
    <w:unhideWhenUsed/>
    <w:rsid w:val="00D516D2"/>
    <w:pPr>
      <w:spacing w:line="240" w:lineRule="auto"/>
    </w:pPr>
    <w:rPr>
      <w:sz w:val="20"/>
      <w:szCs w:val="20"/>
    </w:rPr>
  </w:style>
  <w:style w:type="character" w:customStyle="1" w:styleId="CommentTextChar">
    <w:name w:val="Comment Text Char"/>
    <w:basedOn w:val="DefaultParagraphFont"/>
    <w:link w:val="CommentText"/>
    <w:uiPriority w:val="99"/>
    <w:rsid w:val="00D516D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516D2"/>
    <w:rPr>
      <w:b/>
      <w:bCs/>
    </w:rPr>
  </w:style>
  <w:style w:type="character" w:customStyle="1" w:styleId="CommentSubjectChar">
    <w:name w:val="Comment Subject Char"/>
    <w:basedOn w:val="CommentTextChar"/>
    <w:link w:val="CommentSubject"/>
    <w:uiPriority w:val="99"/>
    <w:semiHidden/>
    <w:rsid w:val="00D516D2"/>
    <w:rPr>
      <w:rFonts w:ascii="Times New Roman" w:hAnsi="Times New Roman"/>
      <w:b/>
      <w:bCs/>
      <w:sz w:val="20"/>
      <w:szCs w:val="20"/>
    </w:rPr>
  </w:style>
  <w:style w:type="paragraph" w:styleId="Revision">
    <w:name w:val="Revision"/>
    <w:hidden/>
    <w:uiPriority w:val="99"/>
    <w:semiHidden/>
    <w:rsid w:val="00D516D2"/>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D516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6D2"/>
    <w:rPr>
      <w:rFonts w:ascii="Segoe UI" w:hAnsi="Segoe UI" w:cs="Segoe UI"/>
      <w:sz w:val="18"/>
      <w:szCs w:val="18"/>
    </w:rPr>
  </w:style>
  <w:style w:type="paragraph" w:customStyle="1" w:styleId="Item">
    <w:name w:val="Item"/>
    <w:aliases w:val="i"/>
    <w:basedOn w:val="Normal"/>
    <w:next w:val="ItemHead"/>
    <w:rsid w:val="004F01FA"/>
    <w:pPr>
      <w:keepLines/>
      <w:spacing w:before="80" w:after="0" w:line="240" w:lineRule="auto"/>
      <w:ind w:left="709"/>
    </w:pPr>
    <w:rPr>
      <w:rFonts w:eastAsia="Times New Roman" w:cs="Times New Roman"/>
      <w:sz w:val="22"/>
      <w:szCs w:val="20"/>
      <w:lang w:eastAsia="en-AU"/>
    </w:rPr>
  </w:style>
  <w:style w:type="paragraph" w:customStyle="1" w:styleId="ItemHead">
    <w:name w:val="ItemHead"/>
    <w:aliases w:val="ih"/>
    <w:basedOn w:val="Normal"/>
    <w:next w:val="Item"/>
    <w:link w:val="ItemHeadChar"/>
    <w:rsid w:val="004F01FA"/>
    <w:pPr>
      <w:keepNext/>
      <w:keepLines/>
      <w:spacing w:before="220" w:after="0" w:line="240" w:lineRule="auto"/>
      <w:ind w:left="709" w:hanging="709"/>
    </w:pPr>
    <w:rPr>
      <w:rFonts w:ascii="Arial" w:eastAsia="Times New Roman" w:hAnsi="Arial" w:cs="Times New Roman"/>
      <w:b/>
      <w:kern w:val="28"/>
      <w:szCs w:val="20"/>
      <w:lang w:eastAsia="en-AU"/>
    </w:rPr>
  </w:style>
  <w:style w:type="paragraph" w:customStyle="1" w:styleId="Tabletext">
    <w:name w:val="Tabletext"/>
    <w:aliases w:val="tt"/>
    <w:basedOn w:val="Normal"/>
    <w:rsid w:val="004F01FA"/>
    <w:pPr>
      <w:spacing w:before="60" w:after="0" w:line="240" w:lineRule="atLeast"/>
    </w:pPr>
    <w:rPr>
      <w:rFonts w:eastAsia="Times New Roman" w:cs="Times New Roman"/>
      <w:sz w:val="20"/>
      <w:szCs w:val="20"/>
      <w:lang w:eastAsia="en-AU"/>
    </w:rPr>
  </w:style>
  <w:style w:type="paragraph" w:customStyle="1" w:styleId="notetext">
    <w:name w:val="note(text)"/>
    <w:aliases w:val="n"/>
    <w:basedOn w:val="Normal"/>
    <w:link w:val="notetextChar"/>
    <w:rsid w:val="004F01FA"/>
    <w:pPr>
      <w:spacing w:before="122" w:after="0" w:line="240" w:lineRule="auto"/>
      <w:ind w:left="1985" w:hanging="851"/>
    </w:pPr>
    <w:rPr>
      <w:rFonts w:eastAsia="Times New Roman" w:cs="Times New Roman"/>
      <w:sz w:val="18"/>
      <w:szCs w:val="20"/>
      <w:lang w:eastAsia="en-AU"/>
    </w:rPr>
  </w:style>
  <w:style w:type="character" w:customStyle="1" w:styleId="notetextChar">
    <w:name w:val="note(text) Char"/>
    <w:aliases w:val="n Char"/>
    <w:basedOn w:val="DefaultParagraphFont"/>
    <w:link w:val="notetext"/>
    <w:rsid w:val="004F01FA"/>
    <w:rPr>
      <w:rFonts w:ascii="Times New Roman" w:eastAsia="Times New Roman" w:hAnsi="Times New Roman" w:cs="Times New Roman"/>
      <w:sz w:val="18"/>
      <w:szCs w:val="20"/>
      <w:lang w:eastAsia="en-AU"/>
    </w:rPr>
  </w:style>
  <w:style w:type="paragraph" w:styleId="NormalWeb">
    <w:name w:val="Normal (Web)"/>
    <w:basedOn w:val="Normal"/>
    <w:rsid w:val="004F01FA"/>
    <w:pPr>
      <w:spacing w:after="0" w:line="260" w:lineRule="atLeast"/>
    </w:pPr>
    <w:rPr>
      <w:sz w:val="22"/>
      <w:szCs w:val="20"/>
    </w:rPr>
  </w:style>
  <w:style w:type="character" w:customStyle="1" w:styleId="ItemHeadChar">
    <w:name w:val="ItemHead Char"/>
    <w:aliases w:val="ih Char"/>
    <w:basedOn w:val="DefaultParagraphFont"/>
    <w:link w:val="ItemHead"/>
    <w:rsid w:val="004F01FA"/>
    <w:rPr>
      <w:rFonts w:ascii="Arial" w:eastAsia="Times New Roman" w:hAnsi="Arial" w:cs="Times New Roman"/>
      <w:b/>
      <w:kern w:val="28"/>
      <w:sz w:val="24"/>
      <w:szCs w:val="20"/>
      <w:lang w:eastAsia="en-AU"/>
    </w:rPr>
  </w:style>
  <w:style w:type="paragraph" w:customStyle="1" w:styleId="ActHead5">
    <w:name w:val="ActHead 5"/>
    <w:aliases w:val="s"/>
    <w:basedOn w:val="Normal"/>
    <w:next w:val="Normal"/>
    <w:link w:val="ActHead5Char"/>
    <w:qFormat/>
    <w:rsid w:val="00CA36E4"/>
    <w:pPr>
      <w:keepNext/>
      <w:keepLines/>
      <w:spacing w:before="280" w:after="0" w:line="240" w:lineRule="auto"/>
      <w:ind w:left="1134" w:hanging="1134"/>
      <w:outlineLvl w:val="4"/>
    </w:pPr>
    <w:rPr>
      <w:rFonts w:eastAsia="Times New Roman" w:cs="Times New Roman"/>
      <w:b/>
      <w:kern w:val="28"/>
      <w:szCs w:val="20"/>
      <w:lang w:eastAsia="en-AU"/>
    </w:rPr>
  </w:style>
  <w:style w:type="character" w:customStyle="1" w:styleId="CharSectno">
    <w:name w:val="CharSectno"/>
    <w:basedOn w:val="DefaultParagraphFont"/>
    <w:qFormat/>
    <w:rsid w:val="00CA36E4"/>
  </w:style>
  <w:style w:type="character" w:customStyle="1" w:styleId="ActHead5Char">
    <w:name w:val="ActHead 5 Char"/>
    <w:aliases w:val="s Char"/>
    <w:link w:val="ActHead5"/>
    <w:rsid w:val="00CA36E4"/>
    <w:rPr>
      <w:rFonts w:ascii="Times New Roman" w:eastAsia="Times New Roman" w:hAnsi="Times New Roman" w:cs="Times New Roman"/>
      <w:b/>
      <w:kern w:val="28"/>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749936">
      <w:bodyDiv w:val="1"/>
      <w:marLeft w:val="0"/>
      <w:marRight w:val="0"/>
      <w:marTop w:val="0"/>
      <w:marBottom w:val="0"/>
      <w:divBdr>
        <w:top w:val="none" w:sz="0" w:space="0" w:color="auto"/>
        <w:left w:val="none" w:sz="0" w:space="0" w:color="auto"/>
        <w:bottom w:val="none" w:sz="0" w:space="0" w:color="auto"/>
        <w:right w:val="none" w:sz="0" w:space="0" w:color="auto"/>
      </w:divBdr>
    </w:div>
    <w:div w:id="95436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A8807-5984-4759-B38A-DF5EDD0EB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1521</Words>
  <Characters>8672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Di Carlo</dc:creator>
  <cp:keywords/>
  <dc:description/>
  <cp:lastModifiedBy>Bernadette Henderson</cp:lastModifiedBy>
  <cp:revision>3</cp:revision>
  <cp:lastPrinted>2025-08-18T02:59:00Z</cp:lastPrinted>
  <dcterms:created xsi:type="dcterms:W3CDTF">2025-08-18T03:02:00Z</dcterms:created>
  <dcterms:modified xsi:type="dcterms:W3CDTF">2025-08-18T03:49:00Z</dcterms:modified>
</cp:coreProperties>
</file>