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C1B4F" w14:textId="0AFE653B" w:rsidR="001F2A16" w:rsidRPr="00C620E9" w:rsidRDefault="001F2A16" w:rsidP="0019176E">
      <w:pPr>
        <w:pStyle w:val="Header"/>
        <w:pBdr>
          <w:top w:val="single" w:sz="4" w:space="1" w:color="auto"/>
          <w:bottom w:val="single" w:sz="4" w:space="1" w:color="auto"/>
        </w:pBdr>
        <w:tabs>
          <w:tab w:val="clear" w:pos="4153"/>
          <w:tab w:val="clear" w:pos="8306"/>
        </w:tabs>
        <w:spacing w:after="360"/>
        <w:jc w:val="center"/>
        <w:rPr>
          <w:rFonts w:ascii="Arial" w:hAnsi="Arial" w:cs="Arial"/>
          <w:sz w:val="34"/>
          <w:szCs w:val="34"/>
        </w:rPr>
      </w:pPr>
      <w:r w:rsidRPr="00C620E9">
        <w:rPr>
          <w:rFonts w:ascii="Arial" w:hAnsi="Arial" w:cs="Arial"/>
          <w:sz w:val="34"/>
          <w:szCs w:val="34"/>
        </w:rPr>
        <w:t>Explanatory Statement</w:t>
      </w:r>
    </w:p>
    <w:p w14:paraId="4F2C145F" w14:textId="6DEBEE1A" w:rsidR="009734A4" w:rsidRPr="004A4A30" w:rsidRDefault="00A073B4" w:rsidP="0019176E">
      <w:pPr>
        <w:pStyle w:val="Header"/>
        <w:pBdr>
          <w:top w:val="single" w:sz="4" w:space="1" w:color="auto"/>
          <w:bottom w:val="single" w:sz="4" w:space="1" w:color="auto"/>
        </w:pBdr>
        <w:tabs>
          <w:tab w:val="clear" w:pos="4153"/>
          <w:tab w:val="clear" w:pos="8306"/>
        </w:tabs>
        <w:ind w:firstLine="720"/>
        <w:jc w:val="center"/>
        <w:rPr>
          <w:rFonts w:ascii="Arial" w:hAnsi="Arial" w:cs="Arial"/>
          <w:sz w:val="34"/>
          <w:szCs w:val="34"/>
        </w:rPr>
      </w:pPr>
      <w:bookmarkStart w:id="0" w:name="_Hlk173828596"/>
      <w:r w:rsidRPr="00A073B4">
        <w:rPr>
          <w:rFonts w:ascii="Arial" w:hAnsi="Arial" w:cs="Arial"/>
          <w:sz w:val="34"/>
          <w:szCs w:val="34"/>
        </w:rPr>
        <w:t>A</w:t>
      </w:r>
      <w:r w:rsidRPr="0066630F">
        <w:rPr>
          <w:rFonts w:ascii="Arial" w:hAnsi="Arial" w:cs="Arial"/>
          <w:sz w:val="34"/>
          <w:szCs w:val="34"/>
        </w:rPr>
        <w:t xml:space="preserve"> New </w:t>
      </w:r>
      <w:r w:rsidRPr="00A073B4">
        <w:rPr>
          <w:rFonts w:ascii="Arial" w:hAnsi="Arial" w:cs="Arial"/>
          <w:sz w:val="34"/>
          <w:szCs w:val="34"/>
        </w:rPr>
        <w:t>Tax System (Goods and Services Tax)</w:t>
      </w:r>
      <w:r w:rsidR="003E1191" w:rsidRPr="004A4A30">
        <w:rPr>
          <w:rFonts w:ascii="Arial" w:hAnsi="Arial" w:cs="Arial"/>
          <w:sz w:val="34"/>
          <w:szCs w:val="34"/>
        </w:rPr>
        <w:t xml:space="preserve"> (</w:t>
      </w:r>
      <w:r w:rsidR="009734A4" w:rsidRPr="004A4A30">
        <w:rPr>
          <w:rFonts w:ascii="Arial" w:hAnsi="Arial" w:cs="Arial"/>
          <w:sz w:val="34"/>
          <w:szCs w:val="34"/>
        </w:rPr>
        <w:t>Correcting W</w:t>
      </w:r>
      <w:r w:rsidR="00176FE2">
        <w:rPr>
          <w:rFonts w:ascii="Arial" w:hAnsi="Arial" w:cs="Arial"/>
          <w:sz w:val="34"/>
          <w:szCs w:val="34"/>
        </w:rPr>
        <w:t xml:space="preserve">ine </w:t>
      </w:r>
      <w:r w:rsidR="009734A4" w:rsidRPr="004A4A30">
        <w:rPr>
          <w:rFonts w:ascii="Arial" w:hAnsi="Arial" w:cs="Arial"/>
          <w:sz w:val="34"/>
          <w:szCs w:val="34"/>
        </w:rPr>
        <w:t>E</w:t>
      </w:r>
      <w:r w:rsidR="00176FE2">
        <w:rPr>
          <w:rFonts w:ascii="Arial" w:hAnsi="Arial" w:cs="Arial"/>
          <w:sz w:val="34"/>
          <w:szCs w:val="34"/>
        </w:rPr>
        <w:t xml:space="preserve">qualisation </w:t>
      </w:r>
      <w:r w:rsidR="009734A4" w:rsidRPr="004A4A30">
        <w:rPr>
          <w:rFonts w:ascii="Arial" w:hAnsi="Arial" w:cs="Arial"/>
          <w:sz w:val="34"/>
          <w:szCs w:val="34"/>
        </w:rPr>
        <w:t>T</w:t>
      </w:r>
      <w:r w:rsidR="00176FE2">
        <w:rPr>
          <w:rFonts w:ascii="Arial" w:hAnsi="Arial" w:cs="Arial"/>
          <w:sz w:val="34"/>
          <w:szCs w:val="34"/>
        </w:rPr>
        <w:t>ax</w:t>
      </w:r>
      <w:r w:rsidR="009734A4" w:rsidRPr="004A4A30">
        <w:rPr>
          <w:rFonts w:ascii="Arial" w:hAnsi="Arial" w:cs="Arial"/>
          <w:sz w:val="34"/>
          <w:szCs w:val="34"/>
        </w:rPr>
        <w:t xml:space="preserve"> Errors</w:t>
      </w:r>
      <w:r w:rsidR="003E1191" w:rsidRPr="004A4A30">
        <w:rPr>
          <w:rFonts w:ascii="Arial" w:hAnsi="Arial" w:cs="Arial"/>
          <w:sz w:val="34"/>
          <w:szCs w:val="34"/>
        </w:rPr>
        <w:t>)</w:t>
      </w:r>
      <w:r w:rsidR="009734A4" w:rsidRPr="004A4A30">
        <w:rPr>
          <w:rFonts w:ascii="Arial" w:hAnsi="Arial" w:cs="Arial"/>
          <w:sz w:val="34"/>
          <w:szCs w:val="34"/>
        </w:rPr>
        <w:t xml:space="preserve"> Determination 2025</w:t>
      </w:r>
    </w:p>
    <w:bookmarkEnd w:id="0"/>
    <w:p w14:paraId="530D945B" w14:textId="77777777" w:rsidR="009734A4" w:rsidRPr="00B753F6" w:rsidRDefault="009734A4" w:rsidP="0019176E">
      <w:pPr>
        <w:rPr>
          <w:rFonts w:ascii="Arial" w:hAnsi="Arial" w:cs="Arial"/>
          <w:bCs/>
          <w:sz w:val="20"/>
        </w:rPr>
      </w:pPr>
    </w:p>
    <w:p w14:paraId="5F51846A" w14:textId="77777777" w:rsidR="00B753F6" w:rsidRPr="00B753F6" w:rsidRDefault="00B753F6" w:rsidP="0019176E">
      <w:pPr>
        <w:rPr>
          <w:rFonts w:ascii="Arial" w:hAnsi="Arial" w:cs="Arial"/>
          <w:bCs/>
          <w:sz w:val="20"/>
        </w:rPr>
      </w:pPr>
    </w:p>
    <w:p w14:paraId="01587B16" w14:textId="78F6AC30" w:rsidR="00D84CFC" w:rsidRDefault="00486653" w:rsidP="00854AE2">
      <w:pPr>
        <w:pStyle w:val="Heading2"/>
      </w:pPr>
      <w:r w:rsidRPr="00FD0AF2">
        <w:t xml:space="preserve">General </w:t>
      </w:r>
      <w:r w:rsidR="00C620E9" w:rsidRPr="00FD0AF2">
        <w:t>o</w:t>
      </w:r>
      <w:r w:rsidRPr="00FD0AF2">
        <w:t xml:space="preserve">utline of </w:t>
      </w:r>
      <w:r w:rsidR="00C620E9" w:rsidRPr="00FD0AF2">
        <w:t>i</w:t>
      </w:r>
      <w:r w:rsidRPr="00FD0AF2">
        <w:t>nstrument</w:t>
      </w:r>
    </w:p>
    <w:p w14:paraId="763B2153" w14:textId="2E6DC6A8" w:rsidR="00D84CFC" w:rsidRDefault="00D4665E" w:rsidP="00854AE2">
      <w:pPr>
        <w:pStyle w:val="Numberedparagraph"/>
        <w:rPr>
          <w:i/>
        </w:rPr>
      </w:pPr>
      <w:r>
        <w:t>This</w:t>
      </w:r>
      <w:r w:rsidRPr="00DA0EE5">
        <w:t xml:space="preserve"> </w:t>
      </w:r>
      <w:r>
        <w:t>instrument</w:t>
      </w:r>
      <w:r w:rsidRPr="00DA0EE5">
        <w:t xml:space="preserve"> is made under</w:t>
      </w:r>
      <w:r>
        <w:t xml:space="preserve"> </w:t>
      </w:r>
      <w:r w:rsidRPr="00CA4856">
        <w:t xml:space="preserve">subsection 17-20(1) of the </w:t>
      </w:r>
      <w:r w:rsidRPr="00CA4856">
        <w:rPr>
          <w:i/>
        </w:rPr>
        <w:t>A</w:t>
      </w:r>
      <w:r w:rsidRPr="0066630F">
        <w:rPr>
          <w:i/>
        </w:rPr>
        <w:t xml:space="preserve"> New </w:t>
      </w:r>
      <w:r w:rsidRPr="00CA4856">
        <w:rPr>
          <w:i/>
        </w:rPr>
        <w:t xml:space="preserve">Tax System (Goods and Services Tax) Act 1999 </w:t>
      </w:r>
      <w:r w:rsidRPr="00CA4856">
        <w:t>(GST Act)</w:t>
      </w:r>
      <w:r w:rsidRPr="00CA4856">
        <w:rPr>
          <w:i/>
        </w:rPr>
        <w:t>.</w:t>
      </w:r>
    </w:p>
    <w:p w14:paraId="2D7B374B" w14:textId="207E3D91" w:rsidR="00D4665E" w:rsidRDefault="00D4665E" w:rsidP="00854AE2">
      <w:pPr>
        <w:pStyle w:val="Numberedparagraph"/>
      </w:pPr>
      <w:r>
        <w:t xml:space="preserve">The instrument </w:t>
      </w:r>
      <w:r w:rsidRPr="00DA0EE5">
        <w:t xml:space="preserve">allows you to correct </w:t>
      </w:r>
      <w:r w:rsidR="00B20E14">
        <w:t xml:space="preserve">a debit </w:t>
      </w:r>
      <w:r w:rsidR="007934AC">
        <w:t xml:space="preserve">error </w:t>
      </w:r>
      <w:r w:rsidR="00B20E14">
        <w:t>or credit error (</w:t>
      </w:r>
      <w:r w:rsidR="00B20E14" w:rsidRPr="00E774A3">
        <w:t>error</w:t>
      </w:r>
      <w:r w:rsidR="00B20E14">
        <w:t>) that relate</w:t>
      </w:r>
      <w:r w:rsidR="006610C9">
        <w:t>s</w:t>
      </w:r>
      <w:r w:rsidR="00B20E14">
        <w:t xml:space="preserve"> to an amount of </w:t>
      </w:r>
      <w:r>
        <w:t xml:space="preserve">wine tax or wine tax credit </w:t>
      </w:r>
      <w:r w:rsidR="00B93A5A">
        <w:t>that w</w:t>
      </w:r>
      <w:r w:rsidR="00B20E14">
        <w:t>as</w:t>
      </w:r>
      <w:r w:rsidR="00B93A5A">
        <w:t xml:space="preserve"> </w:t>
      </w:r>
      <w:r w:rsidRPr="00DA0EE5">
        <w:t>made</w:t>
      </w:r>
      <w:r w:rsidR="00B93A5A">
        <w:t xml:space="preserve"> in working out your net amount for an earlier tax period </w:t>
      </w:r>
      <w:r w:rsidRPr="00DA0EE5">
        <w:t xml:space="preserve">in </w:t>
      </w:r>
      <w:r>
        <w:t xml:space="preserve">specific </w:t>
      </w:r>
      <w:r w:rsidRPr="00DA0EE5">
        <w:t xml:space="preserve">circumstances. </w:t>
      </w:r>
      <w:bookmarkStart w:id="1" w:name="_Hlk183509570"/>
      <w:r w:rsidR="00B93A5A">
        <w:t>You</w:t>
      </w:r>
      <w:r w:rsidR="00B20E14">
        <w:t xml:space="preserve"> may</w:t>
      </w:r>
      <w:r w:rsidR="00B93A5A">
        <w:t xml:space="preserve"> correct the error by including the amount of the error </w:t>
      </w:r>
      <w:r w:rsidR="00B20E14">
        <w:t xml:space="preserve">from the </w:t>
      </w:r>
      <w:r w:rsidR="00C728D7">
        <w:t>earlier</w:t>
      </w:r>
      <w:r w:rsidR="00B20E14">
        <w:t xml:space="preserve"> tax period, </w:t>
      </w:r>
      <w:r w:rsidR="00B93A5A">
        <w:t xml:space="preserve">in working out the net amount for </w:t>
      </w:r>
      <w:r w:rsidR="00C728D7" w:rsidRPr="00DD04DB">
        <w:t>a</w:t>
      </w:r>
      <w:r w:rsidR="004F5F2A" w:rsidRPr="00DD04DB">
        <w:t xml:space="preserve"> later</w:t>
      </w:r>
      <w:r w:rsidR="00C728D7" w:rsidRPr="00DD04DB">
        <w:t xml:space="preserve"> </w:t>
      </w:r>
      <w:r w:rsidR="00B93A5A" w:rsidRPr="00DD04DB">
        <w:t>tax period</w:t>
      </w:r>
      <w:bookmarkEnd w:id="1"/>
      <w:r w:rsidR="00B93A5A" w:rsidRPr="00DD04DB">
        <w:t>.</w:t>
      </w:r>
    </w:p>
    <w:p w14:paraId="114D31CF" w14:textId="36FBCA3E" w:rsidR="004E72EF" w:rsidRPr="00DA0EE5" w:rsidRDefault="004E72EF" w:rsidP="00854AE2">
      <w:pPr>
        <w:pStyle w:val="Numberedparagraph"/>
      </w:pPr>
      <w:r>
        <w:t>This instrument replace</w:t>
      </w:r>
      <w:r w:rsidR="003E1191">
        <w:t>s</w:t>
      </w:r>
      <w:r>
        <w:t xml:space="preserve"> </w:t>
      </w:r>
      <w:r w:rsidRPr="00E774A3">
        <w:rPr>
          <w:i/>
          <w:iCs/>
        </w:rPr>
        <w:t>Wine Equalisation Tax</w:t>
      </w:r>
      <w:r w:rsidR="00D54C09" w:rsidRPr="00E774A3">
        <w:rPr>
          <w:i/>
          <w:iCs/>
        </w:rPr>
        <w:t>:</w:t>
      </w:r>
      <w:r w:rsidRPr="00E774A3">
        <w:rPr>
          <w:i/>
          <w:iCs/>
        </w:rPr>
        <w:t xml:space="preserve"> Correcting WET Errors Determination 2015</w:t>
      </w:r>
      <w:r>
        <w:t>.</w:t>
      </w:r>
    </w:p>
    <w:p w14:paraId="0B3BD46D" w14:textId="77591940" w:rsidR="00E13AF3" w:rsidRPr="00DA0EE5" w:rsidRDefault="00D4665E" w:rsidP="00854AE2">
      <w:pPr>
        <w:pStyle w:val="Numberedparagraph"/>
      </w:pPr>
      <w:r w:rsidRPr="00DA0EE5">
        <w:t>Th</w:t>
      </w:r>
      <w:r>
        <w:t>e</w:t>
      </w:r>
      <w:r w:rsidRPr="00DA0EE5">
        <w:t xml:space="preserve"> </w:t>
      </w:r>
      <w:r>
        <w:t>instrument</w:t>
      </w:r>
      <w:r w:rsidRPr="00DA0EE5">
        <w:t xml:space="preserve"> is a legislative instrument for the purposes of the </w:t>
      </w:r>
      <w:r w:rsidRPr="00DA0EE5">
        <w:rPr>
          <w:i/>
        </w:rPr>
        <w:t>Legislati</w:t>
      </w:r>
      <w:r w:rsidR="00F90605">
        <w:rPr>
          <w:i/>
        </w:rPr>
        <w:t>on</w:t>
      </w:r>
      <w:r w:rsidRPr="00DA0EE5">
        <w:rPr>
          <w:i/>
        </w:rPr>
        <w:t xml:space="preserve"> Act 2003</w:t>
      </w:r>
      <w:r w:rsidRPr="00DA0EE5">
        <w:t>.</w:t>
      </w:r>
    </w:p>
    <w:p w14:paraId="6D450243" w14:textId="677D2657" w:rsidR="006B61DA" w:rsidRDefault="00D4665E" w:rsidP="00854AE2">
      <w:pPr>
        <w:pStyle w:val="Numberedparagraph"/>
      </w:pPr>
      <w:r w:rsidRPr="00E13AF3">
        <w:t xml:space="preserve">Under subsection 33(3) of the </w:t>
      </w:r>
      <w:r w:rsidRPr="00E13AF3">
        <w:rPr>
          <w:i/>
          <w:iCs/>
        </w:rPr>
        <w:t>Acts Interpretation Act 1901</w:t>
      </w:r>
      <w:r w:rsidRPr="00E13AF3">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B778B75" w14:textId="77777777" w:rsidR="00B8122C" w:rsidRPr="003D582E" w:rsidRDefault="00B8122C" w:rsidP="0019176E">
      <w:pPr>
        <w:spacing w:after="120"/>
        <w:rPr>
          <w:rFonts w:ascii="Arial" w:hAnsi="Arial" w:cs="Arial"/>
          <w:sz w:val="22"/>
          <w:szCs w:val="22"/>
        </w:rPr>
      </w:pPr>
    </w:p>
    <w:p w14:paraId="1997CADD" w14:textId="77777777" w:rsidR="00D4665E" w:rsidRPr="00FD0AF2" w:rsidRDefault="00D4665E" w:rsidP="0019176E">
      <w:pPr>
        <w:pStyle w:val="Heading2"/>
      </w:pPr>
      <w:r w:rsidRPr="00FD0AF2">
        <w:t>Date of effect</w:t>
      </w:r>
    </w:p>
    <w:p w14:paraId="6F4E3136" w14:textId="50821CFA" w:rsidR="00D4665E" w:rsidRDefault="00D4665E" w:rsidP="00854AE2">
      <w:pPr>
        <w:pStyle w:val="Numberedparagraph"/>
      </w:pPr>
      <w:r w:rsidRPr="00FD0AF2">
        <w:t xml:space="preserve">This </w:t>
      </w:r>
      <w:r>
        <w:t>instrument</w:t>
      </w:r>
      <w:r w:rsidRPr="00FD0AF2">
        <w:t xml:space="preserve"> commences on the day after it is registered on the </w:t>
      </w:r>
      <w:r w:rsidRPr="0066630F">
        <w:t>Federal</w:t>
      </w:r>
      <w:r w:rsidRPr="00FD0AF2">
        <w:t xml:space="preserve"> Register of Legislation.</w:t>
      </w:r>
    </w:p>
    <w:p w14:paraId="2A9E8B32" w14:textId="48C43B6A" w:rsidR="006B61DA" w:rsidRDefault="006B61DA" w:rsidP="0019176E">
      <w:pPr>
        <w:spacing w:after="120"/>
        <w:rPr>
          <w:rFonts w:ascii="Arial" w:hAnsi="Arial" w:cs="Arial"/>
          <w:sz w:val="22"/>
          <w:szCs w:val="22"/>
        </w:rPr>
      </w:pPr>
    </w:p>
    <w:p w14:paraId="0F56210A" w14:textId="77777777" w:rsidR="00A64DEE" w:rsidRPr="00FA77DA" w:rsidRDefault="00A64DEE" w:rsidP="0019176E">
      <w:pPr>
        <w:pStyle w:val="Heading2"/>
        <w:rPr>
          <w:b w:val="0"/>
        </w:rPr>
      </w:pPr>
      <w:r w:rsidRPr="00FD0AF2">
        <w:t>Background</w:t>
      </w:r>
    </w:p>
    <w:p w14:paraId="763E3D5E" w14:textId="6C0E04AB" w:rsidR="00A64DEE" w:rsidRDefault="00A64DEE" w:rsidP="00854AE2">
      <w:pPr>
        <w:pStyle w:val="Numberedparagraph"/>
      </w:pPr>
      <w:r w:rsidRPr="00E944E5">
        <w:t>Generally, when you make a</w:t>
      </w:r>
      <w:r w:rsidR="004035D8" w:rsidRPr="00E944E5">
        <w:t>n</w:t>
      </w:r>
      <w:r w:rsidRPr="00E944E5">
        <w:t xml:space="preserve"> error that results in your assessed net amount </w:t>
      </w:r>
      <w:r w:rsidR="00594878" w:rsidRPr="00E944E5">
        <w:t xml:space="preserve">under the GST Act </w:t>
      </w:r>
      <w:r w:rsidRPr="00E944E5">
        <w:t>for a tax period being incorrect, you will need to request an amendment to the assessment</w:t>
      </w:r>
      <w:r w:rsidR="00344858" w:rsidRPr="00E944E5">
        <w:t>, for that tax period,</w:t>
      </w:r>
      <w:r w:rsidRPr="00E944E5">
        <w:t xml:space="preserve"> to correct the error.</w:t>
      </w:r>
      <w:r w:rsidR="000B61BF" w:rsidRPr="00E944E5">
        <w:t xml:space="preserve"> This instrument provides an alternative mechanism to allow errors made in earlier periods to be corrected in a</w:t>
      </w:r>
      <w:r w:rsidR="00A035B8" w:rsidRPr="00E944E5">
        <w:t xml:space="preserve"> </w:t>
      </w:r>
      <w:r w:rsidR="00E944E5" w:rsidRPr="00E944E5">
        <w:t>later</w:t>
      </w:r>
      <w:r w:rsidR="00A035B8" w:rsidRPr="00E944E5">
        <w:t xml:space="preserve"> </w:t>
      </w:r>
      <w:r w:rsidR="000B61BF" w:rsidRPr="00E944E5">
        <w:t>tax period</w:t>
      </w:r>
      <w:r w:rsidR="00E944E5">
        <w:t>.</w:t>
      </w:r>
    </w:p>
    <w:p w14:paraId="698361AE" w14:textId="77777777" w:rsidR="00E23339" w:rsidRPr="00E944E5" w:rsidRDefault="00E23339" w:rsidP="00E774A3">
      <w:pPr>
        <w:pStyle w:val="Numberedparagraph"/>
        <w:numPr>
          <w:ilvl w:val="0"/>
          <w:numId w:val="0"/>
        </w:numPr>
      </w:pPr>
    </w:p>
    <w:p w14:paraId="460F232C" w14:textId="460B1539" w:rsidR="00E6527E" w:rsidRPr="00B753F6" w:rsidRDefault="00E6527E" w:rsidP="0019176E">
      <w:pPr>
        <w:pStyle w:val="Heading3"/>
        <w:spacing w:before="0" w:after="120"/>
        <w:rPr>
          <w:i/>
          <w:iCs/>
          <w:sz w:val="22"/>
          <w:szCs w:val="22"/>
        </w:rPr>
      </w:pPr>
      <w:r w:rsidRPr="00B753F6">
        <w:rPr>
          <w:i/>
          <w:iCs/>
          <w:sz w:val="22"/>
          <w:szCs w:val="22"/>
        </w:rPr>
        <w:t>What is a</w:t>
      </w:r>
      <w:r w:rsidR="006A58A4" w:rsidRPr="00B753F6">
        <w:rPr>
          <w:i/>
          <w:iCs/>
          <w:sz w:val="22"/>
          <w:szCs w:val="22"/>
        </w:rPr>
        <w:t>n</w:t>
      </w:r>
      <w:r w:rsidR="002F2F7E" w:rsidRPr="00B753F6">
        <w:rPr>
          <w:i/>
          <w:iCs/>
          <w:sz w:val="22"/>
          <w:szCs w:val="22"/>
        </w:rPr>
        <w:t xml:space="preserve"> </w:t>
      </w:r>
      <w:r w:rsidRPr="00B753F6">
        <w:rPr>
          <w:i/>
          <w:iCs/>
          <w:sz w:val="22"/>
          <w:szCs w:val="22"/>
        </w:rPr>
        <w:t>error?</w:t>
      </w:r>
    </w:p>
    <w:p w14:paraId="52E4E346" w14:textId="70D3BABB" w:rsidR="00D84CFC" w:rsidRDefault="00E6527E" w:rsidP="00854AE2">
      <w:pPr>
        <w:pStyle w:val="Numberedparagraph"/>
        <w:keepNext/>
      </w:pPr>
      <w:r w:rsidRPr="00DA0EE5">
        <w:t>A</w:t>
      </w:r>
      <w:r w:rsidR="006A58A4">
        <w:t xml:space="preserve">n </w:t>
      </w:r>
      <w:r w:rsidRPr="00813644">
        <w:rPr>
          <w:bCs/>
          <w:iCs/>
        </w:rPr>
        <w:t>error</w:t>
      </w:r>
      <w:r w:rsidRPr="00DA0EE5">
        <w:t xml:space="preserve"> is a mistake</w:t>
      </w:r>
      <w:r>
        <w:t>,</w:t>
      </w:r>
      <w:r w:rsidRPr="00DA0EE5">
        <w:t xml:space="preserve"> in relation </w:t>
      </w:r>
      <w:r w:rsidRPr="007573BC">
        <w:t xml:space="preserve">to </w:t>
      </w:r>
      <w:r w:rsidR="00803257" w:rsidRPr="007573BC">
        <w:t>an amount of</w:t>
      </w:r>
      <w:r w:rsidR="00803257">
        <w:t xml:space="preserve"> </w:t>
      </w:r>
      <w:r w:rsidRPr="00DA0EE5">
        <w:t xml:space="preserve">wine tax or wine tax </w:t>
      </w:r>
      <w:r w:rsidRPr="007573BC">
        <w:t>credits</w:t>
      </w:r>
      <w:r w:rsidR="00803257" w:rsidRPr="007573BC">
        <w:t xml:space="preserve"> </w:t>
      </w:r>
      <w:r w:rsidR="00594878" w:rsidRPr="007573BC">
        <w:t>(</w:t>
      </w:r>
      <w:r w:rsidR="00883635" w:rsidRPr="007573BC">
        <w:t xml:space="preserve">defined in </w:t>
      </w:r>
      <w:r w:rsidR="00803257" w:rsidRPr="007573BC">
        <w:t xml:space="preserve">the </w:t>
      </w:r>
      <w:r w:rsidR="00803257" w:rsidRPr="001568AC">
        <w:rPr>
          <w:i/>
          <w:iCs/>
        </w:rPr>
        <w:t>A</w:t>
      </w:r>
      <w:r w:rsidR="00BA12BE" w:rsidRPr="0066630F">
        <w:rPr>
          <w:i/>
          <w:iCs/>
        </w:rPr>
        <w:t> </w:t>
      </w:r>
      <w:r w:rsidR="00803257" w:rsidRPr="0066630F">
        <w:rPr>
          <w:i/>
          <w:iCs/>
        </w:rPr>
        <w:t xml:space="preserve">New </w:t>
      </w:r>
      <w:r w:rsidR="00803257" w:rsidRPr="001568AC">
        <w:rPr>
          <w:i/>
          <w:iCs/>
        </w:rPr>
        <w:t>Tax System (Wine Equalisation Tax) Act 1999</w:t>
      </w:r>
      <w:r w:rsidR="00803257" w:rsidRPr="007573BC">
        <w:t xml:space="preserve"> (WET Act)</w:t>
      </w:r>
      <w:r w:rsidR="00594878" w:rsidRPr="007573BC">
        <w:t>)</w:t>
      </w:r>
      <w:r w:rsidRPr="007573BC">
        <w:t>,</w:t>
      </w:r>
      <w:r w:rsidRPr="002542FE">
        <w:t xml:space="preserve"> that you have</w:t>
      </w:r>
      <w:r>
        <w:t xml:space="preserve"> made</w:t>
      </w:r>
      <w:r w:rsidRPr="00DA0EE5">
        <w:t xml:space="preserve"> in working out </w:t>
      </w:r>
      <w:r>
        <w:t>your</w:t>
      </w:r>
      <w:r w:rsidRPr="00DA0EE5">
        <w:t xml:space="preserve"> net amount for a tax period that would, if it was the only mistake made, have resulted in your net amount or assessed net amount being </w:t>
      </w:r>
      <w:r>
        <w:t>overstated (a credit error) or understated (a debit error)</w:t>
      </w:r>
      <w:r w:rsidRPr="00DA0EE5">
        <w:t xml:space="preserve">. </w:t>
      </w:r>
      <w:r w:rsidRPr="00DA0EE5" w:rsidDel="00820E20">
        <w:t>A</w:t>
      </w:r>
      <w:r w:rsidR="00F545EE">
        <w:t xml:space="preserve">n </w:t>
      </w:r>
      <w:r w:rsidRPr="00DA0EE5" w:rsidDel="00820E20">
        <w:t>error must result in the net amount or assessed net amount for the relevant tax period being incorrect (</w:t>
      </w:r>
      <w:r w:rsidR="00CF5CFB" w:rsidRPr="00BA12BE">
        <w:t>that is,</w:t>
      </w:r>
      <w:r w:rsidRPr="00DA0EE5" w:rsidDel="00820E20">
        <w:t xml:space="preserve"> it must be quantified).</w:t>
      </w:r>
    </w:p>
    <w:p w14:paraId="6A81EC39" w14:textId="0D350E5B" w:rsidR="007716D0" w:rsidRDefault="007716D0" w:rsidP="00787A4C"/>
    <w:p w14:paraId="22511A95" w14:textId="557A60EA" w:rsidR="00E6527E" w:rsidRPr="007716D0" w:rsidRDefault="00E6527E" w:rsidP="007716D0">
      <w:pPr>
        <w:keepNext/>
        <w:spacing w:after="120"/>
        <w:rPr>
          <w:rFonts w:ascii="Arial" w:hAnsi="Arial" w:cs="Arial"/>
          <w:b/>
          <w:i/>
          <w:iCs/>
          <w:sz w:val="20"/>
        </w:rPr>
      </w:pPr>
      <w:r w:rsidRPr="007716D0">
        <w:rPr>
          <w:rFonts w:ascii="Arial" w:hAnsi="Arial" w:cs="Arial"/>
          <w:b/>
          <w:i/>
          <w:iCs/>
          <w:sz w:val="20"/>
        </w:rPr>
        <w:t>Example 1</w:t>
      </w:r>
    </w:p>
    <w:p w14:paraId="1C758466" w14:textId="5C823E46" w:rsidR="00E6527E" w:rsidRPr="006643E8" w:rsidRDefault="00E6527E" w:rsidP="007716D0">
      <w:pPr>
        <w:spacing w:after="120"/>
        <w:rPr>
          <w:rFonts w:ascii="Arial" w:hAnsi="Arial" w:cs="Arial"/>
          <w:i/>
          <w:iCs/>
          <w:sz w:val="20"/>
        </w:rPr>
      </w:pPr>
      <w:r w:rsidRPr="006643E8">
        <w:rPr>
          <w:rFonts w:ascii="Arial" w:hAnsi="Arial" w:cs="Arial"/>
          <w:i/>
          <w:iCs/>
          <w:sz w:val="20"/>
        </w:rPr>
        <w:t xml:space="preserve">On 15 December 2023, Wodehouse Company discovers it has not correctly accounted for </w:t>
      </w:r>
      <w:r w:rsidR="00383F63" w:rsidRPr="006643E8">
        <w:rPr>
          <w:rFonts w:ascii="Arial" w:hAnsi="Arial" w:cs="Arial"/>
          <w:i/>
          <w:iCs/>
          <w:sz w:val="20"/>
        </w:rPr>
        <w:t>Wine Equalisation Tax (</w:t>
      </w:r>
      <w:r w:rsidRPr="006643E8">
        <w:rPr>
          <w:rFonts w:ascii="Arial" w:hAnsi="Arial" w:cs="Arial"/>
          <w:i/>
          <w:iCs/>
          <w:sz w:val="20"/>
        </w:rPr>
        <w:t>WET</w:t>
      </w:r>
      <w:r w:rsidR="00383F63" w:rsidRPr="006643E8">
        <w:rPr>
          <w:rFonts w:ascii="Arial" w:hAnsi="Arial" w:cs="Arial"/>
          <w:i/>
          <w:iCs/>
          <w:sz w:val="20"/>
        </w:rPr>
        <w:t>)</w:t>
      </w:r>
      <w:r w:rsidRPr="006643E8">
        <w:rPr>
          <w:rFonts w:ascii="Arial" w:hAnsi="Arial" w:cs="Arial"/>
          <w:i/>
          <w:iCs/>
          <w:sz w:val="20"/>
        </w:rPr>
        <w:t xml:space="preserve"> on supplies made for the tax period ended 30 September 2023, for which a GST return was lodged </w:t>
      </w:r>
      <w:r w:rsidRPr="006643E8">
        <w:rPr>
          <w:rFonts w:ascii="Arial" w:hAnsi="Arial" w:cs="Arial"/>
          <w:i/>
          <w:iCs/>
          <w:sz w:val="20"/>
        </w:rPr>
        <w:lastRenderedPageBreak/>
        <w:t>on 21 October 2023. However, it is unable to quantify the amounts and decides to engage an accounting firm to review its accounts.</w:t>
      </w:r>
    </w:p>
    <w:p w14:paraId="57CBDE9C" w14:textId="77777777" w:rsidR="00D84CFC" w:rsidRDefault="00E6527E" w:rsidP="007716D0">
      <w:pPr>
        <w:spacing w:after="120"/>
        <w:rPr>
          <w:rFonts w:ascii="Arial" w:hAnsi="Arial" w:cs="Arial"/>
          <w:sz w:val="20"/>
        </w:rPr>
      </w:pPr>
      <w:r w:rsidRPr="006643E8">
        <w:rPr>
          <w:rFonts w:ascii="Arial" w:hAnsi="Arial" w:cs="Arial"/>
          <w:i/>
          <w:iCs/>
          <w:sz w:val="20"/>
        </w:rPr>
        <w:t xml:space="preserve">On 12 February 2024, the accounting firm finalises the review for Wodehouse Company and identifies that a WET error was made in calculating the amount of WET attributable to the September 2023 tax period. The amount of the unreported WET that relates to the September 2023 tax period is $7,975. </w:t>
      </w:r>
      <w:r w:rsidR="00A95C7F" w:rsidRPr="006643E8">
        <w:rPr>
          <w:rFonts w:ascii="Arial" w:hAnsi="Arial" w:cs="Arial"/>
          <w:i/>
          <w:iCs/>
          <w:sz w:val="20"/>
        </w:rPr>
        <w:t xml:space="preserve">As this error has been quantified and a review by the accounting firm shows that this error has not been corrected via an amendment or in a subsequent GST return it now falls within the </w:t>
      </w:r>
      <w:r w:rsidR="00005D92" w:rsidRPr="006643E8">
        <w:rPr>
          <w:rFonts w:ascii="Arial" w:hAnsi="Arial" w:cs="Arial"/>
          <w:i/>
          <w:iCs/>
          <w:sz w:val="20"/>
        </w:rPr>
        <w:t xml:space="preserve">scope </w:t>
      </w:r>
      <w:r w:rsidR="00A95C7F" w:rsidRPr="006643E8">
        <w:rPr>
          <w:rFonts w:ascii="Arial" w:hAnsi="Arial" w:cs="Arial"/>
          <w:i/>
          <w:iCs/>
          <w:sz w:val="20"/>
        </w:rPr>
        <w:t>of this instrument</w:t>
      </w:r>
      <w:r w:rsidR="00A95C7F">
        <w:rPr>
          <w:rFonts w:ascii="Arial" w:hAnsi="Arial" w:cs="Arial"/>
          <w:sz w:val="20"/>
        </w:rPr>
        <w:t>.</w:t>
      </w:r>
    </w:p>
    <w:p w14:paraId="2FA5E400" w14:textId="31EFCE58" w:rsidR="006A3316" w:rsidRPr="00BA12BE" w:rsidRDefault="006A3316" w:rsidP="007716D0">
      <w:pPr>
        <w:pStyle w:val="Numberedparagraph"/>
      </w:pPr>
      <w:r w:rsidRPr="00BA12BE">
        <w:t xml:space="preserve">Each separate error, and its effect on the net amount or assessed net amount, must be assessed as though it was the only mistake made in the earlier tax period. Where there are multiple errors made in working out a net amount for an earlier tax period, each individual error must be examined </w:t>
      </w:r>
      <w:r w:rsidR="00D73602" w:rsidRPr="00BA12BE">
        <w:t xml:space="preserve">separately </w:t>
      </w:r>
      <w:r w:rsidRPr="00BA12BE">
        <w:t>to determine whether it is a debit or credit error.</w:t>
      </w:r>
    </w:p>
    <w:p w14:paraId="3F3E7A82" w14:textId="77777777" w:rsidR="00E6527E" w:rsidRPr="00FB5CAA" w:rsidRDefault="00E6527E" w:rsidP="007716D0">
      <w:pPr>
        <w:pStyle w:val="Numberedparagraph"/>
      </w:pPr>
      <w:r>
        <w:rPr>
          <w:bCs/>
          <w:iCs/>
        </w:rPr>
        <w:t>D</w:t>
      </w:r>
      <w:r w:rsidRPr="004A4A30">
        <w:rPr>
          <w:bCs/>
          <w:iCs/>
        </w:rPr>
        <w:t>ebit error</w:t>
      </w:r>
      <w:r w:rsidRPr="00FB5CAA">
        <w:t xml:space="preserve"> </w:t>
      </w:r>
      <w:r>
        <w:t>means</w:t>
      </w:r>
      <w:r w:rsidRPr="00FB5CAA">
        <w:t xml:space="preserve"> a </w:t>
      </w:r>
      <w:r w:rsidRPr="004A4A30">
        <w:rPr>
          <w:shd w:val="clear" w:color="auto" w:fill="FFFFFF"/>
        </w:rPr>
        <w:t>mistake</w:t>
      </w:r>
      <w:r w:rsidRPr="00FB5CAA">
        <w:t xml:space="preserve"> you made in relation to wine tax or wine tax credits in working out a net amount for a</w:t>
      </w:r>
      <w:r>
        <w:t>n earlier</w:t>
      </w:r>
      <w:r w:rsidRPr="00FB5CAA">
        <w:t xml:space="preserve"> tax period that would, if it was the only mistake made in th</w:t>
      </w:r>
      <w:r>
        <w:t>at</w:t>
      </w:r>
      <w:r w:rsidRPr="00FB5CAA">
        <w:t xml:space="preserve"> tax period, have resulted in </w:t>
      </w:r>
      <w:r>
        <w:t>your</w:t>
      </w:r>
      <w:r w:rsidRPr="00FB5CAA">
        <w:t xml:space="preserve"> net amount, or assessed net amount, being </w:t>
      </w:r>
      <w:r w:rsidRPr="004A4A30">
        <w:t>understated</w:t>
      </w:r>
      <w:r w:rsidRPr="00FB5CAA">
        <w:t xml:space="preserve">. </w:t>
      </w:r>
      <w:r w:rsidRPr="000A1E76">
        <w:t>In practice, this would result in your amount payable being understated or your refund being</w:t>
      </w:r>
      <w:r>
        <w:t xml:space="preserve"> overstated.</w:t>
      </w:r>
    </w:p>
    <w:p w14:paraId="5AEEAF88" w14:textId="77777777" w:rsidR="00E6527E" w:rsidRPr="000A1E76" w:rsidRDefault="00E6527E" w:rsidP="002C6DC5">
      <w:pPr>
        <w:pStyle w:val="Numberedparagraph"/>
        <w:keepNext/>
      </w:pPr>
      <w:r w:rsidRPr="00FB5CAA">
        <w:t>Examples of debit errors include:</w:t>
      </w:r>
    </w:p>
    <w:p w14:paraId="11D0DA3D" w14:textId="59E7270B" w:rsidR="00E6527E" w:rsidRPr="004A4A30" w:rsidRDefault="00E6527E" w:rsidP="008C165E">
      <w:pPr>
        <w:pStyle w:val="alphabullets"/>
        <w:numPr>
          <w:ilvl w:val="0"/>
          <w:numId w:val="14"/>
        </w:numPr>
        <w:tabs>
          <w:tab w:val="left" w:pos="2268"/>
        </w:tabs>
        <w:ind w:left="1418" w:hanging="709"/>
      </w:pPr>
      <w:r w:rsidRPr="004A4A30">
        <w:t>failing to include the wine tax liability on an assessable dealing</w:t>
      </w:r>
      <w:r w:rsidR="002346C0">
        <w:t>,</w:t>
      </w:r>
      <w:r w:rsidRPr="004A4A30">
        <w:t xml:space="preserve"> </w:t>
      </w:r>
      <w:r w:rsidR="002346C0">
        <w:t>as defined in</w:t>
      </w:r>
      <w:r w:rsidR="00894423">
        <w:t xml:space="preserve"> the WET Act</w:t>
      </w:r>
      <w:r w:rsidR="002346C0">
        <w:t>,</w:t>
      </w:r>
      <w:r w:rsidR="00894423">
        <w:t xml:space="preserve"> </w:t>
      </w:r>
      <w:r w:rsidRPr="004A4A30">
        <w:t>in the sum of the amounts of wine tax liabilities for the tax period</w:t>
      </w:r>
      <w:r>
        <w:t>,</w:t>
      </w:r>
    </w:p>
    <w:p w14:paraId="145103DF" w14:textId="238624D3" w:rsidR="00E6527E" w:rsidRPr="00B33B4A" w:rsidRDefault="00E6527E" w:rsidP="008C165E">
      <w:pPr>
        <w:pStyle w:val="alphabullets"/>
        <w:numPr>
          <w:ilvl w:val="0"/>
          <w:numId w:val="14"/>
        </w:numPr>
        <w:tabs>
          <w:tab w:val="left" w:pos="2268"/>
        </w:tabs>
        <w:ind w:left="1418" w:hanging="709"/>
      </w:pPr>
      <w:r w:rsidRPr="00B33B4A">
        <w:t xml:space="preserve">understating the wine tax payable, </w:t>
      </w:r>
      <w:r w:rsidRPr="00BA12BE">
        <w:t>for example</w:t>
      </w:r>
      <w:r w:rsidR="00CF5CFB" w:rsidRPr="00BA12BE">
        <w:t>,</w:t>
      </w:r>
      <w:r w:rsidRPr="00BA12BE">
        <w:t xml:space="preserve"> </w:t>
      </w:r>
      <w:r>
        <w:t>stating</w:t>
      </w:r>
      <w:r w:rsidRPr="00B33B4A">
        <w:t xml:space="preserve"> a wine tax liability as $1,000 rather than the correct amount of $10,000</w:t>
      </w:r>
      <w:r>
        <w:t>, and</w:t>
      </w:r>
    </w:p>
    <w:p w14:paraId="6B2D7B26" w14:textId="77777777" w:rsidR="00D84CFC" w:rsidRDefault="00487A11" w:rsidP="008C165E">
      <w:pPr>
        <w:pStyle w:val="alphabullets"/>
        <w:numPr>
          <w:ilvl w:val="0"/>
          <w:numId w:val="14"/>
        </w:numPr>
        <w:tabs>
          <w:tab w:val="left" w:pos="2268"/>
        </w:tabs>
        <w:ind w:left="1418" w:hanging="709"/>
      </w:pPr>
      <w:r>
        <w:t xml:space="preserve">clerical errors </w:t>
      </w:r>
      <w:r w:rsidR="00E6527E" w:rsidRPr="00CF6F34">
        <w:t>overstating the amount of a wine tax credit</w:t>
      </w:r>
      <w:r w:rsidR="002D69C2">
        <w:t>,</w:t>
      </w:r>
      <w:r w:rsidR="001F3691">
        <w:t xml:space="preserve"> </w:t>
      </w:r>
      <w:r>
        <w:t xml:space="preserve">such as by </w:t>
      </w:r>
      <w:r w:rsidR="00E6527E" w:rsidRPr="00CF6F34">
        <w:t xml:space="preserve">including an amount of wine tax credit in the sum of the wine tax credits </w:t>
      </w:r>
      <w:r w:rsidR="00F65B08">
        <w:t>twice in the same tax period</w:t>
      </w:r>
      <w:r w:rsidR="00E6527E">
        <w:t>.</w:t>
      </w:r>
    </w:p>
    <w:p w14:paraId="3424D9CB" w14:textId="77777777" w:rsidR="00D84CFC" w:rsidRDefault="00E6527E" w:rsidP="007716D0">
      <w:pPr>
        <w:pStyle w:val="Numberedparagraph"/>
      </w:pPr>
      <w:r>
        <w:rPr>
          <w:bCs/>
          <w:iCs/>
        </w:rPr>
        <w:t>A c</w:t>
      </w:r>
      <w:r w:rsidRPr="004A4A30">
        <w:rPr>
          <w:bCs/>
          <w:iCs/>
        </w:rPr>
        <w:t xml:space="preserve">redit </w:t>
      </w:r>
      <w:r w:rsidRPr="00BA12BE">
        <w:t>error</w:t>
      </w:r>
      <w:r w:rsidRPr="00CF6F34">
        <w:t xml:space="preserve"> is a </w:t>
      </w:r>
      <w:r w:rsidRPr="004A4A30">
        <w:rPr>
          <w:shd w:val="clear" w:color="auto" w:fill="FFFFFF"/>
        </w:rPr>
        <w:t>mistake</w:t>
      </w:r>
      <w:r w:rsidRPr="00CF6F34">
        <w:t xml:space="preserve"> you made in working out your wine tax or wine tax credits included in the net amount for a</w:t>
      </w:r>
      <w:r>
        <w:t>n earlier</w:t>
      </w:r>
      <w:r w:rsidRPr="00CF6F34">
        <w:t xml:space="preserve"> tax period that would, if it was the only mistake made in </w:t>
      </w:r>
      <w:r>
        <w:t>that</w:t>
      </w:r>
      <w:r w:rsidRPr="00CF6F34">
        <w:t xml:space="preserve"> tax period, have resulted in the net amount</w:t>
      </w:r>
      <w:r>
        <w:t>,</w:t>
      </w:r>
      <w:r w:rsidRPr="00CF6F34">
        <w:t xml:space="preserve"> or assessed net amount</w:t>
      </w:r>
      <w:r>
        <w:t>,</w:t>
      </w:r>
      <w:r w:rsidRPr="00CF6F34">
        <w:t xml:space="preserve"> being </w:t>
      </w:r>
      <w:r w:rsidRPr="004A4A30">
        <w:t>overstated</w:t>
      </w:r>
      <w:r w:rsidRPr="00CF6F34">
        <w:t>.</w:t>
      </w:r>
      <w:r>
        <w:t xml:space="preserve"> </w:t>
      </w:r>
      <w:r w:rsidRPr="000A1E76">
        <w:t>In practice this would result in your amount payable being overstated or your refund being understated</w:t>
      </w:r>
      <w:r>
        <w:t>.</w:t>
      </w:r>
    </w:p>
    <w:p w14:paraId="6DD310FD" w14:textId="77777777" w:rsidR="00D84CFC" w:rsidRDefault="00E6527E" w:rsidP="002C6DC5">
      <w:pPr>
        <w:pStyle w:val="Numberedparagraph"/>
        <w:keepNext/>
      </w:pPr>
      <w:r w:rsidRPr="00CF6F34">
        <w:t>Examples of credit errors include:</w:t>
      </w:r>
    </w:p>
    <w:p w14:paraId="20DD115D" w14:textId="04C3FD24" w:rsidR="00E6527E" w:rsidRPr="00B33B4A" w:rsidRDefault="00E6527E" w:rsidP="00FE4E58">
      <w:pPr>
        <w:pStyle w:val="alphabullets"/>
        <w:numPr>
          <w:ilvl w:val="0"/>
          <w:numId w:val="10"/>
        </w:numPr>
        <w:ind w:left="1418" w:hanging="709"/>
      </w:pPr>
      <w:r w:rsidRPr="00B33B4A">
        <w:t>reporting a wine tax liability on an assessable dealing twice</w:t>
      </w:r>
      <w:r>
        <w:t>,</w:t>
      </w:r>
    </w:p>
    <w:p w14:paraId="0441D0D9" w14:textId="29430F7F" w:rsidR="00D84CFC" w:rsidRDefault="00E6527E" w:rsidP="00FE4E58">
      <w:pPr>
        <w:pStyle w:val="alphabullets"/>
        <w:numPr>
          <w:ilvl w:val="0"/>
          <w:numId w:val="10"/>
        </w:numPr>
        <w:ind w:left="1418" w:hanging="709"/>
      </w:pPr>
      <w:r w:rsidRPr="00B33B4A">
        <w:t>overstating the wine tax payable, for example, entering the wine tax liability on an assessable dealing as $10,800, rather than the correct amount of $10,000</w:t>
      </w:r>
      <w:r>
        <w:t>, and</w:t>
      </w:r>
    </w:p>
    <w:p w14:paraId="1E7399B5" w14:textId="553F9B9E" w:rsidR="00E6527E" w:rsidRPr="00AC6983" w:rsidRDefault="00E6527E" w:rsidP="00FE4E58">
      <w:pPr>
        <w:pStyle w:val="alphabullets"/>
        <w:numPr>
          <w:ilvl w:val="0"/>
          <w:numId w:val="10"/>
        </w:numPr>
        <w:ind w:left="1418" w:hanging="709"/>
      </w:pPr>
      <w:r w:rsidRPr="00AC6983">
        <w:t>under-claiming the amount of a wine tax credit for example, entering wine tax credits of $1,000 rather than the correct amount of $10,000.</w:t>
      </w:r>
    </w:p>
    <w:p w14:paraId="79D45FE7" w14:textId="38339004" w:rsidR="00A64DEE" w:rsidRPr="00787A4C" w:rsidRDefault="00A64DEE" w:rsidP="007716D0">
      <w:pPr>
        <w:pStyle w:val="Numberedparagraph"/>
        <w:rPr>
          <w:i/>
        </w:rPr>
      </w:pPr>
      <w:r w:rsidRPr="0045422B">
        <w:t>Amounts of wine tax and wine tax credits affect the net amount</w:t>
      </w:r>
      <w:r w:rsidR="0069395A">
        <w:t>,</w:t>
      </w:r>
      <w:r w:rsidRPr="0045422B">
        <w:t xml:space="preserve"> </w:t>
      </w:r>
      <w:r w:rsidR="00894423">
        <w:t xml:space="preserve">worked out </w:t>
      </w:r>
      <w:r w:rsidRPr="0045422B">
        <w:t xml:space="preserve">under </w:t>
      </w:r>
      <w:r w:rsidR="00894423">
        <w:t>section</w:t>
      </w:r>
      <w:r w:rsidR="00BA12BE">
        <w:t> </w:t>
      </w:r>
      <w:r w:rsidR="00894423">
        <w:t xml:space="preserve">17-5 of </w:t>
      </w:r>
      <w:r w:rsidRPr="0045422B">
        <w:t>the GST Act, therefore an instrument in relation to wine tax can be made under subsection 17</w:t>
      </w:r>
      <w:r w:rsidR="005E3AC1">
        <w:t>-</w:t>
      </w:r>
      <w:r w:rsidRPr="0045422B">
        <w:t>20(1) of the GST Act.</w:t>
      </w:r>
    </w:p>
    <w:p w14:paraId="3BEC679B" w14:textId="77777777" w:rsidR="00A64DEE" w:rsidRPr="00D84CFC" w:rsidRDefault="00A64DEE" w:rsidP="0019176E">
      <w:pPr>
        <w:spacing w:after="120"/>
        <w:rPr>
          <w:rFonts w:ascii="Arial" w:hAnsi="Arial" w:cs="Arial"/>
          <w:sz w:val="22"/>
          <w:szCs w:val="22"/>
        </w:rPr>
      </w:pPr>
    </w:p>
    <w:p w14:paraId="78BAEF83" w14:textId="64B62D15" w:rsidR="00D4665E" w:rsidRPr="00FD0AF2" w:rsidRDefault="00D4665E" w:rsidP="0019176E">
      <w:pPr>
        <w:pStyle w:val="Heading2"/>
      </w:pPr>
      <w:r>
        <w:t>E</w:t>
      </w:r>
      <w:r w:rsidRPr="00FD0AF2">
        <w:t>ffect of this instrument</w:t>
      </w:r>
    </w:p>
    <w:p w14:paraId="4D6603A4" w14:textId="77777777" w:rsidR="00D84CFC" w:rsidRDefault="00FD6A09" w:rsidP="007716D0">
      <w:pPr>
        <w:pStyle w:val="Numberedparagraph"/>
      </w:pPr>
      <w:r>
        <w:t>Where the circumstances in this instrument are met, you may choose to correct a</w:t>
      </w:r>
      <w:r w:rsidR="00F65B08">
        <w:t>n</w:t>
      </w:r>
      <w:r w:rsidR="00D4665E" w:rsidRPr="00896C86">
        <w:t xml:space="preserve"> error that has been </w:t>
      </w:r>
      <w:r w:rsidR="00B93A5A" w:rsidRPr="00896C86">
        <w:t>included</w:t>
      </w:r>
      <w:r w:rsidR="004E72EF" w:rsidRPr="00896C86">
        <w:t xml:space="preserve"> in </w:t>
      </w:r>
      <w:r w:rsidR="00B93A5A" w:rsidRPr="00896C86">
        <w:t xml:space="preserve">working out a net amount for </w:t>
      </w:r>
      <w:r w:rsidR="00D4665E" w:rsidRPr="00896C86">
        <w:t xml:space="preserve">an earlier tax period </w:t>
      </w:r>
      <w:r>
        <w:t>by</w:t>
      </w:r>
      <w:r w:rsidR="00D4665E" w:rsidRPr="00896C86">
        <w:t xml:space="preserve"> </w:t>
      </w:r>
      <w:r w:rsidR="00231FB4">
        <w:t>including the amount of th</w:t>
      </w:r>
      <w:r>
        <w:t>at</w:t>
      </w:r>
      <w:r w:rsidR="00231FB4">
        <w:t xml:space="preserve"> error</w:t>
      </w:r>
      <w:r w:rsidR="00D4665E" w:rsidRPr="00896C86">
        <w:t xml:space="preserve"> in the</w:t>
      </w:r>
      <w:r w:rsidR="00B93A5A" w:rsidRPr="00896C86">
        <w:t xml:space="preserve"> next</w:t>
      </w:r>
      <w:r w:rsidR="004E72EF" w:rsidRPr="00896C86">
        <w:t xml:space="preserve"> GST return</w:t>
      </w:r>
      <w:r w:rsidR="00D4665E" w:rsidRPr="00896C86">
        <w:t xml:space="preserve"> you lodge with the </w:t>
      </w:r>
      <w:r w:rsidR="00D4665E" w:rsidRPr="0066630F">
        <w:t>Commissioner</w:t>
      </w:r>
      <w:r w:rsidR="00F65B08">
        <w:t>. This provides an alternative method to address the error</w:t>
      </w:r>
      <w:r w:rsidR="006005F4">
        <w:t xml:space="preserve">, </w:t>
      </w:r>
      <w:r w:rsidR="00D4665E" w:rsidRPr="00CA4856">
        <w:t xml:space="preserve">instead of having to either revise an earlier GST return or </w:t>
      </w:r>
      <w:r w:rsidR="00B93A5A">
        <w:t>request</w:t>
      </w:r>
      <w:r w:rsidR="00D4665E" w:rsidRPr="00CA4856">
        <w:t xml:space="preserve"> the </w:t>
      </w:r>
      <w:r w:rsidR="00D4665E" w:rsidRPr="0066630F">
        <w:t>Commissioner</w:t>
      </w:r>
      <w:r w:rsidR="00D4665E" w:rsidRPr="00CA4856">
        <w:t xml:space="preserve"> to amend </w:t>
      </w:r>
      <w:r w:rsidR="00D90DDB">
        <w:t>the</w:t>
      </w:r>
      <w:r w:rsidR="00D90DDB" w:rsidRPr="00CA4856">
        <w:t xml:space="preserve"> </w:t>
      </w:r>
      <w:r w:rsidR="00D4665E" w:rsidRPr="00CA4856">
        <w:t>assessment</w:t>
      </w:r>
      <w:r w:rsidR="00B93A5A">
        <w:t xml:space="preserve"> for the earlier tax period</w:t>
      </w:r>
      <w:r w:rsidR="00D4665E" w:rsidRPr="00CA4856">
        <w:t>.</w:t>
      </w:r>
    </w:p>
    <w:p w14:paraId="582D0ECD" w14:textId="77777777" w:rsidR="00D84CFC" w:rsidRDefault="00D4665E" w:rsidP="007716D0">
      <w:pPr>
        <w:pStyle w:val="Numberedparagraph"/>
      </w:pPr>
      <w:r>
        <w:t>This</w:t>
      </w:r>
      <w:r w:rsidR="00AE1D24">
        <w:t xml:space="preserve"> instrument </w:t>
      </w:r>
      <w:r>
        <w:t>minimises compliance costs and any liability you may otherwise have to the general interest charge or administrative penalties</w:t>
      </w:r>
      <w:r w:rsidRPr="0058016E">
        <w:t xml:space="preserve">. </w:t>
      </w:r>
      <w:r>
        <w:t>T</w:t>
      </w:r>
      <w:r w:rsidRPr="00B5286B">
        <w:t xml:space="preserve">he </w:t>
      </w:r>
      <w:r w:rsidRPr="0066630F">
        <w:t>Commissioner</w:t>
      </w:r>
      <w:r w:rsidRPr="00B5286B">
        <w:t xml:space="preserve">’s administrative costs </w:t>
      </w:r>
      <w:r>
        <w:t>are also minimised by reduced costs in processing revised GST returns or amendment requests.</w:t>
      </w:r>
    </w:p>
    <w:p w14:paraId="77E5D760" w14:textId="5DA68444" w:rsidR="00955271" w:rsidRPr="00D84CFC" w:rsidRDefault="00955271" w:rsidP="0019176E">
      <w:pPr>
        <w:spacing w:after="120"/>
        <w:rPr>
          <w:rFonts w:ascii="Arial" w:hAnsi="Arial" w:cs="Arial"/>
          <w:sz w:val="22"/>
          <w:szCs w:val="22"/>
        </w:rPr>
      </w:pPr>
    </w:p>
    <w:p w14:paraId="6379C948" w14:textId="77777777" w:rsidR="00D84CFC" w:rsidRPr="00B753F6" w:rsidRDefault="00EF052A" w:rsidP="0019176E">
      <w:pPr>
        <w:pStyle w:val="Heading3"/>
        <w:spacing w:before="0" w:after="120"/>
        <w:rPr>
          <w:i/>
          <w:iCs/>
          <w:sz w:val="22"/>
          <w:szCs w:val="22"/>
        </w:rPr>
      </w:pPr>
      <w:r w:rsidRPr="00B753F6">
        <w:rPr>
          <w:i/>
          <w:iCs/>
          <w:sz w:val="22"/>
          <w:szCs w:val="22"/>
        </w:rPr>
        <w:lastRenderedPageBreak/>
        <w:t>When</w:t>
      </w:r>
      <w:r w:rsidR="00D4665E" w:rsidRPr="00B753F6">
        <w:rPr>
          <w:i/>
          <w:iCs/>
          <w:sz w:val="22"/>
          <w:szCs w:val="22"/>
        </w:rPr>
        <w:t xml:space="preserve"> an error may be corrected</w:t>
      </w:r>
    </w:p>
    <w:p w14:paraId="45A8C16F" w14:textId="4110F013" w:rsidR="00EF052A" w:rsidRDefault="00134F76" w:rsidP="002C6DC5">
      <w:pPr>
        <w:pStyle w:val="Numberedparagraph"/>
        <w:keepNext/>
      </w:pPr>
      <w:r>
        <w:t>Section</w:t>
      </w:r>
      <w:r w:rsidR="00F50E2E">
        <w:t xml:space="preserve"> </w:t>
      </w:r>
      <w:r w:rsidR="00EF052A">
        <w:t>6 of the instrument provides that a</w:t>
      </w:r>
      <w:r w:rsidR="00440DB1">
        <w:t xml:space="preserve">n </w:t>
      </w:r>
      <w:r w:rsidR="00EF052A">
        <w:t>error made in working out the net amount for an earlier tax period may only be corrected in a later tax period if:</w:t>
      </w:r>
    </w:p>
    <w:p w14:paraId="3AAF2C97" w14:textId="47B8FC53" w:rsidR="00D4665E" w:rsidRPr="00147A48" w:rsidRDefault="00D4665E" w:rsidP="00787A4C">
      <w:pPr>
        <w:pStyle w:val="alphabullets"/>
        <w:numPr>
          <w:ilvl w:val="0"/>
          <w:numId w:val="17"/>
        </w:numPr>
        <w:ind w:left="1418" w:hanging="709"/>
      </w:pPr>
      <w:r w:rsidRPr="00EF052A">
        <w:t>the error relate</w:t>
      </w:r>
      <w:r w:rsidR="00EF052A">
        <w:t>s</w:t>
      </w:r>
      <w:r w:rsidRPr="00EF052A">
        <w:t xml:space="preserve"> to an amount of wine tax or wine tax</w:t>
      </w:r>
      <w:r w:rsidRPr="002C6DC5">
        <w:rPr>
          <w:color w:val="0000FF"/>
        </w:rPr>
        <w:t xml:space="preserve"> </w:t>
      </w:r>
      <w:r w:rsidRPr="00EF052A">
        <w:t xml:space="preserve">credit. Accordingly, any error that results in the net amount for an earlier tax period being incorrect due to the </w:t>
      </w:r>
      <w:r w:rsidRPr="00147A48">
        <w:t xml:space="preserve">operation of the </w:t>
      </w:r>
      <w:r w:rsidR="00F37141">
        <w:t xml:space="preserve">WET Act </w:t>
      </w:r>
      <w:r w:rsidRPr="00147A48">
        <w:t xml:space="preserve">is covered by this </w:t>
      </w:r>
      <w:r w:rsidR="00B33CB7" w:rsidRPr="00147A48">
        <w:t>instrument</w:t>
      </w:r>
      <w:r w:rsidR="00BC3A84" w:rsidRPr="00147A48">
        <w:t>,</w:t>
      </w:r>
    </w:p>
    <w:p w14:paraId="75B681A3" w14:textId="35F64653" w:rsidR="00D4665E" w:rsidRPr="00147A48" w:rsidRDefault="00EF052A" w:rsidP="00787A4C">
      <w:pPr>
        <w:pStyle w:val="alphabullets"/>
        <w:numPr>
          <w:ilvl w:val="0"/>
          <w:numId w:val="17"/>
        </w:numPr>
        <w:ind w:left="1418" w:hanging="709"/>
      </w:pPr>
      <w:r w:rsidRPr="00147A48">
        <w:t>the earlier tax period in which the mistake was made started on or after 1 July 2012, and you lodge the GST return for the later tax period within the period of review for the assessment of the net amount of the earlier tax period</w:t>
      </w:r>
      <w:r w:rsidR="00BC3A84" w:rsidRPr="00147A48">
        <w:t>,</w:t>
      </w:r>
    </w:p>
    <w:p w14:paraId="0D147AB7" w14:textId="1554DE3C" w:rsidR="00EF052A" w:rsidRDefault="00EF052A" w:rsidP="00787A4C">
      <w:pPr>
        <w:pStyle w:val="alphabullets"/>
        <w:numPr>
          <w:ilvl w:val="0"/>
          <w:numId w:val="17"/>
        </w:numPr>
        <w:ind w:left="1418" w:hanging="709"/>
      </w:pPr>
      <w:r>
        <w:t xml:space="preserve">at the time of lodging your GST return for the later tax period, the error does not relate to any current compliance activity or, if it does relate to any current compliance activity, the </w:t>
      </w:r>
      <w:r w:rsidRPr="0066630F">
        <w:t>Commissioner</w:t>
      </w:r>
      <w:r>
        <w:t xml:space="preserve"> has notified you in writing that the error can be corrected under the instrument</w:t>
      </w:r>
      <w:r w:rsidR="00BC3A84">
        <w:t>,</w:t>
      </w:r>
    </w:p>
    <w:p w14:paraId="63E4BA35" w14:textId="07A3D12A" w:rsidR="00EF052A" w:rsidRDefault="00EF052A" w:rsidP="00787A4C">
      <w:pPr>
        <w:pStyle w:val="alphabullets"/>
        <w:numPr>
          <w:ilvl w:val="0"/>
          <w:numId w:val="17"/>
        </w:numPr>
        <w:ind w:left="1418" w:hanging="709"/>
      </w:pPr>
      <w:r>
        <w:t>you have not corrected the error, to any extent, in working out your net amount for another tax period</w:t>
      </w:r>
      <w:r w:rsidR="00BC3A84">
        <w:t>,</w:t>
      </w:r>
    </w:p>
    <w:p w14:paraId="01B22621" w14:textId="3725CA16" w:rsidR="00EF052A" w:rsidRDefault="00EF052A" w:rsidP="00787A4C">
      <w:pPr>
        <w:pStyle w:val="alphabullets"/>
        <w:numPr>
          <w:ilvl w:val="0"/>
          <w:numId w:val="17"/>
        </w:numPr>
        <w:ind w:left="1418" w:hanging="709"/>
      </w:pPr>
      <w:r>
        <w:t xml:space="preserve">where the error is a debit error, the conditions in </w:t>
      </w:r>
      <w:r w:rsidR="00D46BD7">
        <w:t xml:space="preserve">section </w:t>
      </w:r>
      <w:r>
        <w:t>7 are met</w:t>
      </w:r>
      <w:r w:rsidR="00D46BD7">
        <w:t>, and</w:t>
      </w:r>
    </w:p>
    <w:p w14:paraId="75DFEB3D" w14:textId="02E820BE" w:rsidR="0090470D" w:rsidRDefault="00813644" w:rsidP="00787A4C">
      <w:pPr>
        <w:pStyle w:val="alphabullets"/>
        <w:numPr>
          <w:ilvl w:val="0"/>
          <w:numId w:val="17"/>
        </w:numPr>
        <w:ind w:left="1418" w:hanging="709"/>
      </w:pPr>
      <w:r>
        <w:t>you are registered for GST.</w:t>
      </w:r>
    </w:p>
    <w:p w14:paraId="1E3CB93F" w14:textId="77777777" w:rsidR="00055C7B" w:rsidRPr="00D84CFC" w:rsidRDefault="00055C7B" w:rsidP="0019176E">
      <w:pPr>
        <w:spacing w:after="120"/>
        <w:rPr>
          <w:rFonts w:ascii="Arial" w:hAnsi="Arial" w:cs="Arial"/>
          <w:sz w:val="22"/>
          <w:szCs w:val="22"/>
        </w:rPr>
      </w:pPr>
    </w:p>
    <w:p w14:paraId="12584CE7" w14:textId="0083E5FD" w:rsidR="00EF052A" w:rsidRPr="00B753F6" w:rsidRDefault="00EF052A" w:rsidP="0019176E">
      <w:pPr>
        <w:pStyle w:val="Heading3"/>
        <w:spacing w:before="0" w:after="120"/>
        <w:rPr>
          <w:i/>
          <w:iCs/>
          <w:sz w:val="22"/>
          <w:szCs w:val="22"/>
        </w:rPr>
      </w:pPr>
      <w:r w:rsidRPr="00B753F6">
        <w:rPr>
          <w:i/>
          <w:iCs/>
          <w:sz w:val="22"/>
          <w:szCs w:val="22"/>
        </w:rPr>
        <w:t>Period of review</w:t>
      </w:r>
    </w:p>
    <w:p w14:paraId="3026A838" w14:textId="0F05C5FF" w:rsidR="006E4110" w:rsidRDefault="006E4110" w:rsidP="002C6DC5">
      <w:pPr>
        <w:pStyle w:val="Numberedparagraph"/>
      </w:pPr>
      <w:r>
        <w:t xml:space="preserve">To maintain the integrity of the time limits for amending assessments, you cannot correct </w:t>
      </w:r>
      <w:r w:rsidR="00440DB1">
        <w:t xml:space="preserve">an </w:t>
      </w:r>
      <w:r>
        <w:t xml:space="preserve">error made in an earlier tax period unless the GST return for the later tax period is lodged within the period of review for the assessment </w:t>
      </w:r>
      <w:r w:rsidRPr="00440DB1">
        <w:t xml:space="preserve">of </w:t>
      </w:r>
      <w:r w:rsidR="00E427E6" w:rsidRPr="00440DB1">
        <w:t>the</w:t>
      </w:r>
      <w:r w:rsidR="00E427E6">
        <w:t xml:space="preserve"> </w:t>
      </w:r>
      <w:r>
        <w:t>net amount for the earlier tax period.</w:t>
      </w:r>
    </w:p>
    <w:p w14:paraId="26159443" w14:textId="57476D7C" w:rsidR="00F6036F" w:rsidRDefault="00D4665E" w:rsidP="002C6DC5">
      <w:pPr>
        <w:pStyle w:val="Numberedparagraph"/>
      </w:pPr>
      <w:r w:rsidRPr="00487E8F">
        <w:t xml:space="preserve">The period of review starts on the day the </w:t>
      </w:r>
      <w:r w:rsidRPr="0066630F">
        <w:t>Commissioner</w:t>
      </w:r>
      <w:r w:rsidRPr="00487E8F">
        <w:t xml:space="preserve"> gives you a notice of assessment and ends </w:t>
      </w:r>
      <w:r w:rsidR="001F3BF9" w:rsidRPr="00487E8F">
        <w:t>4</w:t>
      </w:r>
      <w:r w:rsidRPr="00487E8F">
        <w:t xml:space="preserve"> years from the day after the notice of assessment is given</w:t>
      </w:r>
      <w:r w:rsidR="00963041">
        <w:t xml:space="preserve"> </w:t>
      </w:r>
      <w:r w:rsidR="00963041" w:rsidRPr="00487E8F">
        <w:t xml:space="preserve">(subsection 155-35(2) in Schedule 1 to the </w:t>
      </w:r>
      <w:r w:rsidR="00963041" w:rsidRPr="00FA77DA">
        <w:rPr>
          <w:i/>
          <w:iCs/>
        </w:rPr>
        <w:t>T</w:t>
      </w:r>
      <w:r w:rsidR="00440DB1" w:rsidRPr="00FA77DA">
        <w:rPr>
          <w:i/>
          <w:iCs/>
        </w:rPr>
        <w:t xml:space="preserve">axation </w:t>
      </w:r>
      <w:r w:rsidR="00963041" w:rsidRPr="00FA77DA">
        <w:rPr>
          <w:i/>
          <w:iCs/>
        </w:rPr>
        <w:t>A</w:t>
      </w:r>
      <w:r w:rsidR="00440DB1" w:rsidRPr="00FA77DA">
        <w:rPr>
          <w:i/>
          <w:iCs/>
        </w:rPr>
        <w:t xml:space="preserve">dministration </w:t>
      </w:r>
      <w:r w:rsidR="00963041" w:rsidRPr="00FA77DA">
        <w:rPr>
          <w:i/>
          <w:iCs/>
        </w:rPr>
        <w:t>A</w:t>
      </w:r>
      <w:r w:rsidR="00440DB1" w:rsidRPr="00FA77DA">
        <w:rPr>
          <w:i/>
          <w:iCs/>
        </w:rPr>
        <w:t>ct 1953</w:t>
      </w:r>
      <w:r w:rsidR="00440DB1">
        <w:t xml:space="preserve"> (TAA)</w:t>
      </w:r>
      <w:r w:rsidR="00963041" w:rsidRPr="00487E8F">
        <w:t>)</w:t>
      </w:r>
      <w:r w:rsidRPr="00487E8F">
        <w:t xml:space="preserve">. An assessment of your net amount is generally made on the day you lodge your GST </w:t>
      </w:r>
      <w:r w:rsidR="006B186F" w:rsidRPr="00487E8F">
        <w:t>return. The</w:t>
      </w:r>
      <w:r w:rsidRPr="00487E8F">
        <w:t xml:space="preserve"> GST return is taken to be the notice of assessment given on the same day.</w:t>
      </w:r>
    </w:p>
    <w:p w14:paraId="79C231EF" w14:textId="77777777" w:rsidR="002C6DC5" w:rsidRPr="00487E8F" w:rsidRDefault="002C6DC5" w:rsidP="00787A4C">
      <w:pPr>
        <w:spacing w:after="120"/>
      </w:pPr>
    </w:p>
    <w:p w14:paraId="6AF0A4B5" w14:textId="2DB1A313" w:rsidR="00D4665E" w:rsidRPr="002C6DC5" w:rsidRDefault="00D4665E" w:rsidP="002C6DC5">
      <w:pPr>
        <w:keepNext/>
        <w:spacing w:after="120"/>
        <w:rPr>
          <w:rFonts w:ascii="Arial" w:hAnsi="Arial" w:cs="Arial"/>
          <w:b/>
          <w:i/>
          <w:iCs/>
          <w:sz w:val="20"/>
        </w:rPr>
      </w:pPr>
      <w:r w:rsidRPr="002C6DC5">
        <w:rPr>
          <w:rFonts w:ascii="Arial" w:hAnsi="Arial" w:cs="Arial"/>
          <w:b/>
          <w:i/>
          <w:iCs/>
          <w:sz w:val="20"/>
        </w:rPr>
        <w:t xml:space="preserve">Example </w:t>
      </w:r>
      <w:r w:rsidR="00313E71" w:rsidRPr="002C6DC5">
        <w:rPr>
          <w:rFonts w:ascii="Arial" w:hAnsi="Arial" w:cs="Arial"/>
          <w:b/>
          <w:i/>
          <w:iCs/>
          <w:sz w:val="20"/>
        </w:rPr>
        <w:t>2</w:t>
      </w:r>
    </w:p>
    <w:p w14:paraId="74B09A3F" w14:textId="29B47D95" w:rsidR="00D84CFC" w:rsidRDefault="00D4665E" w:rsidP="002C6DC5">
      <w:pPr>
        <w:spacing w:after="120"/>
        <w:rPr>
          <w:rFonts w:ascii="Arial" w:hAnsi="Arial" w:cs="Arial"/>
          <w:i/>
          <w:iCs/>
          <w:sz w:val="20"/>
        </w:rPr>
      </w:pPr>
      <w:r w:rsidRPr="006643E8">
        <w:rPr>
          <w:rFonts w:ascii="Arial" w:hAnsi="Arial" w:cs="Arial"/>
          <w:i/>
          <w:iCs/>
          <w:sz w:val="20"/>
        </w:rPr>
        <w:t>Waugh Company, a quarterly lodger, made a</w:t>
      </w:r>
      <w:r w:rsidR="00773767" w:rsidRPr="006643E8">
        <w:rPr>
          <w:rFonts w:ascii="Arial" w:hAnsi="Arial" w:cs="Arial"/>
          <w:i/>
          <w:iCs/>
          <w:sz w:val="20"/>
        </w:rPr>
        <w:t>n</w:t>
      </w:r>
      <w:r w:rsidR="00282E87" w:rsidRPr="006643E8">
        <w:rPr>
          <w:rFonts w:ascii="Arial" w:hAnsi="Arial" w:cs="Arial"/>
          <w:i/>
          <w:iCs/>
          <w:sz w:val="20"/>
        </w:rPr>
        <w:t xml:space="preserve"> </w:t>
      </w:r>
      <w:r w:rsidRPr="006643E8">
        <w:rPr>
          <w:rFonts w:ascii="Arial" w:hAnsi="Arial" w:cs="Arial"/>
          <w:i/>
          <w:iCs/>
          <w:sz w:val="20"/>
        </w:rPr>
        <w:t>error in relation to its wine tax credits for the December</w:t>
      </w:r>
      <w:r w:rsidR="00BA12BE" w:rsidRPr="006643E8">
        <w:rPr>
          <w:rFonts w:ascii="Arial" w:hAnsi="Arial" w:cs="Arial"/>
          <w:i/>
          <w:iCs/>
          <w:sz w:val="20"/>
        </w:rPr>
        <w:t> </w:t>
      </w:r>
      <w:r w:rsidRPr="006643E8">
        <w:rPr>
          <w:rFonts w:ascii="Arial" w:hAnsi="Arial" w:cs="Arial"/>
          <w:i/>
          <w:iCs/>
          <w:sz w:val="20"/>
        </w:rPr>
        <w:t>20</w:t>
      </w:r>
      <w:r w:rsidR="0061614B" w:rsidRPr="006643E8">
        <w:rPr>
          <w:rFonts w:ascii="Arial" w:hAnsi="Arial" w:cs="Arial"/>
          <w:i/>
          <w:iCs/>
          <w:sz w:val="20"/>
        </w:rPr>
        <w:t>2</w:t>
      </w:r>
      <w:r w:rsidRPr="006643E8">
        <w:rPr>
          <w:rFonts w:ascii="Arial" w:hAnsi="Arial" w:cs="Arial"/>
          <w:i/>
          <w:iCs/>
          <w:sz w:val="20"/>
        </w:rPr>
        <w:t>3 tax period that resulted in its assessed net amount for that tax period being overstated. Waugh Company lodged its GST return on 21 January 20</w:t>
      </w:r>
      <w:r w:rsidR="0061614B" w:rsidRPr="006643E8">
        <w:rPr>
          <w:rFonts w:ascii="Arial" w:hAnsi="Arial" w:cs="Arial"/>
          <w:i/>
          <w:iCs/>
          <w:sz w:val="20"/>
        </w:rPr>
        <w:t>2</w:t>
      </w:r>
      <w:r w:rsidRPr="006643E8">
        <w:rPr>
          <w:rFonts w:ascii="Arial" w:hAnsi="Arial" w:cs="Arial"/>
          <w:i/>
          <w:iCs/>
          <w:sz w:val="20"/>
        </w:rPr>
        <w:t xml:space="preserve">4. Accordingly, Waugh Company must notify the Commissioner of the error within the </w:t>
      </w:r>
      <w:r w:rsidR="00CF5CFB" w:rsidRPr="006643E8">
        <w:rPr>
          <w:rFonts w:ascii="Arial" w:hAnsi="Arial" w:cs="Arial"/>
          <w:i/>
          <w:iCs/>
          <w:sz w:val="20"/>
        </w:rPr>
        <w:t>4</w:t>
      </w:r>
      <w:r w:rsidR="0096675F">
        <w:rPr>
          <w:rFonts w:ascii="Arial" w:hAnsi="Arial" w:cs="Arial"/>
          <w:i/>
          <w:iCs/>
          <w:sz w:val="20"/>
        </w:rPr>
        <w:t>-</w:t>
      </w:r>
      <w:r w:rsidRPr="006643E8">
        <w:rPr>
          <w:rFonts w:ascii="Arial" w:hAnsi="Arial" w:cs="Arial"/>
          <w:i/>
          <w:iCs/>
          <w:sz w:val="20"/>
        </w:rPr>
        <w:t xml:space="preserve">year period of review. They may correct the error in a GST return for any tax period </w:t>
      </w:r>
      <w:r w:rsidR="00ED2293" w:rsidRPr="006643E8">
        <w:rPr>
          <w:rFonts w:ascii="Arial" w:hAnsi="Arial" w:cs="Arial"/>
          <w:i/>
          <w:iCs/>
          <w:sz w:val="20"/>
        </w:rPr>
        <w:t xml:space="preserve">lodged </w:t>
      </w:r>
      <w:r w:rsidRPr="006643E8">
        <w:rPr>
          <w:rFonts w:ascii="Arial" w:hAnsi="Arial" w:cs="Arial"/>
          <w:i/>
          <w:iCs/>
          <w:sz w:val="20"/>
        </w:rPr>
        <w:t xml:space="preserve">within the </w:t>
      </w:r>
      <w:r w:rsidR="00CF5CFB" w:rsidRPr="006643E8">
        <w:rPr>
          <w:rFonts w:ascii="Arial" w:hAnsi="Arial" w:cs="Arial"/>
          <w:i/>
          <w:iCs/>
          <w:sz w:val="20"/>
        </w:rPr>
        <w:t>4</w:t>
      </w:r>
      <w:r w:rsidR="0096675F">
        <w:rPr>
          <w:rFonts w:ascii="Arial" w:hAnsi="Arial" w:cs="Arial"/>
          <w:i/>
          <w:iCs/>
          <w:sz w:val="20"/>
        </w:rPr>
        <w:t>-</w:t>
      </w:r>
      <w:r w:rsidRPr="006643E8">
        <w:rPr>
          <w:rFonts w:ascii="Arial" w:hAnsi="Arial" w:cs="Arial"/>
          <w:i/>
          <w:iCs/>
          <w:sz w:val="20"/>
        </w:rPr>
        <w:t>year period from 21</w:t>
      </w:r>
      <w:r w:rsidR="00BA12BE" w:rsidRPr="006643E8">
        <w:rPr>
          <w:rFonts w:ascii="Arial" w:hAnsi="Arial" w:cs="Arial"/>
          <w:i/>
          <w:iCs/>
          <w:sz w:val="20"/>
        </w:rPr>
        <w:t> </w:t>
      </w:r>
      <w:r w:rsidRPr="006643E8">
        <w:rPr>
          <w:rFonts w:ascii="Arial" w:hAnsi="Arial" w:cs="Arial"/>
          <w:i/>
          <w:iCs/>
          <w:sz w:val="20"/>
        </w:rPr>
        <w:t>January</w:t>
      </w:r>
      <w:r w:rsidR="00BA12BE" w:rsidRPr="006643E8">
        <w:rPr>
          <w:rFonts w:ascii="Arial" w:hAnsi="Arial" w:cs="Arial"/>
          <w:i/>
          <w:iCs/>
          <w:sz w:val="20"/>
        </w:rPr>
        <w:t> </w:t>
      </w:r>
      <w:r w:rsidRPr="006643E8">
        <w:rPr>
          <w:rFonts w:ascii="Arial" w:hAnsi="Arial" w:cs="Arial"/>
          <w:i/>
          <w:iCs/>
          <w:sz w:val="20"/>
        </w:rPr>
        <w:t>20</w:t>
      </w:r>
      <w:r w:rsidR="0061614B" w:rsidRPr="006643E8">
        <w:rPr>
          <w:rFonts w:ascii="Arial" w:hAnsi="Arial" w:cs="Arial"/>
          <w:i/>
          <w:iCs/>
          <w:sz w:val="20"/>
        </w:rPr>
        <w:t>2</w:t>
      </w:r>
      <w:r w:rsidRPr="006643E8">
        <w:rPr>
          <w:rFonts w:ascii="Arial" w:hAnsi="Arial" w:cs="Arial"/>
          <w:i/>
          <w:iCs/>
          <w:sz w:val="20"/>
        </w:rPr>
        <w:t>4 to 22 January 20</w:t>
      </w:r>
      <w:r w:rsidR="0061614B" w:rsidRPr="006643E8">
        <w:rPr>
          <w:rFonts w:ascii="Arial" w:hAnsi="Arial" w:cs="Arial"/>
          <w:i/>
          <w:iCs/>
          <w:sz w:val="20"/>
        </w:rPr>
        <w:t>2</w:t>
      </w:r>
      <w:r w:rsidRPr="006643E8">
        <w:rPr>
          <w:rFonts w:ascii="Arial" w:hAnsi="Arial" w:cs="Arial"/>
          <w:i/>
          <w:iCs/>
          <w:sz w:val="20"/>
        </w:rPr>
        <w:t>8.</w:t>
      </w:r>
    </w:p>
    <w:p w14:paraId="7C2D4892" w14:textId="77777777" w:rsidR="00FE4E58" w:rsidRPr="00787A4C" w:rsidRDefault="00FE4E58" w:rsidP="002C6DC5">
      <w:pPr>
        <w:spacing w:after="120"/>
        <w:rPr>
          <w:rFonts w:ascii="Arial" w:hAnsi="Arial" w:cs="Arial"/>
          <w:sz w:val="20"/>
        </w:rPr>
      </w:pPr>
    </w:p>
    <w:p w14:paraId="4CC8BDCC" w14:textId="77777777" w:rsidR="00D4665E" w:rsidRPr="00B753F6" w:rsidRDefault="00D4665E" w:rsidP="0019176E">
      <w:pPr>
        <w:pStyle w:val="Heading3"/>
        <w:spacing w:before="0" w:after="120"/>
        <w:rPr>
          <w:i/>
          <w:iCs/>
          <w:sz w:val="22"/>
          <w:szCs w:val="22"/>
        </w:rPr>
      </w:pPr>
      <w:r w:rsidRPr="00B753F6">
        <w:rPr>
          <w:i/>
          <w:iCs/>
          <w:sz w:val="22"/>
          <w:szCs w:val="22"/>
        </w:rPr>
        <w:t>Compliance activity can impact on correcting an error</w:t>
      </w:r>
    </w:p>
    <w:p w14:paraId="4C262296" w14:textId="231C7F46" w:rsidR="00D4665E" w:rsidRDefault="006E4110" w:rsidP="002C6DC5">
      <w:pPr>
        <w:pStyle w:val="Numberedparagraph"/>
      </w:pPr>
      <w:r>
        <w:t>Generally, if you are subject to compliance activity that covers the tax period in which the error was made, or the error relates to the subject matter of compliance activity, you cannot use this instrument to correct the error.</w:t>
      </w:r>
    </w:p>
    <w:p w14:paraId="2DD6B56A" w14:textId="77777777" w:rsidR="00D84CFC" w:rsidRDefault="00710E71" w:rsidP="002C6DC5">
      <w:pPr>
        <w:pStyle w:val="Numberedparagraph"/>
      </w:pPr>
      <w:r>
        <w:t xml:space="preserve">However, the </w:t>
      </w:r>
      <w:r w:rsidRPr="0066630F">
        <w:t>Commissioner</w:t>
      </w:r>
      <w:r>
        <w:t xml:space="preserve"> can notify you in writing that you can use the instrument to correct a</w:t>
      </w:r>
      <w:r w:rsidR="00773767">
        <w:t>n</w:t>
      </w:r>
      <w:r w:rsidR="00282E87">
        <w:t xml:space="preserve"> </w:t>
      </w:r>
      <w:r>
        <w:t xml:space="preserve">error despite </w:t>
      </w:r>
      <w:r w:rsidR="00DB6E44">
        <w:t xml:space="preserve">the </w:t>
      </w:r>
      <w:r>
        <w:t xml:space="preserve">current compliance activity. The </w:t>
      </w:r>
      <w:r w:rsidRPr="0066630F">
        <w:t>Commissioner</w:t>
      </w:r>
      <w:r>
        <w:t xml:space="preserve"> may do this in circumstances where the compliance activity is of such a nature that it would still be appropriate for you to have the choice to apply this instrument.</w:t>
      </w:r>
      <w:r w:rsidR="00EE4073">
        <w:t xml:space="preserve"> </w:t>
      </w:r>
      <w:r w:rsidR="00EE4073" w:rsidRPr="008C3382">
        <w:t xml:space="preserve">In such circumstances, the </w:t>
      </w:r>
      <w:r w:rsidR="00EE4073" w:rsidRPr="0066630F">
        <w:t>Commissioner</w:t>
      </w:r>
      <w:r w:rsidR="00EE4073" w:rsidRPr="008C3382">
        <w:t xml:space="preserve"> may consider that it is a more streamlined and cost-effective process for both the taxpayer and the </w:t>
      </w:r>
      <w:r w:rsidR="00EE4073" w:rsidRPr="0066630F">
        <w:t>Commissioner</w:t>
      </w:r>
      <w:r w:rsidR="00EE4073" w:rsidRPr="008C3382">
        <w:t xml:space="preserve"> for you to correct an error identified during </w:t>
      </w:r>
      <w:r w:rsidR="00DB6E44">
        <w:t xml:space="preserve">the </w:t>
      </w:r>
      <w:r w:rsidR="00EE4073" w:rsidRPr="008C3382">
        <w:t>compliance activity.</w:t>
      </w:r>
    </w:p>
    <w:p w14:paraId="417455DD" w14:textId="77777777" w:rsidR="00D84CFC" w:rsidRDefault="00D4665E" w:rsidP="002C6DC5">
      <w:pPr>
        <w:pStyle w:val="Numberedparagraph"/>
      </w:pPr>
      <w:r w:rsidRPr="0061614B">
        <w:t>The term ‘matter’ in this context takes on its ordinary meaning and includes any issue or enquiry that is specified as being subject to the compliance activity.</w:t>
      </w:r>
    </w:p>
    <w:p w14:paraId="29840063" w14:textId="77777777" w:rsidR="002C6DC5" w:rsidRDefault="002C6DC5" w:rsidP="00DA78AB">
      <w:pPr>
        <w:spacing w:after="120"/>
      </w:pPr>
    </w:p>
    <w:p w14:paraId="13D38154" w14:textId="20FA67FF" w:rsidR="00D4665E" w:rsidRPr="002C6DC5" w:rsidRDefault="00D4665E" w:rsidP="002C6DC5">
      <w:pPr>
        <w:keepNext/>
        <w:spacing w:after="120"/>
        <w:rPr>
          <w:rFonts w:ascii="Arial" w:hAnsi="Arial" w:cs="Arial"/>
          <w:b/>
          <w:i/>
          <w:iCs/>
          <w:sz w:val="20"/>
        </w:rPr>
      </w:pPr>
      <w:r w:rsidRPr="002C6DC5">
        <w:rPr>
          <w:rFonts w:ascii="Arial" w:hAnsi="Arial" w:cs="Arial"/>
          <w:b/>
          <w:i/>
          <w:iCs/>
          <w:sz w:val="20"/>
        </w:rPr>
        <w:t xml:space="preserve">Example </w:t>
      </w:r>
      <w:r w:rsidR="00313E71" w:rsidRPr="002C6DC5">
        <w:rPr>
          <w:rFonts w:ascii="Arial" w:hAnsi="Arial" w:cs="Arial"/>
          <w:b/>
          <w:i/>
          <w:iCs/>
          <w:sz w:val="20"/>
        </w:rPr>
        <w:t>3</w:t>
      </w:r>
    </w:p>
    <w:p w14:paraId="7D64EC8C" w14:textId="77777777" w:rsidR="00D84CFC" w:rsidRPr="006643E8" w:rsidRDefault="00D4665E" w:rsidP="002C6DC5">
      <w:pPr>
        <w:spacing w:after="120"/>
        <w:rPr>
          <w:rFonts w:ascii="Arial" w:hAnsi="Arial" w:cs="Arial"/>
          <w:i/>
          <w:iCs/>
          <w:sz w:val="20"/>
        </w:rPr>
      </w:pPr>
      <w:r w:rsidRPr="006643E8">
        <w:rPr>
          <w:rFonts w:ascii="Arial" w:hAnsi="Arial" w:cs="Arial"/>
          <w:i/>
          <w:iCs/>
          <w:sz w:val="20"/>
        </w:rPr>
        <w:t>In June 20</w:t>
      </w:r>
      <w:r w:rsidR="0061614B" w:rsidRPr="006643E8">
        <w:rPr>
          <w:rFonts w:ascii="Arial" w:hAnsi="Arial" w:cs="Arial"/>
          <w:i/>
          <w:iCs/>
          <w:sz w:val="20"/>
        </w:rPr>
        <w:t>2</w:t>
      </w:r>
      <w:r w:rsidRPr="006643E8">
        <w:rPr>
          <w:rFonts w:ascii="Arial" w:hAnsi="Arial" w:cs="Arial"/>
          <w:i/>
          <w:iCs/>
          <w:sz w:val="20"/>
        </w:rPr>
        <w:t xml:space="preserve">4, the ATO notifies Graves Company that it is conducting a review of its past WET transactions. </w:t>
      </w:r>
      <w:r w:rsidR="007113FF" w:rsidRPr="006643E8">
        <w:rPr>
          <w:rFonts w:ascii="Arial" w:hAnsi="Arial" w:cs="Arial"/>
          <w:i/>
          <w:iCs/>
          <w:sz w:val="20"/>
        </w:rPr>
        <w:t>In preparation</w:t>
      </w:r>
      <w:r w:rsidRPr="006643E8">
        <w:rPr>
          <w:rFonts w:ascii="Arial" w:hAnsi="Arial" w:cs="Arial"/>
          <w:i/>
          <w:iCs/>
          <w:sz w:val="20"/>
        </w:rPr>
        <w:t>, Graves Company undertakes its own review of its WET transactions</w:t>
      </w:r>
      <w:r w:rsidR="007113FF" w:rsidRPr="006643E8">
        <w:rPr>
          <w:rFonts w:ascii="Arial" w:hAnsi="Arial" w:cs="Arial"/>
          <w:i/>
          <w:iCs/>
          <w:sz w:val="20"/>
        </w:rPr>
        <w:t>. Graves Company</w:t>
      </w:r>
      <w:r w:rsidR="006624F3" w:rsidRPr="006643E8">
        <w:rPr>
          <w:rFonts w:ascii="Arial" w:hAnsi="Arial" w:cs="Arial"/>
          <w:i/>
          <w:iCs/>
          <w:sz w:val="20"/>
        </w:rPr>
        <w:t xml:space="preserve"> d</w:t>
      </w:r>
      <w:r w:rsidRPr="006643E8">
        <w:rPr>
          <w:rFonts w:ascii="Arial" w:hAnsi="Arial" w:cs="Arial"/>
          <w:i/>
          <w:iCs/>
          <w:sz w:val="20"/>
        </w:rPr>
        <w:t>iscovers that it</w:t>
      </w:r>
      <w:r w:rsidR="00EE4073" w:rsidRPr="006643E8">
        <w:rPr>
          <w:rFonts w:ascii="Arial" w:hAnsi="Arial" w:cs="Arial"/>
          <w:i/>
          <w:iCs/>
          <w:sz w:val="20"/>
        </w:rPr>
        <w:t xml:space="preserve"> made a</w:t>
      </w:r>
      <w:r w:rsidR="00773767" w:rsidRPr="006643E8">
        <w:rPr>
          <w:rFonts w:ascii="Arial" w:hAnsi="Arial" w:cs="Arial"/>
          <w:i/>
          <w:iCs/>
          <w:sz w:val="20"/>
        </w:rPr>
        <w:t>n</w:t>
      </w:r>
      <w:r w:rsidR="00282E87" w:rsidRPr="006643E8">
        <w:rPr>
          <w:rFonts w:ascii="Arial" w:hAnsi="Arial" w:cs="Arial"/>
          <w:i/>
          <w:iCs/>
          <w:sz w:val="20"/>
        </w:rPr>
        <w:t xml:space="preserve"> </w:t>
      </w:r>
      <w:r w:rsidR="00EE4073" w:rsidRPr="006643E8">
        <w:rPr>
          <w:rFonts w:ascii="Arial" w:hAnsi="Arial" w:cs="Arial"/>
          <w:i/>
          <w:iCs/>
          <w:sz w:val="20"/>
        </w:rPr>
        <w:t xml:space="preserve">error </w:t>
      </w:r>
      <w:r w:rsidRPr="006643E8">
        <w:rPr>
          <w:rFonts w:ascii="Arial" w:hAnsi="Arial" w:cs="Arial"/>
          <w:i/>
          <w:iCs/>
          <w:sz w:val="20"/>
        </w:rPr>
        <w:t xml:space="preserve">in treating a particular transaction as an assessable dealing. Graves Company also </w:t>
      </w:r>
      <w:r w:rsidR="00EE4073" w:rsidRPr="006643E8">
        <w:rPr>
          <w:rFonts w:ascii="Arial" w:hAnsi="Arial" w:cs="Arial"/>
          <w:i/>
          <w:iCs/>
          <w:sz w:val="20"/>
        </w:rPr>
        <w:t>made a</w:t>
      </w:r>
      <w:r w:rsidR="00773767" w:rsidRPr="006643E8">
        <w:rPr>
          <w:rFonts w:ascii="Arial" w:hAnsi="Arial" w:cs="Arial"/>
          <w:i/>
          <w:iCs/>
          <w:sz w:val="20"/>
        </w:rPr>
        <w:t>n</w:t>
      </w:r>
      <w:r w:rsidR="00282E87" w:rsidRPr="006643E8">
        <w:rPr>
          <w:rFonts w:ascii="Arial" w:hAnsi="Arial" w:cs="Arial"/>
          <w:i/>
          <w:iCs/>
          <w:sz w:val="20"/>
        </w:rPr>
        <w:t xml:space="preserve"> </w:t>
      </w:r>
      <w:r w:rsidR="00EE4073" w:rsidRPr="006643E8">
        <w:rPr>
          <w:rFonts w:ascii="Arial" w:hAnsi="Arial" w:cs="Arial"/>
          <w:i/>
          <w:iCs/>
          <w:sz w:val="20"/>
        </w:rPr>
        <w:t xml:space="preserve">error </w:t>
      </w:r>
      <w:r w:rsidRPr="006643E8">
        <w:rPr>
          <w:rFonts w:ascii="Arial" w:hAnsi="Arial" w:cs="Arial"/>
          <w:i/>
          <w:iCs/>
          <w:sz w:val="20"/>
        </w:rPr>
        <w:t xml:space="preserve">in claiming wine tax credits in relation to this supply. As these errors relate to a matter that is specified as being subject to compliance activity, Graves Company cannot correct these errors by applying the </w:t>
      </w:r>
      <w:r w:rsidR="00813644" w:rsidRPr="006643E8">
        <w:rPr>
          <w:rFonts w:ascii="Arial" w:hAnsi="Arial" w:cs="Arial"/>
          <w:i/>
          <w:iCs/>
          <w:sz w:val="20"/>
        </w:rPr>
        <w:t>i</w:t>
      </w:r>
      <w:r w:rsidR="00171E5A" w:rsidRPr="006643E8">
        <w:rPr>
          <w:rFonts w:ascii="Arial" w:hAnsi="Arial" w:cs="Arial"/>
          <w:i/>
          <w:iCs/>
          <w:sz w:val="20"/>
        </w:rPr>
        <w:t>nstrument</w:t>
      </w:r>
      <w:r w:rsidRPr="006643E8">
        <w:rPr>
          <w:rFonts w:ascii="Arial" w:hAnsi="Arial" w:cs="Arial"/>
          <w:i/>
          <w:iCs/>
          <w:sz w:val="20"/>
        </w:rPr>
        <w:t>.</w:t>
      </w:r>
    </w:p>
    <w:p w14:paraId="01975D74" w14:textId="77777777" w:rsidR="002C6DC5" w:rsidRPr="006643E8" w:rsidRDefault="002C6DC5" w:rsidP="002C6DC5">
      <w:pPr>
        <w:spacing w:after="120"/>
        <w:rPr>
          <w:rFonts w:ascii="Arial" w:hAnsi="Arial" w:cs="Arial"/>
          <w:i/>
          <w:iCs/>
          <w:sz w:val="20"/>
        </w:rPr>
      </w:pPr>
    </w:p>
    <w:p w14:paraId="2B23C8D5" w14:textId="270EC9EA" w:rsidR="00D4665E" w:rsidRPr="006643E8" w:rsidRDefault="00D4665E" w:rsidP="002C6DC5">
      <w:pPr>
        <w:keepNext/>
        <w:spacing w:after="120"/>
        <w:rPr>
          <w:rFonts w:ascii="Arial" w:hAnsi="Arial" w:cs="Arial"/>
          <w:b/>
          <w:i/>
          <w:iCs/>
          <w:sz w:val="20"/>
        </w:rPr>
      </w:pPr>
      <w:r w:rsidRPr="006643E8">
        <w:rPr>
          <w:rFonts w:ascii="Arial" w:hAnsi="Arial" w:cs="Arial"/>
          <w:b/>
          <w:i/>
          <w:iCs/>
          <w:sz w:val="20"/>
        </w:rPr>
        <w:t xml:space="preserve">Example </w:t>
      </w:r>
      <w:r w:rsidR="00313E71" w:rsidRPr="006643E8">
        <w:rPr>
          <w:rFonts w:ascii="Arial" w:hAnsi="Arial" w:cs="Arial"/>
          <w:b/>
          <w:i/>
          <w:iCs/>
          <w:sz w:val="20"/>
        </w:rPr>
        <w:t>4</w:t>
      </w:r>
    </w:p>
    <w:p w14:paraId="16DC704B" w14:textId="6CC07EA1" w:rsidR="00D4665E" w:rsidRPr="006643E8" w:rsidRDefault="00D4665E" w:rsidP="002C6DC5">
      <w:pPr>
        <w:spacing w:after="120"/>
        <w:rPr>
          <w:rFonts w:ascii="Arial" w:hAnsi="Arial" w:cs="Arial"/>
          <w:i/>
          <w:iCs/>
          <w:sz w:val="20"/>
        </w:rPr>
      </w:pPr>
      <w:r w:rsidRPr="006643E8">
        <w:rPr>
          <w:rFonts w:ascii="Arial" w:hAnsi="Arial" w:cs="Arial"/>
          <w:i/>
          <w:iCs/>
          <w:sz w:val="20"/>
        </w:rPr>
        <w:t>In June 20</w:t>
      </w:r>
      <w:r w:rsidR="0061614B" w:rsidRPr="006643E8">
        <w:rPr>
          <w:rFonts w:ascii="Arial" w:hAnsi="Arial" w:cs="Arial"/>
          <w:i/>
          <w:iCs/>
          <w:sz w:val="20"/>
        </w:rPr>
        <w:t>2</w:t>
      </w:r>
      <w:r w:rsidR="00EE1F47" w:rsidRPr="006643E8">
        <w:rPr>
          <w:rFonts w:ascii="Arial" w:hAnsi="Arial" w:cs="Arial"/>
          <w:i/>
          <w:iCs/>
          <w:sz w:val="20"/>
        </w:rPr>
        <w:t>4</w:t>
      </w:r>
      <w:r w:rsidRPr="006643E8">
        <w:rPr>
          <w:rFonts w:ascii="Arial" w:hAnsi="Arial" w:cs="Arial"/>
          <w:i/>
          <w:iCs/>
          <w:sz w:val="20"/>
        </w:rPr>
        <w:t xml:space="preserve">, the ATO notifies </w:t>
      </w:r>
      <w:r w:rsidR="0096675F">
        <w:rPr>
          <w:rFonts w:ascii="Arial" w:hAnsi="Arial" w:cs="Arial"/>
          <w:i/>
          <w:iCs/>
          <w:sz w:val="20"/>
        </w:rPr>
        <w:t>Absedee</w:t>
      </w:r>
      <w:r w:rsidR="00EE1F47" w:rsidRPr="006643E8">
        <w:rPr>
          <w:rFonts w:ascii="Arial" w:hAnsi="Arial" w:cs="Arial"/>
          <w:i/>
          <w:iCs/>
          <w:sz w:val="20"/>
        </w:rPr>
        <w:t xml:space="preserve"> Pty Ltd</w:t>
      </w:r>
      <w:r w:rsidRPr="006643E8">
        <w:rPr>
          <w:rFonts w:ascii="Arial" w:hAnsi="Arial" w:cs="Arial"/>
          <w:i/>
          <w:iCs/>
          <w:sz w:val="20"/>
        </w:rPr>
        <w:t xml:space="preserve"> that it is conducting a general review of </w:t>
      </w:r>
      <w:r w:rsidR="00EE1F47" w:rsidRPr="006643E8">
        <w:rPr>
          <w:rFonts w:ascii="Arial" w:hAnsi="Arial" w:cs="Arial"/>
          <w:i/>
          <w:iCs/>
          <w:sz w:val="20"/>
        </w:rPr>
        <w:t>its</w:t>
      </w:r>
      <w:r w:rsidRPr="006643E8">
        <w:rPr>
          <w:rFonts w:ascii="Arial" w:hAnsi="Arial" w:cs="Arial"/>
          <w:i/>
          <w:iCs/>
          <w:sz w:val="20"/>
        </w:rPr>
        <w:t xml:space="preserve"> WET affairs for each of the monthly tax periods ending 31 January 20</w:t>
      </w:r>
      <w:r w:rsidR="0061614B" w:rsidRPr="006643E8">
        <w:rPr>
          <w:rFonts w:ascii="Arial" w:hAnsi="Arial" w:cs="Arial"/>
          <w:i/>
          <w:iCs/>
          <w:sz w:val="20"/>
        </w:rPr>
        <w:t>2</w:t>
      </w:r>
      <w:r w:rsidR="00EE1F47" w:rsidRPr="006643E8">
        <w:rPr>
          <w:rFonts w:ascii="Arial" w:hAnsi="Arial" w:cs="Arial"/>
          <w:i/>
          <w:iCs/>
          <w:sz w:val="20"/>
        </w:rPr>
        <w:t>3</w:t>
      </w:r>
      <w:r w:rsidRPr="006643E8">
        <w:rPr>
          <w:rFonts w:ascii="Arial" w:hAnsi="Arial" w:cs="Arial"/>
          <w:i/>
          <w:iCs/>
          <w:sz w:val="20"/>
        </w:rPr>
        <w:t xml:space="preserve"> to 2</w:t>
      </w:r>
      <w:r w:rsidR="00EE1F47" w:rsidRPr="006643E8">
        <w:rPr>
          <w:rFonts w:ascii="Arial" w:hAnsi="Arial" w:cs="Arial"/>
          <w:i/>
          <w:iCs/>
          <w:sz w:val="20"/>
        </w:rPr>
        <w:t>9</w:t>
      </w:r>
      <w:r w:rsidRPr="006643E8">
        <w:rPr>
          <w:rFonts w:ascii="Arial" w:hAnsi="Arial" w:cs="Arial"/>
          <w:i/>
          <w:iCs/>
          <w:sz w:val="20"/>
        </w:rPr>
        <w:t xml:space="preserve"> February 20</w:t>
      </w:r>
      <w:r w:rsidR="0061614B" w:rsidRPr="006643E8">
        <w:rPr>
          <w:rFonts w:ascii="Arial" w:hAnsi="Arial" w:cs="Arial"/>
          <w:i/>
          <w:iCs/>
          <w:sz w:val="20"/>
        </w:rPr>
        <w:t>2</w:t>
      </w:r>
      <w:r w:rsidR="00EE1F47" w:rsidRPr="006643E8">
        <w:rPr>
          <w:rFonts w:ascii="Arial" w:hAnsi="Arial" w:cs="Arial"/>
          <w:i/>
          <w:iCs/>
          <w:sz w:val="20"/>
        </w:rPr>
        <w:t>4</w:t>
      </w:r>
      <w:r w:rsidRPr="006643E8">
        <w:rPr>
          <w:rFonts w:ascii="Arial" w:hAnsi="Arial" w:cs="Arial"/>
          <w:i/>
          <w:iCs/>
          <w:sz w:val="20"/>
        </w:rPr>
        <w:t xml:space="preserve">. </w:t>
      </w:r>
      <w:r w:rsidR="0096675F">
        <w:rPr>
          <w:rFonts w:ascii="Arial" w:hAnsi="Arial" w:cs="Arial"/>
          <w:i/>
          <w:iCs/>
          <w:sz w:val="20"/>
        </w:rPr>
        <w:t>Absedee</w:t>
      </w:r>
      <w:r w:rsidR="00EE1F47" w:rsidRPr="006643E8">
        <w:rPr>
          <w:rFonts w:ascii="Arial" w:hAnsi="Arial" w:cs="Arial"/>
          <w:i/>
          <w:iCs/>
          <w:sz w:val="20"/>
        </w:rPr>
        <w:t xml:space="preserve"> Pty Ltd</w:t>
      </w:r>
      <w:r w:rsidRPr="006643E8">
        <w:rPr>
          <w:rFonts w:ascii="Arial" w:hAnsi="Arial" w:cs="Arial"/>
          <w:i/>
          <w:iCs/>
          <w:sz w:val="20"/>
        </w:rPr>
        <w:t xml:space="preserve"> also conducts its own review and discovers a</w:t>
      </w:r>
      <w:r w:rsidR="00773767" w:rsidRPr="006643E8">
        <w:rPr>
          <w:rFonts w:ascii="Arial" w:hAnsi="Arial" w:cs="Arial"/>
          <w:i/>
          <w:iCs/>
          <w:sz w:val="20"/>
        </w:rPr>
        <w:t>n</w:t>
      </w:r>
      <w:r w:rsidRPr="006643E8">
        <w:rPr>
          <w:rFonts w:ascii="Arial" w:hAnsi="Arial" w:cs="Arial"/>
          <w:i/>
          <w:iCs/>
          <w:sz w:val="20"/>
        </w:rPr>
        <w:t xml:space="preserve"> error made in working out its net amount for the</w:t>
      </w:r>
      <w:r w:rsidR="006624F3" w:rsidRPr="006643E8">
        <w:rPr>
          <w:rFonts w:ascii="Arial" w:hAnsi="Arial" w:cs="Arial"/>
          <w:i/>
          <w:iCs/>
          <w:sz w:val="20"/>
        </w:rPr>
        <w:t xml:space="preserve"> tax period that ended</w:t>
      </w:r>
      <w:r w:rsidRPr="006643E8">
        <w:rPr>
          <w:rFonts w:ascii="Arial" w:hAnsi="Arial" w:cs="Arial"/>
          <w:i/>
          <w:iCs/>
          <w:sz w:val="20"/>
        </w:rPr>
        <w:t xml:space="preserve"> December 20</w:t>
      </w:r>
      <w:r w:rsidR="0061614B" w:rsidRPr="006643E8">
        <w:rPr>
          <w:rFonts w:ascii="Arial" w:hAnsi="Arial" w:cs="Arial"/>
          <w:i/>
          <w:iCs/>
          <w:sz w:val="20"/>
        </w:rPr>
        <w:t>2</w:t>
      </w:r>
      <w:r w:rsidR="00EE1F47" w:rsidRPr="006643E8">
        <w:rPr>
          <w:rFonts w:ascii="Arial" w:hAnsi="Arial" w:cs="Arial"/>
          <w:i/>
          <w:iCs/>
          <w:sz w:val="20"/>
        </w:rPr>
        <w:t>2</w:t>
      </w:r>
      <w:r w:rsidRPr="006643E8">
        <w:rPr>
          <w:rFonts w:ascii="Arial" w:hAnsi="Arial" w:cs="Arial"/>
          <w:i/>
          <w:iCs/>
          <w:sz w:val="20"/>
        </w:rPr>
        <w:t>. As the error is made for an earlier tax period that is not subject to compliance activity</w:t>
      </w:r>
      <w:r w:rsidR="006624F3" w:rsidRPr="006643E8">
        <w:rPr>
          <w:rFonts w:ascii="Arial" w:hAnsi="Arial" w:cs="Arial"/>
          <w:i/>
          <w:iCs/>
          <w:sz w:val="20"/>
        </w:rPr>
        <w:t xml:space="preserve"> (and is not related to a matter that is specified as being subject to compliance activity)</w:t>
      </w:r>
      <w:r w:rsidRPr="006643E8">
        <w:rPr>
          <w:rFonts w:ascii="Arial" w:hAnsi="Arial" w:cs="Arial"/>
          <w:i/>
          <w:iCs/>
          <w:sz w:val="20"/>
        </w:rPr>
        <w:t xml:space="preserve">, </w:t>
      </w:r>
      <w:r w:rsidR="0096675F">
        <w:rPr>
          <w:rFonts w:ascii="Arial" w:hAnsi="Arial" w:cs="Arial"/>
          <w:i/>
          <w:iCs/>
          <w:sz w:val="20"/>
        </w:rPr>
        <w:t>Absedee</w:t>
      </w:r>
      <w:r w:rsidR="00EE1F47" w:rsidRPr="006643E8">
        <w:rPr>
          <w:rFonts w:ascii="Arial" w:hAnsi="Arial" w:cs="Arial"/>
          <w:i/>
          <w:iCs/>
          <w:sz w:val="20"/>
        </w:rPr>
        <w:t xml:space="preserve"> Pty Ltd</w:t>
      </w:r>
      <w:r w:rsidRPr="006643E8">
        <w:rPr>
          <w:rFonts w:ascii="Arial" w:hAnsi="Arial" w:cs="Arial"/>
          <w:i/>
          <w:iCs/>
          <w:sz w:val="20"/>
        </w:rPr>
        <w:t xml:space="preserve"> can correct the error by applying the </w:t>
      </w:r>
      <w:r w:rsidR="00813644" w:rsidRPr="006643E8">
        <w:rPr>
          <w:rFonts w:ascii="Arial" w:hAnsi="Arial" w:cs="Arial"/>
          <w:i/>
          <w:iCs/>
          <w:sz w:val="20"/>
        </w:rPr>
        <w:t>i</w:t>
      </w:r>
      <w:r w:rsidR="00171E5A" w:rsidRPr="006643E8">
        <w:rPr>
          <w:rFonts w:ascii="Arial" w:hAnsi="Arial" w:cs="Arial"/>
          <w:i/>
          <w:iCs/>
          <w:sz w:val="20"/>
        </w:rPr>
        <w:t>nstrument</w:t>
      </w:r>
      <w:r w:rsidRPr="006643E8">
        <w:rPr>
          <w:rFonts w:ascii="Arial" w:hAnsi="Arial" w:cs="Arial"/>
          <w:i/>
          <w:iCs/>
          <w:sz w:val="20"/>
        </w:rPr>
        <w:t>, if the other conditions are satisfied.</w:t>
      </w:r>
    </w:p>
    <w:p w14:paraId="43979B5C" w14:textId="1B43D092" w:rsidR="00D4665E" w:rsidRDefault="0003168C" w:rsidP="002C6DC5">
      <w:pPr>
        <w:pStyle w:val="Numberedparagraph"/>
      </w:pPr>
      <w:r>
        <w:t>From a taxpayer’s perspective, a</w:t>
      </w:r>
      <w:r w:rsidR="00D4665E" w:rsidRPr="00C06800">
        <w:t xml:space="preserve"> compliance activit</w:t>
      </w:r>
      <w:r w:rsidR="00D4665E" w:rsidRPr="0096675F">
        <w:t>y</w:t>
      </w:r>
      <w:r w:rsidR="00D4665E" w:rsidRPr="00E774A3">
        <w:t xml:space="preserve"> </w:t>
      </w:r>
      <w:r w:rsidR="00D4665E" w:rsidRPr="0096675F">
        <w:t>begins</w:t>
      </w:r>
      <w:r w:rsidR="00D4665E" w:rsidRPr="00C06800">
        <w:t xml:space="preserve"> on the day the </w:t>
      </w:r>
      <w:r w:rsidR="00D4665E" w:rsidRPr="0066630F">
        <w:t>Commissioner</w:t>
      </w:r>
      <w:r w:rsidR="00D4665E" w:rsidRPr="00C06800">
        <w:t xml:space="preserve"> tells you that an examination is to be made of your WET affairs and ends on the day when </w:t>
      </w:r>
      <w:r w:rsidR="00171E5A">
        <w:t xml:space="preserve">either </w:t>
      </w:r>
      <w:r w:rsidR="00D4665E" w:rsidRPr="00C06800">
        <w:t xml:space="preserve">the </w:t>
      </w:r>
      <w:r w:rsidR="00D4665E" w:rsidRPr="0066630F">
        <w:t>Commissioner</w:t>
      </w:r>
      <w:r w:rsidR="00D4665E" w:rsidRPr="00C06800">
        <w:t xml:space="preserve"> gives you a notice of assessment or </w:t>
      </w:r>
      <w:r w:rsidR="00F15342">
        <w:t xml:space="preserve">an </w:t>
      </w:r>
      <w:r w:rsidR="00D4665E" w:rsidRPr="00C06800">
        <w:t>amended assessment for the tax periods under examination</w:t>
      </w:r>
      <w:r w:rsidR="008E6C21">
        <w:t xml:space="preserve"> </w:t>
      </w:r>
      <w:r w:rsidR="00D4665E" w:rsidRPr="00C06800">
        <w:t xml:space="preserve">or tells you that the examination has been finalised. Usually, the </w:t>
      </w:r>
      <w:r w:rsidR="00D4665E" w:rsidRPr="0066630F">
        <w:t>Commissioner</w:t>
      </w:r>
      <w:r w:rsidR="00D4665E" w:rsidRPr="00C06800">
        <w:t xml:space="preserve"> tells you that the ATO is examining your WET affairs in a letter, but you may also be</w:t>
      </w:r>
      <w:r w:rsidR="008E6C21">
        <w:t xml:space="preserve"> told </w:t>
      </w:r>
      <w:r w:rsidR="00D4665E" w:rsidRPr="00C06800">
        <w:t>through other medium</w:t>
      </w:r>
      <w:r w:rsidR="00F15342">
        <w:t>s</w:t>
      </w:r>
      <w:r w:rsidR="00D4665E" w:rsidRPr="00C06800">
        <w:t xml:space="preserve"> of communication including by email or phone.</w:t>
      </w:r>
    </w:p>
    <w:p w14:paraId="429C4CF2" w14:textId="77777777" w:rsidR="006D4CA6" w:rsidRPr="00C06800" w:rsidRDefault="006D4CA6" w:rsidP="0019176E">
      <w:pPr>
        <w:spacing w:after="120"/>
        <w:rPr>
          <w:rFonts w:ascii="Arial" w:hAnsi="Arial" w:cs="Arial"/>
          <w:sz w:val="22"/>
          <w:szCs w:val="22"/>
        </w:rPr>
      </w:pPr>
    </w:p>
    <w:p w14:paraId="2A2FF602" w14:textId="2BAB073F" w:rsidR="00D4665E" w:rsidRPr="00B753F6" w:rsidRDefault="00D4665E" w:rsidP="0019176E">
      <w:pPr>
        <w:pStyle w:val="Heading3"/>
        <w:spacing w:before="0" w:after="120"/>
        <w:rPr>
          <w:i/>
          <w:iCs/>
          <w:sz w:val="22"/>
          <w:szCs w:val="22"/>
        </w:rPr>
      </w:pPr>
      <w:r w:rsidRPr="00B753F6">
        <w:rPr>
          <w:i/>
          <w:iCs/>
          <w:sz w:val="22"/>
          <w:szCs w:val="22"/>
        </w:rPr>
        <w:t>Cho</w:t>
      </w:r>
      <w:r w:rsidR="00A64DEE" w:rsidRPr="00B753F6">
        <w:rPr>
          <w:i/>
          <w:iCs/>
          <w:sz w:val="22"/>
          <w:szCs w:val="22"/>
        </w:rPr>
        <w:t>osing</w:t>
      </w:r>
      <w:r w:rsidRPr="00B753F6">
        <w:rPr>
          <w:i/>
          <w:iCs/>
          <w:sz w:val="22"/>
          <w:szCs w:val="22"/>
        </w:rPr>
        <w:t xml:space="preserve"> how to correct an error</w:t>
      </w:r>
    </w:p>
    <w:p w14:paraId="44E22397" w14:textId="031236D5" w:rsidR="006D4CA6" w:rsidRPr="0007082B" w:rsidRDefault="00D4665E" w:rsidP="002C6DC5">
      <w:pPr>
        <w:pStyle w:val="Numberedparagraph"/>
      </w:pPr>
      <w:r w:rsidRPr="00C06800">
        <w:t xml:space="preserve">While the </w:t>
      </w:r>
      <w:r w:rsidR="00171E5A">
        <w:t>instrument</w:t>
      </w:r>
      <w:r w:rsidRPr="00C06800">
        <w:t xml:space="preserve"> allows you to correct</w:t>
      </w:r>
      <w:r w:rsidR="00282E87">
        <w:t xml:space="preserve"> </w:t>
      </w:r>
      <w:r w:rsidRPr="00C06800">
        <w:t xml:space="preserve">errors </w:t>
      </w:r>
      <w:r w:rsidR="00B6442A">
        <w:t>(</w:t>
      </w:r>
      <w:r w:rsidR="00B6442A" w:rsidRPr="00C06800">
        <w:t>in relation to wine tax or wine tax credits</w:t>
      </w:r>
      <w:r w:rsidR="00B6442A">
        <w:t>)</w:t>
      </w:r>
      <w:r w:rsidR="00B6442A" w:rsidRPr="00C06800">
        <w:t xml:space="preserve"> </w:t>
      </w:r>
      <w:r w:rsidRPr="00C06800">
        <w:t xml:space="preserve">made in an earlier tax period in working out a net amount in </w:t>
      </w:r>
      <w:r w:rsidR="00B6442A">
        <w:t>a later</w:t>
      </w:r>
      <w:r w:rsidR="00B6442A" w:rsidRPr="00C06800">
        <w:t xml:space="preserve"> </w:t>
      </w:r>
      <w:r w:rsidRPr="00C06800">
        <w:t xml:space="preserve">tax period, you are not obliged to do so. You </w:t>
      </w:r>
      <w:r w:rsidR="00773767">
        <w:t xml:space="preserve">may instead </w:t>
      </w:r>
      <w:r w:rsidRPr="00C06800">
        <w:t xml:space="preserve">choose to correct the error by requesting the </w:t>
      </w:r>
      <w:r w:rsidRPr="0066630F">
        <w:t>Commissioner</w:t>
      </w:r>
      <w:r w:rsidRPr="00C06800">
        <w:t xml:space="preserve"> </w:t>
      </w:r>
      <w:r w:rsidR="002E3F23">
        <w:t xml:space="preserve">to </w:t>
      </w:r>
      <w:r w:rsidRPr="00C06800">
        <w:t xml:space="preserve">amend </w:t>
      </w:r>
      <w:r w:rsidR="00773767">
        <w:t>the</w:t>
      </w:r>
      <w:r w:rsidRPr="00C06800">
        <w:t xml:space="preserve"> assessment for the earlier tax period in which the error was made. If you do this, </w:t>
      </w:r>
      <w:r w:rsidR="00F50E2E">
        <w:t>paragraph</w:t>
      </w:r>
      <w:r w:rsidR="00F50E2E" w:rsidRPr="00C06800">
        <w:t xml:space="preserve"> </w:t>
      </w:r>
      <w:r w:rsidR="00171E5A">
        <w:t>6</w:t>
      </w:r>
      <w:r w:rsidRPr="00C06800">
        <w:t>(</w:t>
      </w:r>
      <w:r>
        <w:t>e</w:t>
      </w:r>
      <w:r w:rsidRPr="00C06800">
        <w:t xml:space="preserve">) </w:t>
      </w:r>
      <w:r w:rsidR="00FF08FA">
        <w:t xml:space="preserve">of the instrument </w:t>
      </w:r>
      <w:r w:rsidRPr="00C06800">
        <w:t xml:space="preserve">clarifies that you cannot also apply the </w:t>
      </w:r>
      <w:r w:rsidR="00A14BA2">
        <w:t>i</w:t>
      </w:r>
      <w:r w:rsidR="00171E5A">
        <w:t>nstrument</w:t>
      </w:r>
      <w:r w:rsidRPr="00C06800">
        <w:t xml:space="preserve"> to correct the error.</w:t>
      </w:r>
    </w:p>
    <w:p w14:paraId="0AF4E038" w14:textId="0F964F70" w:rsidR="00D84CFC" w:rsidRDefault="00F50E2E" w:rsidP="002C6DC5">
      <w:pPr>
        <w:pStyle w:val="Numberedparagraph"/>
      </w:pPr>
      <w:r w:rsidRPr="006D4CA6">
        <w:t xml:space="preserve">Paragraph </w:t>
      </w:r>
      <w:r w:rsidR="00171E5A" w:rsidRPr="006D4CA6">
        <w:t>6</w:t>
      </w:r>
      <w:r w:rsidR="00D4665E" w:rsidRPr="006D4CA6">
        <w:t xml:space="preserve">(e) </w:t>
      </w:r>
      <w:r w:rsidR="00566D0D">
        <w:t>restricts your application of the instrument to one time per error.</w:t>
      </w:r>
      <w:r w:rsidR="00D4665E" w:rsidRPr="006D4CA6">
        <w:t xml:space="preserve"> Once you have taken account of that error, to any extent, in working out your net amount for another tax period (</w:t>
      </w:r>
      <w:r w:rsidR="00CE28C9">
        <w:t>that is</w:t>
      </w:r>
      <w:r w:rsidR="00D4665E" w:rsidRPr="006D4CA6">
        <w:t xml:space="preserve"> by applying the </w:t>
      </w:r>
      <w:r w:rsidR="00462417" w:rsidRPr="006D4CA6">
        <w:t>i</w:t>
      </w:r>
      <w:r w:rsidR="00171E5A" w:rsidRPr="006D4CA6">
        <w:t>nstrument</w:t>
      </w:r>
      <w:r w:rsidR="00D4665E" w:rsidRPr="006D4CA6">
        <w:t xml:space="preserve"> to correct an error), you cannot apply the </w:t>
      </w:r>
      <w:r w:rsidR="00462417" w:rsidRPr="006D4CA6">
        <w:t>i</w:t>
      </w:r>
      <w:r w:rsidR="00171E5A" w:rsidRPr="006D4CA6">
        <w:t>nstrument</w:t>
      </w:r>
      <w:r w:rsidR="00D4665E" w:rsidRPr="006D4CA6">
        <w:t xml:space="preserve"> to correct the same error again. </w:t>
      </w:r>
      <w:r w:rsidR="00ED5DE5">
        <w:t>F</w:t>
      </w:r>
      <w:r w:rsidR="00D4665E" w:rsidRPr="00ED5DE5">
        <w:t>or example, where you partially correct a debit error because the relevant debit error value limit is exceeded, that error has already been</w:t>
      </w:r>
      <w:r w:rsidR="00ED5DE5">
        <w:t xml:space="preserve"> corrected </w:t>
      </w:r>
      <w:r w:rsidR="00D4665E" w:rsidRPr="00ED5DE5">
        <w:t xml:space="preserve">in working out your net amount for another tax period. You cannot apply the </w:t>
      </w:r>
      <w:r w:rsidR="00462417" w:rsidRPr="00ED5DE5">
        <w:t>i</w:t>
      </w:r>
      <w:r w:rsidR="00171E5A" w:rsidRPr="00ED5DE5">
        <w:t>nstrument</w:t>
      </w:r>
      <w:r w:rsidR="00D4665E" w:rsidRPr="00ED5DE5">
        <w:t xml:space="preserve"> to correct any part of that error again.</w:t>
      </w:r>
    </w:p>
    <w:p w14:paraId="39A7156E" w14:textId="23D3AF32" w:rsidR="00AF2532" w:rsidRPr="00813644" w:rsidRDefault="00F50E2E" w:rsidP="002C6DC5">
      <w:pPr>
        <w:pStyle w:val="Numberedparagraph"/>
      </w:pPr>
      <w:r>
        <w:t>Paragraph</w:t>
      </w:r>
      <w:r w:rsidRPr="00813644">
        <w:t xml:space="preserve"> </w:t>
      </w:r>
      <w:r w:rsidR="00CF6E2A" w:rsidRPr="00813644">
        <w:t>6(g)</w:t>
      </w:r>
      <w:r w:rsidR="00FF08FA">
        <w:t xml:space="preserve"> of the instrument</w:t>
      </w:r>
      <w:r w:rsidR="00CF6E2A" w:rsidRPr="00813644">
        <w:t xml:space="preserve"> limits use of this instrument to entities that are </w:t>
      </w:r>
      <w:r w:rsidR="00AF2532" w:rsidRPr="00813644">
        <w:t>registered</w:t>
      </w:r>
      <w:r w:rsidR="00CF6E2A" w:rsidRPr="00813644">
        <w:t xml:space="preserve"> for GST.</w:t>
      </w:r>
    </w:p>
    <w:p w14:paraId="3B4528F5" w14:textId="77777777" w:rsidR="00CF6E2A" w:rsidRPr="00D84CFC" w:rsidRDefault="00CF6E2A" w:rsidP="0019176E">
      <w:pPr>
        <w:spacing w:after="120"/>
        <w:rPr>
          <w:rFonts w:ascii="Arial" w:hAnsi="Arial" w:cs="Arial"/>
          <w:sz w:val="22"/>
          <w:szCs w:val="22"/>
        </w:rPr>
      </w:pPr>
    </w:p>
    <w:p w14:paraId="14C43D68" w14:textId="77777777" w:rsidR="00D84CFC" w:rsidRPr="00B753F6" w:rsidRDefault="00A34F45" w:rsidP="0019176E">
      <w:pPr>
        <w:pStyle w:val="Heading3"/>
        <w:spacing w:before="0" w:after="120"/>
        <w:rPr>
          <w:i/>
          <w:iCs/>
          <w:sz w:val="22"/>
          <w:szCs w:val="22"/>
        </w:rPr>
      </w:pPr>
      <w:r w:rsidRPr="00B753F6">
        <w:rPr>
          <w:i/>
          <w:iCs/>
          <w:sz w:val="22"/>
          <w:szCs w:val="22"/>
        </w:rPr>
        <w:t>Correcting d</w:t>
      </w:r>
      <w:r w:rsidR="00D4665E" w:rsidRPr="00B753F6">
        <w:rPr>
          <w:i/>
          <w:iCs/>
          <w:sz w:val="22"/>
          <w:szCs w:val="22"/>
        </w:rPr>
        <w:t xml:space="preserve">ebit </w:t>
      </w:r>
      <w:r w:rsidR="003A1A71" w:rsidRPr="00B753F6">
        <w:rPr>
          <w:i/>
          <w:iCs/>
          <w:sz w:val="22"/>
          <w:szCs w:val="22"/>
        </w:rPr>
        <w:t>e</w:t>
      </w:r>
      <w:r w:rsidR="00D4665E" w:rsidRPr="00B753F6">
        <w:rPr>
          <w:i/>
          <w:iCs/>
          <w:sz w:val="22"/>
          <w:szCs w:val="22"/>
        </w:rPr>
        <w:t>rrors</w:t>
      </w:r>
    </w:p>
    <w:p w14:paraId="70380E30" w14:textId="6577B16D" w:rsidR="008F1E77" w:rsidRPr="008F1E77" w:rsidRDefault="00D4665E" w:rsidP="002C6DC5">
      <w:pPr>
        <w:pStyle w:val="Numberedparagraph"/>
      </w:pPr>
      <w:r>
        <w:t xml:space="preserve">While </w:t>
      </w:r>
      <w:r w:rsidR="00F50E2E">
        <w:t>paragraphs</w:t>
      </w:r>
      <w:r w:rsidR="00F50E2E" w:rsidRPr="00A223DF">
        <w:t xml:space="preserve"> </w:t>
      </w:r>
      <w:r w:rsidR="00171E5A">
        <w:t>6</w:t>
      </w:r>
      <w:r w:rsidRPr="00A223DF">
        <w:t>(a)</w:t>
      </w:r>
      <w:r>
        <w:t xml:space="preserve"> to </w:t>
      </w:r>
      <w:r w:rsidR="00171E5A">
        <w:t>6</w:t>
      </w:r>
      <w:r>
        <w:t>(e)</w:t>
      </w:r>
      <w:r w:rsidR="00CF6E2A">
        <w:t>, and 6(g)</w:t>
      </w:r>
      <w:r w:rsidR="00FF08FA">
        <w:t xml:space="preserve"> </w:t>
      </w:r>
      <w:r>
        <w:t xml:space="preserve">apply to all errors, </w:t>
      </w:r>
      <w:r w:rsidR="00CF6E2A">
        <w:t xml:space="preserve">the additional conditions in </w:t>
      </w:r>
      <w:r w:rsidR="00905E16">
        <w:t>section</w:t>
      </w:r>
      <w:r w:rsidR="00E64B78">
        <w:t> </w:t>
      </w:r>
      <w:r w:rsidR="00CF6E2A">
        <w:t xml:space="preserve">7 </w:t>
      </w:r>
      <w:r w:rsidR="00B466BF">
        <w:t>must</w:t>
      </w:r>
      <w:r w:rsidR="00CF6E2A">
        <w:t xml:space="preserve"> be met before correcting a debit error (see paragraph 6(f)).</w:t>
      </w:r>
    </w:p>
    <w:p w14:paraId="5AFF4C40" w14:textId="61FEA944" w:rsidR="00D84CFC" w:rsidRDefault="002542FE" w:rsidP="002C6DC5">
      <w:pPr>
        <w:pStyle w:val="Numberedparagraph"/>
        <w:keepNext/>
      </w:pPr>
      <w:r w:rsidRPr="001568AC">
        <w:t>Under section 7, a</w:t>
      </w:r>
      <w:r w:rsidR="001D3EF0">
        <w:t xml:space="preserve"> debit error can</w:t>
      </w:r>
      <w:r w:rsidR="00D4665E" w:rsidRPr="00C06800">
        <w:t xml:space="preserve"> only be corrected:</w:t>
      </w:r>
    </w:p>
    <w:p w14:paraId="104F1910" w14:textId="47747D7F" w:rsidR="00D4665E" w:rsidRPr="00C06800" w:rsidRDefault="00D4665E" w:rsidP="00E774A3">
      <w:pPr>
        <w:pStyle w:val="alphabullets"/>
        <w:numPr>
          <w:ilvl w:val="0"/>
          <w:numId w:val="12"/>
        </w:numPr>
        <w:ind w:left="1418" w:hanging="709"/>
      </w:pPr>
      <w:r w:rsidRPr="00C06800">
        <w:t xml:space="preserve">if the error was not a result of recklessness as to the operation of a </w:t>
      </w:r>
      <w:r w:rsidR="0021616F">
        <w:t xml:space="preserve">wine tax </w:t>
      </w:r>
      <w:r w:rsidRPr="00C06800">
        <w:t>law or intentional disregard of a</w:t>
      </w:r>
      <w:r w:rsidR="008B18E2">
        <w:t xml:space="preserve"> </w:t>
      </w:r>
      <w:r w:rsidR="0021616F">
        <w:t xml:space="preserve">wine tax </w:t>
      </w:r>
      <w:r w:rsidRPr="00C06800">
        <w:t>law</w:t>
      </w:r>
      <w:r w:rsidR="00BB713A">
        <w:t>,</w:t>
      </w:r>
    </w:p>
    <w:p w14:paraId="458146DD" w14:textId="2DB0AA04" w:rsidR="00D4665E" w:rsidRPr="00C06800" w:rsidRDefault="00D4665E" w:rsidP="00E774A3">
      <w:pPr>
        <w:pStyle w:val="alphabullets"/>
        <w:numPr>
          <w:ilvl w:val="0"/>
          <w:numId w:val="12"/>
        </w:numPr>
        <w:ind w:left="1418" w:hanging="709"/>
      </w:pPr>
      <w:r w:rsidRPr="00C06800">
        <w:t xml:space="preserve">if that error is corrected in a tax period that is within the </w:t>
      </w:r>
      <w:r w:rsidRPr="00C06800">
        <w:rPr>
          <w:bCs/>
          <w:iCs/>
        </w:rPr>
        <w:t>debit error time li</w:t>
      </w:r>
      <w:r w:rsidRPr="0096675F">
        <w:rPr>
          <w:bCs/>
          <w:iCs/>
        </w:rPr>
        <w:t>mit</w:t>
      </w:r>
      <w:r w:rsidRPr="00E774A3">
        <w:rPr>
          <w:bCs/>
          <w:i/>
          <w:iCs/>
        </w:rPr>
        <w:t xml:space="preserve"> </w:t>
      </w:r>
      <w:r w:rsidRPr="0096675F">
        <w:rPr>
          <w:bCs/>
        </w:rPr>
        <w:t>that</w:t>
      </w:r>
      <w:r w:rsidRPr="00C06800">
        <w:t xml:space="preserve"> corresponds with your current GST turnover </w:t>
      </w:r>
      <w:r w:rsidR="00C24FD3">
        <w:t xml:space="preserve">specified </w:t>
      </w:r>
      <w:r w:rsidRPr="00C06800">
        <w:t xml:space="preserve">in the table </w:t>
      </w:r>
      <w:r w:rsidR="00C24FD3">
        <w:t xml:space="preserve">in </w:t>
      </w:r>
      <w:r w:rsidR="00D46BD7">
        <w:t>section</w:t>
      </w:r>
      <w:r w:rsidR="00F50E2E">
        <w:t xml:space="preserve"> </w:t>
      </w:r>
      <w:r w:rsidR="00C24FD3">
        <w:t>7</w:t>
      </w:r>
      <w:r w:rsidR="00E705DD">
        <w:t>,</w:t>
      </w:r>
      <w:r w:rsidRPr="00C06800">
        <w:t xml:space="preserve"> and</w:t>
      </w:r>
    </w:p>
    <w:p w14:paraId="02188C71" w14:textId="3DA559F9" w:rsidR="00D4665E" w:rsidRPr="00FA1E77" w:rsidRDefault="00D4665E" w:rsidP="00E774A3">
      <w:pPr>
        <w:pStyle w:val="alphabullets"/>
        <w:numPr>
          <w:ilvl w:val="0"/>
          <w:numId w:val="12"/>
        </w:numPr>
        <w:ind w:left="1418" w:hanging="709"/>
      </w:pPr>
      <w:r w:rsidRPr="00C06800">
        <w:t xml:space="preserve">to the extent that the </w:t>
      </w:r>
      <w:r w:rsidRPr="001D3EF0">
        <w:rPr>
          <w:bCs/>
          <w:iCs/>
        </w:rPr>
        <w:t xml:space="preserve">net </w:t>
      </w:r>
      <w:r w:rsidRPr="002253A2">
        <w:t>sum</w:t>
      </w:r>
      <w:r w:rsidRPr="001D3EF0">
        <w:rPr>
          <w:bCs/>
          <w:iCs/>
        </w:rPr>
        <w:t xml:space="preserve"> of the debit errors</w:t>
      </w:r>
      <w:r w:rsidRPr="00C06800">
        <w:t xml:space="preserve"> is within the </w:t>
      </w:r>
      <w:r w:rsidRPr="00C06800">
        <w:rPr>
          <w:bCs/>
          <w:iCs/>
        </w:rPr>
        <w:t xml:space="preserve">debit error value </w:t>
      </w:r>
      <w:r w:rsidRPr="0096675F">
        <w:rPr>
          <w:bCs/>
          <w:iCs/>
        </w:rPr>
        <w:t>limit</w:t>
      </w:r>
      <w:r w:rsidRPr="00E774A3">
        <w:rPr>
          <w:bCs/>
          <w:iCs/>
        </w:rPr>
        <w:t xml:space="preserve"> </w:t>
      </w:r>
      <w:r w:rsidRPr="0096675F">
        <w:rPr>
          <w:bCs/>
          <w:iCs/>
        </w:rPr>
        <w:t>that corresponds with your current GST turnover</w:t>
      </w:r>
      <w:r w:rsidR="00C24FD3" w:rsidRPr="0096675F">
        <w:rPr>
          <w:bCs/>
          <w:iCs/>
        </w:rPr>
        <w:t xml:space="preserve"> specified</w:t>
      </w:r>
      <w:r w:rsidRPr="0096675F">
        <w:rPr>
          <w:bCs/>
          <w:iCs/>
        </w:rPr>
        <w:t xml:space="preserve"> in the table </w:t>
      </w:r>
      <w:r w:rsidR="00C24FD3" w:rsidRPr="0096675F">
        <w:rPr>
          <w:bCs/>
          <w:iCs/>
        </w:rPr>
        <w:t xml:space="preserve">in </w:t>
      </w:r>
      <w:r w:rsidR="00D46BD7" w:rsidRPr="0096675F">
        <w:rPr>
          <w:bCs/>
          <w:iCs/>
        </w:rPr>
        <w:t>section</w:t>
      </w:r>
      <w:r w:rsidR="00F50E2E" w:rsidRPr="0096675F">
        <w:rPr>
          <w:bCs/>
          <w:iCs/>
        </w:rPr>
        <w:t xml:space="preserve"> </w:t>
      </w:r>
      <w:r w:rsidR="00C24FD3" w:rsidRPr="0096675F">
        <w:rPr>
          <w:bCs/>
          <w:iCs/>
        </w:rPr>
        <w:t>7</w:t>
      </w:r>
      <w:r w:rsidRPr="0096675F">
        <w:rPr>
          <w:bCs/>
          <w:iCs/>
        </w:rPr>
        <w:t>.</w:t>
      </w:r>
    </w:p>
    <w:p w14:paraId="02D07038" w14:textId="19A2D282" w:rsidR="00D4665E" w:rsidRDefault="00D4665E" w:rsidP="002C6DC5">
      <w:pPr>
        <w:pStyle w:val="Numberedparagraph"/>
      </w:pPr>
      <w:r w:rsidRPr="00C06800" w:rsidDel="008F1E77">
        <w:lastRenderedPageBreak/>
        <w:t>The</w:t>
      </w:r>
      <w:r w:rsidR="001D3EF0" w:rsidDel="008F1E77">
        <w:t xml:space="preserve">se </w:t>
      </w:r>
      <w:r w:rsidRPr="00C06800" w:rsidDel="008F1E77">
        <w:t>additional conditions</w:t>
      </w:r>
      <w:r w:rsidR="00FA1E77" w:rsidDel="008F1E77">
        <w:t xml:space="preserve"> </w:t>
      </w:r>
      <w:r w:rsidRPr="00C06800" w:rsidDel="008F1E77">
        <w:t xml:space="preserve">apply to each debit error. In working out whether the relevant debit error can be corrected in the </w:t>
      </w:r>
      <w:r w:rsidR="00AA7A95">
        <w:t xml:space="preserve">later </w:t>
      </w:r>
      <w:r w:rsidRPr="00C06800" w:rsidDel="008F1E77">
        <w:t xml:space="preserve">tax period, and to what extent, all </w:t>
      </w:r>
      <w:r w:rsidR="00CF5CFB" w:rsidRPr="00BA12BE">
        <w:t>3</w:t>
      </w:r>
      <w:r w:rsidDel="008F1E77">
        <w:t xml:space="preserve"> </w:t>
      </w:r>
      <w:r w:rsidRPr="00C06800" w:rsidDel="008F1E77">
        <w:t xml:space="preserve">additional conditions must be satisfied. If any of the conditions are not satisfied (for example, the error is not within the relevant debit error time limit), the debit error cannot be corrected by applying the </w:t>
      </w:r>
      <w:r w:rsidR="00FA1E77" w:rsidDel="008F1E77">
        <w:t>i</w:t>
      </w:r>
      <w:r w:rsidR="00171E5A" w:rsidDel="008F1E77">
        <w:t>nstrument</w:t>
      </w:r>
      <w:r w:rsidRPr="00C06800" w:rsidDel="008F1E77">
        <w:t xml:space="preserve">. </w:t>
      </w:r>
      <w:r w:rsidR="00FA1E77" w:rsidDel="008F1E77">
        <w:t xml:space="preserve">In working out whether you can correct a debit error by relying on this instrument, it is the net sum of the debit errors that must be </w:t>
      </w:r>
      <w:r w:rsidR="00FA1E77" w:rsidRPr="0066630F" w:rsidDel="008F1E77">
        <w:t>below</w:t>
      </w:r>
      <w:r w:rsidR="00FA1E77" w:rsidDel="008F1E77">
        <w:t xml:space="preserve"> the limit, not the amount of an individual debit error.</w:t>
      </w:r>
    </w:p>
    <w:p w14:paraId="13D50C52" w14:textId="77777777" w:rsidR="000A3306" w:rsidRDefault="000A3306" w:rsidP="0019176E">
      <w:pPr>
        <w:spacing w:after="120"/>
        <w:rPr>
          <w:rFonts w:ascii="Arial" w:hAnsi="Arial" w:cs="Arial"/>
          <w:sz w:val="22"/>
          <w:szCs w:val="22"/>
        </w:rPr>
      </w:pPr>
    </w:p>
    <w:p w14:paraId="67D4054D" w14:textId="77777777" w:rsidR="00D84CFC" w:rsidRPr="00B753F6" w:rsidRDefault="007370E3" w:rsidP="0019176E">
      <w:pPr>
        <w:pStyle w:val="Heading3"/>
        <w:spacing w:before="0" w:after="120"/>
        <w:rPr>
          <w:i/>
          <w:iCs/>
          <w:sz w:val="22"/>
          <w:szCs w:val="22"/>
        </w:rPr>
      </w:pPr>
      <w:r w:rsidRPr="00B753F6">
        <w:rPr>
          <w:i/>
          <w:iCs/>
          <w:sz w:val="22"/>
          <w:szCs w:val="22"/>
        </w:rPr>
        <w:t>Alignment with GST Correcting Errors</w:t>
      </w:r>
      <w:r w:rsidR="00CF03E5" w:rsidRPr="00B753F6">
        <w:rPr>
          <w:i/>
          <w:iCs/>
          <w:sz w:val="22"/>
          <w:szCs w:val="22"/>
        </w:rPr>
        <w:t xml:space="preserve"> limits</w:t>
      </w:r>
    </w:p>
    <w:p w14:paraId="4F9B3D4E" w14:textId="5430479E" w:rsidR="007D41F8" w:rsidRPr="00A43117" w:rsidRDefault="00FA225F" w:rsidP="002C6DC5">
      <w:pPr>
        <w:pStyle w:val="Numberedparagraph"/>
      </w:pPr>
      <w:r w:rsidRPr="005362B3">
        <w:t>T</w:t>
      </w:r>
      <w:r w:rsidRPr="00D658F5">
        <w:t xml:space="preserve">he </w:t>
      </w:r>
      <w:r w:rsidR="00AB47A8" w:rsidRPr="00D658F5">
        <w:t>c</w:t>
      </w:r>
      <w:r w:rsidRPr="00D658F5">
        <w:t xml:space="preserve">urrent GST </w:t>
      </w:r>
      <w:r w:rsidR="00AB47A8" w:rsidRPr="00D658F5">
        <w:t>t</w:t>
      </w:r>
      <w:r w:rsidRPr="00D658F5">
        <w:t xml:space="preserve">urnover and </w:t>
      </w:r>
      <w:r w:rsidR="00AB47A8" w:rsidRPr="00D658F5">
        <w:t>d</w:t>
      </w:r>
      <w:r w:rsidRPr="00D658F5">
        <w:t>ebit error time limit</w:t>
      </w:r>
      <w:r w:rsidR="00F563D2" w:rsidRPr="00D658F5">
        <w:t>s</w:t>
      </w:r>
      <w:r w:rsidRPr="00D658F5">
        <w:t xml:space="preserve"> </w:t>
      </w:r>
      <w:r w:rsidR="00F563D2" w:rsidRPr="00D658F5">
        <w:t xml:space="preserve">specified </w:t>
      </w:r>
      <w:r w:rsidRPr="00D658F5">
        <w:t xml:space="preserve">in the table in section 7 are the same as the </w:t>
      </w:r>
      <w:r w:rsidR="00AB47A8" w:rsidRPr="00D658F5">
        <w:t>c</w:t>
      </w:r>
      <w:r w:rsidR="002E70E9" w:rsidRPr="00D658F5">
        <w:t xml:space="preserve">urrent </w:t>
      </w:r>
      <w:r w:rsidR="00F563D2" w:rsidRPr="00D658F5">
        <w:t xml:space="preserve">GST </w:t>
      </w:r>
      <w:r w:rsidR="00AB47A8" w:rsidRPr="00D658F5">
        <w:t>t</w:t>
      </w:r>
      <w:r w:rsidR="00F563D2" w:rsidRPr="00D658F5">
        <w:t xml:space="preserve">urnover and </w:t>
      </w:r>
      <w:r w:rsidR="00AB47A8" w:rsidRPr="00D658F5">
        <w:t>d</w:t>
      </w:r>
      <w:r w:rsidR="002E70E9" w:rsidRPr="00D658F5">
        <w:t xml:space="preserve">ebit error </w:t>
      </w:r>
      <w:r w:rsidR="00F563D2" w:rsidRPr="00D658F5">
        <w:t xml:space="preserve">time </w:t>
      </w:r>
      <w:r w:rsidRPr="00D658F5">
        <w:t xml:space="preserve">limits specified in the </w:t>
      </w:r>
      <w:r w:rsidRPr="00F404E6">
        <w:rPr>
          <w:i/>
          <w:iCs/>
        </w:rPr>
        <w:t>A</w:t>
      </w:r>
      <w:r w:rsidRPr="0066630F">
        <w:rPr>
          <w:i/>
          <w:iCs/>
        </w:rPr>
        <w:t xml:space="preserve"> New </w:t>
      </w:r>
      <w:r w:rsidRPr="00F404E6">
        <w:rPr>
          <w:i/>
          <w:iCs/>
        </w:rPr>
        <w:t>Tax System (Goods and Services Tax) (Correcting GST Errors) Determination 2023</w:t>
      </w:r>
      <w:r w:rsidRPr="001B2C68" w:rsidDel="00FA225F">
        <w:t xml:space="preserve"> </w:t>
      </w:r>
      <w:r w:rsidR="00D4665E" w:rsidRPr="00D658F5">
        <w:t>(</w:t>
      </w:r>
      <w:r w:rsidR="00CF03E5" w:rsidRPr="00D658F5">
        <w:t xml:space="preserve">Correcting </w:t>
      </w:r>
      <w:r w:rsidR="00D4665E" w:rsidRPr="00D658F5">
        <w:t xml:space="preserve">GST </w:t>
      </w:r>
      <w:r w:rsidR="000C17CB" w:rsidRPr="00D658F5">
        <w:t>E</w:t>
      </w:r>
      <w:r w:rsidR="00D4665E" w:rsidRPr="00D658F5">
        <w:t>rrors Determination)</w:t>
      </w:r>
      <w:r w:rsidR="00D4665E" w:rsidRPr="001B2C68">
        <w:t xml:space="preserve">. </w:t>
      </w:r>
      <w:bookmarkStart w:id="2" w:name="_Hlk174518513"/>
      <w:r w:rsidR="0051456B" w:rsidRPr="005362B3">
        <w:t>However</w:t>
      </w:r>
      <w:r w:rsidR="00EC0EBD">
        <w:t>,</w:t>
      </w:r>
      <w:r w:rsidR="0051456B" w:rsidRPr="005362B3">
        <w:t xml:space="preserve"> </w:t>
      </w:r>
      <w:r w:rsidR="007D41F8" w:rsidRPr="005362B3">
        <w:t>t</w:t>
      </w:r>
      <w:r w:rsidR="00D4665E" w:rsidRPr="00D658F5">
        <w:t xml:space="preserve">he </w:t>
      </w:r>
      <w:r w:rsidR="00193B39" w:rsidRPr="00D658F5">
        <w:t xml:space="preserve">debit error </w:t>
      </w:r>
      <w:r w:rsidR="00D4665E" w:rsidRPr="00D658F5">
        <w:t xml:space="preserve">value limits </w:t>
      </w:r>
      <w:r w:rsidR="00012C5B">
        <w:t xml:space="preserve">differ </w:t>
      </w:r>
      <w:r w:rsidR="004A2F30" w:rsidRPr="00D658F5">
        <w:t>due to the different tax rates for GST and WET</w:t>
      </w:r>
      <w:r w:rsidR="0051456B" w:rsidRPr="00D658F5">
        <w:t>.</w:t>
      </w:r>
      <w:r w:rsidR="00D84CFC">
        <w:t xml:space="preserve"> </w:t>
      </w:r>
      <w:r w:rsidR="0051456B" w:rsidRPr="00D658F5">
        <w:t>To align the WET</w:t>
      </w:r>
      <w:r w:rsidR="00193B39" w:rsidRPr="00A43117">
        <w:t xml:space="preserve"> debit error</w:t>
      </w:r>
      <w:r w:rsidR="002542FE" w:rsidRPr="00A43117">
        <w:t xml:space="preserve"> value limits </w:t>
      </w:r>
      <w:r w:rsidR="0051456B" w:rsidRPr="00D658F5">
        <w:t xml:space="preserve">with those in the Correcting GST Errors Determination, the WET payable </w:t>
      </w:r>
      <w:r w:rsidR="00345A77">
        <w:t xml:space="preserve">has been calculated </w:t>
      </w:r>
      <w:r w:rsidR="0051456B" w:rsidRPr="00D658F5">
        <w:t xml:space="preserve">on </w:t>
      </w:r>
      <w:r w:rsidR="00345A77">
        <w:t xml:space="preserve">a </w:t>
      </w:r>
      <w:r w:rsidR="00A15F57" w:rsidRPr="00BA12BE">
        <w:t>GST</w:t>
      </w:r>
      <w:r w:rsidR="00CF5CFB" w:rsidRPr="00BA12BE">
        <w:t>-</w:t>
      </w:r>
      <w:r w:rsidR="00A15F57" w:rsidRPr="00BA12BE">
        <w:t>inclusive</w:t>
      </w:r>
      <w:r w:rsidR="005A1123" w:rsidRPr="00D658F5">
        <w:t xml:space="preserve"> transaction amount </w:t>
      </w:r>
      <w:r w:rsidR="00A15F57" w:rsidRPr="00D658F5">
        <w:t>(based on the</w:t>
      </w:r>
      <w:r w:rsidR="005A1123" w:rsidRPr="00D658F5">
        <w:t xml:space="preserve"> </w:t>
      </w:r>
      <w:r w:rsidR="00345A77">
        <w:t xml:space="preserve">corresponding </w:t>
      </w:r>
      <w:r w:rsidR="005A1123" w:rsidRPr="00D658F5">
        <w:t>GST value limit</w:t>
      </w:r>
      <w:r w:rsidR="00A15F57" w:rsidRPr="00D658F5">
        <w:t>)</w:t>
      </w:r>
      <w:r w:rsidR="004A2F30" w:rsidRPr="00D658F5">
        <w:t>.</w:t>
      </w:r>
    </w:p>
    <w:p w14:paraId="5ED96812" w14:textId="522A26DF" w:rsidR="00D84CFC" w:rsidRDefault="00CE72E8" w:rsidP="002C6DC5">
      <w:pPr>
        <w:pStyle w:val="Numberedparagraph"/>
      </w:pPr>
      <w:bookmarkStart w:id="3" w:name="_Hlk191629559"/>
      <w:r w:rsidRPr="00CE72E8">
        <w:t xml:space="preserve">The WET taxable value is multiplied by 29% </w:t>
      </w:r>
      <w:r w:rsidRPr="0066630F">
        <w:t xml:space="preserve">(the </w:t>
      </w:r>
      <w:r w:rsidRPr="00CE72E8">
        <w:t xml:space="preserve">current WET rate) to determine the amount of WET payable. For this purpose, the WET taxable value is assumed to be the notional wholesale selling price. </w:t>
      </w:r>
      <w:r w:rsidR="00137DA7" w:rsidRPr="00D658F5">
        <w:t>The</w:t>
      </w:r>
      <w:r w:rsidR="00D4665E" w:rsidRPr="00D658F5">
        <w:t xml:space="preserve"> half retail</w:t>
      </w:r>
      <w:r w:rsidR="001C32D3" w:rsidRPr="00D658F5">
        <w:t xml:space="preserve"> price</w:t>
      </w:r>
      <w:r w:rsidR="00D4665E" w:rsidRPr="00D658F5">
        <w:t xml:space="preserve"> method</w:t>
      </w:r>
      <w:r w:rsidR="006F6982" w:rsidRPr="00A43117">
        <w:t xml:space="preserve"> </w:t>
      </w:r>
      <w:r w:rsidR="005C4894">
        <w:t>has been</w:t>
      </w:r>
      <w:r w:rsidR="00137DA7" w:rsidRPr="00D658F5">
        <w:t xml:space="preserve"> used to </w:t>
      </w:r>
      <w:r w:rsidR="006F6982" w:rsidRPr="00A43117">
        <w:t xml:space="preserve">calculate the </w:t>
      </w:r>
      <w:bookmarkEnd w:id="2"/>
      <w:r w:rsidR="004A2F30" w:rsidRPr="00A43117">
        <w:t xml:space="preserve">notional wholesale selling price of wine by </w:t>
      </w:r>
      <w:r w:rsidR="00175604" w:rsidRPr="00A43117">
        <w:t xml:space="preserve">multiplying the </w:t>
      </w:r>
      <w:r w:rsidR="00175604" w:rsidRPr="00BA12BE">
        <w:t>GST</w:t>
      </w:r>
      <w:r w:rsidR="00CF5CFB" w:rsidRPr="00BA12BE">
        <w:t>-</w:t>
      </w:r>
      <w:r w:rsidR="00175604" w:rsidRPr="00BA12BE">
        <w:t>inclusive</w:t>
      </w:r>
      <w:r w:rsidR="00175604" w:rsidRPr="00A43117">
        <w:t xml:space="preserve"> retail sale price (or what </w:t>
      </w:r>
      <w:r w:rsidR="00193B39" w:rsidRPr="00A43117">
        <w:t xml:space="preserve">the retail price </w:t>
      </w:r>
      <w:r w:rsidR="00175604" w:rsidRPr="00A43117">
        <w:t xml:space="preserve">would be for own use wine if </w:t>
      </w:r>
      <w:r w:rsidR="005F705A" w:rsidRPr="00A43117">
        <w:t xml:space="preserve">it were </w:t>
      </w:r>
      <w:r w:rsidR="00175604" w:rsidRPr="00A43117">
        <w:t>sold) by 50%</w:t>
      </w:r>
      <w:r w:rsidR="0032199C" w:rsidRPr="00A43117">
        <w:t>.</w:t>
      </w:r>
    </w:p>
    <w:bookmarkEnd w:id="3"/>
    <w:p w14:paraId="3120F4D4" w14:textId="22933FF8" w:rsidR="00D84CFC" w:rsidRDefault="00505EE0" w:rsidP="002C6DC5">
      <w:pPr>
        <w:pStyle w:val="Numberedparagraph"/>
      </w:pPr>
      <w:r w:rsidRPr="00A43117">
        <w:t>T</w:t>
      </w:r>
      <w:r w:rsidR="004B4E20" w:rsidRPr="00A43117">
        <w:t xml:space="preserve">he </w:t>
      </w:r>
      <w:r w:rsidR="0032199C" w:rsidRPr="00A43117">
        <w:t>method</w:t>
      </w:r>
      <w:r w:rsidR="004B4E20" w:rsidRPr="00A43117">
        <w:t xml:space="preserve"> </w:t>
      </w:r>
      <w:r w:rsidR="00EC2A69" w:rsidRPr="00A43117">
        <w:t>used</w:t>
      </w:r>
      <w:r w:rsidR="004B4E20" w:rsidRPr="00A43117">
        <w:t xml:space="preserve"> </w:t>
      </w:r>
      <w:r w:rsidRPr="00A43117">
        <w:t xml:space="preserve">to </w:t>
      </w:r>
      <w:r w:rsidR="004B4E20" w:rsidRPr="00A43117">
        <w:t xml:space="preserve">align the </w:t>
      </w:r>
      <w:r w:rsidR="00EC2A69" w:rsidRPr="00A43117">
        <w:t>d</w:t>
      </w:r>
      <w:r w:rsidR="004B4E20" w:rsidRPr="00A43117">
        <w:t xml:space="preserve">ebit error value limit in the table in section 7 with its equivalent in the Correcting GST errors </w:t>
      </w:r>
      <w:r w:rsidR="005000AA" w:rsidRPr="00A43117">
        <w:t>d</w:t>
      </w:r>
      <w:r w:rsidR="004B4E20" w:rsidRPr="00A43117">
        <w:t>etermination</w:t>
      </w:r>
      <w:r w:rsidRPr="00A43117">
        <w:t xml:space="preserve"> is shown in </w:t>
      </w:r>
      <w:r w:rsidR="00823C10">
        <w:t>T</w:t>
      </w:r>
      <w:r w:rsidRPr="00A43117">
        <w:t xml:space="preserve">able </w:t>
      </w:r>
      <w:r w:rsidR="00823C10" w:rsidRPr="0066630F">
        <w:t>1</w:t>
      </w:r>
      <w:r w:rsidRPr="00A43117">
        <w:t>.</w:t>
      </w:r>
    </w:p>
    <w:p w14:paraId="7FD8B24C" w14:textId="096AC7AC" w:rsidR="005878D6" w:rsidRPr="00394A8C" w:rsidRDefault="005878D6" w:rsidP="00E774A3">
      <w:pPr>
        <w:pStyle w:val="Caption"/>
        <w:keepNext/>
        <w:spacing w:after="120"/>
        <w:rPr>
          <w:rFonts w:ascii="Arial" w:hAnsi="Arial" w:cs="Arial"/>
          <w:i w:val="0"/>
          <w:iCs w:val="0"/>
          <w:color w:val="auto"/>
          <w:sz w:val="22"/>
          <w:szCs w:val="22"/>
        </w:rPr>
      </w:pPr>
      <w:r w:rsidRPr="00394A8C">
        <w:rPr>
          <w:rFonts w:ascii="Arial" w:hAnsi="Arial" w:cs="Arial"/>
          <w:i w:val="0"/>
          <w:iCs w:val="0"/>
          <w:color w:val="auto"/>
          <w:sz w:val="22"/>
          <w:szCs w:val="22"/>
        </w:rPr>
        <w:t xml:space="preserve">Table </w:t>
      </w:r>
      <w:r w:rsidRPr="00394A8C">
        <w:rPr>
          <w:rFonts w:ascii="Arial" w:hAnsi="Arial" w:cs="Arial"/>
          <w:i w:val="0"/>
          <w:iCs w:val="0"/>
          <w:color w:val="auto"/>
          <w:sz w:val="22"/>
          <w:szCs w:val="22"/>
        </w:rPr>
        <w:fldChar w:fldCharType="begin"/>
      </w:r>
      <w:r w:rsidRPr="00394A8C">
        <w:rPr>
          <w:rFonts w:ascii="Arial" w:hAnsi="Arial" w:cs="Arial"/>
          <w:i w:val="0"/>
          <w:iCs w:val="0"/>
          <w:color w:val="auto"/>
          <w:sz w:val="22"/>
          <w:szCs w:val="22"/>
        </w:rPr>
        <w:instrText xml:space="preserve"> SEQ Table \* ARABIC </w:instrText>
      </w:r>
      <w:r w:rsidRPr="00394A8C">
        <w:rPr>
          <w:rFonts w:ascii="Arial" w:hAnsi="Arial" w:cs="Arial"/>
          <w:i w:val="0"/>
          <w:iCs w:val="0"/>
          <w:color w:val="auto"/>
          <w:sz w:val="22"/>
          <w:szCs w:val="22"/>
        </w:rPr>
        <w:fldChar w:fldCharType="separate"/>
      </w:r>
      <w:r w:rsidR="005341DB" w:rsidRPr="00394A8C">
        <w:rPr>
          <w:rFonts w:ascii="Arial" w:hAnsi="Arial" w:cs="Arial"/>
          <w:i w:val="0"/>
          <w:iCs w:val="0"/>
          <w:noProof/>
          <w:color w:val="auto"/>
          <w:sz w:val="22"/>
          <w:szCs w:val="22"/>
        </w:rPr>
        <w:t>1</w:t>
      </w:r>
      <w:r w:rsidRPr="00394A8C">
        <w:rPr>
          <w:rFonts w:ascii="Arial" w:hAnsi="Arial" w:cs="Arial"/>
          <w:i w:val="0"/>
          <w:iCs w:val="0"/>
          <w:color w:val="auto"/>
          <w:sz w:val="22"/>
          <w:szCs w:val="22"/>
        </w:rPr>
        <w:fldChar w:fldCharType="end"/>
      </w:r>
      <w:r w:rsidRPr="00394A8C">
        <w:rPr>
          <w:rFonts w:ascii="Arial" w:hAnsi="Arial" w:cs="Arial"/>
          <w:i w:val="0"/>
          <w:iCs w:val="0"/>
          <w:color w:val="auto"/>
          <w:sz w:val="22"/>
          <w:szCs w:val="22"/>
        </w:rPr>
        <w:t>: Method used to calculate appropriate debit error value limit where GST turnover is less</w:t>
      </w:r>
      <w:r w:rsidR="00394A8C">
        <w:rPr>
          <w:rFonts w:ascii="Arial" w:hAnsi="Arial" w:cs="Arial"/>
          <w:i w:val="0"/>
          <w:iCs w:val="0"/>
          <w:color w:val="auto"/>
          <w:sz w:val="22"/>
          <w:szCs w:val="22"/>
        </w:rPr>
        <w:t xml:space="preserve"> </w:t>
      </w:r>
      <w:r w:rsidRPr="00394A8C">
        <w:rPr>
          <w:rFonts w:ascii="Arial" w:hAnsi="Arial" w:cs="Arial"/>
          <w:i w:val="0"/>
          <w:iCs w:val="0"/>
          <w:color w:val="auto"/>
          <w:sz w:val="22"/>
          <w:szCs w:val="22"/>
        </w:rPr>
        <w:t>than $20 million</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4402"/>
        <w:gridCol w:w="3931"/>
      </w:tblGrid>
      <w:tr w:rsidR="00456C56" w:rsidRPr="00AF6FA8" w14:paraId="69A69CC5" w14:textId="77777777" w:rsidTr="00C94D00">
        <w:tc>
          <w:tcPr>
            <w:tcW w:w="1129" w:type="dxa"/>
            <w:tcBorders>
              <w:bottom w:val="single" w:sz="12" w:space="0" w:color="auto"/>
            </w:tcBorders>
            <w:shd w:val="clear" w:color="auto" w:fill="D9D9D9" w:themeFill="background1" w:themeFillShade="D9"/>
            <w:vAlign w:val="center"/>
          </w:tcPr>
          <w:p w14:paraId="3CBE9C14" w14:textId="023944D3" w:rsidR="00456C56" w:rsidRPr="0019176E" w:rsidRDefault="0019176E" w:rsidP="00394A8C">
            <w:pPr>
              <w:spacing w:before="60" w:after="60"/>
              <w:ind w:right="113"/>
              <w:jc w:val="right"/>
              <w:rPr>
                <w:rFonts w:ascii="Arial" w:hAnsi="Arial" w:cs="Arial"/>
                <w:b/>
                <w:bCs/>
                <w:sz w:val="20"/>
              </w:rPr>
            </w:pPr>
            <w:bookmarkStart w:id="4" w:name="_Hlk191641390"/>
            <w:r w:rsidRPr="0019176E">
              <w:rPr>
                <w:rFonts w:ascii="Arial" w:hAnsi="Arial" w:cs="Arial"/>
                <w:b/>
                <w:bCs/>
                <w:sz w:val="20"/>
              </w:rPr>
              <w:t>Step</w:t>
            </w:r>
            <w:r w:rsidR="00A7631C">
              <w:rPr>
                <w:rFonts w:ascii="Arial" w:hAnsi="Arial" w:cs="Arial"/>
                <w:b/>
                <w:bCs/>
                <w:sz w:val="20"/>
              </w:rPr>
              <w:t xml:space="preserve"> </w:t>
            </w:r>
            <w:r w:rsidRPr="0019176E">
              <w:rPr>
                <w:rFonts w:ascii="Arial" w:hAnsi="Arial" w:cs="Arial"/>
                <w:b/>
                <w:bCs/>
                <w:sz w:val="20"/>
              </w:rPr>
              <w:t>number</w:t>
            </w:r>
          </w:p>
        </w:tc>
        <w:tc>
          <w:tcPr>
            <w:tcW w:w="4395" w:type="dxa"/>
            <w:tcBorders>
              <w:bottom w:val="single" w:sz="12" w:space="0" w:color="auto"/>
            </w:tcBorders>
            <w:shd w:val="clear" w:color="auto" w:fill="D9D9D9" w:themeFill="background1" w:themeFillShade="D9"/>
            <w:vAlign w:val="center"/>
          </w:tcPr>
          <w:p w14:paraId="42147D93" w14:textId="1397AC6D" w:rsidR="00456C56" w:rsidRPr="00AF6FA8" w:rsidRDefault="00456C56" w:rsidP="00394A8C">
            <w:pPr>
              <w:spacing w:before="60" w:after="60"/>
              <w:ind w:right="113"/>
              <w:jc w:val="right"/>
              <w:rPr>
                <w:rFonts w:ascii="Arial" w:hAnsi="Arial" w:cs="Arial"/>
                <w:b/>
                <w:bCs/>
                <w:sz w:val="20"/>
              </w:rPr>
            </w:pPr>
            <w:r w:rsidRPr="00AF6FA8">
              <w:rPr>
                <w:rFonts w:ascii="Arial" w:hAnsi="Arial" w:cs="Arial"/>
                <w:b/>
                <w:bCs/>
                <w:sz w:val="20"/>
              </w:rPr>
              <w:t>Steps in method</w:t>
            </w:r>
          </w:p>
        </w:tc>
        <w:tc>
          <w:tcPr>
            <w:tcW w:w="3925" w:type="dxa"/>
            <w:tcBorders>
              <w:bottom w:val="single" w:sz="12" w:space="0" w:color="auto"/>
            </w:tcBorders>
            <w:shd w:val="clear" w:color="auto" w:fill="D9D9D9" w:themeFill="background1" w:themeFillShade="D9"/>
            <w:vAlign w:val="center"/>
          </w:tcPr>
          <w:p w14:paraId="27224B11" w14:textId="70FCA5EC" w:rsidR="00456C56" w:rsidRPr="00AF6FA8" w:rsidRDefault="00456C56" w:rsidP="00394A8C">
            <w:pPr>
              <w:spacing w:before="60" w:after="60"/>
              <w:ind w:right="113"/>
              <w:jc w:val="right"/>
              <w:rPr>
                <w:rFonts w:ascii="Arial" w:hAnsi="Arial" w:cs="Arial"/>
                <w:b/>
                <w:bCs/>
                <w:sz w:val="20"/>
              </w:rPr>
            </w:pPr>
            <w:r w:rsidRPr="00AF6FA8">
              <w:rPr>
                <w:rFonts w:ascii="Arial" w:hAnsi="Arial" w:cs="Arial"/>
                <w:b/>
                <w:bCs/>
                <w:sz w:val="20"/>
              </w:rPr>
              <w:t>How it is calculated</w:t>
            </w:r>
          </w:p>
        </w:tc>
      </w:tr>
      <w:tr w:rsidR="00456C56" w:rsidRPr="00AF6FA8" w14:paraId="08DDE1C5" w14:textId="77777777" w:rsidTr="00C94D00">
        <w:tc>
          <w:tcPr>
            <w:tcW w:w="1129" w:type="dxa"/>
            <w:tcBorders>
              <w:top w:val="single" w:sz="12" w:space="0" w:color="auto"/>
            </w:tcBorders>
          </w:tcPr>
          <w:p w14:paraId="462BDE7E" w14:textId="565A0EB8" w:rsidR="00456C56" w:rsidRPr="00AF6FA8" w:rsidRDefault="00AF6FA8" w:rsidP="00394A8C">
            <w:pPr>
              <w:pStyle w:val="ListParagraph"/>
              <w:spacing w:before="60" w:after="60"/>
              <w:ind w:left="0" w:right="113"/>
              <w:jc w:val="right"/>
              <w:rPr>
                <w:rFonts w:ascii="Arial" w:hAnsi="Arial" w:cs="Arial"/>
                <w:sz w:val="20"/>
                <w:szCs w:val="20"/>
              </w:rPr>
            </w:pPr>
            <w:r>
              <w:rPr>
                <w:rFonts w:ascii="Arial" w:hAnsi="Arial" w:cs="Arial"/>
                <w:sz w:val="20"/>
                <w:szCs w:val="20"/>
              </w:rPr>
              <w:t>1</w:t>
            </w:r>
          </w:p>
        </w:tc>
        <w:bookmarkEnd w:id="4"/>
        <w:tc>
          <w:tcPr>
            <w:tcW w:w="4395" w:type="dxa"/>
            <w:tcBorders>
              <w:top w:val="single" w:sz="12" w:space="0" w:color="auto"/>
            </w:tcBorders>
            <w:shd w:val="clear" w:color="auto" w:fill="auto"/>
          </w:tcPr>
          <w:p w14:paraId="09FC6E24" w14:textId="741A49F3" w:rsidR="00456C56" w:rsidRPr="00AF6FA8" w:rsidRDefault="00456C56" w:rsidP="00394A8C">
            <w:pPr>
              <w:spacing w:before="60" w:after="60"/>
              <w:ind w:right="113"/>
              <w:jc w:val="right"/>
              <w:rPr>
                <w:rFonts w:ascii="Arial" w:hAnsi="Arial" w:cs="Arial"/>
                <w:sz w:val="20"/>
              </w:rPr>
            </w:pPr>
            <w:r w:rsidRPr="00AF6FA8">
              <w:rPr>
                <w:rFonts w:ascii="Arial" w:hAnsi="Arial" w:cs="Arial"/>
                <w:sz w:val="20"/>
              </w:rPr>
              <w:t xml:space="preserve">GST </w:t>
            </w:r>
            <w:r w:rsidR="00E70308" w:rsidRPr="00AF6FA8">
              <w:rPr>
                <w:rFonts w:ascii="Arial" w:hAnsi="Arial" w:cs="Arial"/>
                <w:sz w:val="20"/>
              </w:rPr>
              <w:t>c</w:t>
            </w:r>
            <w:r w:rsidRPr="00AF6FA8">
              <w:rPr>
                <w:rFonts w:ascii="Arial" w:hAnsi="Arial" w:cs="Arial"/>
                <w:sz w:val="20"/>
              </w:rPr>
              <w:t xml:space="preserve">orrecting debit error value limit </w:t>
            </w:r>
            <w:r w:rsidR="00DB11E3" w:rsidRPr="00AF6FA8">
              <w:rPr>
                <w:rFonts w:ascii="Arial" w:hAnsi="Arial" w:cs="Arial"/>
                <w:sz w:val="20"/>
              </w:rPr>
              <w:t>(</w:t>
            </w:r>
            <w:r w:rsidRPr="00AF6FA8">
              <w:rPr>
                <w:rFonts w:ascii="Arial" w:hAnsi="Arial" w:cs="Arial"/>
                <w:sz w:val="20"/>
              </w:rPr>
              <w:t xml:space="preserve">for </w:t>
            </w:r>
            <w:r w:rsidR="00AB47A8" w:rsidRPr="00AF6FA8">
              <w:rPr>
                <w:rFonts w:ascii="Arial" w:hAnsi="Arial" w:cs="Arial"/>
                <w:sz w:val="20"/>
              </w:rPr>
              <w:t xml:space="preserve">GST turnover of </w:t>
            </w:r>
            <w:r w:rsidRPr="00AF6FA8">
              <w:rPr>
                <w:rFonts w:ascii="Arial" w:hAnsi="Arial" w:cs="Arial"/>
                <w:sz w:val="20"/>
              </w:rPr>
              <w:t>less than $20</w:t>
            </w:r>
            <w:r w:rsidR="00A7631C">
              <w:rPr>
                <w:rFonts w:ascii="Arial" w:hAnsi="Arial" w:cs="Arial"/>
                <w:sz w:val="20"/>
              </w:rPr>
              <w:t> </w:t>
            </w:r>
            <w:r w:rsidRPr="00AF6FA8">
              <w:rPr>
                <w:rFonts w:ascii="Arial" w:hAnsi="Arial" w:cs="Arial"/>
                <w:sz w:val="20"/>
              </w:rPr>
              <w:t>million</w:t>
            </w:r>
            <w:r w:rsidR="00DB11E3" w:rsidRPr="00AF6FA8">
              <w:rPr>
                <w:rFonts w:ascii="Arial" w:hAnsi="Arial" w:cs="Arial"/>
                <w:sz w:val="20"/>
              </w:rPr>
              <w:t>)</w:t>
            </w:r>
            <w:r w:rsidRPr="00AF6FA8">
              <w:rPr>
                <w:rFonts w:ascii="Arial" w:hAnsi="Arial" w:cs="Arial"/>
                <w:sz w:val="20"/>
              </w:rPr>
              <w:t xml:space="preserve"> is $12,500</w:t>
            </w:r>
          </w:p>
        </w:tc>
        <w:tc>
          <w:tcPr>
            <w:tcW w:w="3925" w:type="dxa"/>
            <w:tcBorders>
              <w:top w:val="single" w:sz="12" w:space="0" w:color="auto"/>
            </w:tcBorders>
            <w:shd w:val="clear" w:color="auto" w:fill="auto"/>
          </w:tcPr>
          <w:p w14:paraId="6933F228" w14:textId="7EFA4593" w:rsidR="00456C56" w:rsidRPr="00AF6FA8" w:rsidRDefault="00456C56" w:rsidP="00394A8C">
            <w:pPr>
              <w:spacing w:before="60" w:after="60"/>
              <w:ind w:right="113"/>
              <w:jc w:val="right"/>
              <w:rPr>
                <w:rFonts w:ascii="Arial" w:hAnsi="Arial" w:cs="Arial"/>
                <w:sz w:val="20"/>
              </w:rPr>
            </w:pPr>
            <w:r w:rsidRPr="00AF6FA8">
              <w:rPr>
                <w:rFonts w:ascii="Arial" w:hAnsi="Arial" w:cs="Arial"/>
                <w:sz w:val="20"/>
              </w:rPr>
              <w:t>$12,500 limit obtained from</w:t>
            </w:r>
            <w:r w:rsidR="005878D6">
              <w:rPr>
                <w:rFonts w:ascii="Arial" w:hAnsi="Arial" w:cs="Arial"/>
                <w:sz w:val="20"/>
              </w:rPr>
              <w:br/>
            </w:r>
            <w:r w:rsidRPr="00AF6FA8">
              <w:rPr>
                <w:rFonts w:ascii="Arial" w:hAnsi="Arial" w:cs="Arial"/>
                <w:sz w:val="20"/>
              </w:rPr>
              <w:t>GST Correcting Errors Determination</w:t>
            </w:r>
          </w:p>
        </w:tc>
      </w:tr>
      <w:tr w:rsidR="00456C56" w:rsidRPr="00AF6FA8" w14:paraId="28582CC1" w14:textId="77777777" w:rsidTr="00C94D00">
        <w:tc>
          <w:tcPr>
            <w:tcW w:w="1129" w:type="dxa"/>
          </w:tcPr>
          <w:p w14:paraId="2A27114F" w14:textId="57F38887" w:rsidR="00456C56" w:rsidRPr="00AF6FA8" w:rsidRDefault="00AF6FA8" w:rsidP="00394A8C">
            <w:pPr>
              <w:pStyle w:val="ListParagraph"/>
              <w:spacing w:before="60" w:after="60"/>
              <w:ind w:left="0" w:right="113"/>
              <w:jc w:val="right"/>
              <w:rPr>
                <w:rFonts w:ascii="Arial" w:hAnsi="Arial" w:cs="Arial"/>
                <w:sz w:val="20"/>
                <w:szCs w:val="20"/>
              </w:rPr>
            </w:pPr>
            <w:r>
              <w:rPr>
                <w:rFonts w:ascii="Arial" w:hAnsi="Arial" w:cs="Arial"/>
                <w:sz w:val="20"/>
                <w:szCs w:val="20"/>
              </w:rPr>
              <w:t>2</w:t>
            </w:r>
          </w:p>
        </w:tc>
        <w:tc>
          <w:tcPr>
            <w:tcW w:w="4395" w:type="dxa"/>
            <w:shd w:val="clear" w:color="auto" w:fill="auto"/>
          </w:tcPr>
          <w:p w14:paraId="432AF1FF" w14:textId="549EA257" w:rsidR="00456C56" w:rsidRPr="00AF6FA8" w:rsidRDefault="00456C56" w:rsidP="00394A8C">
            <w:pPr>
              <w:spacing w:before="60" w:after="60"/>
              <w:ind w:right="113"/>
              <w:jc w:val="right"/>
              <w:rPr>
                <w:rFonts w:ascii="Arial" w:hAnsi="Arial" w:cs="Arial"/>
                <w:sz w:val="20"/>
              </w:rPr>
            </w:pPr>
            <w:r w:rsidRPr="00AF6FA8">
              <w:rPr>
                <w:rFonts w:ascii="Arial" w:hAnsi="Arial" w:cs="Arial"/>
                <w:sz w:val="20"/>
              </w:rPr>
              <w:t xml:space="preserve">Where GST is $12,500, the </w:t>
            </w:r>
            <w:r w:rsidRPr="00BA12BE">
              <w:rPr>
                <w:rFonts w:ascii="Arial" w:hAnsi="Arial" w:cs="Arial"/>
                <w:sz w:val="20"/>
              </w:rPr>
              <w:t>GST</w:t>
            </w:r>
            <w:r w:rsidR="00CF5CFB" w:rsidRPr="00BA12BE">
              <w:rPr>
                <w:rFonts w:ascii="Arial" w:hAnsi="Arial" w:cs="Arial"/>
                <w:sz w:val="20"/>
              </w:rPr>
              <w:t>-</w:t>
            </w:r>
            <w:r w:rsidRPr="00BA12BE">
              <w:rPr>
                <w:rFonts w:ascii="Arial" w:hAnsi="Arial" w:cs="Arial"/>
                <w:sz w:val="20"/>
              </w:rPr>
              <w:t>inclusive</w:t>
            </w:r>
            <w:r w:rsidRPr="00AF6FA8">
              <w:rPr>
                <w:rFonts w:ascii="Arial" w:hAnsi="Arial" w:cs="Arial"/>
                <w:sz w:val="20"/>
              </w:rPr>
              <w:t xml:space="preserve"> value of the transaction</w:t>
            </w:r>
            <w:r w:rsidR="0089697E" w:rsidRPr="00AF6FA8">
              <w:rPr>
                <w:rFonts w:ascii="Arial" w:hAnsi="Arial" w:cs="Arial"/>
                <w:sz w:val="20"/>
              </w:rPr>
              <w:t xml:space="preserve"> (that is a taxable supply)</w:t>
            </w:r>
            <w:r w:rsidRPr="00AF6FA8">
              <w:rPr>
                <w:rFonts w:ascii="Arial" w:hAnsi="Arial" w:cs="Arial"/>
                <w:sz w:val="20"/>
              </w:rPr>
              <w:t xml:space="preserve"> is $137,500</w:t>
            </w:r>
          </w:p>
        </w:tc>
        <w:tc>
          <w:tcPr>
            <w:tcW w:w="3925" w:type="dxa"/>
            <w:shd w:val="clear" w:color="auto" w:fill="auto"/>
          </w:tcPr>
          <w:p w14:paraId="5334B6DD" w14:textId="74280196" w:rsidR="00456C56" w:rsidRPr="00AF6FA8" w:rsidRDefault="00456C56" w:rsidP="00394A8C">
            <w:pPr>
              <w:spacing w:before="60" w:after="60"/>
              <w:ind w:right="113"/>
              <w:jc w:val="right"/>
              <w:rPr>
                <w:rFonts w:ascii="Arial" w:hAnsi="Arial" w:cs="Arial"/>
                <w:sz w:val="20"/>
              </w:rPr>
            </w:pPr>
            <w:r w:rsidRPr="00AF6FA8">
              <w:rPr>
                <w:rFonts w:ascii="Arial" w:hAnsi="Arial" w:cs="Arial"/>
                <w:sz w:val="20"/>
              </w:rPr>
              <w:t xml:space="preserve">11 </w:t>
            </w:r>
            <w:r w:rsidR="00394A8C">
              <w:rPr>
                <w:rFonts w:ascii="Arial" w:hAnsi="Arial" w:cs="Arial"/>
                <w:sz w:val="20"/>
              </w:rPr>
              <w:t>×</w:t>
            </w:r>
            <w:r w:rsidRPr="00AF6FA8">
              <w:rPr>
                <w:rFonts w:ascii="Arial" w:hAnsi="Arial" w:cs="Arial"/>
                <w:sz w:val="20"/>
              </w:rPr>
              <w:t xml:space="preserve"> $12,500 = $137,500</w:t>
            </w:r>
          </w:p>
        </w:tc>
      </w:tr>
      <w:tr w:rsidR="00456C56" w:rsidRPr="00AF6FA8" w14:paraId="26E35043" w14:textId="77777777" w:rsidTr="00C94D00">
        <w:tc>
          <w:tcPr>
            <w:tcW w:w="1129" w:type="dxa"/>
            <w:tcBorders>
              <w:bottom w:val="single" w:sz="4" w:space="0" w:color="auto"/>
            </w:tcBorders>
          </w:tcPr>
          <w:p w14:paraId="06E0D249" w14:textId="34C97B29" w:rsidR="00456C56" w:rsidRPr="00AF6FA8" w:rsidRDefault="00AF6FA8" w:rsidP="00394A8C">
            <w:pPr>
              <w:pStyle w:val="ListParagraph"/>
              <w:spacing w:before="60" w:after="60"/>
              <w:ind w:left="0" w:right="113"/>
              <w:jc w:val="right"/>
              <w:rPr>
                <w:rFonts w:ascii="Arial" w:hAnsi="Arial" w:cs="Arial"/>
                <w:sz w:val="20"/>
                <w:szCs w:val="20"/>
              </w:rPr>
            </w:pPr>
            <w:r>
              <w:rPr>
                <w:rFonts w:ascii="Arial" w:hAnsi="Arial" w:cs="Arial"/>
                <w:sz w:val="20"/>
                <w:szCs w:val="20"/>
              </w:rPr>
              <w:t>3</w:t>
            </w:r>
          </w:p>
        </w:tc>
        <w:tc>
          <w:tcPr>
            <w:tcW w:w="4395" w:type="dxa"/>
            <w:tcBorders>
              <w:bottom w:val="single" w:sz="4" w:space="0" w:color="auto"/>
            </w:tcBorders>
            <w:shd w:val="clear" w:color="auto" w:fill="auto"/>
          </w:tcPr>
          <w:p w14:paraId="59B9B43D" w14:textId="7F9FE20A" w:rsidR="00456C56" w:rsidRPr="00AF6FA8" w:rsidRDefault="00456C56" w:rsidP="00394A8C">
            <w:pPr>
              <w:spacing w:before="60" w:after="60"/>
              <w:ind w:right="113"/>
              <w:jc w:val="right"/>
              <w:rPr>
                <w:rFonts w:ascii="Arial" w:hAnsi="Arial" w:cs="Arial"/>
                <w:sz w:val="20"/>
              </w:rPr>
            </w:pPr>
            <w:r w:rsidRPr="00AF6FA8">
              <w:rPr>
                <w:rFonts w:ascii="Arial" w:hAnsi="Arial" w:cs="Arial"/>
                <w:sz w:val="20"/>
              </w:rPr>
              <w:t>The WET taxable value</w:t>
            </w:r>
            <w:r w:rsidR="001B417D" w:rsidRPr="00AF6FA8">
              <w:rPr>
                <w:rFonts w:ascii="Arial" w:hAnsi="Arial" w:cs="Arial"/>
                <w:sz w:val="20"/>
              </w:rPr>
              <w:t>,</w:t>
            </w:r>
            <w:r w:rsidRPr="00AF6FA8">
              <w:rPr>
                <w:rFonts w:ascii="Arial" w:hAnsi="Arial" w:cs="Arial"/>
                <w:sz w:val="20"/>
              </w:rPr>
              <w:t xml:space="preserve"> calculated using the half retail method</w:t>
            </w:r>
            <w:r w:rsidR="001B417D" w:rsidRPr="00AF6FA8">
              <w:rPr>
                <w:rFonts w:ascii="Arial" w:hAnsi="Arial" w:cs="Arial"/>
                <w:sz w:val="20"/>
              </w:rPr>
              <w:t>,</w:t>
            </w:r>
            <w:r w:rsidRPr="00AF6FA8">
              <w:rPr>
                <w:rFonts w:ascii="Arial" w:hAnsi="Arial" w:cs="Arial"/>
                <w:sz w:val="20"/>
              </w:rPr>
              <w:t xml:space="preserve"> is $68,750</w:t>
            </w:r>
          </w:p>
        </w:tc>
        <w:tc>
          <w:tcPr>
            <w:tcW w:w="3925" w:type="dxa"/>
            <w:tcBorders>
              <w:bottom w:val="single" w:sz="4" w:space="0" w:color="auto"/>
            </w:tcBorders>
            <w:shd w:val="clear" w:color="auto" w:fill="auto"/>
          </w:tcPr>
          <w:p w14:paraId="11954777" w14:textId="33053F2D" w:rsidR="00EA3E0A" w:rsidRPr="00AF6FA8" w:rsidRDefault="00456C56" w:rsidP="00394A8C">
            <w:pPr>
              <w:spacing w:before="60" w:after="60"/>
              <w:ind w:right="113"/>
              <w:jc w:val="right"/>
              <w:rPr>
                <w:rFonts w:ascii="Arial" w:hAnsi="Arial" w:cs="Arial"/>
                <w:sz w:val="20"/>
              </w:rPr>
            </w:pPr>
            <w:r w:rsidRPr="00AF6FA8">
              <w:rPr>
                <w:rFonts w:ascii="Arial" w:hAnsi="Arial" w:cs="Arial"/>
                <w:sz w:val="20"/>
              </w:rPr>
              <w:t xml:space="preserve">$137,500 </w:t>
            </w:r>
            <w:r w:rsidR="00394A8C">
              <w:rPr>
                <w:rFonts w:ascii="Arial" w:hAnsi="Arial" w:cs="Arial"/>
                <w:sz w:val="20"/>
              </w:rPr>
              <w:t>×</w:t>
            </w:r>
            <w:r w:rsidRPr="00AF6FA8">
              <w:rPr>
                <w:rFonts w:ascii="Arial" w:hAnsi="Arial" w:cs="Arial"/>
                <w:sz w:val="20"/>
              </w:rPr>
              <w:t xml:space="preserve"> 50% = $68,750</w:t>
            </w:r>
          </w:p>
        </w:tc>
      </w:tr>
      <w:tr w:rsidR="00456C56" w:rsidRPr="00AF6FA8" w14:paraId="6ED5A55D" w14:textId="77777777" w:rsidTr="00C94D00">
        <w:tc>
          <w:tcPr>
            <w:tcW w:w="1129" w:type="dxa"/>
            <w:tcBorders>
              <w:bottom w:val="single" w:sz="12" w:space="0" w:color="auto"/>
            </w:tcBorders>
          </w:tcPr>
          <w:p w14:paraId="61615AF1" w14:textId="30869EC0" w:rsidR="00456C56" w:rsidRPr="00AF6FA8" w:rsidRDefault="00AF6FA8" w:rsidP="00394A8C">
            <w:pPr>
              <w:pStyle w:val="ListParagraph"/>
              <w:spacing w:before="60" w:after="60"/>
              <w:ind w:left="0" w:right="113"/>
              <w:jc w:val="right"/>
              <w:rPr>
                <w:rFonts w:ascii="Arial" w:hAnsi="Arial" w:cs="Arial"/>
                <w:sz w:val="20"/>
                <w:szCs w:val="20"/>
              </w:rPr>
            </w:pPr>
            <w:r>
              <w:rPr>
                <w:rFonts w:ascii="Arial" w:hAnsi="Arial" w:cs="Arial"/>
                <w:sz w:val="20"/>
                <w:szCs w:val="20"/>
              </w:rPr>
              <w:t>4</w:t>
            </w:r>
          </w:p>
        </w:tc>
        <w:tc>
          <w:tcPr>
            <w:tcW w:w="4395" w:type="dxa"/>
            <w:tcBorders>
              <w:bottom w:val="single" w:sz="12" w:space="0" w:color="auto"/>
            </w:tcBorders>
            <w:shd w:val="clear" w:color="auto" w:fill="auto"/>
          </w:tcPr>
          <w:p w14:paraId="798ADE5F" w14:textId="4B907BCE" w:rsidR="00456C56" w:rsidRPr="00AF6FA8" w:rsidRDefault="00456C56" w:rsidP="00394A8C">
            <w:pPr>
              <w:spacing w:before="60" w:after="60"/>
              <w:ind w:right="113"/>
              <w:jc w:val="right"/>
              <w:rPr>
                <w:rFonts w:ascii="Arial" w:hAnsi="Arial" w:cs="Arial"/>
                <w:sz w:val="20"/>
              </w:rPr>
            </w:pPr>
            <w:r w:rsidRPr="00AF6FA8">
              <w:rPr>
                <w:rFonts w:ascii="Arial" w:hAnsi="Arial" w:cs="Arial"/>
                <w:sz w:val="20"/>
              </w:rPr>
              <w:t xml:space="preserve">WET </w:t>
            </w:r>
            <w:r w:rsidR="001B417D" w:rsidRPr="00AF6FA8">
              <w:rPr>
                <w:rFonts w:ascii="Arial" w:hAnsi="Arial" w:cs="Arial"/>
                <w:sz w:val="20"/>
              </w:rPr>
              <w:t xml:space="preserve">payable </w:t>
            </w:r>
            <w:r w:rsidRPr="00AF6FA8">
              <w:rPr>
                <w:rFonts w:ascii="Arial" w:hAnsi="Arial" w:cs="Arial"/>
                <w:sz w:val="20"/>
              </w:rPr>
              <w:t>is $19,937</w:t>
            </w:r>
          </w:p>
        </w:tc>
        <w:tc>
          <w:tcPr>
            <w:tcW w:w="3925" w:type="dxa"/>
            <w:tcBorders>
              <w:bottom w:val="single" w:sz="12" w:space="0" w:color="auto"/>
            </w:tcBorders>
            <w:shd w:val="clear" w:color="auto" w:fill="auto"/>
          </w:tcPr>
          <w:p w14:paraId="147BDCE3" w14:textId="3BF6E540" w:rsidR="00EA3E0A" w:rsidRPr="00AF6FA8" w:rsidRDefault="00456C56" w:rsidP="00394A8C">
            <w:pPr>
              <w:spacing w:before="60" w:after="60"/>
              <w:ind w:right="113"/>
              <w:jc w:val="right"/>
              <w:rPr>
                <w:rFonts w:ascii="Arial" w:hAnsi="Arial" w:cs="Arial"/>
                <w:sz w:val="20"/>
              </w:rPr>
            </w:pPr>
            <w:r w:rsidRPr="00AF6FA8">
              <w:rPr>
                <w:rFonts w:ascii="Arial" w:hAnsi="Arial" w:cs="Arial"/>
                <w:sz w:val="20"/>
              </w:rPr>
              <w:t xml:space="preserve">$68,750 </w:t>
            </w:r>
            <w:r w:rsidR="00950FEA">
              <w:rPr>
                <w:rFonts w:ascii="Arial" w:hAnsi="Arial" w:cs="Arial"/>
                <w:sz w:val="20"/>
              </w:rPr>
              <w:t>×</w:t>
            </w:r>
            <w:r w:rsidRPr="00AF6FA8">
              <w:rPr>
                <w:rFonts w:ascii="Arial" w:hAnsi="Arial" w:cs="Arial"/>
                <w:sz w:val="20"/>
              </w:rPr>
              <w:t xml:space="preserve"> 29% = $19,937</w:t>
            </w:r>
          </w:p>
        </w:tc>
      </w:tr>
    </w:tbl>
    <w:p w14:paraId="45E56C2C" w14:textId="77777777" w:rsidR="00D4665E" w:rsidRPr="001B2C68" w:rsidRDefault="00D4665E" w:rsidP="0019176E">
      <w:pPr>
        <w:spacing w:after="120"/>
        <w:rPr>
          <w:rFonts w:ascii="Arial" w:hAnsi="Arial" w:cs="Arial"/>
          <w:sz w:val="22"/>
          <w:szCs w:val="22"/>
        </w:rPr>
      </w:pPr>
    </w:p>
    <w:p w14:paraId="2D61B251" w14:textId="45DCACCC" w:rsidR="003A3807" w:rsidRPr="001B2C68" w:rsidRDefault="00CF03E5" w:rsidP="002C6DC5">
      <w:pPr>
        <w:pStyle w:val="Numberedparagraph"/>
      </w:pPr>
      <w:r w:rsidRPr="001B2C68">
        <w:t xml:space="preserve">Using </w:t>
      </w:r>
      <w:r w:rsidR="00496A4E" w:rsidRPr="001B2C68">
        <w:t xml:space="preserve">the </w:t>
      </w:r>
      <w:r w:rsidR="00496A4E" w:rsidRPr="0066630F">
        <w:t>above</w:t>
      </w:r>
      <w:r w:rsidRPr="001B2C68">
        <w:t xml:space="preserve"> </w:t>
      </w:r>
      <w:r w:rsidR="005000AA" w:rsidRPr="001B2C68">
        <w:t>method</w:t>
      </w:r>
      <w:r w:rsidR="00496A4E" w:rsidRPr="001B2C68">
        <w:t>,</w:t>
      </w:r>
      <w:r w:rsidR="005000AA" w:rsidRPr="001B2C68">
        <w:t xml:space="preserve"> t</w:t>
      </w:r>
      <w:r w:rsidR="00EC2A69" w:rsidRPr="001B2C68">
        <w:t>he amount of WET payable on a transaction</w:t>
      </w:r>
      <w:r w:rsidR="005000AA" w:rsidRPr="001B2C68">
        <w:t xml:space="preserve"> where the GST is </w:t>
      </w:r>
      <w:r w:rsidR="006F6982" w:rsidRPr="001B2C68">
        <w:t>$12,500 (</w:t>
      </w:r>
      <w:r w:rsidR="005000AA" w:rsidRPr="001B2C68">
        <w:t>equal to the debit error limit in the GST Correcting Errors Determination</w:t>
      </w:r>
      <w:r w:rsidR="00C922E0" w:rsidRPr="001B2C68">
        <w:t xml:space="preserve"> for GST turnover under $20 million</w:t>
      </w:r>
      <w:r w:rsidR="005000AA" w:rsidRPr="001B2C68">
        <w:t>)</w:t>
      </w:r>
      <w:r w:rsidR="00137DA7" w:rsidRPr="001B2C68">
        <w:t>, using the half retail price method,</w:t>
      </w:r>
      <w:r w:rsidR="00EC2A69" w:rsidRPr="001B2C68">
        <w:t xml:space="preserve"> is $19,937. Given this, </w:t>
      </w:r>
      <w:r w:rsidR="0032199C" w:rsidRPr="001B2C68">
        <w:t>$20,000</w:t>
      </w:r>
      <w:r w:rsidR="00EC2A69" w:rsidRPr="001B2C68">
        <w:t xml:space="preserve"> (which is approximately equal to this amount)</w:t>
      </w:r>
      <w:r w:rsidR="0032199C" w:rsidRPr="001B2C68">
        <w:t xml:space="preserve"> </w:t>
      </w:r>
      <w:r w:rsidR="00E70308" w:rsidRPr="001B2C68">
        <w:t>is</w:t>
      </w:r>
      <w:r w:rsidR="0032199C" w:rsidRPr="001B2C68">
        <w:t xml:space="preserve"> the </w:t>
      </w:r>
      <w:r w:rsidR="00EC2A69" w:rsidRPr="001B2C68">
        <w:t xml:space="preserve">appropriate </w:t>
      </w:r>
      <w:r w:rsidR="0019348A" w:rsidRPr="001B2C68">
        <w:t>d</w:t>
      </w:r>
      <w:r w:rsidR="008D2B67" w:rsidRPr="001B2C68">
        <w:t>ebit error value limit</w:t>
      </w:r>
      <w:r w:rsidR="00EC2A69" w:rsidRPr="001B2C68">
        <w:t xml:space="preserve"> </w:t>
      </w:r>
      <w:r w:rsidR="00A667FC" w:rsidRPr="001B2C68">
        <w:t>for</w:t>
      </w:r>
      <w:r w:rsidR="00EC2A69" w:rsidRPr="001B2C68">
        <w:t xml:space="preserve"> </w:t>
      </w:r>
      <w:r w:rsidR="00E829F0" w:rsidRPr="001B2C68">
        <w:t xml:space="preserve">that </w:t>
      </w:r>
      <w:r w:rsidR="008D2B67" w:rsidRPr="001B2C68">
        <w:t>GST turnover</w:t>
      </w:r>
      <w:r w:rsidR="00007D16" w:rsidRPr="001B2C68">
        <w:t>.</w:t>
      </w:r>
      <w:r w:rsidR="008D2B67" w:rsidRPr="001B2C68">
        <w:t xml:space="preserve"> </w:t>
      </w:r>
      <w:r w:rsidR="003A3807" w:rsidRPr="001B2C68">
        <w:t xml:space="preserve">This </w:t>
      </w:r>
      <w:r w:rsidR="006F6982" w:rsidRPr="001B2C68">
        <w:t xml:space="preserve">same </w:t>
      </w:r>
      <w:r w:rsidR="003A3807" w:rsidRPr="001B2C68">
        <w:t>method was used to determine the appropriate debit error limits for each GST turnover limit</w:t>
      </w:r>
      <w:r w:rsidR="009A07B8" w:rsidRPr="001B2C68">
        <w:t xml:space="preserve"> in the table in section 7.</w:t>
      </w:r>
    </w:p>
    <w:p w14:paraId="7F9C6FAF" w14:textId="77777777" w:rsidR="00E13AF3" w:rsidRPr="00C06800" w:rsidRDefault="00E13AF3" w:rsidP="0019176E">
      <w:pPr>
        <w:spacing w:after="120"/>
        <w:rPr>
          <w:rFonts w:ascii="Arial" w:hAnsi="Arial" w:cs="Arial"/>
          <w:sz w:val="22"/>
          <w:szCs w:val="22"/>
        </w:rPr>
      </w:pPr>
    </w:p>
    <w:p w14:paraId="0D73B2FF" w14:textId="1EC109EA" w:rsidR="00D4665E" w:rsidRPr="00B753F6" w:rsidRDefault="00D4665E" w:rsidP="0019176E">
      <w:pPr>
        <w:pStyle w:val="Heading3"/>
        <w:spacing w:before="0" w:after="120"/>
        <w:rPr>
          <w:i/>
          <w:iCs/>
          <w:sz w:val="22"/>
          <w:szCs w:val="22"/>
        </w:rPr>
      </w:pPr>
      <w:r w:rsidRPr="00B753F6">
        <w:rPr>
          <w:i/>
          <w:iCs/>
          <w:sz w:val="22"/>
          <w:szCs w:val="22"/>
        </w:rPr>
        <w:t>Recklessness or intentional disregard</w:t>
      </w:r>
    </w:p>
    <w:p w14:paraId="7A19CBA5" w14:textId="17A7F8E5" w:rsidR="00D84CFC" w:rsidRDefault="00D4665E" w:rsidP="00753F0C">
      <w:pPr>
        <w:pStyle w:val="Numberedparagraph"/>
      </w:pPr>
      <w:r w:rsidRPr="00C06800">
        <w:t>The terms ‘recklessness’ and ‘intentional disregard’ have the same meaning as used in Subdivision 284-B in Schedule 1 to the TAA.</w:t>
      </w:r>
    </w:p>
    <w:p w14:paraId="05B716B7" w14:textId="16E8092C" w:rsidR="00D4665E" w:rsidRPr="00923E03" w:rsidRDefault="00155D74" w:rsidP="00753F0C">
      <w:pPr>
        <w:pStyle w:val="Numberedparagraph"/>
        <w:rPr>
          <w:i/>
        </w:rPr>
      </w:pPr>
      <w:r>
        <w:lastRenderedPageBreak/>
        <w:t xml:space="preserve">The </w:t>
      </w:r>
      <w:r w:rsidRPr="0066630F">
        <w:t>Commissioner</w:t>
      </w:r>
      <w:r>
        <w:t xml:space="preserve">’s published views on the terms ‘recklessness’ and ‘intentional disregard’ are contained in Miscellaneous Taxation Ruling MT 2008/1 </w:t>
      </w:r>
      <w:r>
        <w:rPr>
          <w:i/>
          <w:iCs/>
        </w:rPr>
        <w:t>Penalty relating to statements:</w:t>
      </w:r>
      <w:r w:rsidR="00575FE8">
        <w:rPr>
          <w:i/>
          <w:iCs/>
        </w:rPr>
        <w:t xml:space="preserve"> </w:t>
      </w:r>
      <w:r>
        <w:rPr>
          <w:i/>
          <w:iCs/>
        </w:rPr>
        <w:t xml:space="preserve"> meaning of reasonable care, recklessness and intentional disregard.</w:t>
      </w:r>
    </w:p>
    <w:p w14:paraId="6B9FBEEF" w14:textId="2E27B41E" w:rsidR="00D84CFC" w:rsidRDefault="00D4665E" w:rsidP="00753F0C">
      <w:pPr>
        <w:pStyle w:val="Numberedparagraph"/>
      </w:pPr>
      <w:r w:rsidRPr="00E35ACE">
        <w:t xml:space="preserve">Taxpayers who deliberately under report their assessed net amount by making one or more debit errors will not be able to correct those errors by applying this </w:t>
      </w:r>
      <w:r w:rsidR="00155D74" w:rsidRPr="00E35ACE">
        <w:t>i</w:t>
      </w:r>
      <w:r w:rsidR="00171E5A" w:rsidRPr="00E35ACE">
        <w:t>nstrument</w:t>
      </w:r>
      <w:r w:rsidRPr="00E35ACE">
        <w:t xml:space="preserve"> as they will not meet the requirements of </w:t>
      </w:r>
      <w:r w:rsidR="00DC50FD" w:rsidRPr="00E35ACE">
        <w:t>paragraph</w:t>
      </w:r>
      <w:r w:rsidRPr="00E35ACE">
        <w:t xml:space="preserve"> </w:t>
      </w:r>
      <w:r w:rsidR="00DC50FD" w:rsidRPr="00E35ACE">
        <w:t>7</w:t>
      </w:r>
      <w:r w:rsidRPr="00E35ACE">
        <w:t>(</w:t>
      </w:r>
      <w:r w:rsidR="00DC50FD" w:rsidRPr="00E35ACE">
        <w:t>a</w:t>
      </w:r>
      <w:r w:rsidRPr="00E35ACE">
        <w:t>)</w:t>
      </w:r>
      <w:r w:rsidR="00FF08FA" w:rsidRPr="00E35ACE">
        <w:t xml:space="preserve"> of the instrument</w:t>
      </w:r>
      <w:r w:rsidRPr="00E35ACE">
        <w:t>.</w:t>
      </w:r>
      <w:r>
        <w:t xml:space="preserve"> This is irrespective of whether the debit errors would otherwise meet the requirements of </w:t>
      </w:r>
      <w:r w:rsidR="00DC50FD">
        <w:t>paragraph</w:t>
      </w:r>
      <w:r>
        <w:t xml:space="preserve"> </w:t>
      </w:r>
      <w:r w:rsidR="00DC50FD">
        <w:t>7</w:t>
      </w:r>
      <w:r>
        <w:t>(</w:t>
      </w:r>
      <w:r w:rsidR="00DC50FD">
        <w:t>b</w:t>
      </w:r>
      <w:r>
        <w:t>) and (</w:t>
      </w:r>
      <w:r w:rsidR="00DC50FD">
        <w:t>c</w:t>
      </w:r>
      <w:r>
        <w:t>).</w:t>
      </w:r>
    </w:p>
    <w:p w14:paraId="72D42856" w14:textId="77777777" w:rsidR="00753F0C" w:rsidRDefault="00753F0C" w:rsidP="00DA78AB"/>
    <w:p w14:paraId="0114DDE5" w14:textId="4AA65F38" w:rsidR="00D4665E" w:rsidRPr="00753F0C" w:rsidRDefault="00D4665E" w:rsidP="00753F0C">
      <w:pPr>
        <w:keepNext/>
        <w:spacing w:after="120"/>
        <w:rPr>
          <w:rFonts w:ascii="Arial" w:hAnsi="Arial" w:cs="Arial"/>
          <w:b/>
          <w:i/>
          <w:iCs/>
          <w:sz w:val="20"/>
        </w:rPr>
      </w:pPr>
      <w:r w:rsidRPr="00753F0C">
        <w:rPr>
          <w:rFonts w:ascii="Arial" w:hAnsi="Arial" w:cs="Arial"/>
          <w:b/>
          <w:i/>
          <w:iCs/>
          <w:sz w:val="20"/>
        </w:rPr>
        <w:t xml:space="preserve">Example </w:t>
      </w:r>
      <w:r w:rsidR="00313E71" w:rsidRPr="00753F0C">
        <w:rPr>
          <w:rFonts w:ascii="Arial" w:hAnsi="Arial" w:cs="Arial"/>
          <w:b/>
          <w:i/>
          <w:iCs/>
          <w:sz w:val="20"/>
        </w:rPr>
        <w:t>5</w:t>
      </w:r>
    </w:p>
    <w:p w14:paraId="72B88405" w14:textId="77777777" w:rsidR="00D84CFC" w:rsidRPr="006643E8" w:rsidRDefault="00D4665E" w:rsidP="00753F0C">
      <w:pPr>
        <w:spacing w:after="120"/>
        <w:rPr>
          <w:rFonts w:ascii="Arial" w:hAnsi="Arial" w:cs="Arial"/>
          <w:i/>
          <w:iCs/>
          <w:sz w:val="20"/>
        </w:rPr>
      </w:pPr>
      <w:r w:rsidRPr="006643E8">
        <w:rPr>
          <w:rFonts w:ascii="Arial" w:hAnsi="Arial" w:cs="Arial"/>
          <w:i/>
          <w:iCs/>
          <w:sz w:val="20"/>
        </w:rPr>
        <w:t>Blyton Company, facing a cash flow problem, deliberately under reports the wine tax payable on its assessable dealings by $10,000 when lodging its GST return for the November 20</w:t>
      </w:r>
      <w:r w:rsidR="00155D74" w:rsidRPr="006643E8">
        <w:rPr>
          <w:rFonts w:ascii="Arial" w:hAnsi="Arial" w:cs="Arial"/>
          <w:i/>
          <w:iCs/>
          <w:sz w:val="20"/>
        </w:rPr>
        <w:t>2</w:t>
      </w:r>
      <w:r w:rsidRPr="006643E8">
        <w:rPr>
          <w:rFonts w:ascii="Arial" w:hAnsi="Arial" w:cs="Arial"/>
          <w:i/>
          <w:iCs/>
          <w:sz w:val="20"/>
        </w:rPr>
        <w:t>3 tax period.</w:t>
      </w:r>
    </w:p>
    <w:p w14:paraId="3E39BFAB" w14:textId="3F7DBF78" w:rsidR="00D84CFC" w:rsidRPr="006643E8" w:rsidRDefault="00D4665E" w:rsidP="00753F0C">
      <w:pPr>
        <w:spacing w:after="120"/>
        <w:rPr>
          <w:rFonts w:ascii="Arial" w:hAnsi="Arial" w:cs="Arial"/>
          <w:i/>
          <w:iCs/>
          <w:sz w:val="20"/>
        </w:rPr>
      </w:pPr>
      <w:r w:rsidRPr="006643E8">
        <w:rPr>
          <w:rFonts w:ascii="Arial" w:hAnsi="Arial" w:cs="Arial"/>
          <w:i/>
          <w:iCs/>
          <w:sz w:val="20"/>
        </w:rPr>
        <w:t xml:space="preserve">As the debit errors (the under reporting of wine tax payable) result from Blyton Company intentionally disregarding the WET law, the errors cannot be corrected by applying the </w:t>
      </w:r>
      <w:r w:rsidR="00575FE8">
        <w:rPr>
          <w:rFonts w:ascii="Arial" w:hAnsi="Arial" w:cs="Arial"/>
          <w:i/>
          <w:iCs/>
          <w:sz w:val="20"/>
        </w:rPr>
        <w:t>i</w:t>
      </w:r>
      <w:r w:rsidR="00171E5A" w:rsidRPr="006643E8">
        <w:rPr>
          <w:rFonts w:ascii="Arial" w:hAnsi="Arial" w:cs="Arial"/>
          <w:i/>
          <w:iCs/>
          <w:sz w:val="20"/>
        </w:rPr>
        <w:t>nstrument</w:t>
      </w:r>
      <w:r w:rsidRPr="006643E8">
        <w:rPr>
          <w:rFonts w:ascii="Arial" w:hAnsi="Arial" w:cs="Arial"/>
          <w:i/>
          <w:iCs/>
          <w:sz w:val="20"/>
        </w:rPr>
        <w:t>.</w:t>
      </w:r>
    </w:p>
    <w:p w14:paraId="3609B3AE" w14:textId="2BAD9BAB" w:rsidR="000D162B" w:rsidRPr="00D84CFC" w:rsidRDefault="000D162B" w:rsidP="0019176E">
      <w:pPr>
        <w:spacing w:after="120"/>
        <w:rPr>
          <w:rFonts w:ascii="Arial" w:hAnsi="Arial" w:cs="Arial"/>
          <w:sz w:val="22"/>
          <w:szCs w:val="22"/>
        </w:rPr>
      </w:pPr>
    </w:p>
    <w:p w14:paraId="605F9133" w14:textId="77777777" w:rsidR="00D84CFC" w:rsidRPr="00B753F6" w:rsidRDefault="00D4665E" w:rsidP="0019176E">
      <w:pPr>
        <w:pStyle w:val="Heading3"/>
        <w:spacing w:before="0" w:after="120"/>
        <w:rPr>
          <w:i/>
          <w:iCs/>
          <w:sz w:val="22"/>
          <w:szCs w:val="22"/>
        </w:rPr>
      </w:pPr>
      <w:r w:rsidRPr="00B753F6">
        <w:rPr>
          <w:i/>
          <w:iCs/>
          <w:sz w:val="22"/>
          <w:szCs w:val="22"/>
        </w:rPr>
        <w:t>Debit error time limit</w:t>
      </w:r>
    </w:p>
    <w:p w14:paraId="67F6FD0C" w14:textId="77777777" w:rsidR="00D84CFC" w:rsidRDefault="00D4665E" w:rsidP="00753F0C">
      <w:pPr>
        <w:pStyle w:val="Numberedparagraph"/>
      </w:pPr>
      <w:r w:rsidRPr="004713F8">
        <w:t>If your current GST turnover is less than $20 million, a</w:t>
      </w:r>
      <w:r w:rsidR="00E81632">
        <w:t xml:space="preserve"> debit</w:t>
      </w:r>
      <w:r w:rsidRPr="004713F8">
        <w:t xml:space="preserve"> error must be corrected in a GST return that is lodged within 18 months </w:t>
      </w:r>
      <w:r w:rsidR="00965853">
        <w:t xml:space="preserve">after </w:t>
      </w:r>
      <w:r w:rsidRPr="004713F8">
        <w:t xml:space="preserve">the due date of the GST return for the tax period in which the </w:t>
      </w:r>
      <w:r w:rsidR="00FE7894">
        <w:t xml:space="preserve">debit </w:t>
      </w:r>
      <w:r w:rsidRPr="004713F8">
        <w:t xml:space="preserve">error was made. If your current GST turnover is at or </w:t>
      </w:r>
      <w:r w:rsidRPr="0066630F">
        <w:t>above</w:t>
      </w:r>
      <w:r w:rsidRPr="004713F8">
        <w:t xml:space="preserve"> $20 million, the time limit is 12 months.</w:t>
      </w:r>
    </w:p>
    <w:p w14:paraId="660B5346" w14:textId="4D524391" w:rsidR="00291157" w:rsidRPr="00291157" w:rsidRDefault="00D4665E" w:rsidP="00753F0C">
      <w:pPr>
        <w:pStyle w:val="Numberedparagraph"/>
      </w:pPr>
      <w:r>
        <w:t xml:space="preserve">The term </w:t>
      </w:r>
      <w:r w:rsidR="00965853">
        <w:t>‘</w:t>
      </w:r>
      <w:r w:rsidRPr="00965853">
        <w:rPr>
          <w:bCs/>
          <w:iCs/>
        </w:rPr>
        <w:t>current GST turnover</w:t>
      </w:r>
      <w:r w:rsidR="00965853">
        <w:rPr>
          <w:bCs/>
          <w:iCs/>
        </w:rPr>
        <w:t>’</w:t>
      </w:r>
      <w:r>
        <w:t xml:space="preserve"> for the purposes of the </w:t>
      </w:r>
      <w:r w:rsidR="00155D74">
        <w:t>i</w:t>
      </w:r>
      <w:r w:rsidR="00171E5A">
        <w:t>nstrument</w:t>
      </w:r>
      <w:r>
        <w:t xml:space="preserve"> has the meaning </w:t>
      </w:r>
      <w:r w:rsidR="00882C21">
        <w:t>given</w:t>
      </w:r>
      <w:r>
        <w:t xml:space="preserve"> in section 188-15 </w:t>
      </w:r>
      <w:r w:rsidR="00D91AEA">
        <w:t>of</w:t>
      </w:r>
      <w:r>
        <w:t xml:space="preserve"> the GST Act. </w:t>
      </w:r>
      <w:r w:rsidR="00D91AEA">
        <w:t>This section</w:t>
      </w:r>
      <w:r>
        <w:t xml:space="preserve"> provides that your </w:t>
      </w:r>
      <w:r w:rsidRPr="00004CBE">
        <w:t>current GST turnover</w:t>
      </w:r>
      <w:r>
        <w:t xml:space="preserve"> at a time during a particular month is the sum of the value of all the supplies that you have made, or are likely to make, during the 12 months ending at the end of that month, other than supplies that are input taxed or supplies that are not for consideration or supplies that are not made in connection with an enterprise that you carry on. </w:t>
      </w:r>
      <w:r w:rsidRPr="00826380">
        <w:t>The value of all the supplies in the definition refers to the GST-exclusive value.</w:t>
      </w:r>
    </w:p>
    <w:p w14:paraId="1ED83DA7" w14:textId="1468C46C" w:rsidR="00D4665E" w:rsidRDefault="00D4665E" w:rsidP="00753F0C">
      <w:pPr>
        <w:pStyle w:val="Numberedparagraph"/>
      </w:pPr>
      <w:r>
        <w:t xml:space="preserve">Requiring </w:t>
      </w:r>
      <w:r w:rsidR="00D91AEA">
        <w:t>a</w:t>
      </w:r>
      <w:r>
        <w:t xml:space="preserve"> debit error to be corrected in a GST return that is lodged within 12 or 18 months of the due date for lodging the GST return for the tax period in which the </w:t>
      </w:r>
      <w:r w:rsidR="00E81632">
        <w:t xml:space="preserve">debit </w:t>
      </w:r>
      <w:r>
        <w:t>error was made ensures that a consistent time limit applies to all taxpayers</w:t>
      </w:r>
      <w:r w:rsidR="0005309A">
        <w:t>,</w:t>
      </w:r>
      <w:r>
        <w:t xml:space="preserve"> regardless of whether the </w:t>
      </w:r>
      <w:r w:rsidR="00D91AEA">
        <w:t>relevant</w:t>
      </w:r>
      <w:r>
        <w:t xml:space="preserve"> GST return is lodged on time or not.</w:t>
      </w:r>
    </w:p>
    <w:p w14:paraId="5EFFD697" w14:textId="0A26B5A0" w:rsidR="00295E41" w:rsidRDefault="00D4665E" w:rsidP="00753F0C">
      <w:pPr>
        <w:pStyle w:val="Numberedparagraph"/>
      </w:pPr>
      <w:r>
        <w:t xml:space="preserve">By contrast, if the time limit was based on the </w:t>
      </w:r>
      <w:r w:rsidRPr="00C91C40">
        <w:t>start or end</w:t>
      </w:r>
      <w:r>
        <w:t xml:space="preserve"> of the tax period for a GST return in which the </w:t>
      </w:r>
      <w:r w:rsidR="00FE7894">
        <w:t xml:space="preserve">debit </w:t>
      </w:r>
      <w:r>
        <w:t>error is corrected, taxpayers who lodged late would effectively</w:t>
      </w:r>
      <w:r w:rsidR="00295E41" w:rsidRPr="00295E41">
        <w:t xml:space="preserve"> </w:t>
      </w:r>
      <w:r w:rsidR="00295E41" w:rsidRPr="000A1E76">
        <w:t>gain further time in which to correct their debit errors.</w:t>
      </w:r>
    </w:p>
    <w:p w14:paraId="438D3FA0" w14:textId="77777777" w:rsidR="00753F0C" w:rsidRDefault="00753F0C" w:rsidP="00DA78AB"/>
    <w:p w14:paraId="5A6CB5EE" w14:textId="77777777" w:rsidR="00D84CFC" w:rsidRPr="00753F0C" w:rsidRDefault="00D4665E" w:rsidP="00753F0C">
      <w:pPr>
        <w:keepNext/>
        <w:spacing w:after="120"/>
        <w:rPr>
          <w:rFonts w:ascii="Arial" w:hAnsi="Arial" w:cs="Arial"/>
          <w:b/>
          <w:i/>
          <w:iCs/>
          <w:sz w:val="20"/>
        </w:rPr>
      </w:pPr>
      <w:r w:rsidRPr="00753F0C">
        <w:rPr>
          <w:rFonts w:ascii="Arial" w:hAnsi="Arial" w:cs="Arial"/>
          <w:b/>
          <w:i/>
          <w:iCs/>
          <w:sz w:val="20"/>
        </w:rPr>
        <w:t xml:space="preserve">Example </w:t>
      </w:r>
      <w:r w:rsidR="00313E71" w:rsidRPr="00753F0C">
        <w:rPr>
          <w:rFonts w:ascii="Arial" w:hAnsi="Arial" w:cs="Arial"/>
          <w:b/>
          <w:i/>
          <w:iCs/>
          <w:sz w:val="20"/>
        </w:rPr>
        <w:t>6</w:t>
      </w:r>
    </w:p>
    <w:p w14:paraId="7B318DCE" w14:textId="1B019D85" w:rsidR="00D84CFC" w:rsidRPr="006643E8" w:rsidRDefault="00D4665E" w:rsidP="00753F0C">
      <w:pPr>
        <w:spacing w:after="120"/>
        <w:rPr>
          <w:rFonts w:ascii="Arial" w:hAnsi="Arial" w:cs="Arial"/>
          <w:i/>
          <w:iCs/>
          <w:sz w:val="20"/>
        </w:rPr>
      </w:pPr>
      <w:r w:rsidRPr="006643E8">
        <w:rPr>
          <w:rFonts w:ascii="Arial" w:hAnsi="Arial" w:cs="Arial"/>
          <w:i/>
          <w:iCs/>
          <w:sz w:val="20"/>
        </w:rPr>
        <w:t>While preparing its July 20</w:t>
      </w:r>
      <w:r w:rsidR="00826380" w:rsidRPr="006643E8">
        <w:rPr>
          <w:rFonts w:ascii="Arial" w:hAnsi="Arial" w:cs="Arial"/>
          <w:i/>
          <w:iCs/>
          <w:sz w:val="20"/>
        </w:rPr>
        <w:t>2</w:t>
      </w:r>
      <w:r w:rsidRPr="006643E8">
        <w:rPr>
          <w:rFonts w:ascii="Arial" w:hAnsi="Arial" w:cs="Arial"/>
          <w:i/>
          <w:iCs/>
          <w:sz w:val="20"/>
        </w:rPr>
        <w:t>4 GST return, Milton Company (a monthly lodger with current GST turnover below $20 million) discovers a debit error of $15,450 in its GST return lodged for the June 20</w:t>
      </w:r>
      <w:r w:rsidR="00826380" w:rsidRPr="006643E8">
        <w:rPr>
          <w:rFonts w:ascii="Arial" w:hAnsi="Arial" w:cs="Arial"/>
          <w:i/>
          <w:iCs/>
          <w:sz w:val="20"/>
        </w:rPr>
        <w:t>2</w:t>
      </w:r>
      <w:r w:rsidRPr="006643E8">
        <w:rPr>
          <w:rFonts w:ascii="Arial" w:hAnsi="Arial" w:cs="Arial"/>
          <w:i/>
          <w:iCs/>
          <w:sz w:val="20"/>
        </w:rPr>
        <w:t>3 tax period.</w:t>
      </w:r>
    </w:p>
    <w:p w14:paraId="6675C40F" w14:textId="178C44A1" w:rsidR="00D4665E" w:rsidRPr="006643E8" w:rsidRDefault="00D4665E" w:rsidP="00753F0C">
      <w:pPr>
        <w:spacing w:after="120"/>
        <w:rPr>
          <w:rFonts w:ascii="Arial" w:hAnsi="Arial" w:cs="Arial"/>
          <w:i/>
          <w:iCs/>
          <w:sz w:val="20"/>
        </w:rPr>
      </w:pPr>
      <w:r w:rsidRPr="006643E8">
        <w:rPr>
          <w:rFonts w:ascii="Arial" w:hAnsi="Arial" w:cs="Arial"/>
          <w:i/>
          <w:iCs/>
          <w:sz w:val="20"/>
        </w:rPr>
        <w:t xml:space="preserve">The </w:t>
      </w:r>
      <w:r w:rsidR="00FE7894" w:rsidRPr="006643E8">
        <w:rPr>
          <w:rFonts w:ascii="Arial" w:hAnsi="Arial" w:cs="Arial"/>
          <w:i/>
          <w:iCs/>
          <w:sz w:val="20"/>
        </w:rPr>
        <w:t xml:space="preserve">debit </w:t>
      </w:r>
      <w:r w:rsidRPr="006643E8">
        <w:rPr>
          <w:rFonts w:ascii="Arial" w:hAnsi="Arial" w:cs="Arial"/>
          <w:i/>
          <w:iCs/>
          <w:sz w:val="20"/>
        </w:rPr>
        <w:t>error can only be corrected in a GST return that is lodged within 18 months of the due date for lodging the GST return for the tax period in which the</w:t>
      </w:r>
      <w:r w:rsidR="00FE7894" w:rsidRPr="006643E8">
        <w:rPr>
          <w:rFonts w:ascii="Arial" w:hAnsi="Arial" w:cs="Arial"/>
          <w:i/>
          <w:iCs/>
          <w:sz w:val="20"/>
        </w:rPr>
        <w:t xml:space="preserve"> debit</w:t>
      </w:r>
      <w:r w:rsidRPr="006643E8">
        <w:rPr>
          <w:rFonts w:ascii="Arial" w:hAnsi="Arial" w:cs="Arial"/>
          <w:i/>
          <w:iCs/>
          <w:sz w:val="20"/>
        </w:rPr>
        <w:t xml:space="preserve"> error was made. The due date for lodging the GST return in which the </w:t>
      </w:r>
      <w:r w:rsidR="00FE7894" w:rsidRPr="006643E8">
        <w:rPr>
          <w:rFonts w:ascii="Arial" w:hAnsi="Arial" w:cs="Arial"/>
          <w:i/>
          <w:iCs/>
          <w:sz w:val="20"/>
        </w:rPr>
        <w:t xml:space="preserve">debit </w:t>
      </w:r>
      <w:r w:rsidRPr="006643E8">
        <w:rPr>
          <w:rFonts w:ascii="Arial" w:hAnsi="Arial" w:cs="Arial"/>
          <w:i/>
          <w:iCs/>
          <w:sz w:val="20"/>
        </w:rPr>
        <w:t>error was made was 21 July 20</w:t>
      </w:r>
      <w:r w:rsidR="00826380" w:rsidRPr="006643E8">
        <w:rPr>
          <w:rFonts w:ascii="Arial" w:hAnsi="Arial" w:cs="Arial"/>
          <w:i/>
          <w:iCs/>
          <w:sz w:val="20"/>
        </w:rPr>
        <w:t>2</w:t>
      </w:r>
      <w:r w:rsidRPr="006643E8">
        <w:rPr>
          <w:rFonts w:ascii="Arial" w:hAnsi="Arial" w:cs="Arial"/>
          <w:i/>
          <w:iCs/>
          <w:sz w:val="20"/>
        </w:rPr>
        <w:t>3. Eighteen months from that date is 21 January 20</w:t>
      </w:r>
      <w:r w:rsidR="00826380" w:rsidRPr="006643E8">
        <w:rPr>
          <w:rFonts w:ascii="Arial" w:hAnsi="Arial" w:cs="Arial"/>
          <w:i/>
          <w:iCs/>
          <w:sz w:val="20"/>
        </w:rPr>
        <w:t>2</w:t>
      </w:r>
      <w:r w:rsidRPr="006643E8">
        <w:rPr>
          <w:rFonts w:ascii="Arial" w:hAnsi="Arial" w:cs="Arial"/>
          <w:i/>
          <w:iCs/>
          <w:sz w:val="20"/>
        </w:rPr>
        <w:t>5.</w:t>
      </w:r>
    </w:p>
    <w:p w14:paraId="548B6785" w14:textId="31BB36A4" w:rsidR="00AA2FF0" w:rsidRPr="00A53D60" w:rsidRDefault="00D4665E" w:rsidP="00A53D60">
      <w:pPr>
        <w:keepNext/>
        <w:spacing w:after="120"/>
        <w:rPr>
          <w:rFonts w:ascii="Arial" w:hAnsi="Arial" w:cs="Arial"/>
          <w:i/>
          <w:iCs/>
          <w:sz w:val="20"/>
        </w:rPr>
      </w:pPr>
      <w:r w:rsidRPr="006643E8">
        <w:rPr>
          <w:rFonts w:ascii="Arial" w:hAnsi="Arial" w:cs="Arial"/>
          <w:i/>
          <w:iCs/>
          <w:sz w:val="20"/>
        </w:rPr>
        <w:t>If Milton Company lodges its July 20</w:t>
      </w:r>
      <w:r w:rsidR="00826380" w:rsidRPr="006643E8">
        <w:rPr>
          <w:rFonts w:ascii="Arial" w:hAnsi="Arial" w:cs="Arial"/>
          <w:i/>
          <w:iCs/>
          <w:sz w:val="20"/>
        </w:rPr>
        <w:t>2</w:t>
      </w:r>
      <w:r w:rsidRPr="006643E8">
        <w:rPr>
          <w:rFonts w:ascii="Arial" w:hAnsi="Arial" w:cs="Arial"/>
          <w:i/>
          <w:iCs/>
          <w:sz w:val="20"/>
        </w:rPr>
        <w:t>4 GST return on 21 August 20</w:t>
      </w:r>
      <w:r w:rsidR="00826380" w:rsidRPr="006643E8">
        <w:rPr>
          <w:rFonts w:ascii="Arial" w:hAnsi="Arial" w:cs="Arial"/>
          <w:i/>
          <w:iCs/>
          <w:sz w:val="20"/>
        </w:rPr>
        <w:t>2</w:t>
      </w:r>
      <w:r w:rsidRPr="006643E8">
        <w:rPr>
          <w:rFonts w:ascii="Arial" w:hAnsi="Arial" w:cs="Arial"/>
          <w:i/>
          <w:iCs/>
          <w:sz w:val="20"/>
        </w:rPr>
        <w:t>4</w:t>
      </w:r>
      <w:r w:rsidR="0081197D" w:rsidRPr="006643E8">
        <w:rPr>
          <w:rFonts w:ascii="Arial" w:hAnsi="Arial" w:cs="Arial"/>
          <w:i/>
          <w:iCs/>
          <w:sz w:val="20"/>
        </w:rPr>
        <w:t xml:space="preserve">, assuming the debit error meets the other requirements in sections 6 and 7, </w:t>
      </w:r>
      <w:r w:rsidRPr="006643E8">
        <w:rPr>
          <w:rFonts w:ascii="Arial" w:hAnsi="Arial" w:cs="Arial"/>
          <w:i/>
          <w:iCs/>
          <w:sz w:val="20"/>
        </w:rPr>
        <w:t xml:space="preserve">Milton Company can correct the $15,450 </w:t>
      </w:r>
      <w:r w:rsidR="00FE7894" w:rsidRPr="006643E8">
        <w:rPr>
          <w:rFonts w:ascii="Arial" w:hAnsi="Arial" w:cs="Arial"/>
          <w:i/>
          <w:iCs/>
          <w:sz w:val="20"/>
        </w:rPr>
        <w:t xml:space="preserve">debit </w:t>
      </w:r>
      <w:r w:rsidRPr="006643E8">
        <w:rPr>
          <w:rFonts w:ascii="Arial" w:hAnsi="Arial" w:cs="Arial"/>
          <w:i/>
          <w:iCs/>
          <w:sz w:val="20"/>
        </w:rPr>
        <w:t>error in that GST return. This is because the lodgment date of 21 August 20</w:t>
      </w:r>
      <w:r w:rsidR="00826380" w:rsidRPr="006643E8">
        <w:rPr>
          <w:rFonts w:ascii="Arial" w:hAnsi="Arial" w:cs="Arial"/>
          <w:i/>
          <w:iCs/>
          <w:sz w:val="20"/>
        </w:rPr>
        <w:t>2</w:t>
      </w:r>
      <w:r w:rsidRPr="006643E8">
        <w:rPr>
          <w:rFonts w:ascii="Arial" w:hAnsi="Arial" w:cs="Arial"/>
          <w:i/>
          <w:iCs/>
          <w:sz w:val="20"/>
        </w:rPr>
        <w:t xml:space="preserve">4 is within 18 months from the due date of the GST </w:t>
      </w:r>
      <w:r w:rsidRPr="006643E8">
        <w:rPr>
          <w:rFonts w:ascii="Arial" w:hAnsi="Arial" w:cs="Arial"/>
          <w:i/>
          <w:iCs/>
          <w:sz w:val="20"/>
        </w:rPr>
        <w:lastRenderedPageBreak/>
        <w:t>return for the June 20</w:t>
      </w:r>
      <w:r w:rsidR="00826380" w:rsidRPr="006643E8">
        <w:rPr>
          <w:rFonts w:ascii="Arial" w:hAnsi="Arial" w:cs="Arial"/>
          <w:i/>
          <w:iCs/>
          <w:sz w:val="20"/>
        </w:rPr>
        <w:t>2</w:t>
      </w:r>
      <w:r w:rsidRPr="006643E8">
        <w:rPr>
          <w:rFonts w:ascii="Arial" w:hAnsi="Arial" w:cs="Arial"/>
          <w:i/>
          <w:iCs/>
          <w:sz w:val="20"/>
        </w:rPr>
        <w:t>3 tax period (</w:t>
      </w:r>
      <w:r w:rsidR="0081197D" w:rsidRPr="006643E8">
        <w:rPr>
          <w:rFonts w:ascii="Arial" w:hAnsi="Arial" w:cs="Arial"/>
          <w:i/>
          <w:iCs/>
          <w:sz w:val="20"/>
        </w:rPr>
        <w:t>that is,</w:t>
      </w:r>
      <w:r w:rsidRPr="006643E8">
        <w:rPr>
          <w:rFonts w:ascii="Arial" w:hAnsi="Arial" w:cs="Arial"/>
          <w:i/>
          <w:iCs/>
          <w:sz w:val="20"/>
        </w:rPr>
        <w:t xml:space="preserve"> 21 July 20</w:t>
      </w:r>
      <w:r w:rsidR="00826380" w:rsidRPr="006643E8">
        <w:rPr>
          <w:rFonts w:ascii="Arial" w:hAnsi="Arial" w:cs="Arial"/>
          <w:i/>
          <w:iCs/>
          <w:sz w:val="20"/>
        </w:rPr>
        <w:t>2</w:t>
      </w:r>
      <w:r w:rsidRPr="006643E8">
        <w:rPr>
          <w:rFonts w:ascii="Arial" w:hAnsi="Arial" w:cs="Arial"/>
          <w:i/>
          <w:iCs/>
          <w:sz w:val="20"/>
        </w:rPr>
        <w:t>3)</w:t>
      </w:r>
      <w:r w:rsidR="0081197D" w:rsidRPr="006643E8">
        <w:rPr>
          <w:rFonts w:ascii="Arial" w:hAnsi="Arial" w:cs="Arial"/>
          <w:i/>
          <w:iCs/>
          <w:sz w:val="20"/>
        </w:rPr>
        <w:t xml:space="preserve">, and the </w:t>
      </w:r>
      <w:r w:rsidR="00FE7894" w:rsidRPr="006643E8">
        <w:rPr>
          <w:rFonts w:ascii="Arial" w:hAnsi="Arial" w:cs="Arial"/>
          <w:i/>
          <w:iCs/>
          <w:sz w:val="20"/>
        </w:rPr>
        <w:t xml:space="preserve">debit </w:t>
      </w:r>
      <w:r w:rsidR="0081197D" w:rsidRPr="006643E8">
        <w:rPr>
          <w:rFonts w:ascii="Arial" w:hAnsi="Arial" w:cs="Arial"/>
          <w:i/>
          <w:iCs/>
          <w:sz w:val="20"/>
        </w:rPr>
        <w:t xml:space="preserve">error is within the debit error value </w:t>
      </w:r>
      <w:r w:rsidR="00A53D60">
        <w:rPr>
          <w:rFonts w:ascii="Arial" w:hAnsi="Arial" w:cs="Arial"/>
          <w:i/>
          <w:iCs/>
          <w:noProof/>
          <w:sz w:val="20"/>
        </w:rPr>
        <w:drawing>
          <wp:anchor distT="0" distB="0" distL="114300" distR="114300" simplePos="0" relativeHeight="251658240" behindDoc="0" locked="0" layoutInCell="1" allowOverlap="1" wp14:anchorId="482670F1" wp14:editId="762BF10A">
            <wp:simplePos x="0" y="0"/>
            <wp:positionH relativeFrom="margin">
              <wp:align>center</wp:align>
            </wp:positionH>
            <wp:positionV relativeFrom="paragraph">
              <wp:posOffset>393700</wp:posOffset>
            </wp:positionV>
            <wp:extent cx="5572760" cy="2400300"/>
            <wp:effectExtent l="0" t="0" r="8890" b="0"/>
            <wp:wrapSquare wrapText="bothSides"/>
            <wp:docPr id="229526854" name="Picture 1" descr="Image showing the timeframe in which Milton Company may correct a debit error made in the GST return lodged for the June 2023 tax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526854" name="Picture 1" descr="Image showing the timeframe in which Milton Company may correct a debit error made in the GST return lodged for the June 2023 tax period."/>
                    <pic:cNvPicPr/>
                  </pic:nvPicPr>
                  <pic:blipFill>
                    <a:blip r:embed="rId8">
                      <a:extLst>
                        <a:ext uri="{28A0092B-C50C-407E-A947-70E740481C1C}">
                          <a14:useLocalDpi xmlns:a14="http://schemas.microsoft.com/office/drawing/2010/main" val="0"/>
                        </a:ext>
                      </a:extLst>
                    </a:blip>
                    <a:stretch>
                      <a:fillRect/>
                    </a:stretch>
                  </pic:blipFill>
                  <pic:spPr>
                    <a:xfrm>
                      <a:off x="0" y="0"/>
                      <a:ext cx="5572760" cy="2400300"/>
                    </a:xfrm>
                    <a:prstGeom prst="rect">
                      <a:avLst/>
                    </a:prstGeom>
                  </pic:spPr>
                </pic:pic>
              </a:graphicData>
            </a:graphic>
          </wp:anchor>
        </w:drawing>
      </w:r>
      <w:r w:rsidR="0081197D" w:rsidRPr="006643E8">
        <w:rPr>
          <w:rFonts w:ascii="Arial" w:hAnsi="Arial" w:cs="Arial"/>
          <w:i/>
          <w:iCs/>
          <w:sz w:val="20"/>
        </w:rPr>
        <w:t>limit.</w:t>
      </w:r>
    </w:p>
    <w:p w14:paraId="5449BC21" w14:textId="7CAEAF63" w:rsidR="00D4665E" w:rsidRPr="00753F0C" w:rsidRDefault="00D4665E" w:rsidP="00753F0C">
      <w:pPr>
        <w:keepNext/>
        <w:spacing w:after="120"/>
        <w:rPr>
          <w:rFonts w:ascii="Arial" w:hAnsi="Arial" w:cs="Arial"/>
          <w:b/>
          <w:i/>
          <w:iCs/>
          <w:sz w:val="20"/>
        </w:rPr>
      </w:pPr>
      <w:r w:rsidRPr="00753F0C">
        <w:rPr>
          <w:rFonts w:ascii="Arial" w:hAnsi="Arial" w:cs="Arial"/>
          <w:b/>
          <w:i/>
          <w:iCs/>
          <w:sz w:val="20"/>
        </w:rPr>
        <w:t xml:space="preserve">Example </w:t>
      </w:r>
      <w:r w:rsidR="00313E71" w:rsidRPr="00753F0C">
        <w:rPr>
          <w:rFonts w:ascii="Arial" w:hAnsi="Arial" w:cs="Arial"/>
          <w:b/>
          <w:i/>
          <w:iCs/>
          <w:sz w:val="20"/>
        </w:rPr>
        <w:t>7</w:t>
      </w:r>
    </w:p>
    <w:p w14:paraId="2BC32F5B" w14:textId="71C9CC18" w:rsidR="00D4665E" w:rsidRPr="006643E8" w:rsidRDefault="00D4665E" w:rsidP="00753F0C">
      <w:pPr>
        <w:spacing w:after="120"/>
        <w:rPr>
          <w:rFonts w:ascii="Arial" w:hAnsi="Arial" w:cs="Arial"/>
          <w:i/>
          <w:iCs/>
          <w:sz w:val="20"/>
        </w:rPr>
      </w:pPr>
      <w:r w:rsidRPr="006643E8">
        <w:rPr>
          <w:rFonts w:ascii="Arial" w:hAnsi="Arial" w:cs="Arial"/>
          <w:i/>
          <w:iCs/>
          <w:sz w:val="20"/>
        </w:rPr>
        <w:t xml:space="preserve">Mortimer Company has a current GST turnover of </w:t>
      </w:r>
      <w:r w:rsidR="005653DF" w:rsidRPr="006643E8">
        <w:rPr>
          <w:rFonts w:ascii="Arial" w:hAnsi="Arial" w:cs="Arial"/>
          <w:i/>
          <w:iCs/>
          <w:sz w:val="20"/>
        </w:rPr>
        <w:t>less</w:t>
      </w:r>
      <w:r w:rsidRPr="006643E8">
        <w:rPr>
          <w:rFonts w:ascii="Arial" w:hAnsi="Arial" w:cs="Arial"/>
          <w:i/>
          <w:iCs/>
          <w:sz w:val="20"/>
        </w:rPr>
        <w:t xml:space="preserve"> than $20 million and lodges its GST returns quarterly. While preparing its GST return for the September 20</w:t>
      </w:r>
      <w:r w:rsidR="00826380" w:rsidRPr="006643E8">
        <w:rPr>
          <w:rFonts w:ascii="Arial" w:hAnsi="Arial" w:cs="Arial"/>
          <w:i/>
          <w:iCs/>
          <w:sz w:val="20"/>
        </w:rPr>
        <w:t>2</w:t>
      </w:r>
      <w:r w:rsidRPr="006643E8">
        <w:rPr>
          <w:rFonts w:ascii="Arial" w:hAnsi="Arial" w:cs="Arial"/>
          <w:i/>
          <w:iCs/>
          <w:sz w:val="20"/>
        </w:rPr>
        <w:t>3 tax period in December 20</w:t>
      </w:r>
      <w:r w:rsidR="00826380" w:rsidRPr="006643E8">
        <w:rPr>
          <w:rFonts w:ascii="Arial" w:hAnsi="Arial" w:cs="Arial"/>
          <w:i/>
          <w:iCs/>
          <w:sz w:val="20"/>
        </w:rPr>
        <w:t>2</w:t>
      </w:r>
      <w:r w:rsidRPr="006643E8">
        <w:rPr>
          <w:rFonts w:ascii="Arial" w:hAnsi="Arial" w:cs="Arial"/>
          <w:i/>
          <w:iCs/>
          <w:sz w:val="20"/>
        </w:rPr>
        <w:t>3, Mortimer Company discovers a debit error made in its GST return for the March 20</w:t>
      </w:r>
      <w:r w:rsidR="00826380" w:rsidRPr="006643E8">
        <w:rPr>
          <w:rFonts w:ascii="Arial" w:hAnsi="Arial" w:cs="Arial"/>
          <w:i/>
          <w:iCs/>
          <w:sz w:val="20"/>
        </w:rPr>
        <w:t>2</w:t>
      </w:r>
      <w:r w:rsidRPr="006643E8">
        <w:rPr>
          <w:rFonts w:ascii="Arial" w:hAnsi="Arial" w:cs="Arial"/>
          <w:i/>
          <w:iCs/>
          <w:sz w:val="20"/>
        </w:rPr>
        <w:t>2 tax period. The September 20</w:t>
      </w:r>
      <w:r w:rsidR="00826380" w:rsidRPr="006643E8">
        <w:rPr>
          <w:rFonts w:ascii="Arial" w:hAnsi="Arial" w:cs="Arial"/>
          <w:i/>
          <w:iCs/>
          <w:sz w:val="20"/>
        </w:rPr>
        <w:t>2</w:t>
      </w:r>
      <w:r w:rsidRPr="006643E8">
        <w:rPr>
          <w:rFonts w:ascii="Arial" w:hAnsi="Arial" w:cs="Arial"/>
          <w:i/>
          <w:iCs/>
          <w:sz w:val="20"/>
        </w:rPr>
        <w:t>3 GST return is being lodged late as it should have been lodged by 28 October 20</w:t>
      </w:r>
      <w:r w:rsidR="00826380" w:rsidRPr="006643E8">
        <w:rPr>
          <w:rFonts w:ascii="Arial" w:hAnsi="Arial" w:cs="Arial"/>
          <w:i/>
          <w:iCs/>
          <w:sz w:val="20"/>
        </w:rPr>
        <w:t>2</w:t>
      </w:r>
      <w:r w:rsidRPr="006643E8">
        <w:rPr>
          <w:rFonts w:ascii="Arial" w:hAnsi="Arial" w:cs="Arial"/>
          <w:i/>
          <w:iCs/>
          <w:sz w:val="20"/>
        </w:rPr>
        <w:t>3.</w:t>
      </w:r>
    </w:p>
    <w:p w14:paraId="6AE38EC1" w14:textId="674DC4FD" w:rsidR="006B7D52" w:rsidRPr="006643E8" w:rsidRDefault="00D4665E" w:rsidP="00753F0C">
      <w:pPr>
        <w:spacing w:after="120"/>
        <w:rPr>
          <w:rFonts w:ascii="Arial" w:hAnsi="Arial" w:cs="Arial"/>
          <w:i/>
          <w:iCs/>
          <w:sz w:val="20"/>
        </w:rPr>
      </w:pPr>
      <w:r w:rsidRPr="006643E8">
        <w:rPr>
          <w:rFonts w:ascii="Arial" w:hAnsi="Arial" w:cs="Arial"/>
          <w:i/>
          <w:iCs/>
          <w:sz w:val="20"/>
        </w:rPr>
        <w:t xml:space="preserve">The </w:t>
      </w:r>
      <w:r w:rsidR="0048532F" w:rsidRPr="006643E8">
        <w:rPr>
          <w:rFonts w:ascii="Arial" w:hAnsi="Arial" w:cs="Arial"/>
          <w:i/>
          <w:iCs/>
          <w:sz w:val="20"/>
        </w:rPr>
        <w:t xml:space="preserve">debit </w:t>
      </w:r>
      <w:r w:rsidRPr="006643E8">
        <w:rPr>
          <w:rFonts w:ascii="Arial" w:hAnsi="Arial" w:cs="Arial"/>
          <w:i/>
          <w:iCs/>
          <w:sz w:val="20"/>
        </w:rPr>
        <w:t>error can only be corrected in a GST return that is lodged within 1</w:t>
      </w:r>
      <w:r w:rsidR="005653DF" w:rsidRPr="006643E8">
        <w:rPr>
          <w:rFonts w:ascii="Arial" w:hAnsi="Arial" w:cs="Arial"/>
          <w:i/>
          <w:iCs/>
          <w:sz w:val="20"/>
        </w:rPr>
        <w:t>8</w:t>
      </w:r>
      <w:r w:rsidRPr="006643E8">
        <w:rPr>
          <w:rFonts w:ascii="Arial" w:hAnsi="Arial" w:cs="Arial"/>
          <w:i/>
          <w:iCs/>
          <w:sz w:val="20"/>
        </w:rPr>
        <w:t xml:space="preserve"> months of the due date for lodging the GST return for the tax period in which the</w:t>
      </w:r>
      <w:r w:rsidR="0048532F" w:rsidRPr="006643E8">
        <w:rPr>
          <w:rFonts w:ascii="Arial" w:hAnsi="Arial" w:cs="Arial"/>
          <w:i/>
          <w:iCs/>
          <w:sz w:val="20"/>
        </w:rPr>
        <w:t xml:space="preserve"> debit</w:t>
      </w:r>
      <w:r w:rsidRPr="006643E8">
        <w:rPr>
          <w:rFonts w:ascii="Arial" w:hAnsi="Arial" w:cs="Arial"/>
          <w:i/>
          <w:iCs/>
          <w:sz w:val="20"/>
        </w:rPr>
        <w:t xml:space="preserve"> error was made. The due date for lodging the GST return in which the</w:t>
      </w:r>
      <w:r w:rsidR="0048532F" w:rsidRPr="006643E8">
        <w:rPr>
          <w:rFonts w:ascii="Arial" w:hAnsi="Arial" w:cs="Arial"/>
          <w:i/>
          <w:iCs/>
          <w:sz w:val="20"/>
        </w:rPr>
        <w:t xml:space="preserve"> debit</w:t>
      </w:r>
      <w:r w:rsidRPr="006643E8">
        <w:rPr>
          <w:rFonts w:ascii="Arial" w:hAnsi="Arial" w:cs="Arial"/>
          <w:i/>
          <w:iCs/>
          <w:sz w:val="20"/>
        </w:rPr>
        <w:t xml:space="preserve"> error was made was 28 April 20</w:t>
      </w:r>
      <w:r w:rsidR="00826380" w:rsidRPr="006643E8">
        <w:rPr>
          <w:rFonts w:ascii="Arial" w:hAnsi="Arial" w:cs="Arial"/>
          <w:i/>
          <w:iCs/>
          <w:sz w:val="20"/>
        </w:rPr>
        <w:t>2</w:t>
      </w:r>
      <w:r w:rsidRPr="006643E8">
        <w:rPr>
          <w:rFonts w:ascii="Arial" w:hAnsi="Arial" w:cs="Arial"/>
          <w:i/>
          <w:iCs/>
          <w:sz w:val="20"/>
        </w:rPr>
        <w:t xml:space="preserve">2. </w:t>
      </w:r>
      <w:r w:rsidR="00F01BF7" w:rsidRPr="006643E8">
        <w:rPr>
          <w:rFonts w:ascii="Arial" w:hAnsi="Arial" w:cs="Arial"/>
          <w:i/>
          <w:iCs/>
          <w:sz w:val="20"/>
        </w:rPr>
        <w:t>Eighteen</w:t>
      </w:r>
      <w:r w:rsidRPr="006643E8">
        <w:rPr>
          <w:rFonts w:ascii="Arial" w:hAnsi="Arial" w:cs="Arial"/>
          <w:i/>
          <w:iCs/>
          <w:sz w:val="20"/>
        </w:rPr>
        <w:t xml:space="preserve"> months from that date is 28 </w:t>
      </w:r>
      <w:r w:rsidR="005653DF" w:rsidRPr="006643E8">
        <w:rPr>
          <w:rFonts w:ascii="Arial" w:hAnsi="Arial" w:cs="Arial"/>
          <w:i/>
          <w:iCs/>
          <w:sz w:val="20"/>
        </w:rPr>
        <w:t>October</w:t>
      </w:r>
      <w:r w:rsidRPr="006643E8">
        <w:rPr>
          <w:rFonts w:ascii="Arial" w:hAnsi="Arial" w:cs="Arial"/>
          <w:i/>
          <w:iCs/>
          <w:sz w:val="20"/>
        </w:rPr>
        <w:t xml:space="preserve"> 20</w:t>
      </w:r>
      <w:r w:rsidR="00826380" w:rsidRPr="006643E8">
        <w:rPr>
          <w:rFonts w:ascii="Arial" w:hAnsi="Arial" w:cs="Arial"/>
          <w:i/>
          <w:iCs/>
          <w:sz w:val="20"/>
        </w:rPr>
        <w:t>2</w:t>
      </w:r>
      <w:r w:rsidRPr="006643E8">
        <w:rPr>
          <w:rFonts w:ascii="Arial" w:hAnsi="Arial" w:cs="Arial"/>
          <w:i/>
          <w:iCs/>
          <w:sz w:val="20"/>
        </w:rPr>
        <w:t>3</w:t>
      </w:r>
      <w:r w:rsidR="000B7C19" w:rsidRPr="006643E8">
        <w:rPr>
          <w:rFonts w:ascii="Arial" w:hAnsi="Arial" w:cs="Arial"/>
          <w:i/>
          <w:iCs/>
          <w:sz w:val="20"/>
        </w:rPr>
        <w:t xml:space="preserve"> and therefore any correction must be made on a return lodged prior to this date.</w:t>
      </w:r>
    </w:p>
    <w:p w14:paraId="05D0CCDB" w14:textId="24D63466" w:rsidR="00753F0C" w:rsidRPr="00A53D60" w:rsidRDefault="00A53D60" w:rsidP="00A53D60">
      <w:pPr>
        <w:keepNext/>
        <w:spacing w:after="120"/>
        <w:rPr>
          <w:rFonts w:ascii="Arial" w:hAnsi="Arial" w:cs="Arial"/>
          <w:i/>
          <w:iCs/>
          <w:sz w:val="20"/>
        </w:rPr>
      </w:pPr>
      <w:r>
        <w:rPr>
          <w:rFonts w:ascii="Arial" w:hAnsi="Arial" w:cs="Arial"/>
          <w:i/>
          <w:iCs/>
          <w:noProof/>
          <w:sz w:val="20"/>
        </w:rPr>
        <w:drawing>
          <wp:anchor distT="0" distB="0" distL="114300" distR="114300" simplePos="0" relativeHeight="251659264" behindDoc="0" locked="0" layoutInCell="1" allowOverlap="1" wp14:anchorId="5151B127" wp14:editId="1CE2C86B">
            <wp:simplePos x="0" y="0"/>
            <wp:positionH relativeFrom="margin">
              <wp:align>center</wp:align>
            </wp:positionH>
            <wp:positionV relativeFrom="paragraph">
              <wp:posOffset>552450</wp:posOffset>
            </wp:positionV>
            <wp:extent cx="5668010" cy="2219325"/>
            <wp:effectExtent l="0" t="0" r="8890" b="9525"/>
            <wp:wrapTopAndBottom/>
            <wp:docPr id="1779697930" name="Picture 2" descr="Image showing the timeframe in which Mortimer Company may correct debit error made in the GST return for the &#10;March 2022 tax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697930" name="Picture 2" descr="Image showing the timeframe in which Mortimer Company may correct debit error made in the GST return for the &#10;March 2022 tax period."/>
                    <pic:cNvPicPr/>
                  </pic:nvPicPr>
                  <pic:blipFill>
                    <a:blip r:embed="rId9">
                      <a:extLst>
                        <a:ext uri="{28A0092B-C50C-407E-A947-70E740481C1C}">
                          <a14:useLocalDpi xmlns:a14="http://schemas.microsoft.com/office/drawing/2010/main" val="0"/>
                        </a:ext>
                      </a:extLst>
                    </a:blip>
                    <a:stretch>
                      <a:fillRect/>
                    </a:stretch>
                  </pic:blipFill>
                  <pic:spPr>
                    <a:xfrm>
                      <a:off x="0" y="0"/>
                      <a:ext cx="5668010" cy="2219325"/>
                    </a:xfrm>
                    <a:prstGeom prst="rect">
                      <a:avLst/>
                    </a:prstGeom>
                  </pic:spPr>
                </pic:pic>
              </a:graphicData>
            </a:graphic>
            <wp14:sizeRelH relativeFrom="page">
              <wp14:pctWidth>0</wp14:pctWidth>
            </wp14:sizeRelH>
            <wp14:sizeRelV relativeFrom="page">
              <wp14:pctHeight>0</wp14:pctHeight>
            </wp14:sizeRelV>
          </wp:anchor>
        </w:drawing>
      </w:r>
      <w:r w:rsidR="009A33BE" w:rsidRPr="006643E8">
        <w:rPr>
          <w:rFonts w:ascii="Arial" w:hAnsi="Arial" w:cs="Arial"/>
          <w:i/>
          <w:iCs/>
          <w:sz w:val="20"/>
        </w:rPr>
        <w:t>As it’s now December 2023, Mortimer Company can no longer correct the debit error through their September 2023 (or subsequent) GST return. To resolve the issue, they will need to seek an amendment to their assessment for the March 2022 tax period.</w:t>
      </w:r>
    </w:p>
    <w:p w14:paraId="7250649F" w14:textId="692A5E26" w:rsidR="00D4665E" w:rsidRPr="00B753F6" w:rsidRDefault="00D4665E" w:rsidP="0019176E">
      <w:pPr>
        <w:pStyle w:val="Heading3"/>
        <w:spacing w:before="0" w:after="120"/>
        <w:rPr>
          <w:i/>
          <w:iCs/>
          <w:sz w:val="22"/>
          <w:szCs w:val="22"/>
        </w:rPr>
      </w:pPr>
      <w:r w:rsidRPr="00B753F6">
        <w:rPr>
          <w:i/>
          <w:iCs/>
          <w:sz w:val="22"/>
          <w:szCs w:val="22"/>
        </w:rPr>
        <w:t>Debit error value limit</w:t>
      </w:r>
    </w:p>
    <w:p w14:paraId="16334B3E" w14:textId="62EBE54B" w:rsidR="00D84CFC" w:rsidRDefault="00C47392" w:rsidP="00753F0C">
      <w:pPr>
        <w:pStyle w:val="Numberedparagraph"/>
      </w:pPr>
      <w:r>
        <w:t>A d</w:t>
      </w:r>
      <w:r w:rsidR="00965853">
        <w:t>ebit error can only be corrected to the extent that the ‘net sum of the debit errors’ is within the ‘debit error value limit’ that corresponds with your</w:t>
      </w:r>
      <w:r w:rsidR="004714E5">
        <w:t xml:space="preserve"> current</w:t>
      </w:r>
      <w:r w:rsidR="00965853">
        <w:t xml:space="preserve"> GST turnover in the table</w:t>
      </w:r>
      <w:r w:rsidR="005364AB">
        <w:t xml:space="preserve"> in section 7</w:t>
      </w:r>
      <w:r w:rsidR="00965853">
        <w:t>.</w:t>
      </w:r>
    </w:p>
    <w:p w14:paraId="7A205B1D" w14:textId="77777777" w:rsidR="00D84CFC" w:rsidRDefault="00D4665E" w:rsidP="00753F0C">
      <w:pPr>
        <w:pStyle w:val="Numberedparagraph"/>
      </w:pPr>
      <w:r w:rsidRPr="00C06800">
        <w:t xml:space="preserve">The </w:t>
      </w:r>
      <w:r w:rsidRPr="00246786">
        <w:rPr>
          <w:bCs/>
          <w:iCs/>
        </w:rPr>
        <w:t>net sum of the debit errors</w:t>
      </w:r>
      <w:r w:rsidRPr="00C06800">
        <w:t xml:space="preserve"> is defined </w:t>
      </w:r>
      <w:r w:rsidR="00473FA2">
        <w:t xml:space="preserve">as </w:t>
      </w:r>
      <w:r w:rsidRPr="00C06800">
        <w:t xml:space="preserve">the sum of </w:t>
      </w:r>
      <w:r w:rsidR="005651EE">
        <w:t>any</w:t>
      </w:r>
      <w:r w:rsidRPr="00C06800">
        <w:t xml:space="preserve"> debit errors</w:t>
      </w:r>
      <w:r w:rsidR="00246786">
        <w:t xml:space="preserve">, </w:t>
      </w:r>
      <w:r w:rsidRPr="00C06800">
        <w:t>less the sum of any credit errors</w:t>
      </w:r>
      <w:r w:rsidR="00246786">
        <w:t>, which you include</w:t>
      </w:r>
      <w:r w:rsidR="00473FA2">
        <w:t xml:space="preserve"> in</w:t>
      </w:r>
      <w:r w:rsidR="00246786">
        <w:t xml:space="preserve"> the net amount for the tax period in which you seek to correct the relevant debit error.</w:t>
      </w:r>
      <w:r w:rsidR="00473FA2">
        <w:t xml:space="preserve"> </w:t>
      </w:r>
      <w:r w:rsidRPr="00C06800">
        <w:t>This formula allows you to offset credit errors against your debit errors</w:t>
      </w:r>
      <w:r w:rsidR="00AE3A6D">
        <w:t xml:space="preserve"> in </w:t>
      </w:r>
      <w:r w:rsidRPr="00C06800">
        <w:t>working out whether you fall within the relevant debit error value limit.</w:t>
      </w:r>
    </w:p>
    <w:p w14:paraId="2DD4DE27" w14:textId="1CB1545C" w:rsidR="00D84CFC" w:rsidRDefault="00D4665E" w:rsidP="00753F0C">
      <w:pPr>
        <w:pStyle w:val="Numberedparagraph"/>
      </w:pPr>
      <w:r w:rsidRPr="00C06800">
        <w:lastRenderedPageBreak/>
        <w:t xml:space="preserve">Where the </w:t>
      </w:r>
      <w:r w:rsidRPr="00577D05">
        <w:rPr>
          <w:bCs/>
          <w:iCs/>
        </w:rPr>
        <w:t>amount</w:t>
      </w:r>
      <w:r w:rsidRPr="00C06800">
        <w:t xml:space="preserve"> determined after applying the formula is less than the relevant debit error value limit (including where it results in a negative value</w:t>
      </w:r>
      <w:r w:rsidR="00800C3A">
        <w:t>,</w:t>
      </w:r>
      <w:r w:rsidRPr="00C06800">
        <w:t xml:space="preserve"> which would occur where the sum of the credit errors exceeds the sum of the debit errors), </w:t>
      </w:r>
      <w:r w:rsidR="00800C3A">
        <w:t>you can correct the debit error by applying this instrument.</w:t>
      </w:r>
    </w:p>
    <w:p w14:paraId="31B34524" w14:textId="46545F32" w:rsidR="00D4665E" w:rsidRPr="00C06800" w:rsidRDefault="00D4665E" w:rsidP="00753F0C">
      <w:pPr>
        <w:pStyle w:val="Numberedparagraph"/>
      </w:pPr>
      <w:r w:rsidRPr="00C06800">
        <w:t xml:space="preserve">Where the </w:t>
      </w:r>
      <w:r w:rsidRPr="00800C3A">
        <w:rPr>
          <w:bCs/>
          <w:iCs/>
        </w:rPr>
        <w:t>net sum of the debit errors</w:t>
      </w:r>
      <w:r w:rsidRPr="00C06800">
        <w:t xml:space="preserve"> exceeds the debit error value limit, you will only be able to correct the debit error or errors up to the relevant debit error value limit. </w:t>
      </w:r>
      <w:r w:rsidR="00800C3A">
        <w:t>Where there is an amount over</w:t>
      </w:r>
      <w:r w:rsidRPr="00C06800">
        <w:t xml:space="preserve"> the relevant debit error value limit, </w:t>
      </w:r>
      <w:r w:rsidR="00A729FC">
        <w:t xml:space="preserve">this debit error amount may only be corrected by </w:t>
      </w:r>
      <w:r w:rsidRPr="00C06800">
        <w:t>request</w:t>
      </w:r>
      <w:r w:rsidR="00A729FC">
        <w:t>ing</w:t>
      </w:r>
      <w:r w:rsidRPr="00C06800">
        <w:t xml:space="preserve"> the </w:t>
      </w:r>
      <w:r w:rsidRPr="0066630F">
        <w:t>Commissioner</w:t>
      </w:r>
      <w:r w:rsidR="00C961F8">
        <w:t xml:space="preserve"> to</w:t>
      </w:r>
      <w:r w:rsidRPr="00C06800">
        <w:t xml:space="preserve"> amend the assessment for the earlier tax period</w:t>
      </w:r>
      <w:r w:rsidR="008D239A">
        <w:t xml:space="preserve"> </w:t>
      </w:r>
      <w:r w:rsidR="00A729FC">
        <w:t>in which the debit error was made</w:t>
      </w:r>
      <w:r w:rsidR="008D239A" w:rsidRPr="008C3382">
        <w:t>.</w:t>
      </w:r>
    </w:p>
    <w:p w14:paraId="79F09D10" w14:textId="52E22C61" w:rsidR="00D84CFC" w:rsidRDefault="00D4665E" w:rsidP="00753F0C">
      <w:pPr>
        <w:pStyle w:val="Numberedparagraph"/>
      </w:pPr>
      <w:r w:rsidRPr="00C06800">
        <w:t xml:space="preserve">While there are no </w:t>
      </w:r>
      <w:r w:rsidRPr="00577D05">
        <w:rPr>
          <w:bCs/>
          <w:iCs/>
        </w:rPr>
        <w:t>restrictions</w:t>
      </w:r>
      <w:r w:rsidRPr="00C06800">
        <w:t xml:space="preserve"> on your ability to correct credit errors, other than those prescribed </w:t>
      </w:r>
      <w:r w:rsidR="00702D0A">
        <w:t>in</w:t>
      </w:r>
      <w:r w:rsidRPr="00C06800">
        <w:t xml:space="preserve"> </w:t>
      </w:r>
      <w:r w:rsidR="00B21202">
        <w:t>paragraph</w:t>
      </w:r>
      <w:r w:rsidR="005475EC" w:rsidRPr="00591378">
        <w:t xml:space="preserve"> 6(a) to 6(g),</w:t>
      </w:r>
      <w:r w:rsidR="005475EC">
        <w:t xml:space="preserve"> </w:t>
      </w:r>
      <w:r w:rsidRPr="00C06800">
        <w:t xml:space="preserve">these errors can be </w:t>
      </w:r>
      <w:proofErr w:type="gramStart"/>
      <w:r w:rsidRPr="00C06800">
        <w:t>taken into account</w:t>
      </w:r>
      <w:proofErr w:type="gramEnd"/>
      <w:r w:rsidRPr="00C06800">
        <w:t xml:space="preserve"> in working out your debit error value limit. However, in working out the </w:t>
      </w:r>
      <w:r w:rsidRPr="00013194">
        <w:rPr>
          <w:bCs/>
          <w:iCs/>
        </w:rPr>
        <w:t>net sum of the debit errors</w:t>
      </w:r>
      <w:r w:rsidRPr="00C06800">
        <w:rPr>
          <w:b/>
          <w:i/>
        </w:rPr>
        <w:t>,</w:t>
      </w:r>
      <w:r w:rsidRPr="00C06800">
        <w:t xml:space="preserve"> you </w:t>
      </w:r>
      <w:r w:rsidR="00B72AC6">
        <w:t xml:space="preserve">can </w:t>
      </w:r>
      <w:r w:rsidRPr="00C06800">
        <w:t xml:space="preserve">only </w:t>
      </w:r>
      <w:proofErr w:type="gramStart"/>
      <w:r w:rsidRPr="00C06800">
        <w:t>take into account</w:t>
      </w:r>
      <w:proofErr w:type="gramEnd"/>
      <w:r w:rsidRPr="00C06800">
        <w:t xml:space="preserve"> any credit errors which you include in the net amount for the tax period in which you</w:t>
      </w:r>
      <w:r w:rsidR="00642D2D">
        <w:t xml:space="preserve"> are correcting </w:t>
      </w:r>
      <w:r w:rsidRPr="00C06800">
        <w:t>the relevant debit error.</w:t>
      </w:r>
    </w:p>
    <w:p w14:paraId="3E3BD72A" w14:textId="776AA633" w:rsidR="00D84CFC" w:rsidRDefault="00D4665E" w:rsidP="00753F0C">
      <w:pPr>
        <w:pStyle w:val="Numberedparagraph"/>
      </w:pPr>
      <w:r w:rsidRPr="00C06800">
        <w:t xml:space="preserve">While </w:t>
      </w:r>
      <w:r w:rsidR="00826380" w:rsidRPr="00013194">
        <w:t>paragraph</w:t>
      </w:r>
      <w:r w:rsidRPr="00013194">
        <w:t xml:space="preserve"> </w:t>
      </w:r>
      <w:r w:rsidR="00013194">
        <w:t>7</w:t>
      </w:r>
      <w:r w:rsidRPr="00013194">
        <w:t>(</w:t>
      </w:r>
      <w:r w:rsidR="00013194">
        <w:t>c</w:t>
      </w:r>
      <w:r w:rsidRPr="00013194">
        <w:t>)</w:t>
      </w:r>
      <w:r w:rsidRPr="00C06800">
        <w:t xml:space="preserve"> tests </w:t>
      </w:r>
      <w:r w:rsidRPr="00577D05">
        <w:rPr>
          <w:bCs/>
          <w:iCs/>
        </w:rPr>
        <w:t>whether</w:t>
      </w:r>
      <w:r w:rsidRPr="00C06800">
        <w:t xml:space="preserve"> the </w:t>
      </w:r>
      <w:r w:rsidRPr="00013194">
        <w:rPr>
          <w:bCs/>
          <w:iCs/>
        </w:rPr>
        <w:t>net sum of the debit errors</w:t>
      </w:r>
      <w:r w:rsidRPr="00C06800">
        <w:t xml:space="preserve"> exceeds the relevant debit error value limit, it ultimately determines the extent to which the individual debit error made in the earlier tax period can be corrected in the later tax period. That is, once you work out the </w:t>
      </w:r>
      <w:r w:rsidRPr="00013194">
        <w:rPr>
          <w:bCs/>
          <w:iCs/>
        </w:rPr>
        <w:t>net sum of the debit errors</w:t>
      </w:r>
      <w:r w:rsidRPr="00C06800">
        <w:t xml:space="preserve"> and whether it is within the relevant debit error value limit, you can determine the extent to which the individual debit error can be corrected under </w:t>
      </w:r>
      <w:r w:rsidR="00826380" w:rsidRPr="00E42B83">
        <w:t>paragraph</w:t>
      </w:r>
      <w:r w:rsidRPr="00E42B83">
        <w:t xml:space="preserve"> </w:t>
      </w:r>
      <w:r w:rsidR="00013194">
        <w:t>7</w:t>
      </w:r>
      <w:r w:rsidRPr="00E42B83">
        <w:t>(</w:t>
      </w:r>
      <w:r w:rsidR="00013194">
        <w:t>c</w:t>
      </w:r>
      <w:r w:rsidRPr="00E42B83">
        <w:t>).</w:t>
      </w:r>
    </w:p>
    <w:p w14:paraId="396432B7" w14:textId="77777777" w:rsidR="00753F0C" w:rsidRDefault="00753F0C" w:rsidP="008C165E">
      <w:pPr>
        <w:spacing w:after="120"/>
      </w:pPr>
    </w:p>
    <w:p w14:paraId="79E85A93" w14:textId="1EC67323" w:rsidR="00D4665E" w:rsidRPr="00753F0C" w:rsidRDefault="00D4665E" w:rsidP="00753F0C">
      <w:pPr>
        <w:keepNext/>
        <w:spacing w:after="120"/>
        <w:rPr>
          <w:rFonts w:ascii="Arial" w:hAnsi="Arial" w:cs="Arial"/>
          <w:b/>
          <w:i/>
          <w:iCs/>
          <w:sz w:val="20"/>
        </w:rPr>
      </w:pPr>
      <w:r w:rsidRPr="00753F0C">
        <w:rPr>
          <w:rFonts w:ascii="Arial" w:hAnsi="Arial" w:cs="Arial"/>
          <w:b/>
          <w:i/>
          <w:iCs/>
          <w:sz w:val="20"/>
        </w:rPr>
        <w:t xml:space="preserve">Example </w:t>
      </w:r>
      <w:r w:rsidR="00313E71" w:rsidRPr="00753F0C">
        <w:rPr>
          <w:rFonts w:ascii="Arial" w:hAnsi="Arial" w:cs="Arial"/>
          <w:b/>
          <w:i/>
          <w:iCs/>
          <w:sz w:val="20"/>
        </w:rPr>
        <w:t>8</w:t>
      </w:r>
    </w:p>
    <w:p w14:paraId="61E7BD33" w14:textId="72F75128" w:rsidR="00D4665E" w:rsidRPr="006643E8" w:rsidRDefault="00D4665E" w:rsidP="00753F0C">
      <w:pPr>
        <w:spacing w:after="120"/>
        <w:rPr>
          <w:rFonts w:ascii="Arial" w:hAnsi="Arial" w:cs="Arial"/>
          <w:i/>
          <w:iCs/>
          <w:sz w:val="20"/>
        </w:rPr>
      </w:pPr>
      <w:r w:rsidRPr="006643E8">
        <w:rPr>
          <w:rFonts w:ascii="Arial" w:hAnsi="Arial" w:cs="Arial"/>
          <w:i/>
          <w:iCs/>
          <w:sz w:val="20"/>
        </w:rPr>
        <w:t>Kipling Company has a current GST turnover of $5 million and lodges its GST returns quarterly. As part of its year-end review for the 20</w:t>
      </w:r>
      <w:r w:rsidR="002B1F48" w:rsidRPr="006643E8">
        <w:rPr>
          <w:rFonts w:ascii="Arial" w:hAnsi="Arial" w:cs="Arial"/>
          <w:i/>
          <w:iCs/>
          <w:sz w:val="20"/>
        </w:rPr>
        <w:t>2</w:t>
      </w:r>
      <w:r w:rsidRPr="006643E8">
        <w:rPr>
          <w:rFonts w:ascii="Arial" w:hAnsi="Arial" w:cs="Arial"/>
          <w:i/>
          <w:iCs/>
          <w:sz w:val="20"/>
        </w:rPr>
        <w:t>4 income year (conducted at the end of August 20</w:t>
      </w:r>
      <w:r w:rsidR="002B1F48" w:rsidRPr="006643E8">
        <w:rPr>
          <w:rFonts w:ascii="Arial" w:hAnsi="Arial" w:cs="Arial"/>
          <w:i/>
          <w:iCs/>
          <w:sz w:val="20"/>
        </w:rPr>
        <w:t>2</w:t>
      </w:r>
      <w:r w:rsidRPr="006643E8">
        <w:rPr>
          <w:rFonts w:ascii="Arial" w:hAnsi="Arial" w:cs="Arial"/>
          <w:i/>
          <w:iCs/>
          <w:sz w:val="20"/>
        </w:rPr>
        <w:t xml:space="preserve">4), it identifies </w:t>
      </w:r>
      <w:r w:rsidR="00624E09" w:rsidRPr="006643E8">
        <w:rPr>
          <w:rFonts w:ascii="Arial" w:hAnsi="Arial" w:cs="Arial"/>
          <w:i/>
          <w:iCs/>
          <w:sz w:val="20"/>
        </w:rPr>
        <w:t>2</w:t>
      </w:r>
      <w:r w:rsidRPr="006643E8">
        <w:rPr>
          <w:rFonts w:ascii="Arial" w:hAnsi="Arial" w:cs="Arial"/>
          <w:i/>
          <w:iCs/>
          <w:sz w:val="20"/>
        </w:rPr>
        <w:t xml:space="preserve"> debit errors made in the previous year:</w:t>
      </w:r>
    </w:p>
    <w:p w14:paraId="3906959D" w14:textId="77777777" w:rsidR="00D84CFC" w:rsidRPr="006643E8" w:rsidRDefault="00D4665E" w:rsidP="000E22A8">
      <w:pPr>
        <w:pStyle w:val="ListParagraph"/>
        <w:numPr>
          <w:ilvl w:val="0"/>
          <w:numId w:val="2"/>
        </w:numPr>
        <w:tabs>
          <w:tab w:val="clear" w:pos="1800"/>
        </w:tabs>
        <w:spacing w:after="120" w:line="240" w:lineRule="auto"/>
        <w:ind w:left="1418" w:hanging="709"/>
        <w:rPr>
          <w:rFonts w:ascii="Arial" w:hAnsi="Arial" w:cs="Arial"/>
          <w:i/>
          <w:iCs/>
          <w:sz w:val="20"/>
        </w:rPr>
      </w:pPr>
      <w:r w:rsidRPr="006643E8">
        <w:rPr>
          <w:rFonts w:ascii="Arial" w:hAnsi="Arial" w:cs="Arial"/>
          <w:i/>
          <w:iCs/>
          <w:sz w:val="20"/>
        </w:rPr>
        <w:t>an error of $1</w:t>
      </w:r>
      <w:r w:rsidR="00702D0A" w:rsidRPr="006643E8">
        <w:rPr>
          <w:rFonts w:ascii="Arial" w:hAnsi="Arial" w:cs="Arial"/>
          <w:i/>
          <w:iCs/>
          <w:sz w:val="20"/>
        </w:rPr>
        <w:t>5</w:t>
      </w:r>
      <w:r w:rsidRPr="006643E8">
        <w:rPr>
          <w:rFonts w:ascii="Arial" w:hAnsi="Arial" w:cs="Arial"/>
          <w:i/>
          <w:iCs/>
          <w:sz w:val="20"/>
        </w:rPr>
        <w:t>,000 that occurred in the September 20</w:t>
      </w:r>
      <w:r w:rsidR="002B1F48" w:rsidRPr="006643E8">
        <w:rPr>
          <w:rFonts w:ascii="Arial" w:hAnsi="Arial" w:cs="Arial"/>
          <w:i/>
          <w:iCs/>
          <w:sz w:val="20"/>
        </w:rPr>
        <w:t>2</w:t>
      </w:r>
      <w:r w:rsidRPr="006643E8">
        <w:rPr>
          <w:rFonts w:ascii="Arial" w:hAnsi="Arial" w:cs="Arial"/>
          <w:i/>
          <w:iCs/>
          <w:sz w:val="20"/>
        </w:rPr>
        <w:t>3 tax period</w:t>
      </w:r>
      <w:r w:rsidR="00BB53AF" w:rsidRPr="006643E8">
        <w:rPr>
          <w:rFonts w:ascii="Arial" w:hAnsi="Arial" w:cs="Arial"/>
          <w:i/>
          <w:iCs/>
          <w:sz w:val="20"/>
        </w:rPr>
        <w:t>, and</w:t>
      </w:r>
    </w:p>
    <w:p w14:paraId="77A87131" w14:textId="18BA2ABF" w:rsidR="00D4665E" w:rsidRPr="006643E8" w:rsidRDefault="00D4665E" w:rsidP="000E22A8">
      <w:pPr>
        <w:pStyle w:val="ListParagraph"/>
        <w:numPr>
          <w:ilvl w:val="0"/>
          <w:numId w:val="2"/>
        </w:numPr>
        <w:tabs>
          <w:tab w:val="clear" w:pos="1800"/>
        </w:tabs>
        <w:spacing w:after="120" w:line="240" w:lineRule="auto"/>
        <w:ind w:left="1418" w:hanging="709"/>
        <w:rPr>
          <w:rFonts w:ascii="Arial" w:hAnsi="Arial" w:cs="Arial"/>
          <w:i/>
          <w:iCs/>
          <w:sz w:val="20"/>
        </w:rPr>
      </w:pPr>
      <w:r w:rsidRPr="006643E8">
        <w:rPr>
          <w:rFonts w:ascii="Arial" w:hAnsi="Arial" w:cs="Arial"/>
          <w:i/>
          <w:iCs/>
          <w:sz w:val="20"/>
        </w:rPr>
        <w:t>a second error of $8,000 that also occurred in the September 20</w:t>
      </w:r>
      <w:r w:rsidR="002B1F48" w:rsidRPr="006643E8">
        <w:rPr>
          <w:rFonts w:ascii="Arial" w:hAnsi="Arial" w:cs="Arial"/>
          <w:i/>
          <w:iCs/>
          <w:sz w:val="20"/>
        </w:rPr>
        <w:t>2</w:t>
      </w:r>
      <w:r w:rsidRPr="006643E8">
        <w:rPr>
          <w:rFonts w:ascii="Arial" w:hAnsi="Arial" w:cs="Arial"/>
          <w:i/>
          <w:iCs/>
          <w:sz w:val="20"/>
        </w:rPr>
        <w:t>3 tax period.</w:t>
      </w:r>
    </w:p>
    <w:p w14:paraId="140B6741" w14:textId="7BB2E4FB" w:rsidR="00D4665E" w:rsidRPr="006643E8" w:rsidRDefault="00D4665E" w:rsidP="00753F0C">
      <w:pPr>
        <w:spacing w:after="120"/>
        <w:rPr>
          <w:rFonts w:ascii="Arial" w:hAnsi="Arial" w:cs="Arial"/>
          <w:i/>
          <w:iCs/>
          <w:sz w:val="20"/>
        </w:rPr>
      </w:pPr>
      <w:r w:rsidRPr="006643E8">
        <w:rPr>
          <w:rFonts w:ascii="Arial" w:hAnsi="Arial" w:cs="Arial"/>
          <w:i/>
          <w:iCs/>
          <w:sz w:val="20"/>
        </w:rPr>
        <w:t xml:space="preserve">The requirements of </w:t>
      </w:r>
      <w:r w:rsidR="002B1F48" w:rsidRPr="006643E8">
        <w:rPr>
          <w:rFonts w:ascii="Arial" w:hAnsi="Arial" w:cs="Arial"/>
          <w:i/>
          <w:iCs/>
          <w:sz w:val="20"/>
        </w:rPr>
        <w:t>paragraph</w:t>
      </w:r>
      <w:r w:rsidRPr="006643E8">
        <w:rPr>
          <w:rFonts w:ascii="Arial" w:hAnsi="Arial" w:cs="Arial"/>
          <w:i/>
          <w:iCs/>
          <w:sz w:val="20"/>
        </w:rPr>
        <w:t xml:space="preserve"> </w:t>
      </w:r>
      <w:r w:rsidR="00702D0A" w:rsidRPr="006643E8">
        <w:rPr>
          <w:rFonts w:ascii="Arial" w:hAnsi="Arial" w:cs="Arial"/>
          <w:i/>
          <w:iCs/>
          <w:sz w:val="20"/>
        </w:rPr>
        <w:t>7</w:t>
      </w:r>
      <w:r w:rsidRPr="006643E8">
        <w:rPr>
          <w:rFonts w:ascii="Arial" w:hAnsi="Arial" w:cs="Arial"/>
          <w:i/>
          <w:iCs/>
          <w:sz w:val="20"/>
        </w:rPr>
        <w:t>(</w:t>
      </w:r>
      <w:r w:rsidR="00702D0A" w:rsidRPr="006643E8">
        <w:rPr>
          <w:rFonts w:ascii="Arial" w:hAnsi="Arial" w:cs="Arial"/>
          <w:i/>
          <w:iCs/>
          <w:sz w:val="20"/>
        </w:rPr>
        <w:t>a</w:t>
      </w:r>
      <w:r w:rsidRPr="006643E8">
        <w:rPr>
          <w:rFonts w:ascii="Arial" w:hAnsi="Arial" w:cs="Arial"/>
          <w:i/>
          <w:iCs/>
          <w:sz w:val="20"/>
        </w:rPr>
        <w:t>) and (</w:t>
      </w:r>
      <w:r w:rsidR="00702D0A" w:rsidRPr="006643E8">
        <w:rPr>
          <w:rFonts w:ascii="Arial" w:hAnsi="Arial" w:cs="Arial"/>
          <w:i/>
          <w:iCs/>
          <w:sz w:val="20"/>
        </w:rPr>
        <w:t>b</w:t>
      </w:r>
      <w:r w:rsidRPr="006643E8">
        <w:rPr>
          <w:rFonts w:ascii="Arial" w:hAnsi="Arial" w:cs="Arial"/>
          <w:i/>
          <w:iCs/>
          <w:sz w:val="20"/>
        </w:rPr>
        <w:t>) are satisfied. However, as the net sum of the debit errors ($1</w:t>
      </w:r>
      <w:r w:rsidR="00702D0A" w:rsidRPr="006643E8">
        <w:rPr>
          <w:rFonts w:ascii="Arial" w:hAnsi="Arial" w:cs="Arial"/>
          <w:i/>
          <w:iCs/>
          <w:sz w:val="20"/>
        </w:rPr>
        <w:t>5</w:t>
      </w:r>
      <w:r w:rsidRPr="006643E8">
        <w:rPr>
          <w:rFonts w:ascii="Arial" w:hAnsi="Arial" w:cs="Arial"/>
          <w:i/>
          <w:iCs/>
          <w:sz w:val="20"/>
        </w:rPr>
        <w:t>,000 + $8,000 = $</w:t>
      </w:r>
      <w:r w:rsidR="00702D0A" w:rsidRPr="006643E8">
        <w:rPr>
          <w:rFonts w:ascii="Arial" w:hAnsi="Arial" w:cs="Arial"/>
          <w:i/>
          <w:iCs/>
          <w:sz w:val="20"/>
        </w:rPr>
        <w:t>23</w:t>
      </w:r>
      <w:r w:rsidRPr="006643E8">
        <w:rPr>
          <w:rFonts w:ascii="Arial" w:hAnsi="Arial" w:cs="Arial"/>
          <w:i/>
          <w:iCs/>
          <w:sz w:val="20"/>
        </w:rPr>
        <w:t>,000) exceeds the relevant debit error value limit of $</w:t>
      </w:r>
      <w:r w:rsidR="00702D0A" w:rsidRPr="006643E8">
        <w:rPr>
          <w:rFonts w:ascii="Arial" w:hAnsi="Arial" w:cs="Arial"/>
          <w:i/>
          <w:iCs/>
          <w:sz w:val="20"/>
        </w:rPr>
        <w:t>20,000</w:t>
      </w:r>
      <w:r w:rsidRPr="006643E8">
        <w:rPr>
          <w:rFonts w:ascii="Arial" w:hAnsi="Arial" w:cs="Arial"/>
          <w:i/>
          <w:iCs/>
          <w:sz w:val="20"/>
        </w:rPr>
        <w:t>, Kipling Company can only correct the debit errors up to $</w:t>
      </w:r>
      <w:r w:rsidR="00702D0A" w:rsidRPr="006643E8">
        <w:rPr>
          <w:rFonts w:ascii="Arial" w:hAnsi="Arial" w:cs="Arial"/>
          <w:i/>
          <w:iCs/>
          <w:sz w:val="20"/>
        </w:rPr>
        <w:t>20</w:t>
      </w:r>
      <w:r w:rsidRPr="006643E8">
        <w:rPr>
          <w:rFonts w:ascii="Arial" w:hAnsi="Arial" w:cs="Arial"/>
          <w:i/>
          <w:iCs/>
          <w:sz w:val="20"/>
        </w:rPr>
        <w:t>,000 in the current tax period. Kipling Company decides to correct the first error of $1</w:t>
      </w:r>
      <w:r w:rsidR="00702D0A" w:rsidRPr="006643E8">
        <w:rPr>
          <w:rFonts w:ascii="Arial" w:hAnsi="Arial" w:cs="Arial"/>
          <w:i/>
          <w:iCs/>
          <w:sz w:val="20"/>
        </w:rPr>
        <w:t>5</w:t>
      </w:r>
      <w:r w:rsidRPr="006643E8">
        <w:rPr>
          <w:rFonts w:ascii="Arial" w:hAnsi="Arial" w:cs="Arial"/>
          <w:i/>
          <w:iCs/>
          <w:sz w:val="20"/>
        </w:rPr>
        <w:t>,000 and $</w:t>
      </w:r>
      <w:r w:rsidR="00702D0A" w:rsidRPr="006643E8">
        <w:rPr>
          <w:rFonts w:ascii="Arial" w:hAnsi="Arial" w:cs="Arial"/>
          <w:i/>
          <w:iCs/>
          <w:sz w:val="20"/>
        </w:rPr>
        <w:t>5</w:t>
      </w:r>
      <w:r w:rsidRPr="006643E8">
        <w:rPr>
          <w:rFonts w:ascii="Arial" w:hAnsi="Arial" w:cs="Arial"/>
          <w:i/>
          <w:iCs/>
          <w:sz w:val="20"/>
        </w:rPr>
        <w:t>,000 (out of the $8,000) of the second error.</w:t>
      </w:r>
    </w:p>
    <w:p w14:paraId="1484E53C" w14:textId="61BDA91B" w:rsidR="00D4665E" w:rsidRPr="006643E8" w:rsidRDefault="00D4665E" w:rsidP="00753F0C">
      <w:pPr>
        <w:spacing w:after="120"/>
        <w:rPr>
          <w:rFonts w:ascii="Arial" w:hAnsi="Arial" w:cs="Arial"/>
          <w:i/>
          <w:iCs/>
          <w:sz w:val="20"/>
        </w:rPr>
      </w:pPr>
      <w:r w:rsidRPr="006643E8">
        <w:rPr>
          <w:rFonts w:ascii="Arial" w:hAnsi="Arial" w:cs="Arial"/>
          <w:i/>
          <w:iCs/>
          <w:sz w:val="20"/>
        </w:rPr>
        <w:t>The balance of $</w:t>
      </w:r>
      <w:r w:rsidR="00702D0A" w:rsidRPr="006643E8">
        <w:rPr>
          <w:rFonts w:ascii="Arial" w:hAnsi="Arial" w:cs="Arial"/>
          <w:i/>
          <w:iCs/>
          <w:sz w:val="20"/>
        </w:rPr>
        <w:t>3</w:t>
      </w:r>
      <w:r w:rsidRPr="006643E8">
        <w:rPr>
          <w:rFonts w:ascii="Arial" w:hAnsi="Arial" w:cs="Arial"/>
          <w:i/>
          <w:iCs/>
          <w:sz w:val="20"/>
        </w:rPr>
        <w:t>,000 of the second error must then be corrected in the earlier tax period in which the error was made. That is, Kipling Company must request the Commissioner to amend its assessment for the September 20</w:t>
      </w:r>
      <w:r w:rsidR="00F9519A" w:rsidRPr="006643E8">
        <w:rPr>
          <w:rFonts w:ascii="Arial" w:hAnsi="Arial" w:cs="Arial"/>
          <w:i/>
          <w:iCs/>
          <w:sz w:val="20"/>
        </w:rPr>
        <w:t>2</w:t>
      </w:r>
      <w:r w:rsidRPr="006643E8">
        <w:rPr>
          <w:rFonts w:ascii="Arial" w:hAnsi="Arial" w:cs="Arial"/>
          <w:i/>
          <w:iCs/>
          <w:sz w:val="20"/>
        </w:rPr>
        <w:t>3 tax period to increase its assessed net amount by $</w:t>
      </w:r>
      <w:r w:rsidR="00702D0A" w:rsidRPr="006643E8">
        <w:rPr>
          <w:rFonts w:ascii="Arial" w:hAnsi="Arial" w:cs="Arial"/>
          <w:i/>
          <w:iCs/>
          <w:sz w:val="20"/>
        </w:rPr>
        <w:t>3</w:t>
      </w:r>
      <w:r w:rsidRPr="006643E8">
        <w:rPr>
          <w:rFonts w:ascii="Arial" w:hAnsi="Arial" w:cs="Arial"/>
          <w:i/>
          <w:iCs/>
          <w:sz w:val="20"/>
        </w:rPr>
        <w:t>,000.</w:t>
      </w:r>
    </w:p>
    <w:p w14:paraId="2889BA4D" w14:textId="53AC8955" w:rsidR="00D84CFC" w:rsidRPr="006643E8" w:rsidRDefault="00D4665E" w:rsidP="00753F0C">
      <w:pPr>
        <w:spacing w:after="120"/>
        <w:rPr>
          <w:rFonts w:ascii="Arial" w:hAnsi="Arial" w:cs="Arial"/>
          <w:i/>
          <w:iCs/>
          <w:sz w:val="20"/>
        </w:rPr>
      </w:pPr>
      <w:r w:rsidRPr="006643E8">
        <w:rPr>
          <w:rFonts w:ascii="Arial" w:hAnsi="Arial" w:cs="Arial"/>
          <w:i/>
          <w:iCs/>
          <w:sz w:val="20"/>
        </w:rPr>
        <w:t xml:space="preserve">Alternatively, Kipling Company may choose not to apply this </w:t>
      </w:r>
      <w:r w:rsidR="00702D0A" w:rsidRPr="006643E8">
        <w:rPr>
          <w:rFonts w:ascii="Arial" w:hAnsi="Arial" w:cs="Arial"/>
          <w:i/>
          <w:iCs/>
          <w:sz w:val="20"/>
        </w:rPr>
        <w:t>i</w:t>
      </w:r>
      <w:r w:rsidR="00171E5A" w:rsidRPr="006643E8">
        <w:rPr>
          <w:rFonts w:ascii="Arial" w:hAnsi="Arial" w:cs="Arial"/>
          <w:i/>
          <w:iCs/>
          <w:sz w:val="20"/>
        </w:rPr>
        <w:t>nstrument</w:t>
      </w:r>
      <w:r w:rsidRPr="006643E8">
        <w:rPr>
          <w:rFonts w:ascii="Arial" w:hAnsi="Arial" w:cs="Arial"/>
          <w:i/>
          <w:iCs/>
          <w:sz w:val="20"/>
        </w:rPr>
        <w:t xml:space="preserve"> </w:t>
      </w:r>
      <w:r w:rsidR="00BB53AF" w:rsidRPr="006643E8">
        <w:rPr>
          <w:rFonts w:ascii="Arial" w:hAnsi="Arial" w:cs="Arial"/>
          <w:i/>
          <w:iCs/>
          <w:sz w:val="20"/>
        </w:rPr>
        <w:t xml:space="preserve">(and therefore not attempt to correct any part of the errors in its current tax period) </w:t>
      </w:r>
      <w:r w:rsidRPr="006643E8">
        <w:rPr>
          <w:rFonts w:ascii="Arial" w:hAnsi="Arial" w:cs="Arial"/>
          <w:i/>
          <w:iCs/>
          <w:sz w:val="20"/>
        </w:rPr>
        <w:t xml:space="preserve">but </w:t>
      </w:r>
      <w:r w:rsidR="00BB53AF" w:rsidRPr="006643E8">
        <w:rPr>
          <w:rFonts w:ascii="Arial" w:hAnsi="Arial" w:cs="Arial"/>
          <w:i/>
          <w:iCs/>
          <w:sz w:val="20"/>
        </w:rPr>
        <w:t xml:space="preserve">instead </w:t>
      </w:r>
      <w:r w:rsidRPr="006643E8">
        <w:rPr>
          <w:rFonts w:ascii="Arial" w:hAnsi="Arial" w:cs="Arial"/>
          <w:i/>
          <w:iCs/>
          <w:sz w:val="20"/>
        </w:rPr>
        <w:t>request the Commissioner to amend its assessment for the September 20</w:t>
      </w:r>
      <w:r w:rsidR="00F9519A" w:rsidRPr="006643E8">
        <w:rPr>
          <w:rFonts w:ascii="Arial" w:hAnsi="Arial" w:cs="Arial"/>
          <w:i/>
          <w:iCs/>
          <w:sz w:val="20"/>
        </w:rPr>
        <w:t>2</w:t>
      </w:r>
      <w:r w:rsidRPr="006643E8">
        <w:rPr>
          <w:rFonts w:ascii="Arial" w:hAnsi="Arial" w:cs="Arial"/>
          <w:i/>
          <w:iCs/>
          <w:sz w:val="20"/>
        </w:rPr>
        <w:t>3 tax period to increase its assessed net amount by $</w:t>
      </w:r>
      <w:r w:rsidR="00702D0A" w:rsidRPr="006643E8">
        <w:rPr>
          <w:rFonts w:ascii="Arial" w:hAnsi="Arial" w:cs="Arial"/>
          <w:i/>
          <w:iCs/>
          <w:sz w:val="20"/>
        </w:rPr>
        <w:t>23</w:t>
      </w:r>
      <w:r w:rsidRPr="006643E8">
        <w:rPr>
          <w:rFonts w:ascii="Arial" w:hAnsi="Arial" w:cs="Arial"/>
          <w:i/>
          <w:iCs/>
          <w:sz w:val="20"/>
        </w:rPr>
        <w:t>,000.</w:t>
      </w:r>
    </w:p>
    <w:p w14:paraId="6449FE4C" w14:textId="77777777" w:rsidR="00753F0C" w:rsidRPr="006643E8" w:rsidRDefault="00753F0C" w:rsidP="00753F0C">
      <w:pPr>
        <w:spacing w:after="120"/>
        <w:rPr>
          <w:rFonts w:ascii="Arial" w:hAnsi="Arial" w:cs="Arial"/>
          <w:i/>
          <w:iCs/>
          <w:sz w:val="20"/>
        </w:rPr>
      </w:pPr>
    </w:p>
    <w:p w14:paraId="3E59CC98" w14:textId="4CA672AA" w:rsidR="00D4665E" w:rsidRPr="006643E8" w:rsidRDefault="00D4665E" w:rsidP="00753F0C">
      <w:pPr>
        <w:keepNext/>
        <w:spacing w:after="120"/>
        <w:rPr>
          <w:rFonts w:ascii="Arial" w:hAnsi="Arial" w:cs="Arial"/>
          <w:b/>
          <w:i/>
          <w:iCs/>
          <w:sz w:val="20"/>
        </w:rPr>
      </w:pPr>
      <w:r w:rsidRPr="006643E8">
        <w:rPr>
          <w:rFonts w:ascii="Arial" w:hAnsi="Arial" w:cs="Arial"/>
          <w:b/>
          <w:i/>
          <w:iCs/>
          <w:sz w:val="20"/>
        </w:rPr>
        <w:t xml:space="preserve">Example </w:t>
      </w:r>
      <w:r w:rsidR="00313E71" w:rsidRPr="006643E8">
        <w:rPr>
          <w:rFonts w:ascii="Arial" w:hAnsi="Arial" w:cs="Arial"/>
          <w:b/>
          <w:i/>
          <w:iCs/>
          <w:sz w:val="20"/>
        </w:rPr>
        <w:t>9</w:t>
      </w:r>
    </w:p>
    <w:p w14:paraId="01C05A75" w14:textId="77777777" w:rsidR="000C20BF" w:rsidRPr="006643E8" w:rsidRDefault="00D4665E" w:rsidP="00753F0C">
      <w:pPr>
        <w:spacing w:after="120"/>
        <w:rPr>
          <w:rFonts w:ascii="Arial" w:hAnsi="Arial" w:cs="Arial"/>
          <w:i/>
          <w:iCs/>
          <w:sz w:val="20"/>
        </w:rPr>
      </w:pPr>
      <w:r w:rsidRPr="006643E8">
        <w:rPr>
          <w:rFonts w:ascii="Arial" w:hAnsi="Arial" w:cs="Arial"/>
          <w:i/>
          <w:iCs/>
          <w:sz w:val="20"/>
        </w:rPr>
        <w:t>Tennyson Company lodges quarterly GST returns and has a current GST turnover of $10 million. On 11 October 20</w:t>
      </w:r>
      <w:r w:rsidR="00F9519A" w:rsidRPr="006643E8">
        <w:rPr>
          <w:rFonts w:ascii="Arial" w:hAnsi="Arial" w:cs="Arial"/>
          <w:i/>
          <w:iCs/>
          <w:sz w:val="20"/>
        </w:rPr>
        <w:t>2</w:t>
      </w:r>
      <w:r w:rsidR="00702D0A" w:rsidRPr="006643E8">
        <w:rPr>
          <w:rFonts w:ascii="Arial" w:hAnsi="Arial" w:cs="Arial"/>
          <w:i/>
          <w:iCs/>
          <w:sz w:val="20"/>
        </w:rPr>
        <w:t>4</w:t>
      </w:r>
      <w:r w:rsidRPr="006643E8">
        <w:rPr>
          <w:rFonts w:ascii="Arial" w:hAnsi="Arial" w:cs="Arial"/>
          <w:i/>
          <w:iCs/>
          <w:sz w:val="20"/>
        </w:rPr>
        <w:t xml:space="preserve">, while preparing </w:t>
      </w:r>
      <w:r w:rsidR="004D6DE8" w:rsidRPr="006643E8">
        <w:rPr>
          <w:rFonts w:ascii="Arial" w:hAnsi="Arial" w:cs="Arial"/>
          <w:i/>
          <w:iCs/>
          <w:sz w:val="20"/>
        </w:rPr>
        <w:t>its</w:t>
      </w:r>
      <w:r w:rsidRPr="006643E8">
        <w:rPr>
          <w:rFonts w:ascii="Arial" w:hAnsi="Arial" w:cs="Arial"/>
          <w:i/>
          <w:iCs/>
          <w:sz w:val="20"/>
        </w:rPr>
        <w:t xml:space="preserve"> GST return for the September 20</w:t>
      </w:r>
      <w:r w:rsidR="00F9519A" w:rsidRPr="006643E8">
        <w:rPr>
          <w:rFonts w:ascii="Arial" w:hAnsi="Arial" w:cs="Arial"/>
          <w:i/>
          <w:iCs/>
          <w:sz w:val="20"/>
        </w:rPr>
        <w:t>2</w:t>
      </w:r>
      <w:r w:rsidR="00702D0A" w:rsidRPr="006643E8">
        <w:rPr>
          <w:rFonts w:ascii="Arial" w:hAnsi="Arial" w:cs="Arial"/>
          <w:i/>
          <w:iCs/>
          <w:sz w:val="20"/>
        </w:rPr>
        <w:t>4</w:t>
      </w:r>
      <w:r w:rsidRPr="006643E8">
        <w:rPr>
          <w:rFonts w:ascii="Arial" w:hAnsi="Arial" w:cs="Arial"/>
          <w:i/>
          <w:iCs/>
          <w:sz w:val="20"/>
        </w:rPr>
        <w:t xml:space="preserve"> quarter, Tennyson Company discovers the following errors:</w:t>
      </w:r>
    </w:p>
    <w:p w14:paraId="752A7010" w14:textId="07990319" w:rsidR="005341DB" w:rsidRPr="00C94D00" w:rsidRDefault="005341DB" w:rsidP="00E774A3">
      <w:pPr>
        <w:pStyle w:val="Caption"/>
        <w:keepNext/>
        <w:spacing w:after="120"/>
        <w:rPr>
          <w:rFonts w:ascii="Arial" w:hAnsi="Arial" w:cs="Arial"/>
          <w:i w:val="0"/>
          <w:iCs w:val="0"/>
          <w:color w:val="auto"/>
          <w:sz w:val="22"/>
          <w:szCs w:val="22"/>
        </w:rPr>
      </w:pPr>
      <w:r w:rsidRPr="00C94D00">
        <w:rPr>
          <w:rFonts w:ascii="Arial" w:hAnsi="Arial" w:cs="Arial"/>
          <w:i w:val="0"/>
          <w:iCs w:val="0"/>
          <w:color w:val="auto"/>
          <w:sz w:val="22"/>
          <w:szCs w:val="22"/>
        </w:rPr>
        <w:t xml:space="preserve">Table </w:t>
      </w:r>
      <w:r w:rsidRPr="00C94D00">
        <w:rPr>
          <w:rFonts w:ascii="Arial" w:hAnsi="Arial" w:cs="Arial"/>
          <w:i w:val="0"/>
          <w:iCs w:val="0"/>
          <w:color w:val="auto"/>
          <w:sz w:val="22"/>
          <w:szCs w:val="22"/>
        </w:rPr>
        <w:fldChar w:fldCharType="begin"/>
      </w:r>
      <w:r w:rsidRPr="00C94D00">
        <w:rPr>
          <w:rFonts w:ascii="Arial" w:hAnsi="Arial" w:cs="Arial"/>
          <w:i w:val="0"/>
          <w:iCs w:val="0"/>
          <w:color w:val="auto"/>
          <w:sz w:val="22"/>
          <w:szCs w:val="22"/>
        </w:rPr>
        <w:instrText xml:space="preserve"> SEQ Table \* ARABIC </w:instrText>
      </w:r>
      <w:r w:rsidRPr="00C94D00">
        <w:rPr>
          <w:rFonts w:ascii="Arial" w:hAnsi="Arial" w:cs="Arial"/>
          <w:i w:val="0"/>
          <w:iCs w:val="0"/>
          <w:color w:val="auto"/>
          <w:sz w:val="22"/>
          <w:szCs w:val="22"/>
        </w:rPr>
        <w:fldChar w:fldCharType="separate"/>
      </w:r>
      <w:r w:rsidRPr="00C94D00">
        <w:rPr>
          <w:rFonts w:ascii="Arial" w:hAnsi="Arial" w:cs="Arial"/>
          <w:i w:val="0"/>
          <w:iCs w:val="0"/>
          <w:color w:val="auto"/>
          <w:sz w:val="22"/>
          <w:szCs w:val="22"/>
        </w:rPr>
        <w:t>2</w:t>
      </w:r>
      <w:r w:rsidRPr="00C94D00">
        <w:rPr>
          <w:rFonts w:ascii="Arial" w:hAnsi="Arial" w:cs="Arial"/>
          <w:i w:val="0"/>
          <w:iCs w:val="0"/>
          <w:color w:val="auto"/>
          <w:sz w:val="22"/>
          <w:szCs w:val="22"/>
        </w:rPr>
        <w:fldChar w:fldCharType="end"/>
      </w:r>
      <w:r w:rsidRPr="00C94D00">
        <w:rPr>
          <w:rFonts w:ascii="Arial" w:hAnsi="Arial" w:cs="Arial"/>
          <w:i w:val="0"/>
          <w:iCs w:val="0"/>
          <w:color w:val="auto"/>
          <w:sz w:val="22"/>
          <w:szCs w:val="22"/>
        </w:rPr>
        <w:t>: Tennyson Company’s debit and credit errors</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4252"/>
        <w:gridCol w:w="3014"/>
      </w:tblGrid>
      <w:tr w:rsidR="00C94D00" w:rsidRPr="00327B12" w14:paraId="2DD88920" w14:textId="77777777" w:rsidTr="00C94D00">
        <w:tc>
          <w:tcPr>
            <w:tcW w:w="1962"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1059F6D9" w14:textId="7857DE7A" w:rsidR="00C94D00" w:rsidRPr="00C94D00" w:rsidRDefault="00C94D00" w:rsidP="00E774A3">
            <w:pPr>
              <w:spacing w:before="60" w:after="60"/>
              <w:ind w:right="113"/>
              <w:jc w:val="right"/>
              <w:rPr>
                <w:rFonts w:ascii="Arial" w:hAnsi="Arial" w:cs="Arial"/>
                <w:b/>
                <w:bCs/>
                <w:sz w:val="20"/>
              </w:rPr>
            </w:pPr>
            <w:r w:rsidRPr="00C94D00">
              <w:rPr>
                <w:rFonts w:ascii="Arial" w:hAnsi="Arial" w:cs="Arial"/>
                <w:b/>
                <w:bCs/>
                <w:sz w:val="20"/>
              </w:rPr>
              <w:t>Date</w:t>
            </w:r>
          </w:p>
        </w:tc>
        <w:tc>
          <w:tcPr>
            <w:tcW w:w="3796"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665F9AF4" w14:textId="613566BD" w:rsidR="00C94D00" w:rsidRPr="00C94D00" w:rsidRDefault="00C94D00" w:rsidP="00327B12">
            <w:pPr>
              <w:spacing w:before="60" w:after="60"/>
              <w:rPr>
                <w:rFonts w:ascii="Arial" w:hAnsi="Arial" w:cs="Arial"/>
                <w:b/>
                <w:bCs/>
                <w:sz w:val="20"/>
              </w:rPr>
            </w:pPr>
            <w:r w:rsidRPr="00C94D00">
              <w:rPr>
                <w:rFonts w:ascii="Arial" w:hAnsi="Arial" w:cs="Arial"/>
                <w:b/>
                <w:bCs/>
                <w:sz w:val="20"/>
              </w:rPr>
              <w:t>Description</w:t>
            </w:r>
          </w:p>
        </w:tc>
        <w:tc>
          <w:tcPr>
            <w:tcW w:w="2691"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7CC85E59" w14:textId="3B4B662D" w:rsidR="00C94D00" w:rsidRPr="00C94D00" w:rsidRDefault="00C94D00" w:rsidP="00E774A3">
            <w:pPr>
              <w:spacing w:before="60" w:after="60"/>
              <w:ind w:right="113"/>
              <w:jc w:val="right"/>
              <w:rPr>
                <w:rFonts w:ascii="Arial" w:hAnsi="Arial" w:cs="Arial"/>
                <w:b/>
                <w:bCs/>
                <w:sz w:val="20"/>
              </w:rPr>
            </w:pPr>
            <w:r w:rsidRPr="00C94D00">
              <w:rPr>
                <w:rFonts w:ascii="Arial" w:hAnsi="Arial" w:cs="Arial"/>
                <w:b/>
                <w:bCs/>
                <w:sz w:val="20"/>
              </w:rPr>
              <w:t>Amount</w:t>
            </w:r>
          </w:p>
        </w:tc>
      </w:tr>
      <w:tr w:rsidR="00327B12" w:rsidRPr="00327B12" w14:paraId="2372A482" w14:textId="77777777" w:rsidTr="00C94D00">
        <w:tc>
          <w:tcPr>
            <w:tcW w:w="1962" w:type="dxa"/>
            <w:tcBorders>
              <w:top w:val="single" w:sz="12" w:space="0" w:color="auto"/>
              <w:left w:val="single" w:sz="4" w:space="0" w:color="auto"/>
              <w:bottom w:val="single" w:sz="4" w:space="0" w:color="auto"/>
              <w:right w:val="single" w:sz="4" w:space="0" w:color="auto"/>
            </w:tcBorders>
            <w:hideMark/>
          </w:tcPr>
          <w:p w14:paraId="78D41474" w14:textId="77777777" w:rsidR="00327B12" w:rsidRPr="00327B12" w:rsidRDefault="00327B12" w:rsidP="00E774A3">
            <w:pPr>
              <w:spacing w:before="60" w:after="60"/>
              <w:ind w:right="113"/>
              <w:jc w:val="right"/>
              <w:rPr>
                <w:rFonts w:ascii="Arial" w:hAnsi="Arial" w:cs="Arial"/>
                <w:sz w:val="20"/>
              </w:rPr>
            </w:pPr>
            <w:r w:rsidRPr="00327B12">
              <w:rPr>
                <w:rFonts w:ascii="Arial" w:hAnsi="Arial" w:cs="Arial"/>
                <w:sz w:val="20"/>
              </w:rPr>
              <w:t>December 2021</w:t>
            </w:r>
          </w:p>
        </w:tc>
        <w:tc>
          <w:tcPr>
            <w:tcW w:w="3796" w:type="dxa"/>
            <w:tcBorders>
              <w:top w:val="single" w:sz="12" w:space="0" w:color="auto"/>
              <w:left w:val="single" w:sz="4" w:space="0" w:color="auto"/>
              <w:bottom w:val="single" w:sz="4" w:space="0" w:color="auto"/>
              <w:right w:val="single" w:sz="4" w:space="0" w:color="auto"/>
            </w:tcBorders>
            <w:hideMark/>
          </w:tcPr>
          <w:p w14:paraId="7B219149" w14:textId="77777777" w:rsidR="00327B12" w:rsidRPr="00327B12" w:rsidRDefault="00327B12" w:rsidP="00E774A3">
            <w:pPr>
              <w:spacing w:before="60" w:after="60"/>
              <w:ind w:right="113"/>
              <w:jc w:val="right"/>
              <w:rPr>
                <w:rFonts w:ascii="Arial" w:hAnsi="Arial" w:cs="Arial"/>
                <w:sz w:val="20"/>
              </w:rPr>
            </w:pPr>
            <w:r w:rsidRPr="00327B12">
              <w:rPr>
                <w:rFonts w:ascii="Arial" w:hAnsi="Arial" w:cs="Arial"/>
                <w:sz w:val="20"/>
              </w:rPr>
              <w:t>Double counted wine tax</w:t>
            </w:r>
          </w:p>
        </w:tc>
        <w:tc>
          <w:tcPr>
            <w:tcW w:w="2691" w:type="dxa"/>
            <w:tcBorders>
              <w:top w:val="single" w:sz="12" w:space="0" w:color="auto"/>
              <w:left w:val="single" w:sz="4" w:space="0" w:color="auto"/>
              <w:bottom w:val="single" w:sz="4" w:space="0" w:color="auto"/>
              <w:right w:val="single" w:sz="4" w:space="0" w:color="auto"/>
            </w:tcBorders>
          </w:tcPr>
          <w:p w14:paraId="51CF9421" w14:textId="77777777" w:rsidR="00327B12" w:rsidRPr="00327B12" w:rsidRDefault="00327B12" w:rsidP="00E774A3">
            <w:pPr>
              <w:spacing w:before="60" w:after="60"/>
              <w:ind w:right="113"/>
              <w:jc w:val="right"/>
              <w:rPr>
                <w:rFonts w:ascii="Arial" w:hAnsi="Arial" w:cs="Arial"/>
                <w:sz w:val="20"/>
              </w:rPr>
            </w:pPr>
            <w:r w:rsidRPr="00327B12">
              <w:rPr>
                <w:rFonts w:ascii="Arial" w:hAnsi="Arial" w:cs="Arial"/>
                <w:sz w:val="20"/>
              </w:rPr>
              <w:t>$10,000 CR</w:t>
            </w:r>
          </w:p>
        </w:tc>
      </w:tr>
      <w:tr w:rsidR="00327B12" w:rsidRPr="00327B12" w14:paraId="12A246FD" w14:textId="77777777" w:rsidTr="00C94D00">
        <w:tc>
          <w:tcPr>
            <w:tcW w:w="1962" w:type="dxa"/>
            <w:tcBorders>
              <w:top w:val="single" w:sz="4" w:space="0" w:color="auto"/>
              <w:left w:val="single" w:sz="4" w:space="0" w:color="auto"/>
              <w:bottom w:val="single" w:sz="4" w:space="0" w:color="auto"/>
              <w:right w:val="single" w:sz="4" w:space="0" w:color="auto"/>
            </w:tcBorders>
            <w:hideMark/>
          </w:tcPr>
          <w:p w14:paraId="001DE5FF" w14:textId="77777777" w:rsidR="00327B12" w:rsidRPr="00327B12" w:rsidRDefault="00327B12" w:rsidP="00E774A3">
            <w:pPr>
              <w:spacing w:before="60" w:after="60"/>
              <w:ind w:right="113"/>
              <w:jc w:val="right"/>
              <w:rPr>
                <w:rFonts w:ascii="Arial" w:hAnsi="Arial" w:cs="Arial"/>
                <w:sz w:val="20"/>
              </w:rPr>
            </w:pPr>
            <w:r w:rsidRPr="00327B12">
              <w:rPr>
                <w:rFonts w:ascii="Arial" w:hAnsi="Arial" w:cs="Arial"/>
                <w:sz w:val="20"/>
              </w:rPr>
              <w:t>September 2023</w:t>
            </w:r>
          </w:p>
        </w:tc>
        <w:tc>
          <w:tcPr>
            <w:tcW w:w="3796" w:type="dxa"/>
            <w:tcBorders>
              <w:top w:val="single" w:sz="4" w:space="0" w:color="auto"/>
              <w:left w:val="single" w:sz="4" w:space="0" w:color="auto"/>
              <w:bottom w:val="single" w:sz="4" w:space="0" w:color="auto"/>
              <w:right w:val="single" w:sz="4" w:space="0" w:color="auto"/>
            </w:tcBorders>
            <w:hideMark/>
          </w:tcPr>
          <w:p w14:paraId="160D2827" w14:textId="77777777" w:rsidR="00327B12" w:rsidRPr="00327B12" w:rsidRDefault="00327B12" w:rsidP="00327B12">
            <w:pPr>
              <w:spacing w:before="60" w:after="60"/>
              <w:rPr>
                <w:rFonts w:ascii="Arial" w:hAnsi="Arial" w:cs="Arial"/>
                <w:sz w:val="20"/>
              </w:rPr>
            </w:pPr>
            <w:r w:rsidRPr="00327B12">
              <w:rPr>
                <w:rFonts w:ascii="Arial" w:hAnsi="Arial" w:cs="Arial"/>
                <w:sz w:val="20"/>
              </w:rPr>
              <w:t>Over claimed wine tax credits</w:t>
            </w:r>
          </w:p>
        </w:tc>
        <w:tc>
          <w:tcPr>
            <w:tcW w:w="2691" w:type="dxa"/>
            <w:tcBorders>
              <w:top w:val="single" w:sz="4" w:space="0" w:color="auto"/>
              <w:left w:val="single" w:sz="4" w:space="0" w:color="auto"/>
              <w:bottom w:val="single" w:sz="4" w:space="0" w:color="auto"/>
              <w:right w:val="single" w:sz="4" w:space="0" w:color="auto"/>
            </w:tcBorders>
            <w:hideMark/>
          </w:tcPr>
          <w:p w14:paraId="11CA22B5" w14:textId="77777777" w:rsidR="00327B12" w:rsidRPr="00327B12" w:rsidRDefault="00327B12" w:rsidP="00B7044F">
            <w:pPr>
              <w:spacing w:before="60" w:after="60"/>
              <w:rPr>
                <w:rFonts w:ascii="Arial" w:hAnsi="Arial" w:cs="Arial"/>
                <w:sz w:val="20"/>
              </w:rPr>
            </w:pPr>
            <w:r w:rsidRPr="00327B12">
              <w:rPr>
                <w:rFonts w:ascii="Arial" w:hAnsi="Arial" w:cs="Arial"/>
                <w:sz w:val="20"/>
              </w:rPr>
              <w:t>$13,000 DR</w:t>
            </w:r>
          </w:p>
        </w:tc>
      </w:tr>
      <w:tr w:rsidR="00327B12" w:rsidRPr="00327B12" w14:paraId="0A47E1EE" w14:textId="77777777" w:rsidTr="00C94D00">
        <w:tc>
          <w:tcPr>
            <w:tcW w:w="1962" w:type="dxa"/>
            <w:tcBorders>
              <w:top w:val="single" w:sz="4" w:space="0" w:color="auto"/>
              <w:left w:val="single" w:sz="4" w:space="0" w:color="auto"/>
              <w:bottom w:val="single" w:sz="4" w:space="0" w:color="auto"/>
              <w:right w:val="single" w:sz="4" w:space="0" w:color="auto"/>
            </w:tcBorders>
            <w:hideMark/>
          </w:tcPr>
          <w:p w14:paraId="768A1DA6" w14:textId="77777777" w:rsidR="00327B12" w:rsidRPr="00327B12" w:rsidRDefault="00327B12" w:rsidP="00E774A3">
            <w:pPr>
              <w:spacing w:before="60" w:after="60"/>
              <w:ind w:right="113"/>
              <w:jc w:val="right"/>
              <w:rPr>
                <w:rFonts w:ascii="Arial" w:hAnsi="Arial" w:cs="Arial"/>
                <w:sz w:val="20"/>
              </w:rPr>
            </w:pPr>
            <w:r w:rsidRPr="00327B12">
              <w:rPr>
                <w:rFonts w:ascii="Arial" w:hAnsi="Arial" w:cs="Arial"/>
                <w:sz w:val="20"/>
              </w:rPr>
              <w:t>December 2023</w:t>
            </w:r>
          </w:p>
        </w:tc>
        <w:tc>
          <w:tcPr>
            <w:tcW w:w="3796" w:type="dxa"/>
            <w:tcBorders>
              <w:top w:val="single" w:sz="4" w:space="0" w:color="auto"/>
              <w:left w:val="single" w:sz="4" w:space="0" w:color="auto"/>
              <w:bottom w:val="single" w:sz="4" w:space="0" w:color="auto"/>
              <w:right w:val="single" w:sz="4" w:space="0" w:color="auto"/>
            </w:tcBorders>
            <w:hideMark/>
          </w:tcPr>
          <w:p w14:paraId="2BA04F1D" w14:textId="77777777" w:rsidR="00327B12" w:rsidRPr="00327B12" w:rsidRDefault="00327B12" w:rsidP="00E774A3">
            <w:pPr>
              <w:spacing w:before="60" w:after="60"/>
              <w:ind w:right="113"/>
              <w:jc w:val="right"/>
              <w:rPr>
                <w:rFonts w:ascii="Arial" w:hAnsi="Arial" w:cs="Arial"/>
                <w:sz w:val="20"/>
              </w:rPr>
            </w:pPr>
            <w:r w:rsidRPr="00327B12">
              <w:rPr>
                <w:rFonts w:ascii="Arial" w:hAnsi="Arial" w:cs="Arial"/>
                <w:sz w:val="20"/>
              </w:rPr>
              <w:t>Clerical error, transcribing error</w:t>
            </w:r>
          </w:p>
        </w:tc>
        <w:tc>
          <w:tcPr>
            <w:tcW w:w="2691" w:type="dxa"/>
            <w:tcBorders>
              <w:top w:val="single" w:sz="4" w:space="0" w:color="auto"/>
              <w:left w:val="single" w:sz="4" w:space="0" w:color="auto"/>
              <w:bottom w:val="single" w:sz="4" w:space="0" w:color="auto"/>
              <w:right w:val="single" w:sz="4" w:space="0" w:color="auto"/>
            </w:tcBorders>
          </w:tcPr>
          <w:p w14:paraId="4007E779" w14:textId="77777777" w:rsidR="00327B12" w:rsidRPr="00327B12" w:rsidRDefault="00327B12" w:rsidP="00E774A3">
            <w:pPr>
              <w:spacing w:before="60" w:after="60"/>
              <w:ind w:right="113"/>
              <w:jc w:val="right"/>
              <w:rPr>
                <w:rFonts w:ascii="Arial" w:hAnsi="Arial" w:cs="Arial"/>
                <w:sz w:val="20"/>
              </w:rPr>
            </w:pPr>
            <w:r w:rsidRPr="00327B12">
              <w:rPr>
                <w:rFonts w:ascii="Arial" w:hAnsi="Arial" w:cs="Arial"/>
                <w:sz w:val="20"/>
              </w:rPr>
              <w:t>$5,000 CR</w:t>
            </w:r>
          </w:p>
        </w:tc>
      </w:tr>
      <w:tr w:rsidR="00327B12" w:rsidRPr="00327B12" w14:paraId="238D3744" w14:textId="77777777" w:rsidTr="00C94D00">
        <w:tc>
          <w:tcPr>
            <w:tcW w:w="1962" w:type="dxa"/>
            <w:tcBorders>
              <w:top w:val="single" w:sz="4" w:space="0" w:color="auto"/>
              <w:left w:val="single" w:sz="4" w:space="0" w:color="auto"/>
              <w:bottom w:val="single" w:sz="12" w:space="0" w:color="auto"/>
              <w:right w:val="single" w:sz="4" w:space="0" w:color="auto"/>
            </w:tcBorders>
            <w:hideMark/>
          </w:tcPr>
          <w:p w14:paraId="02B31A31" w14:textId="77777777" w:rsidR="00327B12" w:rsidRPr="00327B12" w:rsidRDefault="00327B12" w:rsidP="00E774A3">
            <w:pPr>
              <w:spacing w:before="60" w:after="60"/>
              <w:ind w:right="113"/>
              <w:jc w:val="right"/>
              <w:rPr>
                <w:rFonts w:ascii="Arial" w:hAnsi="Arial" w:cs="Arial"/>
                <w:sz w:val="20"/>
              </w:rPr>
            </w:pPr>
            <w:r w:rsidRPr="00327B12">
              <w:rPr>
                <w:rFonts w:ascii="Arial" w:hAnsi="Arial" w:cs="Arial"/>
                <w:sz w:val="20"/>
              </w:rPr>
              <w:t>March 2024</w:t>
            </w:r>
          </w:p>
        </w:tc>
        <w:tc>
          <w:tcPr>
            <w:tcW w:w="3796" w:type="dxa"/>
            <w:tcBorders>
              <w:top w:val="single" w:sz="4" w:space="0" w:color="auto"/>
              <w:left w:val="single" w:sz="4" w:space="0" w:color="auto"/>
              <w:bottom w:val="single" w:sz="12" w:space="0" w:color="auto"/>
              <w:right w:val="single" w:sz="4" w:space="0" w:color="auto"/>
            </w:tcBorders>
            <w:hideMark/>
          </w:tcPr>
          <w:p w14:paraId="2C007C27" w14:textId="77777777" w:rsidR="00327B12" w:rsidRPr="00327B12" w:rsidRDefault="00327B12" w:rsidP="00327B12">
            <w:pPr>
              <w:spacing w:before="60" w:after="60"/>
              <w:rPr>
                <w:rFonts w:ascii="Arial" w:hAnsi="Arial" w:cs="Arial"/>
                <w:sz w:val="20"/>
              </w:rPr>
            </w:pPr>
            <w:r w:rsidRPr="00327B12">
              <w:rPr>
                <w:rFonts w:ascii="Arial" w:hAnsi="Arial" w:cs="Arial"/>
                <w:sz w:val="20"/>
              </w:rPr>
              <w:t>Over claimed wine tax credits</w:t>
            </w:r>
          </w:p>
        </w:tc>
        <w:tc>
          <w:tcPr>
            <w:tcW w:w="2691" w:type="dxa"/>
            <w:tcBorders>
              <w:top w:val="single" w:sz="4" w:space="0" w:color="auto"/>
              <w:left w:val="single" w:sz="4" w:space="0" w:color="auto"/>
              <w:bottom w:val="single" w:sz="12" w:space="0" w:color="auto"/>
              <w:right w:val="single" w:sz="4" w:space="0" w:color="auto"/>
            </w:tcBorders>
            <w:hideMark/>
          </w:tcPr>
          <w:p w14:paraId="29A7C069" w14:textId="77777777" w:rsidR="00327B12" w:rsidRPr="00327B12" w:rsidRDefault="00327B12" w:rsidP="00B7044F">
            <w:pPr>
              <w:spacing w:before="60" w:after="60"/>
              <w:rPr>
                <w:rFonts w:ascii="Arial" w:hAnsi="Arial" w:cs="Arial"/>
                <w:sz w:val="20"/>
              </w:rPr>
            </w:pPr>
            <w:r w:rsidRPr="00327B12">
              <w:rPr>
                <w:rFonts w:ascii="Arial" w:hAnsi="Arial" w:cs="Arial"/>
                <w:sz w:val="20"/>
              </w:rPr>
              <w:t>$6,000 DR</w:t>
            </w:r>
          </w:p>
        </w:tc>
      </w:tr>
    </w:tbl>
    <w:p w14:paraId="7B8DEB3D" w14:textId="77777777" w:rsidR="00327B12" w:rsidRPr="005E3AC1" w:rsidRDefault="00327B12" w:rsidP="00327B12">
      <w:pPr>
        <w:pStyle w:val="Numberedparagraph"/>
        <w:numPr>
          <w:ilvl w:val="0"/>
          <w:numId w:val="0"/>
        </w:numPr>
        <w:rPr>
          <w:sz w:val="20"/>
          <w:szCs w:val="20"/>
        </w:rPr>
      </w:pPr>
    </w:p>
    <w:p w14:paraId="4156E872" w14:textId="4A0657C6" w:rsidR="00D84CFC" w:rsidRPr="006643E8" w:rsidRDefault="00D4665E" w:rsidP="00753F0C">
      <w:pPr>
        <w:spacing w:after="120"/>
        <w:rPr>
          <w:rFonts w:ascii="Arial" w:hAnsi="Arial" w:cs="Arial"/>
          <w:i/>
          <w:iCs/>
          <w:sz w:val="20"/>
        </w:rPr>
      </w:pPr>
      <w:r w:rsidRPr="006643E8">
        <w:rPr>
          <w:rFonts w:ascii="Arial" w:hAnsi="Arial" w:cs="Arial"/>
          <w:i/>
          <w:iCs/>
          <w:sz w:val="20"/>
        </w:rPr>
        <w:t xml:space="preserve">The </w:t>
      </w:r>
      <w:r w:rsidR="00E276A7" w:rsidRPr="006643E8">
        <w:rPr>
          <w:rFonts w:ascii="Arial" w:hAnsi="Arial" w:cs="Arial"/>
          <w:i/>
          <w:iCs/>
          <w:sz w:val="20"/>
        </w:rPr>
        <w:t xml:space="preserve">credit </w:t>
      </w:r>
      <w:r w:rsidRPr="006643E8">
        <w:rPr>
          <w:rFonts w:ascii="Arial" w:hAnsi="Arial" w:cs="Arial"/>
          <w:i/>
          <w:iCs/>
          <w:sz w:val="20"/>
        </w:rPr>
        <w:t xml:space="preserve">errors meet the requirements of </w:t>
      </w:r>
      <w:r w:rsidR="00C001A5" w:rsidRPr="006643E8">
        <w:rPr>
          <w:rFonts w:ascii="Arial" w:hAnsi="Arial" w:cs="Arial"/>
          <w:i/>
          <w:iCs/>
          <w:sz w:val="20"/>
        </w:rPr>
        <w:t xml:space="preserve">section </w:t>
      </w:r>
      <w:proofErr w:type="gramStart"/>
      <w:r w:rsidR="00702D0A" w:rsidRPr="006643E8">
        <w:rPr>
          <w:rFonts w:ascii="Arial" w:hAnsi="Arial" w:cs="Arial"/>
          <w:i/>
          <w:iCs/>
          <w:sz w:val="20"/>
        </w:rPr>
        <w:t>6</w:t>
      </w:r>
      <w:proofErr w:type="gramEnd"/>
      <w:r w:rsidRPr="006643E8">
        <w:rPr>
          <w:rFonts w:ascii="Arial" w:hAnsi="Arial" w:cs="Arial"/>
          <w:i/>
          <w:iCs/>
          <w:sz w:val="20"/>
        </w:rPr>
        <w:t xml:space="preserve"> and the debit errors</w:t>
      </w:r>
      <w:r w:rsidR="00C001A5" w:rsidRPr="006643E8">
        <w:rPr>
          <w:rFonts w:ascii="Arial" w:hAnsi="Arial" w:cs="Arial"/>
          <w:i/>
          <w:iCs/>
          <w:sz w:val="20"/>
        </w:rPr>
        <w:t xml:space="preserve"> meet</w:t>
      </w:r>
      <w:r w:rsidRPr="006643E8">
        <w:rPr>
          <w:rFonts w:ascii="Arial" w:hAnsi="Arial" w:cs="Arial"/>
          <w:i/>
          <w:iCs/>
          <w:sz w:val="20"/>
        </w:rPr>
        <w:t xml:space="preserve"> the additional requirements of </w:t>
      </w:r>
      <w:r w:rsidR="00C001A5" w:rsidRPr="006643E8">
        <w:rPr>
          <w:rFonts w:ascii="Arial" w:hAnsi="Arial" w:cs="Arial"/>
          <w:i/>
          <w:iCs/>
          <w:sz w:val="20"/>
        </w:rPr>
        <w:t xml:space="preserve">section </w:t>
      </w:r>
      <w:r w:rsidR="00702D0A" w:rsidRPr="006643E8">
        <w:rPr>
          <w:rFonts w:ascii="Arial" w:hAnsi="Arial" w:cs="Arial"/>
          <w:i/>
          <w:iCs/>
          <w:sz w:val="20"/>
        </w:rPr>
        <w:t>7.</w:t>
      </w:r>
      <w:r w:rsidRPr="006643E8">
        <w:rPr>
          <w:rFonts w:ascii="Arial" w:hAnsi="Arial" w:cs="Arial"/>
          <w:i/>
          <w:iCs/>
          <w:sz w:val="20"/>
        </w:rPr>
        <w:t xml:space="preserve"> Tennyson Company can correct the credit errors by taking them into account in the GST return for the September 20</w:t>
      </w:r>
      <w:r w:rsidR="00F9519A" w:rsidRPr="006643E8">
        <w:rPr>
          <w:rFonts w:ascii="Arial" w:hAnsi="Arial" w:cs="Arial"/>
          <w:i/>
          <w:iCs/>
          <w:sz w:val="20"/>
        </w:rPr>
        <w:t>2</w:t>
      </w:r>
      <w:r w:rsidR="00702D0A" w:rsidRPr="006643E8">
        <w:rPr>
          <w:rFonts w:ascii="Arial" w:hAnsi="Arial" w:cs="Arial"/>
          <w:i/>
          <w:iCs/>
          <w:sz w:val="20"/>
        </w:rPr>
        <w:t>4</w:t>
      </w:r>
      <w:r w:rsidRPr="006643E8">
        <w:rPr>
          <w:rFonts w:ascii="Arial" w:hAnsi="Arial" w:cs="Arial"/>
          <w:i/>
          <w:iCs/>
          <w:sz w:val="20"/>
        </w:rPr>
        <w:t xml:space="preserve"> quarter.</w:t>
      </w:r>
    </w:p>
    <w:p w14:paraId="580BA35F" w14:textId="00D13B28" w:rsidR="00D84CFC" w:rsidRPr="006643E8" w:rsidRDefault="00D4665E" w:rsidP="00753F0C">
      <w:pPr>
        <w:spacing w:after="120"/>
        <w:rPr>
          <w:rFonts w:ascii="Arial" w:hAnsi="Arial" w:cs="Arial"/>
          <w:i/>
          <w:iCs/>
          <w:sz w:val="20"/>
        </w:rPr>
      </w:pPr>
      <w:r w:rsidRPr="006643E8">
        <w:rPr>
          <w:rFonts w:ascii="Arial" w:hAnsi="Arial" w:cs="Arial"/>
          <w:i/>
          <w:iCs/>
          <w:sz w:val="20"/>
        </w:rPr>
        <w:t>The net sum of the debit errors is $4,000 (</w:t>
      </w:r>
      <w:r w:rsidR="00FB3F5A" w:rsidRPr="006643E8">
        <w:rPr>
          <w:rFonts w:ascii="Arial" w:hAnsi="Arial" w:cs="Arial"/>
          <w:i/>
          <w:iCs/>
          <w:sz w:val="20"/>
        </w:rPr>
        <w:t xml:space="preserve">that is, </w:t>
      </w:r>
      <w:r w:rsidR="000767ED" w:rsidRPr="006643E8">
        <w:rPr>
          <w:rFonts w:ascii="Arial" w:hAnsi="Arial" w:cs="Arial"/>
          <w:i/>
          <w:iCs/>
          <w:sz w:val="20"/>
        </w:rPr>
        <w:t>($13,000 + $6</w:t>
      </w:r>
      <w:r w:rsidR="00996EA2" w:rsidRPr="006643E8">
        <w:rPr>
          <w:rFonts w:ascii="Arial" w:hAnsi="Arial" w:cs="Arial"/>
          <w:i/>
          <w:iCs/>
          <w:sz w:val="20"/>
        </w:rPr>
        <w:t>,</w:t>
      </w:r>
      <w:r w:rsidR="000767ED" w:rsidRPr="006643E8">
        <w:rPr>
          <w:rFonts w:ascii="Arial" w:hAnsi="Arial" w:cs="Arial"/>
          <w:i/>
          <w:iCs/>
          <w:sz w:val="20"/>
        </w:rPr>
        <w:t>000) − ($10,000 + $5,000)</w:t>
      </w:r>
      <w:r w:rsidRPr="006643E8">
        <w:rPr>
          <w:rFonts w:ascii="Arial" w:hAnsi="Arial" w:cs="Arial"/>
          <w:i/>
          <w:iCs/>
          <w:sz w:val="20"/>
        </w:rPr>
        <w:t>). As the net sum of the debit errors is below the relevant debit error value limit ($</w:t>
      </w:r>
      <w:r w:rsidR="009C2B50" w:rsidRPr="006643E8">
        <w:rPr>
          <w:rFonts w:ascii="Arial" w:hAnsi="Arial" w:cs="Arial"/>
          <w:i/>
          <w:iCs/>
          <w:sz w:val="20"/>
        </w:rPr>
        <w:t>20</w:t>
      </w:r>
      <w:r w:rsidRPr="006643E8">
        <w:rPr>
          <w:rFonts w:ascii="Arial" w:hAnsi="Arial" w:cs="Arial"/>
          <w:i/>
          <w:iCs/>
          <w:sz w:val="20"/>
        </w:rPr>
        <w:t>,000), Tennyson Company can</w:t>
      </w:r>
      <w:r w:rsidR="00FB3F5A" w:rsidRPr="006643E8">
        <w:rPr>
          <w:rFonts w:ascii="Arial" w:hAnsi="Arial" w:cs="Arial"/>
          <w:i/>
          <w:iCs/>
          <w:sz w:val="20"/>
        </w:rPr>
        <w:t xml:space="preserve"> also</w:t>
      </w:r>
      <w:r w:rsidRPr="006643E8">
        <w:rPr>
          <w:rFonts w:ascii="Arial" w:hAnsi="Arial" w:cs="Arial"/>
          <w:i/>
          <w:iCs/>
          <w:sz w:val="20"/>
        </w:rPr>
        <w:t xml:space="preserve"> correct both the debit errors by taking them into account in the September 20</w:t>
      </w:r>
      <w:r w:rsidR="00F9519A" w:rsidRPr="006643E8">
        <w:rPr>
          <w:rFonts w:ascii="Arial" w:hAnsi="Arial" w:cs="Arial"/>
          <w:i/>
          <w:iCs/>
          <w:sz w:val="20"/>
        </w:rPr>
        <w:t>2</w:t>
      </w:r>
      <w:r w:rsidR="009C2B50" w:rsidRPr="006643E8">
        <w:rPr>
          <w:rFonts w:ascii="Arial" w:hAnsi="Arial" w:cs="Arial"/>
          <w:i/>
          <w:iCs/>
          <w:sz w:val="20"/>
        </w:rPr>
        <w:t>4</w:t>
      </w:r>
      <w:r w:rsidRPr="006643E8">
        <w:rPr>
          <w:rFonts w:ascii="Arial" w:hAnsi="Arial" w:cs="Arial"/>
          <w:i/>
          <w:iCs/>
          <w:sz w:val="20"/>
        </w:rPr>
        <w:t xml:space="preserve"> GST return (</w:t>
      </w:r>
      <w:r w:rsidR="00FB3F5A" w:rsidRPr="006643E8">
        <w:rPr>
          <w:rFonts w:ascii="Arial" w:hAnsi="Arial" w:cs="Arial"/>
          <w:i/>
          <w:iCs/>
          <w:sz w:val="20"/>
        </w:rPr>
        <w:t>that is,</w:t>
      </w:r>
      <w:r w:rsidRPr="006643E8">
        <w:rPr>
          <w:rFonts w:ascii="Arial" w:hAnsi="Arial" w:cs="Arial"/>
          <w:i/>
          <w:iCs/>
          <w:sz w:val="20"/>
        </w:rPr>
        <w:t xml:space="preserve"> the over claimed </w:t>
      </w:r>
      <w:r w:rsidR="009C2B50" w:rsidRPr="006643E8">
        <w:rPr>
          <w:rFonts w:ascii="Arial" w:hAnsi="Arial" w:cs="Arial"/>
          <w:i/>
          <w:iCs/>
          <w:sz w:val="20"/>
        </w:rPr>
        <w:t>wine</w:t>
      </w:r>
      <w:r w:rsidRPr="006643E8">
        <w:rPr>
          <w:rFonts w:ascii="Arial" w:hAnsi="Arial" w:cs="Arial"/>
          <w:i/>
          <w:iCs/>
          <w:sz w:val="20"/>
        </w:rPr>
        <w:t xml:space="preserve"> tax credits of $19,000).</w:t>
      </w:r>
    </w:p>
    <w:p w14:paraId="798F17C3" w14:textId="77777777" w:rsidR="00753F0C" w:rsidRPr="006643E8" w:rsidRDefault="00753F0C" w:rsidP="00753F0C">
      <w:pPr>
        <w:spacing w:after="120"/>
        <w:rPr>
          <w:rFonts w:ascii="Arial" w:hAnsi="Arial" w:cs="Arial"/>
          <w:i/>
          <w:iCs/>
          <w:sz w:val="20"/>
        </w:rPr>
      </w:pPr>
    </w:p>
    <w:p w14:paraId="67C669C3" w14:textId="1CFAAEAB" w:rsidR="00D4665E" w:rsidRPr="006643E8" w:rsidRDefault="00D4665E" w:rsidP="00753F0C">
      <w:pPr>
        <w:keepNext/>
        <w:spacing w:after="120"/>
        <w:rPr>
          <w:rFonts w:ascii="Arial" w:hAnsi="Arial" w:cs="Arial"/>
          <w:b/>
          <w:i/>
          <w:iCs/>
          <w:sz w:val="20"/>
        </w:rPr>
      </w:pPr>
      <w:r w:rsidRPr="006643E8">
        <w:rPr>
          <w:rFonts w:ascii="Arial" w:hAnsi="Arial" w:cs="Arial"/>
          <w:b/>
          <w:i/>
          <w:iCs/>
          <w:sz w:val="20"/>
        </w:rPr>
        <w:t xml:space="preserve">Example </w:t>
      </w:r>
      <w:r w:rsidR="00313E71" w:rsidRPr="006643E8">
        <w:rPr>
          <w:rFonts w:ascii="Arial" w:hAnsi="Arial" w:cs="Arial"/>
          <w:b/>
          <w:i/>
          <w:iCs/>
          <w:sz w:val="20"/>
        </w:rPr>
        <w:t>10</w:t>
      </w:r>
    </w:p>
    <w:p w14:paraId="41D44AC9" w14:textId="06F99B5C" w:rsidR="00D4665E" w:rsidRPr="006643E8" w:rsidRDefault="00D4665E" w:rsidP="00753F0C">
      <w:pPr>
        <w:spacing w:after="120"/>
        <w:rPr>
          <w:rFonts w:ascii="Arial" w:hAnsi="Arial" w:cs="Arial"/>
          <w:i/>
          <w:iCs/>
          <w:sz w:val="20"/>
        </w:rPr>
      </w:pPr>
      <w:r w:rsidRPr="006643E8">
        <w:rPr>
          <w:rFonts w:ascii="Arial" w:hAnsi="Arial" w:cs="Arial"/>
          <w:i/>
          <w:iCs/>
          <w:sz w:val="20"/>
        </w:rPr>
        <w:t>While preparing its monthly GST return for the August 20</w:t>
      </w:r>
      <w:r w:rsidR="00830F60" w:rsidRPr="006643E8">
        <w:rPr>
          <w:rFonts w:ascii="Arial" w:hAnsi="Arial" w:cs="Arial"/>
          <w:i/>
          <w:iCs/>
          <w:sz w:val="20"/>
        </w:rPr>
        <w:t>2</w:t>
      </w:r>
      <w:r w:rsidRPr="006643E8">
        <w:rPr>
          <w:rFonts w:ascii="Arial" w:hAnsi="Arial" w:cs="Arial"/>
          <w:i/>
          <w:iCs/>
          <w:sz w:val="20"/>
        </w:rPr>
        <w:t>4 tax period</w:t>
      </w:r>
      <w:r w:rsidR="00BC3521" w:rsidRPr="006643E8">
        <w:rPr>
          <w:rFonts w:ascii="Arial" w:hAnsi="Arial" w:cs="Arial"/>
          <w:i/>
          <w:iCs/>
          <w:sz w:val="20"/>
        </w:rPr>
        <w:t>,</w:t>
      </w:r>
      <w:r w:rsidRPr="006643E8">
        <w:rPr>
          <w:rFonts w:ascii="Arial" w:hAnsi="Arial" w:cs="Arial"/>
          <w:i/>
          <w:iCs/>
          <w:sz w:val="20"/>
        </w:rPr>
        <w:t xml:space="preserve"> Beckett Company, which has a current GST turnover above $1 billion, discovers </w:t>
      </w:r>
      <w:r w:rsidR="00BC3521" w:rsidRPr="006643E8">
        <w:rPr>
          <w:rFonts w:ascii="Arial" w:hAnsi="Arial" w:cs="Arial"/>
          <w:i/>
          <w:iCs/>
          <w:sz w:val="20"/>
        </w:rPr>
        <w:t>2</w:t>
      </w:r>
      <w:r w:rsidRPr="006643E8">
        <w:rPr>
          <w:rFonts w:ascii="Arial" w:hAnsi="Arial" w:cs="Arial"/>
          <w:i/>
          <w:iCs/>
          <w:sz w:val="20"/>
        </w:rPr>
        <w:t xml:space="preserve"> errors made in</w:t>
      </w:r>
      <w:r w:rsidR="00BC3521" w:rsidRPr="006643E8">
        <w:rPr>
          <w:rFonts w:ascii="Arial" w:hAnsi="Arial" w:cs="Arial"/>
          <w:i/>
          <w:iCs/>
          <w:sz w:val="20"/>
        </w:rPr>
        <w:t xml:space="preserve"> </w:t>
      </w:r>
      <w:r w:rsidRPr="006643E8">
        <w:rPr>
          <w:rFonts w:ascii="Arial" w:hAnsi="Arial" w:cs="Arial"/>
          <w:i/>
          <w:iCs/>
          <w:sz w:val="20"/>
        </w:rPr>
        <w:t>working out its net amount for earlier tax periods. One is a credit error for $1.5 million and the other a debit error for $1 million.</w:t>
      </w:r>
    </w:p>
    <w:p w14:paraId="503ED564" w14:textId="0CEB4BEA" w:rsidR="00D84CFC" w:rsidRPr="006643E8" w:rsidRDefault="00D4665E" w:rsidP="00753F0C">
      <w:pPr>
        <w:spacing w:after="120"/>
        <w:rPr>
          <w:rFonts w:ascii="Arial" w:hAnsi="Arial" w:cs="Arial"/>
          <w:i/>
          <w:iCs/>
          <w:sz w:val="20"/>
        </w:rPr>
      </w:pPr>
      <w:r w:rsidRPr="006643E8">
        <w:rPr>
          <w:rFonts w:ascii="Arial" w:hAnsi="Arial" w:cs="Arial"/>
          <w:i/>
          <w:iCs/>
          <w:sz w:val="20"/>
        </w:rPr>
        <w:t xml:space="preserve">Both errors meet the conditions </w:t>
      </w:r>
      <w:r w:rsidR="00FD2FAC" w:rsidRPr="006643E8">
        <w:rPr>
          <w:rFonts w:ascii="Arial" w:hAnsi="Arial" w:cs="Arial"/>
          <w:i/>
          <w:iCs/>
          <w:sz w:val="20"/>
        </w:rPr>
        <w:t xml:space="preserve">in </w:t>
      </w:r>
      <w:r w:rsidR="00BC3521" w:rsidRPr="006643E8">
        <w:rPr>
          <w:rFonts w:ascii="Arial" w:hAnsi="Arial" w:cs="Arial"/>
          <w:i/>
          <w:iCs/>
          <w:sz w:val="20"/>
        </w:rPr>
        <w:t>section</w:t>
      </w:r>
      <w:r w:rsidR="00F50E2E" w:rsidRPr="006643E8">
        <w:rPr>
          <w:rFonts w:ascii="Arial" w:hAnsi="Arial" w:cs="Arial"/>
          <w:i/>
          <w:iCs/>
          <w:sz w:val="20"/>
        </w:rPr>
        <w:t xml:space="preserve"> </w:t>
      </w:r>
      <w:r w:rsidR="00FD2FAC" w:rsidRPr="006643E8">
        <w:rPr>
          <w:rFonts w:ascii="Arial" w:hAnsi="Arial" w:cs="Arial"/>
          <w:i/>
          <w:iCs/>
          <w:sz w:val="20"/>
        </w:rPr>
        <w:t>6</w:t>
      </w:r>
      <w:r w:rsidR="00BC3521" w:rsidRPr="006643E8">
        <w:rPr>
          <w:rFonts w:ascii="Arial" w:hAnsi="Arial" w:cs="Arial"/>
          <w:i/>
          <w:iCs/>
          <w:sz w:val="20"/>
        </w:rPr>
        <w:t xml:space="preserve"> </w:t>
      </w:r>
      <w:r w:rsidRPr="006643E8">
        <w:rPr>
          <w:rFonts w:ascii="Arial" w:hAnsi="Arial" w:cs="Arial"/>
          <w:i/>
          <w:iCs/>
          <w:sz w:val="20"/>
        </w:rPr>
        <w:t>and</w:t>
      </w:r>
      <w:r w:rsidR="00BC3521" w:rsidRPr="006643E8">
        <w:rPr>
          <w:rFonts w:ascii="Arial" w:hAnsi="Arial" w:cs="Arial"/>
          <w:i/>
          <w:iCs/>
          <w:sz w:val="20"/>
        </w:rPr>
        <w:t>,</w:t>
      </w:r>
      <w:r w:rsidRPr="006643E8">
        <w:rPr>
          <w:rFonts w:ascii="Arial" w:hAnsi="Arial" w:cs="Arial"/>
          <w:i/>
          <w:iCs/>
          <w:sz w:val="20"/>
        </w:rPr>
        <w:t xml:space="preserve"> in the case of the debit error, the additional conditions </w:t>
      </w:r>
      <w:r w:rsidR="00FD2FAC" w:rsidRPr="006643E8">
        <w:rPr>
          <w:rFonts w:ascii="Arial" w:hAnsi="Arial" w:cs="Arial"/>
          <w:i/>
          <w:iCs/>
          <w:sz w:val="20"/>
        </w:rPr>
        <w:t>in</w:t>
      </w:r>
      <w:r w:rsidR="00BC3521" w:rsidRPr="006643E8">
        <w:rPr>
          <w:rFonts w:ascii="Arial" w:hAnsi="Arial" w:cs="Arial"/>
          <w:i/>
          <w:iCs/>
          <w:sz w:val="20"/>
        </w:rPr>
        <w:t xml:space="preserve"> section </w:t>
      </w:r>
      <w:r w:rsidR="00FD2FAC" w:rsidRPr="006643E8">
        <w:rPr>
          <w:rFonts w:ascii="Arial" w:hAnsi="Arial" w:cs="Arial"/>
          <w:i/>
          <w:iCs/>
          <w:sz w:val="20"/>
        </w:rPr>
        <w:t>7</w:t>
      </w:r>
      <w:r w:rsidRPr="006643E8">
        <w:rPr>
          <w:rFonts w:ascii="Arial" w:hAnsi="Arial" w:cs="Arial"/>
          <w:i/>
          <w:iCs/>
          <w:sz w:val="20"/>
        </w:rPr>
        <w:t>.</w:t>
      </w:r>
    </w:p>
    <w:p w14:paraId="7B85349B" w14:textId="1220D6B7" w:rsidR="00D4665E" w:rsidRPr="006643E8" w:rsidRDefault="00D4665E" w:rsidP="00753F0C">
      <w:pPr>
        <w:spacing w:after="120"/>
        <w:rPr>
          <w:rFonts w:ascii="Arial" w:hAnsi="Arial" w:cs="Arial"/>
          <w:i/>
          <w:iCs/>
          <w:sz w:val="20"/>
        </w:rPr>
      </w:pPr>
      <w:r w:rsidRPr="006643E8">
        <w:rPr>
          <w:rFonts w:ascii="Arial" w:hAnsi="Arial" w:cs="Arial"/>
          <w:i/>
          <w:iCs/>
          <w:sz w:val="20"/>
        </w:rPr>
        <w:t>Beckett Company includes the credit error in its GST return for the August 20</w:t>
      </w:r>
      <w:r w:rsidR="00C074A1" w:rsidRPr="006643E8">
        <w:rPr>
          <w:rFonts w:ascii="Arial" w:hAnsi="Arial" w:cs="Arial"/>
          <w:i/>
          <w:iCs/>
          <w:sz w:val="20"/>
        </w:rPr>
        <w:t>2</w:t>
      </w:r>
      <w:r w:rsidRPr="006643E8">
        <w:rPr>
          <w:rFonts w:ascii="Arial" w:hAnsi="Arial" w:cs="Arial"/>
          <w:i/>
          <w:iCs/>
          <w:sz w:val="20"/>
        </w:rPr>
        <w:t>4 tax period. As the net sum of the debit errors is minus $500,000 ($1 million debit errors less $1.5 million credit errors), it is within the debit error value limit of $</w:t>
      </w:r>
      <w:r w:rsidR="00FD2FAC" w:rsidRPr="006643E8">
        <w:rPr>
          <w:rFonts w:ascii="Arial" w:hAnsi="Arial" w:cs="Arial"/>
          <w:i/>
          <w:iCs/>
          <w:sz w:val="20"/>
        </w:rPr>
        <w:t>894</w:t>
      </w:r>
      <w:r w:rsidRPr="006643E8">
        <w:rPr>
          <w:rFonts w:ascii="Arial" w:hAnsi="Arial" w:cs="Arial"/>
          <w:i/>
          <w:iCs/>
          <w:sz w:val="20"/>
        </w:rPr>
        <w:t>,000 which applies to</w:t>
      </w:r>
      <w:r w:rsidR="00AF3B8C" w:rsidRPr="006643E8">
        <w:rPr>
          <w:rFonts w:ascii="Arial" w:hAnsi="Arial" w:cs="Arial"/>
          <w:i/>
          <w:iCs/>
          <w:sz w:val="20"/>
        </w:rPr>
        <w:t xml:space="preserve"> companies with a GST turnover of $1</w:t>
      </w:r>
      <w:r w:rsidR="009E6D2E" w:rsidRPr="006643E8">
        <w:rPr>
          <w:rFonts w:ascii="Arial" w:hAnsi="Arial" w:cs="Arial"/>
          <w:i/>
          <w:iCs/>
          <w:sz w:val="20"/>
        </w:rPr>
        <w:t> </w:t>
      </w:r>
      <w:r w:rsidR="00AF3B8C" w:rsidRPr="006643E8">
        <w:rPr>
          <w:rFonts w:ascii="Arial" w:hAnsi="Arial" w:cs="Arial"/>
          <w:i/>
          <w:iCs/>
          <w:sz w:val="20"/>
        </w:rPr>
        <w:t>billion, like</w:t>
      </w:r>
      <w:r w:rsidRPr="006643E8">
        <w:rPr>
          <w:rFonts w:ascii="Arial" w:hAnsi="Arial" w:cs="Arial"/>
          <w:i/>
          <w:iCs/>
          <w:sz w:val="20"/>
        </w:rPr>
        <w:t xml:space="preserve"> Beckett Company. Accordingly, Beckett Company can</w:t>
      </w:r>
      <w:r w:rsidR="00BC3521" w:rsidRPr="006643E8">
        <w:rPr>
          <w:rFonts w:ascii="Arial" w:hAnsi="Arial" w:cs="Arial"/>
          <w:i/>
          <w:iCs/>
          <w:sz w:val="20"/>
        </w:rPr>
        <w:t xml:space="preserve"> also</w:t>
      </w:r>
      <w:r w:rsidRPr="006643E8">
        <w:rPr>
          <w:rFonts w:ascii="Arial" w:hAnsi="Arial" w:cs="Arial"/>
          <w:i/>
          <w:iCs/>
          <w:sz w:val="20"/>
        </w:rPr>
        <w:t xml:space="preserve"> correct the debit error of $1</w:t>
      </w:r>
      <w:r w:rsidR="009E6D2E" w:rsidRPr="006643E8">
        <w:rPr>
          <w:rFonts w:ascii="Arial" w:hAnsi="Arial" w:cs="Arial"/>
          <w:i/>
          <w:iCs/>
          <w:sz w:val="20"/>
        </w:rPr>
        <w:t> </w:t>
      </w:r>
      <w:r w:rsidRPr="006643E8">
        <w:rPr>
          <w:rFonts w:ascii="Arial" w:hAnsi="Arial" w:cs="Arial"/>
          <w:i/>
          <w:iCs/>
          <w:sz w:val="20"/>
        </w:rPr>
        <w:t>million in its GST return for the August 20</w:t>
      </w:r>
      <w:r w:rsidR="00C074A1" w:rsidRPr="006643E8">
        <w:rPr>
          <w:rFonts w:ascii="Arial" w:hAnsi="Arial" w:cs="Arial"/>
          <w:i/>
          <w:iCs/>
          <w:sz w:val="20"/>
        </w:rPr>
        <w:t>2</w:t>
      </w:r>
      <w:r w:rsidRPr="006643E8">
        <w:rPr>
          <w:rFonts w:ascii="Arial" w:hAnsi="Arial" w:cs="Arial"/>
          <w:i/>
          <w:iCs/>
          <w:sz w:val="20"/>
        </w:rPr>
        <w:t>4 tax period.</w:t>
      </w:r>
    </w:p>
    <w:p w14:paraId="7EC84BE4" w14:textId="77777777" w:rsidR="00753F0C" w:rsidRPr="006643E8" w:rsidRDefault="00753F0C" w:rsidP="00753F0C">
      <w:pPr>
        <w:spacing w:after="120"/>
        <w:rPr>
          <w:rFonts w:ascii="Arial" w:hAnsi="Arial" w:cs="Arial"/>
          <w:i/>
          <w:iCs/>
          <w:sz w:val="20"/>
        </w:rPr>
      </w:pPr>
    </w:p>
    <w:p w14:paraId="1161FE77" w14:textId="26E5EBE6" w:rsidR="00D4665E" w:rsidRPr="006643E8" w:rsidRDefault="00D4665E" w:rsidP="00753F0C">
      <w:pPr>
        <w:keepNext/>
        <w:spacing w:after="120"/>
        <w:rPr>
          <w:rFonts w:ascii="Arial" w:hAnsi="Arial" w:cs="Arial"/>
          <w:b/>
          <w:i/>
          <w:iCs/>
          <w:sz w:val="20"/>
        </w:rPr>
      </w:pPr>
      <w:r w:rsidRPr="006643E8">
        <w:rPr>
          <w:rFonts w:ascii="Arial" w:hAnsi="Arial" w:cs="Arial"/>
          <w:b/>
          <w:i/>
          <w:iCs/>
          <w:sz w:val="20"/>
        </w:rPr>
        <w:t>Example 1</w:t>
      </w:r>
      <w:r w:rsidR="00313E71" w:rsidRPr="006643E8">
        <w:rPr>
          <w:rFonts w:ascii="Arial" w:hAnsi="Arial" w:cs="Arial"/>
          <w:b/>
          <w:i/>
          <w:iCs/>
          <w:sz w:val="20"/>
        </w:rPr>
        <w:t>1</w:t>
      </w:r>
    </w:p>
    <w:p w14:paraId="65DD9A8A" w14:textId="77777777" w:rsidR="00D84CFC" w:rsidRPr="006643E8" w:rsidRDefault="00D4665E" w:rsidP="00753F0C">
      <w:pPr>
        <w:spacing w:after="120"/>
        <w:rPr>
          <w:rFonts w:ascii="Arial" w:hAnsi="Arial" w:cs="Arial"/>
          <w:i/>
          <w:iCs/>
          <w:sz w:val="20"/>
        </w:rPr>
      </w:pPr>
      <w:r w:rsidRPr="006643E8">
        <w:rPr>
          <w:rFonts w:ascii="Arial" w:hAnsi="Arial" w:cs="Arial"/>
          <w:i/>
          <w:iCs/>
          <w:sz w:val="20"/>
        </w:rPr>
        <w:t xml:space="preserve">Du Maurier Company </w:t>
      </w:r>
      <w:r w:rsidR="00D266EA" w:rsidRPr="006643E8">
        <w:rPr>
          <w:rFonts w:ascii="Arial" w:hAnsi="Arial" w:cs="Arial"/>
          <w:i/>
          <w:iCs/>
          <w:sz w:val="20"/>
        </w:rPr>
        <w:t xml:space="preserve">is registered for GST </w:t>
      </w:r>
      <w:r w:rsidR="00A50108" w:rsidRPr="006643E8">
        <w:rPr>
          <w:rFonts w:ascii="Arial" w:hAnsi="Arial" w:cs="Arial"/>
          <w:i/>
          <w:iCs/>
          <w:sz w:val="20"/>
        </w:rPr>
        <w:t xml:space="preserve">and </w:t>
      </w:r>
      <w:r w:rsidRPr="006643E8">
        <w:rPr>
          <w:rFonts w:ascii="Arial" w:hAnsi="Arial" w:cs="Arial"/>
          <w:i/>
          <w:iCs/>
          <w:sz w:val="20"/>
        </w:rPr>
        <w:t>has a current GST turnover of less than $20 million. While preparing its GST return for the June 20</w:t>
      </w:r>
      <w:r w:rsidR="00081D6F" w:rsidRPr="006643E8">
        <w:rPr>
          <w:rFonts w:ascii="Arial" w:hAnsi="Arial" w:cs="Arial"/>
          <w:i/>
          <w:iCs/>
          <w:sz w:val="20"/>
        </w:rPr>
        <w:t>24</w:t>
      </w:r>
      <w:r w:rsidRPr="006643E8">
        <w:rPr>
          <w:rFonts w:ascii="Arial" w:hAnsi="Arial" w:cs="Arial"/>
          <w:i/>
          <w:iCs/>
          <w:sz w:val="20"/>
        </w:rPr>
        <w:t xml:space="preserve"> quarterly tax period (being lodged on time), it discovers</w:t>
      </w:r>
      <w:r w:rsidR="00A50108" w:rsidRPr="006643E8">
        <w:rPr>
          <w:rFonts w:ascii="Arial" w:hAnsi="Arial" w:cs="Arial"/>
          <w:i/>
          <w:iCs/>
          <w:sz w:val="20"/>
        </w:rPr>
        <w:t xml:space="preserve"> 2 </w:t>
      </w:r>
      <w:r w:rsidR="00081D6F" w:rsidRPr="006643E8">
        <w:rPr>
          <w:rFonts w:ascii="Arial" w:hAnsi="Arial" w:cs="Arial"/>
          <w:i/>
          <w:iCs/>
          <w:sz w:val="20"/>
        </w:rPr>
        <w:t>errors</w:t>
      </w:r>
      <w:r w:rsidRPr="006643E8">
        <w:rPr>
          <w:rFonts w:ascii="Arial" w:hAnsi="Arial" w:cs="Arial"/>
          <w:i/>
          <w:iCs/>
          <w:sz w:val="20"/>
        </w:rPr>
        <w:t xml:space="preserve"> </w:t>
      </w:r>
      <w:r w:rsidR="003B11B5" w:rsidRPr="006643E8">
        <w:rPr>
          <w:rFonts w:ascii="Arial" w:hAnsi="Arial" w:cs="Arial"/>
          <w:i/>
          <w:iCs/>
          <w:sz w:val="20"/>
        </w:rPr>
        <w:t xml:space="preserve">(a debit error and a credit error) </w:t>
      </w:r>
      <w:r w:rsidR="008557E7" w:rsidRPr="006643E8">
        <w:rPr>
          <w:rFonts w:ascii="Arial" w:hAnsi="Arial" w:cs="Arial"/>
          <w:i/>
          <w:iCs/>
          <w:sz w:val="20"/>
        </w:rPr>
        <w:t xml:space="preserve">made </w:t>
      </w:r>
      <w:r w:rsidRPr="006643E8">
        <w:rPr>
          <w:rFonts w:ascii="Arial" w:hAnsi="Arial" w:cs="Arial"/>
          <w:i/>
          <w:iCs/>
          <w:sz w:val="20"/>
        </w:rPr>
        <w:t>in working out its net amount for earlier tax periods.</w:t>
      </w:r>
    </w:p>
    <w:p w14:paraId="7DFCC663" w14:textId="158D3958" w:rsidR="00D4665E" w:rsidRPr="006643E8" w:rsidRDefault="00D4665E" w:rsidP="00753F0C">
      <w:pPr>
        <w:spacing w:after="120"/>
        <w:rPr>
          <w:rFonts w:ascii="Arial" w:hAnsi="Arial" w:cs="Arial"/>
          <w:i/>
          <w:iCs/>
          <w:sz w:val="20"/>
        </w:rPr>
      </w:pPr>
      <w:r w:rsidRPr="006643E8">
        <w:rPr>
          <w:rFonts w:ascii="Arial" w:hAnsi="Arial" w:cs="Arial"/>
          <w:i/>
          <w:iCs/>
          <w:sz w:val="20"/>
        </w:rPr>
        <w:t>The first error is a $15,000 debit error made in working out the net amount for the March 20</w:t>
      </w:r>
      <w:r w:rsidR="00081D6F" w:rsidRPr="006643E8">
        <w:rPr>
          <w:rFonts w:ascii="Arial" w:hAnsi="Arial" w:cs="Arial"/>
          <w:i/>
          <w:iCs/>
          <w:sz w:val="20"/>
        </w:rPr>
        <w:t>23</w:t>
      </w:r>
      <w:r w:rsidRPr="006643E8">
        <w:rPr>
          <w:rFonts w:ascii="Arial" w:hAnsi="Arial" w:cs="Arial"/>
          <w:i/>
          <w:iCs/>
          <w:sz w:val="20"/>
        </w:rPr>
        <w:t xml:space="preserve"> tax period. The </w:t>
      </w:r>
      <w:r w:rsidR="003B11B5" w:rsidRPr="006643E8">
        <w:rPr>
          <w:rFonts w:ascii="Arial" w:hAnsi="Arial" w:cs="Arial"/>
          <w:i/>
          <w:iCs/>
          <w:sz w:val="20"/>
        </w:rPr>
        <w:t xml:space="preserve">debit </w:t>
      </w:r>
      <w:r w:rsidRPr="006643E8">
        <w:rPr>
          <w:rFonts w:ascii="Arial" w:hAnsi="Arial" w:cs="Arial"/>
          <w:i/>
          <w:iCs/>
          <w:sz w:val="20"/>
        </w:rPr>
        <w:t>error relates to under reporting wine tax payable on a supply of wine, based on incorrect advice Du Maurier Company received at the time that the supply was a non-assessable dealing. Du Maurier Company lodged its March 20</w:t>
      </w:r>
      <w:r w:rsidR="00081D6F" w:rsidRPr="006643E8">
        <w:rPr>
          <w:rFonts w:ascii="Arial" w:hAnsi="Arial" w:cs="Arial"/>
          <w:i/>
          <w:iCs/>
          <w:sz w:val="20"/>
        </w:rPr>
        <w:t>23</w:t>
      </w:r>
      <w:r w:rsidRPr="006643E8">
        <w:rPr>
          <w:rFonts w:ascii="Arial" w:hAnsi="Arial" w:cs="Arial"/>
          <w:i/>
          <w:iCs/>
          <w:sz w:val="20"/>
        </w:rPr>
        <w:t xml:space="preserve"> GST return on 28 April 20</w:t>
      </w:r>
      <w:r w:rsidR="00081D6F" w:rsidRPr="006643E8">
        <w:rPr>
          <w:rFonts w:ascii="Arial" w:hAnsi="Arial" w:cs="Arial"/>
          <w:i/>
          <w:iCs/>
          <w:sz w:val="20"/>
        </w:rPr>
        <w:t>23</w:t>
      </w:r>
      <w:r w:rsidRPr="006643E8">
        <w:rPr>
          <w:rFonts w:ascii="Arial" w:hAnsi="Arial" w:cs="Arial"/>
          <w:i/>
          <w:iCs/>
          <w:sz w:val="20"/>
        </w:rPr>
        <w:t>.</w:t>
      </w:r>
    </w:p>
    <w:p w14:paraId="6553C943" w14:textId="24045647" w:rsidR="00D4665E" w:rsidRPr="006643E8" w:rsidRDefault="00D4665E" w:rsidP="00753F0C">
      <w:pPr>
        <w:spacing w:after="120"/>
        <w:rPr>
          <w:rFonts w:ascii="Arial" w:hAnsi="Arial" w:cs="Arial"/>
          <w:i/>
          <w:iCs/>
          <w:sz w:val="20"/>
        </w:rPr>
      </w:pPr>
      <w:r w:rsidRPr="006643E8">
        <w:rPr>
          <w:rFonts w:ascii="Arial" w:hAnsi="Arial" w:cs="Arial"/>
          <w:i/>
          <w:iCs/>
          <w:sz w:val="20"/>
        </w:rPr>
        <w:t>The second error is a $7,000 credit error. Du Maurier incorrectly calculated the value of an assessable dealing for the June 20</w:t>
      </w:r>
      <w:r w:rsidR="00081D6F" w:rsidRPr="006643E8">
        <w:rPr>
          <w:rFonts w:ascii="Arial" w:hAnsi="Arial" w:cs="Arial"/>
          <w:i/>
          <w:iCs/>
          <w:sz w:val="20"/>
        </w:rPr>
        <w:t>22</w:t>
      </w:r>
      <w:r w:rsidRPr="006643E8">
        <w:rPr>
          <w:rFonts w:ascii="Arial" w:hAnsi="Arial" w:cs="Arial"/>
          <w:i/>
          <w:iCs/>
          <w:sz w:val="20"/>
        </w:rPr>
        <w:t xml:space="preserve"> tax period. As a result of the </w:t>
      </w:r>
      <w:r w:rsidR="002E5B3D" w:rsidRPr="006643E8">
        <w:rPr>
          <w:rFonts w:ascii="Arial" w:hAnsi="Arial" w:cs="Arial"/>
          <w:i/>
          <w:iCs/>
          <w:sz w:val="20"/>
        </w:rPr>
        <w:t>errors,</w:t>
      </w:r>
      <w:r w:rsidRPr="006643E8">
        <w:rPr>
          <w:rFonts w:ascii="Arial" w:hAnsi="Arial" w:cs="Arial"/>
          <w:i/>
          <w:iCs/>
          <w:sz w:val="20"/>
        </w:rPr>
        <w:t xml:space="preserve"> they overpaid wine tax by $7,000 for the tax period. The $7,000 was not passed on to the purchaser. Du Maurier Company lodged its June 20</w:t>
      </w:r>
      <w:r w:rsidR="00081D6F" w:rsidRPr="006643E8">
        <w:rPr>
          <w:rFonts w:ascii="Arial" w:hAnsi="Arial" w:cs="Arial"/>
          <w:i/>
          <w:iCs/>
          <w:sz w:val="20"/>
        </w:rPr>
        <w:t>22</w:t>
      </w:r>
      <w:r w:rsidRPr="006643E8">
        <w:rPr>
          <w:rFonts w:ascii="Arial" w:hAnsi="Arial" w:cs="Arial"/>
          <w:i/>
          <w:iCs/>
          <w:sz w:val="20"/>
        </w:rPr>
        <w:t xml:space="preserve"> GST return on 28 July 20</w:t>
      </w:r>
      <w:r w:rsidR="00081D6F" w:rsidRPr="006643E8">
        <w:rPr>
          <w:rFonts w:ascii="Arial" w:hAnsi="Arial" w:cs="Arial"/>
          <w:i/>
          <w:iCs/>
          <w:sz w:val="20"/>
        </w:rPr>
        <w:t>22.</w:t>
      </w:r>
    </w:p>
    <w:p w14:paraId="711EFD51" w14:textId="77777777" w:rsidR="00D84CFC" w:rsidRPr="006643E8" w:rsidRDefault="00D4665E" w:rsidP="00753F0C">
      <w:pPr>
        <w:spacing w:after="120"/>
        <w:rPr>
          <w:rFonts w:ascii="Arial" w:hAnsi="Arial" w:cs="Arial"/>
          <w:i/>
          <w:iCs/>
          <w:sz w:val="20"/>
        </w:rPr>
      </w:pPr>
      <w:r w:rsidRPr="006643E8">
        <w:rPr>
          <w:rFonts w:ascii="Arial" w:hAnsi="Arial" w:cs="Arial"/>
          <w:i/>
          <w:iCs/>
          <w:sz w:val="20"/>
        </w:rPr>
        <w:t>Du Maurier Company is not subject to any compliance activity at the time of preparing its GST return for the June 20</w:t>
      </w:r>
      <w:r w:rsidR="00081D6F" w:rsidRPr="006643E8">
        <w:rPr>
          <w:rFonts w:ascii="Arial" w:hAnsi="Arial" w:cs="Arial"/>
          <w:i/>
          <w:iCs/>
          <w:sz w:val="20"/>
        </w:rPr>
        <w:t>24</w:t>
      </w:r>
      <w:r w:rsidRPr="006643E8">
        <w:rPr>
          <w:rFonts w:ascii="Arial" w:hAnsi="Arial" w:cs="Arial"/>
          <w:i/>
          <w:iCs/>
          <w:sz w:val="20"/>
        </w:rPr>
        <w:t xml:space="preserve"> tax period and has not taken the errors into account</w:t>
      </w:r>
      <w:r w:rsidR="00231522" w:rsidRPr="006643E8">
        <w:rPr>
          <w:rFonts w:ascii="Arial" w:hAnsi="Arial" w:cs="Arial"/>
          <w:i/>
          <w:iCs/>
          <w:sz w:val="20"/>
        </w:rPr>
        <w:t xml:space="preserve"> (in whole or part) </w:t>
      </w:r>
      <w:r w:rsidRPr="006643E8">
        <w:rPr>
          <w:rFonts w:ascii="Arial" w:hAnsi="Arial" w:cs="Arial"/>
          <w:i/>
          <w:iCs/>
          <w:sz w:val="20"/>
        </w:rPr>
        <w:t>in working out its net amount for another tax period.</w:t>
      </w:r>
    </w:p>
    <w:p w14:paraId="3A395212" w14:textId="017E9B78" w:rsidR="00D4665E" w:rsidRPr="006643E8" w:rsidRDefault="00D4665E" w:rsidP="00753F0C">
      <w:pPr>
        <w:spacing w:after="120"/>
        <w:rPr>
          <w:rFonts w:ascii="Arial" w:hAnsi="Arial" w:cs="Arial"/>
          <w:i/>
          <w:iCs/>
          <w:sz w:val="20"/>
        </w:rPr>
      </w:pPr>
      <w:r w:rsidRPr="006643E8">
        <w:rPr>
          <w:rFonts w:ascii="Arial" w:hAnsi="Arial" w:cs="Arial"/>
          <w:i/>
          <w:iCs/>
          <w:sz w:val="20"/>
        </w:rPr>
        <w:t xml:space="preserve">Du Maurier Company works out whether it can apply the </w:t>
      </w:r>
      <w:r w:rsidR="003D16C4" w:rsidRPr="006643E8">
        <w:rPr>
          <w:rFonts w:ascii="Arial" w:hAnsi="Arial" w:cs="Arial"/>
          <w:i/>
          <w:iCs/>
          <w:sz w:val="20"/>
        </w:rPr>
        <w:t>i</w:t>
      </w:r>
      <w:r w:rsidR="000A47D7" w:rsidRPr="006643E8">
        <w:rPr>
          <w:rFonts w:ascii="Arial" w:hAnsi="Arial" w:cs="Arial"/>
          <w:i/>
          <w:iCs/>
          <w:sz w:val="20"/>
        </w:rPr>
        <w:t>nstrument</w:t>
      </w:r>
      <w:r w:rsidRPr="006643E8">
        <w:rPr>
          <w:rFonts w:ascii="Arial" w:hAnsi="Arial" w:cs="Arial"/>
          <w:i/>
          <w:iCs/>
          <w:sz w:val="20"/>
        </w:rPr>
        <w:t xml:space="preserve"> to correct the errors as follows:</w:t>
      </w:r>
    </w:p>
    <w:p w14:paraId="69A1AB76" w14:textId="67B2B8F2" w:rsidR="005E3AC1" w:rsidRPr="00537F49" w:rsidRDefault="005E3AC1" w:rsidP="00E774A3">
      <w:pPr>
        <w:pStyle w:val="Caption"/>
        <w:keepNext/>
        <w:spacing w:after="120"/>
        <w:rPr>
          <w:rFonts w:ascii="Arial" w:hAnsi="Arial" w:cs="Arial"/>
          <w:i w:val="0"/>
          <w:iCs w:val="0"/>
          <w:noProof/>
          <w:color w:val="auto"/>
          <w:sz w:val="22"/>
          <w:szCs w:val="22"/>
        </w:rPr>
      </w:pPr>
      <w:r w:rsidRPr="00537F49">
        <w:rPr>
          <w:rFonts w:ascii="Arial" w:hAnsi="Arial" w:cs="Arial"/>
          <w:i w:val="0"/>
          <w:iCs w:val="0"/>
          <w:noProof/>
          <w:color w:val="auto"/>
          <w:sz w:val="22"/>
          <w:szCs w:val="22"/>
        </w:rPr>
        <w:t xml:space="preserve">Table </w:t>
      </w:r>
      <w:r w:rsidRPr="00537F49">
        <w:rPr>
          <w:rFonts w:ascii="Arial" w:hAnsi="Arial" w:cs="Arial"/>
          <w:i w:val="0"/>
          <w:iCs w:val="0"/>
          <w:noProof/>
          <w:color w:val="auto"/>
          <w:sz w:val="22"/>
          <w:szCs w:val="22"/>
        </w:rPr>
        <w:fldChar w:fldCharType="begin"/>
      </w:r>
      <w:r w:rsidRPr="00537F49">
        <w:rPr>
          <w:rFonts w:ascii="Arial" w:hAnsi="Arial" w:cs="Arial"/>
          <w:i w:val="0"/>
          <w:iCs w:val="0"/>
          <w:noProof/>
          <w:color w:val="auto"/>
          <w:sz w:val="22"/>
          <w:szCs w:val="22"/>
        </w:rPr>
        <w:instrText xml:space="preserve"> SEQ Table \* ARABIC </w:instrText>
      </w:r>
      <w:r w:rsidRPr="00537F49">
        <w:rPr>
          <w:rFonts w:ascii="Arial" w:hAnsi="Arial" w:cs="Arial"/>
          <w:i w:val="0"/>
          <w:iCs w:val="0"/>
          <w:noProof/>
          <w:color w:val="auto"/>
          <w:sz w:val="22"/>
          <w:szCs w:val="22"/>
        </w:rPr>
        <w:fldChar w:fldCharType="separate"/>
      </w:r>
      <w:r w:rsidR="005341DB" w:rsidRPr="00537F49">
        <w:rPr>
          <w:rFonts w:ascii="Arial" w:hAnsi="Arial" w:cs="Arial"/>
          <w:i w:val="0"/>
          <w:iCs w:val="0"/>
          <w:noProof/>
          <w:color w:val="auto"/>
          <w:sz w:val="22"/>
          <w:szCs w:val="22"/>
        </w:rPr>
        <w:t>3</w:t>
      </w:r>
      <w:r w:rsidRPr="00537F49">
        <w:rPr>
          <w:rFonts w:ascii="Arial" w:hAnsi="Arial" w:cs="Arial"/>
          <w:i w:val="0"/>
          <w:iCs w:val="0"/>
          <w:noProof/>
          <w:color w:val="auto"/>
          <w:sz w:val="22"/>
          <w:szCs w:val="22"/>
        </w:rPr>
        <w:fldChar w:fldCharType="end"/>
      </w:r>
      <w:r w:rsidRPr="00537F49">
        <w:rPr>
          <w:rFonts w:ascii="Arial" w:hAnsi="Arial" w:cs="Arial"/>
          <w:i w:val="0"/>
          <w:iCs w:val="0"/>
          <w:noProof/>
          <w:color w:val="auto"/>
          <w:sz w:val="22"/>
          <w:szCs w:val="22"/>
        </w:rPr>
        <w:t>: Du Maurier Company’s error calculation matrix</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gridCol w:w="2571"/>
        <w:gridCol w:w="3320"/>
      </w:tblGrid>
      <w:tr w:rsidR="00122670" w:rsidRPr="008D3670" w14:paraId="08200B9B" w14:textId="12488390" w:rsidTr="00537F49">
        <w:trPr>
          <w:tblHeader/>
        </w:trPr>
        <w:tc>
          <w:tcPr>
            <w:tcW w:w="1887" w:type="pct"/>
            <w:tcBorders>
              <w:bottom w:val="single" w:sz="12" w:space="0" w:color="auto"/>
            </w:tcBorders>
            <w:shd w:val="clear" w:color="auto" w:fill="D9D9D9" w:themeFill="background1" w:themeFillShade="D9"/>
          </w:tcPr>
          <w:p w14:paraId="604730C0" w14:textId="065C67DC" w:rsidR="00FD2FAC" w:rsidRPr="00537F49" w:rsidRDefault="005A1123" w:rsidP="00327B12">
            <w:pPr>
              <w:spacing w:before="60" w:after="60"/>
              <w:rPr>
                <w:rFonts w:ascii="Arial" w:hAnsi="Arial" w:cs="Arial"/>
                <w:b/>
                <w:bCs/>
                <w:sz w:val="20"/>
              </w:rPr>
            </w:pPr>
            <w:r w:rsidRPr="00537F49">
              <w:rPr>
                <w:rFonts w:ascii="Arial" w:hAnsi="Arial" w:cs="Arial"/>
                <w:b/>
                <w:bCs/>
                <w:sz w:val="20"/>
              </w:rPr>
              <w:t>Relevant instrument paragraphs summary</w:t>
            </w:r>
          </w:p>
        </w:tc>
        <w:tc>
          <w:tcPr>
            <w:tcW w:w="1358" w:type="pct"/>
            <w:tcBorders>
              <w:bottom w:val="single" w:sz="12" w:space="0" w:color="auto"/>
            </w:tcBorders>
            <w:shd w:val="clear" w:color="auto" w:fill="D9D9D9" w:themeFill="background1" w:themeFillShade="D9"/>
          </w:tcPr>
          <w:p w14:paraId="262619DB" w14:textId="3D4B10A3" w:rsidR="00FD2FAC" w:rsidRPr="00537F49" w:rsidRDefault="00FD2FAC" w:rsidP="00537F49">
            <w:pPr>
              <w:spacing w:before="60" w:after="60"/>
              <w:ind w:right="113"/>
              <w:jc w:val="right"/>
              <w:rPr>
                <w:rFonts w:ascii="Arial" w:hAnsi="Arial" w:cs="Arial"/>
                <w:b/>
                <w:sz w:val="20"/>
              </w:rPr>
            </w:pPr>
            <w:r w:rsidRPr="00537F49">
              <w:rPr>
                <w:rFonts w:ascii="Arial" w:hAnsi="Arial" w:cs="Arial"/>
                <w:b/>
                <w:sz w:val="20"/>
              </w:rPr>
              <w:t>$7,000 credit error</w:t>
            </w:r>
          </w:p>
          <w:p w14:paraId="1EBAB3D0" w14:textId="2AF281D3" w:rsidR="00FD2FAC" w:rsidRPr="00537F49" w:rsidRDefault="00FD2FAC" w:rsidP="00537F49">
            <w:pPr>
              <w:spacing w:before="60" w:after="60"/>
              <w:ind w:right="113"/>
              <w:jc w:val="right"/>
              <w:rPr>
                <w:rFonts w:ascii="Arial" w:hAnsi="Arial" w:cs="Arial"/>
                <w:sz w:val="20"/>
              </w:rPr>
            </w:pPr>
            <w:r w:rsidRPr="00537F49">
              <w:rPr>
                <w:rFonts w:ascii="Arial" w:hAnsi="Arial" w:cs="Arial"/>
                <w:b/>
                <w:sz w:val="20"/>
              </w:rPr>
              <w:t>June 2022 quarterly tax period</w:t>
            </w:r>
          </w:p>
        </w:tc>
        <w:tc>
          <w:tcPr>
            <w:tcW w:w="1754" w:type="pct"/>
            <w:tcBorders>
              <w:bottom w:val="single" w:sz="12" w:space="0" w:color="auto"/>
            </w:tcBorders>
            <w:shd w:val="clear" w:color="auto" w:fill="D9D9D9" w:themeFill="background1" w:themeFillShade="D9"/>
          </w:tcPr>
          <w:p w14:paraId="7B90F073" w14:textId="14E0F2C4" w:rsidR="00FD2FAC" w:rsidRPr="00537F49" w:rsidRDefault="00FD2FAC" w:rsidP="00537F49">
            <w:pPr>
              <w:spacing w:before="60" w:after="60"/>
              <w:ind w:right="113"/>
              <w:jc w:val="right"/>
              <w:rPr>
                <w:rFonts w:ascii="Arial" w:hAnsi="Arial" w:cs="Arial"/>
                <w:b/>
                <w:sz w:val="20"/>
              </w:rPr>
            </w:pPr>
            <w:r w:rsidRPr="00537F49">
              <w:rPr>
                <w:rFonts w:ascii="Arial" w:hAnsi="Arial" w:cs="Arial"/>
                <w:b/>
                <w:sz w:val="20"/>
              </w:rPr>
              <w:t>$15,000 debit error</w:t>
            </w:r>
          </w:p>
          <w:p w14:paraId="02656D55" w14:textId="7E58086F" w:rsidR="00FD2FAC" w:rsidRPr="00537F49" w:rsidRDefault="00FD2FAC" w:rsidP="00537F49">
            <w:pPr>
              <w:spacing w:before="60" w:after="60"/>
              <w:ind w:right="113"/>
              <w:jc w:val="right"/>
              <w:rPr>
                <w:rFonts w:ascii="Arial" w:hAnsi="Arial" w:cs="Arial"/>
                <w:sz w:val="20"/>
              </w:rPr>
            </w:pPr>
            <w:r w:rsidRPr="00537F49">
              <w:rPr>
                <w:rFonts w:ascii="Arial" w:hAnsi="Arial" w:cs="Arial"/>
                <w:b/>
                <w:sz w:val="20"/>
              </w:rPr>
              <w:t>March 2023 quarterly tax period</w:t>
            </w:r>
          </w:p>
        </w:tc>
      </w:tr>
      <w:tr w:rsidR="00122670" w:rsidRPr="008D3670" w14:paraId="6C14F420" w14:textId="428F30B9" w:rsidTr="00537F49">
        <w:tc>
          <w:tcPr>
            <w:tcW w:w="1887" w:type="pct"/>
            <w:tcBorders>
              <w:top w:val="single" w:sz="12" w:space="0" w:color="auto"/>
            </w:tcBorders>
            <w:shd w:val="clear" w:color="auto" w:fill="auto"/>
          </w:tcPr>
          <w:p w14:paraId="5069F5DA" w14:textId="6F727D77" w:rsidR="00FD2FAC" w:rsidRPr="00537F49" w:rsidRDefault="00FD2FAC" w:rsidP="00327B12">
            <w:pPr>
              <w:spacing w:before="60" w:after="60"/>
              <w:rPr>
                <w:rFonts w:ascii="Arial" w:hAnsi="Arial" w:cs="Arial"/>
                <w:sz w:val="20"/>
              </w:rPr>
            </w:pPr>
            <w:r w:rsidRPr="00537F49">
              <w:rPr>
                <w:rFonts w:ascii="Arial" w:hAnsi="Arial" w:cs="Arial"/>
                <w:sz w:val="20"/>
              </w:rPr>
              <w:t xml:space="preserve">Error relates to an amount of wine tax or wine tax credit under the WET Act </w:t>
            </w:r>
            <w:r w:rsidR="00537F49">
              <w:rPr>
                <w:rFonts w:ascii="Arial" w:hAnsi="Arial" w:cs="Arial"/>
                <w:sz w:val="20"/>
              </w:rPr>
              <w:t>(</w:t>
            </w:r>
            <w:r w:rsidR="00686C29">
              <w:rPr>
                <w:rFonts w:ascii="Arial" w:hAnsi="Arial" w:cs="Arial"/>
                <w:sz w:val="20"/>
              </w:rPr>
              <w:t>p</w:t>
            </w:r>
            <w:r w:rsidR="00FB730A" w:rsidRPr="00537F49">
              <w:rPr>
                <w:rFonts w:ascii="Arial" w:hAnsi="Arial" w:cs="Arial"/>
                <w:sz w:val="20"/>
              </w:rPr>
              <w:t>ara</w:t>
            </w:r>
            <w:r w:rsidR="00C001A5" w:rsidRPr="00537F49">
              <w:rPr>
                <w:rFonts w:ascii="Arial" w:hAnsi="Arial" w:cs="Arial"/>
                <w:sz w:val="20"/>
              </w:rPr>
              <w:t>graph</w:t>
            </w:r>
            <w:r w:rsidR="00FB730A" w:rsidRPr="00537F49">
              <w:rPr>
                <w:rFonts w:ascii="Arial" w:hAnsi="Arial" w:cs="Arial"/>
                <w:sz w:val="20"/>
              </w:rPr>
              <w:t xml:space="preserve"> </w:t>
            </w:r>
            <w:r w:rsidRPr="00537F49">
              <w:rPr>
                <w:rFonts w:ascii="Arial" w:hAnsi="Arial" w:cs="Arial"/>
                <w:sz w:val="20"/>
              </w:rPr>
              <w:t>6(a)</w:t>
            </w:r>
            <w:r w:rsidR="00537F49">
              <w:rPr>
                <w:rFonts w:ascii="Arial" w:hAnsi="Arial" w:cs="Arial"/>
                <w:sz w:val="20"/>
              </w:rPr>
              <w:t>)</w:t>
            </w:r>
            <w:r w:rsidRPr="00537F49">
              <w:rPr>
                <w:rFonts w:ascii="Arial" w:hAnsi="Arial" w:cs="Arial"/>
                <w:sz w:val="20"/>
              </w:rPr>
              <w:t>?</w:t>
            </w:r>
          </w:p>
        </w:tc>
        <w:tc>
          <w:tcPr>
            <w:tcW w:w="1358" w:type="pct"/>
            <w:tcBorders>
              <w:top w:val="single" w:sz="12" w:space="0" w:color="auto"/>
            </w:tcBorders>
            <w:shd w:val="clear" w:color="auto" w:fill="auto"/>
          </w:tcPr>
          <w:p w14:paraId="668104BE" w14:textId="1B03250F" w:rsidR="00FD2FAC" w:rsidRPr="00537F49" w:rsidRDefault="00FD2FAC" w:rsidP="00537F49">
            <w:pPr>
              <w:spacing w:before="60" w:after="60"/>
              <w:ind w:right="113"/>
              <w:jc w:val="right"/>
              <w:rPr>
                <w:rFonts w:ascii="Arial" w:hAnsi="Arial" w:cs="Arial"/>
                <w:sz w:val="20"/>
              </w:rPr>
            </w:pPr>
            <w:r w:rsidRPr="00537F49">
              <w:rPr>
                <w:rFonts w:ascii="Arial" w:hAnsi="Arial" w:cs="Arial"/>
                <w:sz w:val="20"/>
              </w:rPr>
              <w:t>Yes.</w:t>
            </w:r>
          </w:p>
        </w:tc>
        <w:tc>
          <w:tcPr>
            <w:tcW w:w="1754" w:type="pct"/>
            <w:tcBorders>
              <w:top w:val="single" w:sz="12" w:space="0" w:color="auto"/>
            </w:tcBorders>
            <w:shd w:val="clear" w:color="auto" w:fill="auto"/>
          </w:tcPr>
          <w:p w14:paraId="577985F5" w14:textId="108F22D6" w:rsidR="00FD2FAC" w:rsidRPr="00537F49" w:rsidRDefault="00FD2FAC" w:rsidP="00537F49">
            <w:pPr>
              <w:spacing w:before="60" w:after="60"/>
              <w:ind w:right="113"/>
              <w:jc w:val="right"/>
              <w:rPr>
                <w:rFonts w:ascii="Arial" w:hAnsi="Arial" w:cs="Arial"/>
                <w:sz w:val="20"/>
              </w:rPr>
            </w:pPr>
            <w:r w:rsidRPr="00537F49">
              <w:rPr>
                <w:rFonts w:ascii="Arial" w:hAnsi="Arial" w:cs="Arial"/>
                <w:sz w:val="20"/>
              </w:rPr>
              <w:t>Yes.</w:t>
            </w:r>
          </w:p>
        </w:tc>
      </w:tr>
      <w:tr w:rsidR="00122670" w:rsidRPr="008D3670" w14:paraId="753024DB" w14:textId="1CFCF402" w:rsidTr="00537F49">
        <w:trPr>
          <w:trHeight w:val="1172"/>
        </w:trPr>
        <w:tc>
          <w:tcPr>
            <w:tcW w:w="1887" w:type="pct"/>
            <w:shd w:val="clear" w:color="auto" w:fill="auto"/>
          </w:tcPr>
          <w:p w14:paraId="7AE64D95" w14:textId="51778CBF" w:rsidR="00FD2FAC" w:rsidRPr="00537F49" w:rsidRDefault="00FD2FAC" w:rsidP="00327B12">
            <w:pPr>
              <w:spacing w:before="60" w:after="60"/>
              <w:rPr>
                <w:rFonts w:ascii="Arial" w:hAnsi="Arial" w:cs="Arial"/>
                <w:sz w:val="20"/>
              </w:rPr>
            </w:pPr>
            <w:r w:rsidRPr="00537F49">
              <w:rPr>
                <w:rFonts w:ascii="Arial" w:hAnsi="Arial" w:cs="Arial"/>
                <w:sz w:val="20"/>
              </w:rPr>
              <w:t>Tax period starts on or after 1 July 2012 and you lodge the correction within the period of review for the assessment of the net amount for the earlier tax period</w:t>
            </w:r>
            <w:r w:rsidR="00686C29">
              <w:rPr>
                <w:rFonts w:ascii="Arial" w:hAnsi="Arial" w:cs="Arial"/>
                <w:sz w:val="20"/>
              </w:rPr>
              <w:t xml:space="preserve"> </w:t>
            </w:r>
            <w:r w:rsidR="00537F49">
              <w:rPr>
                <w:rFonts w:ascii="Arial" w:hAnsi="Arial" w:cs="Arial"/>
                <w:sz w:val="20"/>
              </w:rPr>
              <w:t>(</w:t>
            </w:r>
            <w:r w:rsidR="00686C29">
              <w:rPr>
                <w:rFonts w:ascii="Arial" w:hAnsi="Arial" w:cs="Arial"/>
                <w:sz w:val="20"/>
              </w:rPr>
              <w:t>p</w:t>
            </w:r>
            <w:r w:rsidR="00FB730A" w:rsidRPr="00537F49">
              <w:rPr>
                <w:rFonts w:ascii="Arial" w:hAnsi="Arial" w:cs="Arial"/>
                <w:sz w:val="20"/>
              </w:rPr>
              <w:t>ara</w:t>
            </w:r>
            <w:r w:rsidR="00C001A5" w:rsidRPr="00537F49">
              <w:rPr>
                <w:rFonts w:ascii="Arial" w:hAnsi="Arial" w:cs="Arial"/>
                <w:sz w:val="20"/>
              </w:rPr>
              <w:t>graph</w:t>
            </w:r>
            <w:r w:rsidR="00823C10" w:rsidRPr="00537F49">
              <w:rPr>
                <w:rFonts w:ascii="Arial" w:hAnsi="Arial" w:cs="Arial"/>
                <w:sz w:val="20"/>
              </w:rPr>
              <w:t> </w:t>
            </w:r>
            <w:r w:rsidRPr="00537F49">
              <w:rPr>
                <w:rFonts w:ascii="Arial" w:hAnsi="Arial" w:cs="Arial"/>
                <w:sz w:val="20"/>
              </w:rPr>
              <w:t>6(b),</w:t>
            </w:r>
            <w:r w:rsidR="0066630F" w:rsidRPr="00537F49">
              <w:rPr>
                <w:rFonts w:ascii="Arial" w:hAnsi="Arial" w:cs="Arial"/>
                <w:sz w:val="20"/>
              </w:rPr>
              <w:t xml:space="preserve"> </w:t>
            </w:r>
            <w:r w:rsidRPr="00537F49">
              <w:rPr>
                <w:rFonts w:ascii="Arial" w:hAnsi="Arial" w:cs="Arial"/>
                <w:sz w:val="20"/>
              </w:rPr>
              <w:t>6(c)</w:t>
            </w:r>
            <w:r w:rsidR="00537F49">
              <w:rPr>
                <w:rFonts w:ascii="Arial" w:hAnsi="Arial" w:cs="Arial"/>
                <w:sz w:val="20"/>
              </w:rPr>
              <w:t>)</w:t>
            </w:r>
            <w:r w:rsidRPr="00537F49">
              <w:rPr>
                <w:rFonts w:ascii="Arial" w:hAnsi="Arial" w:cs="Arial"/>
                <w:sz w:val="20"/>
              </w:rPr>
              <w:t>?</w:t>
            </w:r>
          </w:p>
        </w:tc>
        <w:tc>
          <w:tcPr>
            <w:tcW w:w="1358" w:type="pct"/>
            <w:shd w:val="clear" w:color="auto" w:fill="auto"/>
          </w:tcPr>
          <w:p w14:paraId="703B44F0" w14:textId="15320076" w:rsidR="00FD2FAC" w:rsidRPr="00537F49" w:rsidRDefault="00FD2FAC" w:rsidP="00537F49">
            <w:pPr>
              <w:spacing w:before="60" w:after="60"/>
              <w:ind w:right="113"/>
              <w:jc w:val="right"/>
              <w:rPr>
                <w:rFonts w:ascii="Arial" w:hAnsi="Arial" w:cs="Arial"/>
                <w:sz w:val="20"/>
              </w:rPr>
            </w:pPr>
            <w:r w:rsidRPr="00537F49">
              <w:rPr>
                <w:rFonts w:ascii="Arial" w:hAnsi="Arial" w:cs="Arial"/>
                <w:sz w:val="20"/>
              </w:rPr>
              <w:t>Yes.</w:t>
            </w:r>
          </w:p>
          <w:p w14:paraId="2CD0961D" w14:textId="74985432" w:rsidR="00FD2FAC" w:rsidRPr="00537F49" w:rsidRDefault="00FD2FAC" w:rsidP="00537F49">
            <w:pPr>
              <w:spacing w:before="60" w:after="60"/>
              <w:ind w:right="113"/>
              <w:jc w:val="right"/>
              <w:rPr>
                <w:rFonts w:ascii="Arial" w:hAnsi="Arial" w:cs="Arial"/>
                <w:sz w:val="20"/>
              </w:rPr>
            </w:pPr>
            <w:r w:rsidRPr="00537F49">
              <w:rPr>
                <w:rFonts w:ascii="Arial" w:hAnsi="Arial" w:cs="Arial"/>
                <w:sz w:val="20"/>
              </w:rPr>
              <w:t>June 202</w:t>
            </w:r>
            <w:r w:rsidR="00081D6F" w:rsidRPr="00537F49">
              <w:rPr>
                <w:rFonts w:ascii="Arial" w:hAnsi="Arial" w:cs="Arial"/>
                <w:sz w:val="20"/>
              </w:rPr>
              <w:t>4</w:t>
            </w:r>
            <w:r w:rsidRPr="00537F49">
              <w:rPr>
                <w:rFonts w:ascii="Arial" w:hAnsi="Arial" w:cs="Arial"/>
                <w:sz w:val="20"/>
              </w:rPr>
              <w:t xml:space="preserve"> quarterly tax period starts within period of review for June 202</w:t>
            </w:r>
            <w:r w:rsidR="00081D6F" w:rsidRPr="00537F49">
              <w:rPr>
                <w:rFonts w:ascii="Arial" w:hAnsi="Arial" w:cs="Arial"/>
                <w:sz w:val="20"/>
              </w:rPr>
              <w:t>2</w:t>
            </w:r>
            <w:r w:rsidRPr="00537F49">
              <w:rPr>
                <w:rFonts w:ascii="Arial" w:hAnsi="Arial" w:cs="Arial"/>
                <w:sz w:val="20"/>
              </w:rPr>
              <w:t xml:space="preserve"> tax period</w:t>
            </w:r>
            <w:r w:rsidR="0066630F" w:rsidRPr="00537F49">
              <w:rPr>
                <w:rFonts w:ascii="Arial" w:hAnsi="Arial" w:cs="Arial"/>
                <w:sz w:val="20"/>
              </w:rPr>
              <w:t xml:space="preserve"> </w:t>
            </w:r>
            <w:r w:rsidR="00537F49">
              <w:rPr>
                <w:rFonts w:ascii="Arial" w:hAnsi="Arial" w:cs="Arial"/>
                <w:sz w:val="20"/>
              </w:rPr>
              <w:t>(</w:t>
            </w:r>
            <w:r w:rsidRPr="00537F49">
              <w:rPr>
                <w:rFonts w:ascii="Arial" w:hAnsi="Arial" w:cs="Arial"/>
                <w:sz w:val="20"/>
              </w:rPr>
              <w:t>28 July 202</w:t>
            </w:r>
            <w:r w:rsidR="00081D6F" w:rsidRPr="00537F49">
              <w:rPr>
                <w:rFonts w:ascii="Arial" w:hAnsi="Arial" w:cs="Arial"/>
                <w:sz w:val="20"/>
              </w:rPr>
              <w:t>2</w:t>
            </w:r>
            <w:r w:rsidRPr="00537F49">
              <w:rPr>
                <w:rFonts w:ascii="Arial" w:hAnsi="Arial" w:cs="Arial"/>
                <w:sz w:val="20"/>
              </w:rPr>
              <w:t xml:space="preserve"> to 29</w:t>
            </w:r>
            <w:r w:rsidR="00823C10" w:rsidRPr="00537F49">
              <w:rPr>
                <w:rFonts w:ascii="Arial" w:hAnsi="Arial" w:cs="Arial"/>
                <w:sz w:val="20"/>
              </w:rPr>
              <w:t> </w:t>
            </w:r>
            <w:r w:rsidRPr="00537F49">
              <w:rPr>
                <w:rFonts w:ascii="Arial" w:hAnsi="Arial" w:cs="Arial"/>
                <w:sz w:val="20"/>
              </w:rPr>
              <w:t>July 202</w:t>
            </w:r>
            <w:r w:rsidR="00081D6F" w:rsidRPr="00537F49">
              <w:rPr>
                <w:rFonts w:ascii="Arial" w:hAnsi="Arial" w:cs="Arial"/>
                <w:sz w:val="20"/>
              </w:rPr>
              <w:t>6</w:t>
            </w:r>
            <w:r w:rsidR="00537F49">
              <w:rPr>
                <w:rFonts w:ascii="Arial" w:hAnsi="Arial" w:cs="Arial"/>
                <w:sz w:val="20"/>
              </w:rPr>
              <w:t>)</w:t>
            </w:r>
            <w:r w:rsidRPr="00537F49">
              <w:rPr>
                <w:rFonts w:ascii="Arial" w:hAnsi="Arial" w:cs="Arial"/>
                <w:sz w:val="20"/>
              </w:rPr>
              <w:t>.</w:t>
            </w:r>
          </w:p>
        </w:tc>
        <w:tc>
          <w:tcPr>
            <w:tcW w:w="1754" w:type="pct"/>
            <w:shd w:val="clear" w:color="auto" w:fill="auto"/>
          </w:tcPr>
          <w:p w14:paraId="591B91CD" w14:textId="253A09B9" w:rsidR="00FD2FAC" w:rsidRPr="00537F49" w:rsidRDefault="00FD2FAC" w:rsidP="00537F49">
            <w:pPr>
              <w:spacing w:before="60" w:after="60"/>
              <w:ind w:right="113"/>
              <w:jc w:val="right"/>
              <w:rPr>
                <w:rFonts w:ascii="Arial" w:hAnsi="Arial" w:cs="Arial"/>
                <w:sz w:val="20"/>
              </w:rPr>
            </w:pPr>
            <w:r w:rsidRPr="00537F49">
              <w:rPr>
                <w:rFonts w:ascii="Arial" w:hAnsi="Arial" w:cs="Arial"/>
                <w:sz w:val="20"/>
              </w:rPr>
              <w:t>Yes.</w:t>
            </w:r>
          </w:p>
          <w:p w14:paraId="11B55951" w14:textId="69534562" w:rsidR="00FD2FAC" w:rsidRPr="00537F49" w:rsidRDefault="00FD2FAC" w:rsidP="00537F49">
            <w:pPr>
              <w:spacing w:before="60" w:after="60"/>
              <w:ind w:right="113"/>
              <w:jc w:val="right"/>
              <w:rPr>
                <w:rFonts w:ascii="Arial" w:hAnsi="Arial" w:cs="Arial"/>
                <w:sz w:val="20"/>
              </w:rPr>
            </w:pPr>
            <w:r w:rsidRPr="00537F49">
              <w:rPr>
                <w:rFonts w:ascii="Arial" w:hAnsi="Arial" w:cs="Arial"/>
                <w:sz w:val="20"/>
              </w:rPr>
              <w:t>June 202</w:t>
            </w:r>
            <w:r w:rsidR="00081D6F" w:rsidRPr="00537F49">
              <w:rPr>
                <w:rFonts w:ascii="Arial" w:hAnsi="Arial" w:cs="Arial"/>
                <w:sz w:val="20"/>
              </w:rPr>
              <w:t>4</w:t>
            </w:r>
            <w:r w:rsidRPr="00537F49">
              <w:rPr>
                <w:rFonts w:ascii="Arial" w:hAnsi="Arial" w:cs="Arial"/>
                <w:sz w:val="20"/>
              </w:rPr>
              <w:t xml:space="preserve"> quarterly tax period starts within period of review for March 202</w:t>
            </w:r>
            <w:r w:rsidR="00081D6F" w:rsidRPr="00537F49">
              <w:rPr>
                <w:rFonts w:ascii="Arial" w:hAnsi="Arial" w:cs="Arial"/>
                <w:sz w:val="20"/>
              </w:rPr>
              <w:t>3</w:t>
            </w:r>
            <w:r w:rsidRPr="00537F49">
              <w:rPr>
                <w:rFonts w:ascii="Arial" w:hAnsi="Arial" w:cs="Arial"/>
                <w:sz w:val="20"/>
              </w:rPr>
              <w:t xml:space="preserve"> tax period</w:t>
            </w:r>
            <w:r w:rsidR="00686C29">
              <w:rPr>
                <w:rFonts w:ascii="Arial" w:hAnsi="Arial" w:cs="Arial"/>
                <w:sz w:val="20"/>
              </w:rPr>
              <w:t xml:space="preserve"> </w:t>
            </w:r>
            <w:r w:rsidR="00537F49">
              <w:rPr>
                <w:rFonts w:ascii="Arial" w:hAnsi="Arial" w:cs="Arial"/>
                <w:sz w:val="20"/>
              </w:rPr>
              <w:t>(</w:t>
            </w:r>
            <w:r w:rsidRPr="00537F49">
              <w:rPr>
                <w:rFonts w:ascii="Arial" w:hAnsi="Arial" w:cs="Arial"/>
                <w:sz w:val="20"/>
              </w:rPr>
              <w:t>28 April 202</w:t>
            </w:r>
            <w:r w:rsidR="00081D6F" w:rsidRPr="00537F49">
              <w:rPr>
                <w:rFonts w:ascii="Arial" w:hAnsi="Arial" w:cs="Arial"/>
                <w:sz w:val="20"/>
              </w:rPr>
              <w:t>3</w:t>
            </w:r>
            <w:r w:rsidRPr="00537F49">
              <w:rPr>
                <w:rFonts w:ascii="Arial" w:hAnsi="Arial" w:cs="Arial"/>
                <w:sz w:val="20"/>
              </w:rPr>
              <w:t xml:space="preserve"> to 29 April 202</w:t>
            </w:r>
            <w:r w:rsidR="00081D6F" w:rsidRPr="00537F49">
              <w:rPr>
                <w:rFonts w:ascii="Arial" w:hAnsi="Arial" w:cs="Arial"/>
                <w:sz w:val="20"/>
              </w:rPr>
              <w:t>7</w:t>
            </w:r>
            <w:r w:rsidR="00537F49">
              <w:rPr>
                <w:rFonts w:ascii="Arial" w:hAnsi="Arial" w:cs="Arial"/>
                <w:sz w:val="20"/>
              </w:rPr>
              <w:t>)</w:t>
            </w:r>
            <w:r w:rsidRPr="00537F49">
              <w:rPr>
                <w:rFonts w:ascii="Arial" w:hAnsi="Arial" w:cs="Arial"/>
                <w:sz w:val="20"/>
              </w:rPr>
              <w:t>.</w:t>
            </w:r>
          </w:p>
        </w:tc>
      </w:tr>
      <w:tr w:rsidR="00122670" w:rsidRPr="008D3670" w14:paraId="1093E7DC" w14:textId="564D0421" w:rsidTr="00537F49">
        <w:tc>
          <w:tcPr>
            <w:tcW w:w="1887" w:type="pct"/>
            <w:shd w:val="clear" w:color="auto" w:fill="auto"/>
          </w:tcPr>
          <w:p w14:paraId="5302DABF" w14:textId="3BC2D2A6" w:rsidR="00FD2FAC" w:rsidRPr="00537F49" w:rsidRDefault="00FD2FAC" w:rsidP="00327B12">
            <w:pPr>
              <w:spacing w:before="60" w:after="60"/>
              <w:rPr>
                <w:rFonts w:ascii="Arial" w:hAnsi="Arial" w:cs="Arial"/>
                <w:sz w:val="20"/>
              </w:rPr>
            </w:pPr>
            <w:r w:rsidRPr="00537F49">
              <w:rPr>
                <w:rFonts w:ascii="Arial" w:hAnsi="Arial" w:cs="Arial"/>
                <w:sz w:val="20"/>
              </w:rPr>
              <w:lastRenderedPageBreak/>
              <w:t>At time of lodging GST return for the tax period, the error:</w:t>
            </w:r>
          </w:p>
          <w:p w14:paraId="236B3BA4" w14:textId="77777777" w:rsidR="00D84CFC" w:rsidRPr="00537F49" w:rsidRDefault="00FD2FAC" w:rsidP="00DD131B">
            <w:pPr>
              <w:numPr>
                <w:ilvl w:val="0"/>
                <w:numId w:val="3"/>
              </w:numPr>
              <w:tabs>
                <w:tab w:val="clear" w:pos="360"/>
              </w:tabs>
              <w:spacing w:before="60" w:after="60"/>
              <w:ind w:left="567" w:hanging="567"/>
              <w:rPr>
                <w:rFonts w:ascii="Arial" w:hAnsi="Arial" w:cs="Arial"/>
                <w:sz w:val="20"/>
              </w:rPr>
            </w:pPr>
            <w:r w:rsidRPr="00537F49">
              <w:rPr>
                <w:rFonts w:ascii="Arial" w:hAnsi="Arial" w:cs="Arial"/>
                <w:sz w:val="20"/>
              </w:rPr>
              <w:t>does not relate to a matter that is specified as being subject to compliance activity, and</w:t>
            </w:r>
          </w:p>
          <w:p w14:paraId="0FCA1C0E" w14:textId="554AD1BC" w:rsidR="00FB730A" w:rsidRPr="00537F49" w:rsidRDefault="00FD2FAC" w:rsidP="00DD131B">
            <w:pPr>
              <w:numPr>
                <w:ilvl w:val="0"/>
                <w:numId w:val="3"/>
              </w:numPr>
              <w:tabs>
                <w:tab w:val="clear" w:pos="360"/>
              </w:tabs>
              <w:spacing w:before="60" w:after="60"/>
              <w:ind w:left="567" w:hanging="567"/>
              <w:rPr>
                <w:rFonts w:ascii="Arial" w:hAnsi="Arial" w:cs="Arial"/>
                <w:sz w:val="20"/>
              </w:rPr>
            </w:pPr>
            <w:r w:rsidRPr="00537F49">
              <w:rPr>
                <w:rFonts w:ascii="Arial" w:hAnsi="Arial" w:cs="Arial"/>
                <w:sz w:val="20"/>
              </w:rPr>
              <w:t xml:space="preserve">is not made in working out the net amount for an earlier tax period that is subject to compliance activity </w:t>
            </w:r>
            <w:r w:rsidR="00DD131B">
              <w:rPr>
                <w:rFonts w:ascii="Arial" w:hAnsi="Arial" w:cs="Arial"/>
                <w:sz w:val="20"/>
              </w:rPr>
              <w:t>(</w:t>
            </w:r>
            <w:r w:rsidR="003711E1">
              <w:rPr>
                <w:rFonts w:ascii="Arial" w:hAnsi="Arial" w:cs="Arial"/>
                <w:sz w:val="20"/>
              </w:rPr>
              <w:t>p</w:t>
            </w:r>
            <w:r w:rsidR="004B0095" w:rsidRPr="00537F49">
              <w:rPr>
                <w:rFonts w:ascii="Arial" w:hAnsi="Arial" w:cs="Arial"/>
                <w:sz w:val="20"/>
              </w:rPr>
              <w:t>aragraph</w:t>
            </w:r>
            <w:r w:rsidR="00327B12" w:rsidRPr="00537F49">
              <w:rPr>
                <w:rFonts w:ascii="Arial" w:hAnsi="Arial" w:cs="Arial"/>
                <w:sz w:val="20"/>
              </w:rPr>
              <w:t> </w:t>
            </w:r>
            <w:r w:rsidRPr="00537F49">
              <w:rPr>
                <w:rFonts w:ascii="Arial" w:hAnsi="Arial" w:cs="Arial"/>
                <w:sz w:val="20"/>
              </w:rPr>
              <w:t>6(d)</w:t>
            </w:r>
            <w:r w:rsidR="00DD131B">
              <w:rPr>
                <w:rFonts w:ascii="Arial" w:hAnsi="Arial" w:cs="Arial"/>
                <w:sz w:val="20"/>
              </w:rPr>
              <w:t>)</w:t>
            </w:r>
            <w:r w:rsidRPr="00537F49">
              <w:rPr>
                <w:rFonts w:ascii="Arial" w:hAnsi="Arial" w:cs="Arial"/>
                <w:sz w:val="20"/>
              </w:rPr>
              <w:t>?</w:t>
            </w:r>
          </w:p>
        </w:tc>
        <w:tc>
          <w:tcPr>
            <w:tcW w:w="1358" w:type="pct"/>
            <w:shd w:val="clear" w:color="auto" w:fill="auto"/>
          </w:tcPr>
          <w:p w14:paraId="23A7ACA8" w14:textId="0B47E649" w:rsidR="00FD2FAC" w:rsidRPr="00537F49" w:rsidRDefault="00FD2FAC" w:rsidP="00537F49">
            <w:pPr>
              <w:spacing w:before="60" w:after="60"/>
              <w:ind w:right="113"/>
              <w:jc w:val="right"/>
              <w:rPr>
                <w:rFonts w:ascii="Arial" w:hAnsi="Arial" w:cs="Arial"/>
                <w:sz w:val="20"/>
              </w:rPr>
            </w:pPr>
            <w:r w:rsidRPr="00537F49">
              <w:rPr>
                <w:rFonts w:ascii="Arial" w:hAnsi="Arial" w:cs="Arial"/>
                <w:sz w:val="20"/>
              </w:rPr>
              <w:t>Yes.</w:t>
            </w:r>
          </w:p>
        </w:tc>
        <w:tc>
          <w:tcPr>
            <w:tcW w:w="1754" w:type="pct"/>
            <w:shd w:val="clear" w:color="auto" w:fill="auto"/>
          </w:tcPr>
          <w:p w14:paraId="372E9196" w14:textId="459929E6" w:rsidR="00FD2FAC" w:rsidRPr="00537F49" w:rsidRDefault="00FD2FAC" w:rsidP="00537F49">
            <w:pPr>
              <w:spacing w:before="60" w:after="60"/>
              <w:ind w:right="113"/>
              <w:jc w:val="right"/>
              <w:rPr>
                <w:rFonts w:ascii="Arial" w:hAnsi="Arial" w:cs="Arial"/>
                <w:sz w:val="20"/>
              </w:rPr>
            </w:pPr>
            <w:r w:rsidRPr="00537F49">
              <w:rPr>
                <w:rFonts w:ascii="Arial" w:hAnsi="Arial" w:cs="Arial"/>
                <w:sz w:val="20"/>
              </w:rPr>
              <w:t>Yes.</w:t>
            </w:r>
          </w:p>
        </w:tc>
      </w:tr>
      <w:tr w:rsidR="00122670" w:rsidRPr="008D3670" w14:paraId="35348EA3" w14:textId="32768202" w:rsidTr="00537F49">
        <w:tc>
          <w:tcPr>
            <w:tcW w:w="1887" w:type="pct"/>
            <w:shd w:val="clear" w:color="auto" w:fill="auto"/>
          </w:tcPr>
          <w:p w14:paraId="15329786" w14:textId="0CAC8597" w:rsidR="00FD2FAC" w:rsidRPr="00537F49" w:rsidRDefault="00FD2FAC" w:rsidP="00327B12">
            <w:pPr>
              <w:spacing w:before="60" w:after="60"/>
              <w:rPr>
                <w:rFonts w:ascii="Arial" w:hAnsi="Arial" w:cs="Arial"/>
                <w:sz w:val="20"/>
              </w:rPr>
            </w:pPr>
            <w:r w:rsidRPr="00537F49">
              <w:rPr>
                <w:rFonts w:ascii="Arial" w:hAnsi="Arial" w:cs="Arial"/>
                <w:sz w:val="20"/>
              </w:rPr>
              <w:t xml:space="preserve">Error not </w:t>
            </w:r>
            <w:proofErr w:type="gramStart"/>
            <w:r w:rsidRPr="00537F49">
              <w:rPr>
                <w:rFonts w:ascii="Arial" w:hAnsi="Arial" w:cs="Arial"/>
                <w:sz w:val="20"/>
              </w:rPr>
              <w:t>taken into account</w:t>
            </w:r>
            <w:proofErr w:type="gramEnd"/>
            <w:r w:rsidRPr="00537F49">
              <w:rPr>
                <w:rFonts w:ascii="Arial" w:hAnsi="Arial" w:cs="Arial"/>
                <w:sz w:val="20"/>
              </w:rPr>
              <w:t xml:space="preserve"> in working out net amount for another tax period </w:t>
            </w:r>
            <w:r w:rsidR="00DD131B">
              <w:rPr>
                <w:rFonts w:ascii="Arial" w:hAnsi="Arial" w:cs="Arial"/>
                <w:sz w:val="20"/>
              </w:rPr>
              <w:t>(</w:t>
            </w:r>
            <w:r w:rsidR="003711E1">
              <w:rPr>
                <w:rFonts w:ascii="Arial" w:hAnsi="Arial" w:cs="Arial"/>
                <w:sz w:val="20"/>
              </w:rPr>
              <w:t>p</w:t>
            </w:r>
            <w:r w:rsidR="00FB730A" w:rsidRPr="00537F49">
              <w:rPr>
                <w:rFonts w:ascii="Arial" w:hAnsi="Arial" w:cs="Arial"/>
                <w:sz w:val="20"/>
              </w:rPr>
              <w:t>ara</w:t>
            </w:r>
            <w:r w:rsidR="004B0095" w:rsidRPr="00537F49">
              <w:rPr>
                <w:rFonts w:ascii="Arial" w:hAnsi="Arial" w:cs="Arial"/>
                <w:sz w:val="20"/>
              </w:rPr>
              <w:t>graph</w:t>
            </w:r>
            <w:r w:rsidR="00FB730A" w:rsidRPr="00537F49">
              <w:rPr>
                <w:rFonts w:ascii="Arial" w:hAnsi="Arial" w:cs="Arial"/>
                <w:sz w:val="20"/>
              </w:rPr>
              <w:t xml:space="preserve"> </w:t>
            </w:r>
            <w:r w:rsidRPr="00537F49">
              <w:rPr>
                <w:rFonts w:ascii="Arial" w:hAnsi="Arial" w:cs="Arial"/>
                <w:sz w:val="20"/>
              </w:rPr>
              <w:t>6(e)</w:t>
            </w:r>
            <w:r w:rsidR="00DD131B">
              <w:rPr>
                <w:rFonts w:ascii="Arial" w:hAnsi="Arial" w:cs="Arial"/>
                <w:sz w:val="20"/>
              </w:rPr>
              <w:t>)</w:t>
            </w:r>
            <w:r w:rsidRPr="00537F49">
              <w:rPr>
                <w:rFonts w:ascii="Arial" w:hAnsi="Arial" w:cs="Arial"/>
                <w:sz w:val="20"/>
              </w:rPr>
              <w:t>?</w:t>
            </w:r>
          </w:p>
        </w:tc>
        <w:tc>
          <w:tcPr>
            <w:tcW w:w="1358" w:type="pct"/>
            <w:shd w:val="clear" w:color="auto" w:fill="auto"/>
          </w:tcPr>
          <w:p w14:paraId="50EBB6C9" w14:textId="70B61CDF" w:rsidR="00FD2FAC" w:rsidRPr="00537F49" w:rsidRDefault="00FD2FAC" w:rsidP="00537F49">
            <w:pPr>
              <w:spacing w:before="60" w:after="60"/>
              <w:ind w:right="113"/>
              <w:jc w:val="right"/>
              <w:rPr>
                <w:rFonts w:ascii="Arial" w:hAnsi="Arial" w:cs="Arial"/>
                <w:sz w:val="20"/>
              </w:rPr>
            </w:pPr>
            <w:r w:rsidRPr="00537F49">
              <w:rPr>
                <w:rFonts w:ascii="Arial" w:hAnsi="Arial" w:cs="Arial"/>
                <w:sz w:val="20"/>
              </w:rPr>
              <w:t>Yes.</w:t>
            </w:r>
          </w:p>
        </w:tc>
        <w:tc>
          <w:tcPr>
            <w:tcW w:w="1754" w:type="pct"/>
            <w:shd w:val="clear" w:color="auto" w:fill="auto"/>
          </w:tcPr>
          <w:p w14:paraId="7DD02551" w14:textId="157E89BB" w:rsidR="00FD2FAC" w:rsidRPr="00537F49" w:rsidRDefault="00FD2FAC" w:rsidP="00537F49">
            <w:pPr>
              <w:spacing w:before="60" w:after="60"/>
              <w:ind w:right="113"/>
              <w:jc w:val="right"/>
              <w:rPr>
                <w:rFonts w:ascii="Arial" w:hAnsi="Arial" w:cs="Arial"/>
                <w:sz w:val="20"/>
              </w:rPr>
            </w:pPr>
            <w:r w:rsidRPr="00537F49">
              <w:rPr>
                <w:rFonts w:ascii="Arial" w:hAnsi="Arial" w:cs="Arial"/>
                <w:sz w:val="20"/>
              </w:rPr>
              <w:t>Yes.</w:t>
            </w:r>
          </w:p>
        </w:tc>
      </w:tr>
      <w:tr w:rsidR="00122670" w:rsidRPr="008D3670" w14:paraId="25B76FD3" w14:textId="416EA3B9" w:rsidTr="00537F49">
        <w:tc>
          <w:tcPr>
            <w:tcW w:w="1887" w:type="pct"/>
            <w:shd w:val="clear" w:color="auto" w:fill="auto"/>
          </w:tcPr>
          <w:p w14:paraId="3C50C095" w14:textId="4B12B6BE" w:rsidR="00FD2FAC" w:rsidRPr="00537F49" w:rsidRDefault="00FD2FAC" w:rsidP="00327B12">
            <w:pPr>
              <w:spacing w:before="60" w:after="60"/>
              <w:rPr>
                <w:rFonts w:ascii="Arial" w:hAnsi="Arial" w:cs="Arial"/>
                <w:sz w:val="20"/>
              </w:rPr>
            </w:pPr>
            <w:r w:rsidRPr="00537F49">
              <w:rPr>
                <w:rFonts w:ascii="Arial" w:hAnsi="Arial" w:cs="Arial"/>
                <w:sz w:val="20"/>
              </w:rPr>
              <w:t xml:space="preserve">Not recklessness or intentional disregard </w:t>
            </w:r>
            <w:r w:rsidR="00DD131B">
              <w:rPr>
                <w:rFonts w:ascii="Arial" w:hAnsi="Arial" w:cs="Arial"/>
                <w:sz w:val="20"/>
              </w:rPr>
              <w:t>(</w:t>
            </w:r>
            <w:r w:rsidR="003711E1">
              <w:rPr>
                <w:rFonts w:ascii="Arial" w:hAnsi="Arial" w:cs="Arial"/>
                <w:sz w:val="20"/>
              </w:rPr>
              <w:t>p</w:t>
            </w:r>
            <w:r w:rsidR="00FB730A" w:rsidRPr="00537F49">
              <w:rPr>
                <w:rFonts w:ascii="Arial" w:hAnsi="Arial" w:cs="Arial"/>
                <w:sz w:val="20"/>
              </w:rPr>
              <w:t>ara</w:t>
            </w:r>
            <w:r w:rsidR="004B0095" w:rsidRPr="00537F49">
              <w:rPr>
                <w:rFonts w:ascii="Arial" w:hAnsi="Arial" w:cs="Arial"/>
                <w:sz w:val="20"/>
              </w:rPr>
              <w:t>graph</w:t>
            </w:r>
            <w:r w:rsidR="00FB730A" w:rsidRPr="00537F49">
              <w:rPr>
                <w:rFonts w:ascii="Arial" w:hAnsi="Arial" w:cs="Arial"/>
                <w:sz w:val="20"/>
              </w:rPr>
              <w:t xml:space="preserve"> </w:t>
            </w:r>
            <w:r w:rsidR="00081D6F" w:rsidRPr="00537F49">
              <w:rPr>
                <w:rFonts w:ascii="Arial" w:hAnsi="Arial" w:cs="Arial"/>
                <w:sz w:val="20"/>
              </w:rPr>
              <w:t>7(a)</w:t>
            </w:r>
            <w:r w:rsidR="00DD131B">
              <w:rPr>
                <w:rFonts w:ascii="Arial" w:hAnsi="Arial" w:cs="Arial"/>
                <w:sz w:val="20"/>
              </w:rPr>
              <w:t>)</w:t>
            </w:r>
            <w:r w:rsidRPr="00537F49">
              <w:rPr>
                <w:rFonts w:ascii="Arial" w:hAnsi="Arial" w:cs="Arial"/>
                <w:sz w:val="20"/>
              </w:rPr>
              <w:t>?</w:t>
            </w:r>
          </w:p>
        </w:tc>
        <w:tc>
          <w:tcPr>
            <w:tcW w:w="1358" w:type="pct"/>
            <w:shd w:val="clear" w:color="auto" w:fill="auto"/>
          </w:tcPr>
          <w:p w14:paraId="00F8E4E8" w14:textId="2019C563" w:rsidR="00FD2FAC" w:rsidRPr="00537F49" w:rsidRDefault="00FD2FAC" w:rsidP="00537F49">
            <w:pPr>
              <w:spacing w:before="60" w:after="60"/>
              <w:ind w:right="113"/>
              <w:jc w:val="right"/>
              <w:rPr>
                <w:rFonts w:ascii="Arial" w:hAnsi="Arial" w:cs="Arial"/>
                <w:sz w:val="20"/>
              </w:rPr>
            </w:pPr>
            <w:r w:rsidRPr="00537F49">
              <w:rPr>
                <w:rFonts w:ascii="Arial" w:hAnsi="Arial" w:cs="Arial"/>
                <w:sz w:val="20"/>
              </w:rPr>
              <w:t>N/A – credit error.</w:t>
            </w:r>
          </w:p>
        </w:tc>
        <w:tc>
          <w:tcPr>
            <w:tcW w:w="1754" w:type="pct"/>
            <w:shd w:val="clear" w:color="auto" w:fill="auto"/>
          </w:tcPr>
          <w:p w14:paraId="67724469" w14:textId="17B62323" w:rsidR="00FD2FAC" w:rsidRPr="00537F49" w:rsidRDefault="00FD2FAC" w:rsidP="00537F49">
            <w:pPr>
              <w:spacing w:before="60" w:after="60"/>
              <w:ind w:right="113"/>
              <w:jc w:val="right"/>
              <w:rPr>
                <w:rFonts w:ascii="Arial" w:hAnsi="Arial" w:cs="Arial"/>
                <w:sz w:val="20"/>
              </w:rPr>
            </w:pPr>
            <w:r w:rsidRPr="00537F49">
              <w:rPr>
                <w:rFonts w:ascii="Arial" w:hAnsi="Arial" w:cs="Arial"/>
                <w:sz w:val="20"/>
              </w:rPr>
              <w:t>Yes.</w:t>
            </w:r>
          </w:p>
        </w:tc>
      </w:tr>
      <w:tr w:rsidR="00122670" w:rsidRPr="008D3670" w14:paraId="6F88F653" w14:textId="790B7ECF" w:rsidTr="00537F49">
        <w:tc>
          <w:tcPr>
            <w:tcW w:w="1887" w:type="pct"/>
            <w:tcBorders>
              <w:bottom w:val="single" w:sz="4" w:space="0" w:color="auto"/>
            </w:tcBorders>
            <w:shd w:val="clear" w:color="auto" w:fill="auto"/>
          </w:tcPr>
          <w:p w14:paraId="0949C460" w14:textId="514DBA9E" w:rsidR="00FD2FAC" w:rsidRPr="00537F49" w:rsidRDefault="00FD2FAC" w:rsidP="00327B12">
            <w:pPr>
              <w:spacing w:before="60" w:after="60"/>
              <w:rPr>
                <w:rFonts w:ascii="Arial" w:hAnsi="Arial" w:cs="Arial"/>
                <w:sz w:val="20"/>
              </w:rPr>
            </w:pPr>
            <w:r w:rsidRPr="00537F49">
              <w:rPr>
                <w:rFonts w:ascii="Arial" w:hAnsi="Arial" w:cs="Arial"/>
                <w:sz w:val="20"/>
              </w:rPr>
              <w:t xml:space="preserve">Errors corrected within applicable debit time limit – corrected in a GST return lodged within 18 months of the due date for lodging the GST return in which the error was made </w:t>
            </w:r>
            <w:r w:rsidR="00DD131B">
              <w:rPr>
                <w:rFonts w:ascii="Arial" w:hAnsi="Arial" w:cs="Arial"/>
                <w:sz w:val="20"/>
              </w:rPr>
              <w:t>(</w:t>
            </w:r>
            <w:r w:rsidR="003711E1">
              <w:rPr>
                <w:rFonts w:ascii="Arial" w:hAnsi="Arial" w:cs="Arial"/>
                <w:sz w:val="20"/>
              </w:rPr>
              <w:t>p</w:t>
            </w:r>
            <w:r w:rsidR="00FB730A" w:rsidRPr="00537F49">
              <w:rPr>
                <w:rFonts w:ascii="Arial" w:hAnsi="Arial" w:cs="Arial"/>
                <w:sz w:val="20"/>
              </w:rPr>
              <w:t>ara</w:t>
            </w:r>
            <w:r w:rsidR="004B0095" w:rsidRPr="00537F49">
              <w:rPr>
                <w:rFonts w:ascii="Arial" w:hAnsi="Arial" w:cs="Arial"/>
                <w:sz w:val="20"/>
              </w:rPr>
              <w:t>graph</w:t>
            </w:r>
            <w:r w:rsidR="00823C10" w:rsidRPr="00537F49">
              <w:rPr>
                <w:rFonts w:ascii="Arial" w:hAnsi="Arial" w:cs="Arial"/>
                <w:sz w:val="20"/>
              </w:rPr>
              <w:t> </w:t>
            </w:r>
            <w:r w:rsidR="00081D6F" w:rsidRPr="00537F49">
              <w:rPr>
                <w:rFonts w:ascii="Arial" w:hAnsi="Arial" w:cs="Arial"/>
                <w:sz w:val="20"/>
              </w:rPr>
              <w:t>7(b</w:t>
            </w:r>
            <w:r w:rsidRPr="00537F49">
              <w:rPr>
                <w:rFonts w:ascii="Arial" w:hAnsi="Arial" w:cs="Arial"/>
                <w:sz w:val="20"/>
              </w:rPr>
              <w:t>)</w:t>
            </w:r>
            <w:r w:rsidR="00DD131B">
              <w:rPr>
                <w:rFonts w:ascii="Arial" w:hAnsi="Arial" w:cs="Arial"/>
                <w:sz w:val="20"/>
              </w:rPr>
              <w:t>)</w:t>
            </w:r>
            <w:r w:rsidRPr="00537F49">
              <w:rPr>
                <w:rFonts w:ascii="Arial" w:hAnsi="Arial" w:cs="Arial"/>
                <w:sz w:val="20"/>
              </w:rPr>
              <w:t>?</w:t>
            </w:r>
          </w:p>
        </w:tc>
        <w:tc>
          <w:tcPr>
            <w:tcW w:w="1358" w:type="pct"/>
            <w:tcBorders>
              <w:bottom w:val="single" w:sz="4" w:space="0" w:color="auto"/>
            </w:tcBorders>
            <w:shd w:val="clear" w:color="auto" w:fill="auto"/>
          </w:tcPr>
          <w:p w14:paraId="6DFF5EBB" w14:textId="1FA88576" w:rsidR="00FD2FAC" w:rsidRPr="00537F49" w:rsidRDefault="00FD2FAC" w:rsidP="00537F49">
            <w:pPr>
              <w:spacing w:before="60" w:after="60"/>
              <w:ind w:right="113"/>
              <w:jc w:val="right"/>
              <w:rPr>
                <w:rFonts w:ascii="Arial" w:hAnsi="Arial" w:cs="Arial"/>
                <w:sz w:val="20"/>
              </w:rPr>
            </w:pPr>
            <w:r w:rsidRPr="00537F49">
              <w:rPr>
                <w:rFonts w:ascii="Arial" w:hAnsi="Arial" w:cs="Arial"/>
                <w:sz w:val="20"/>
              </w:rPr>
              <w:t>N/A – credit error.</w:t>
            </w:r>
          </w:p>
        </w:tc>
        <w:tc>
          <w:tcPr>
            <w:tcW w:w="1754" w:type="pct"/>
            <w:tcBorders>
              <w:bottom w:val="single" w:sz="4" w:space="0" w:color="auto"/>
            </w:tcBorders>
            <w:shd w:val="clear" w:color="auto" w:fill="auto"/>
          </w:tcPr>
          <w:p w14:paraId="78E20D30" w14:textId="745DA449" w:rsidR="00FD2FAC" w:rsidRPr="00537F49" w:rsidRDefault="00FD2FAC" w:rsidP="00537F49">
            <w:pPr>
              <w:spacing w:before="60" w:after="60"/>
              <w:ind w:right="113"/>
              <w:jc w:val="right"/>
              <w:rPr>
                <w:rFonts w:ascii="Arial" w:hAnsi="Arial" w:cs="Arial"/>
                <w:sz w:val="20"/>
              </w:rPr>
            </w:pPr>
            <w:r w:rsidRPr="00537F49">
              <w:rPr>
                <w:rFonts w:ascii="Arial" w:hAnsi="Arial" w:cs="Arial"/>
                <w:sz w:val="20"/>
              </w:rPr>
              <w:t>Yes.</w:t>
            </w:r>
          </w:p>
          <w:p w14:paraId="1320E1F4" w14:textId="0A2C7C84" w:rsidR="00FD2FAC" w:rsidRPr="00537F49" w:rsidRDefault="00FD2FAC" w:rsidP="00537F49">
            <w:pPr>
              <w:spacing w:before="60" w:after="60"/>
              <w:ind w:right="113"/>
              <w:jc w:val="right"/>
              <w:rPr>
                <w:rFonts w:ascii="Arial" w:hAnsi="Arial" w:cs="Arial"/>
                <w:sz w:val="20"/>
              </w:rPr>
            </w:pPr>
            <w:r w:rsidRPr="00537F49">
              <w:rPr>
                <w:rFonts w:ascii="Arial" w:hAnsi="Arial" w:cs="Arial"/>
                <w:sz w:val="20"/>
              </w:rPr>
              <w:t>Lodgment date for June 202</w:t>
            </w:r>
            <w:r w:rsidR="00081D6F" w:rsidRPr="00537F49">
              <w:rPr>
                <w:rFonts w:ascii="Arial" w:hAnsi="Arial" w:cs="Arial"/>
                <w:sz w:val="20"/>
              </w:rPr>
              <w:t>4</w:t>
            </w:r>
            <w:r w:rsidRPr="00537F49">
              <w:rPr>
                <w:rFonts w:ascii="Arial" w:hAnsi="Arial" w:cs="Arial"/>
                <w:sz w:val="20"/>
              </w:rPr>
              <w:t xml:space="preserve"> GST return is within 18 months of the due date for lodgment of the March 202</w:t>
            </w:r>
            <w:r w:rsidR="00081D6F" w:rsidRPr="00537F49">
              <w:rPr>
                <w:rFonts w:ascii="Arial" w:hAnsi="Arial" w:cs="Arial"/>
                <w:sz w:val="20"/>
              </w:rPr>
              <w:t>3</w:t>
            </w:r>
            <w:r w:rsidRPr="00537F49">
              <w:rPr>
                <w:rFonts w:ascii="Arial" w:hAnsi="Arial" w:cs="Arial"/>
                <w:sz w:val="20"/>
              </w:rPr>
              <w:t xml:space="preserve"> GST return (</w:t>
            </w:r>
            <w:r w:rsidR="00FB730A" w:rsidRPr="00537F49">
              <w:rPr>
                <w:rFonts w:ascii="Arial" w:hAnsi="Arial" w:cs="Arial"/>
                <w:sz w:val="20"/>
              </w:rPr>
              <w:t>that is</w:t>
            </w:r>
            <w:r w:rsidRPr="00537F49">
              <w:rPr>
                <w:rFonts w:ascii="Arial" w:hAnsi="Arial" w:cs="Arial"/>
                <w:sz w:val="20"/>
              </w:rPr>
              <w:t xml:space="preserve"> within 18 months of 28 April 202</w:t>
            </w:r>
            <w:r w:rsidR="00081D6F" w:rsidRPr="00537F49">
              <w:rPr>
                <w:rFonts w:ascii="Arial" w:hAnsi="Arial" w:cs="Arial"/>
                <w:sz w:val="20"/>
              </w:rPr>
              <w:t>3</w:t>
            </w:r>
            <w:r w:rsidRPr="00537F49">
              <w:rPr>
                <w:rFonts w:ascii="Arial" w:hAnsi="Arial" w:cs="Arial"/>
                <w:sz w:val="20"/>
              </w:rPr>
              <w:t>).</w:t>
            </w:r>
          </w:p>
        </w:tc>
      </w:tr>
      <w:tr w:rsidR="00122670" w:rsidRPr="008D3670" w14:paraId="57C44D6B" w14:textId="51BE08FD" w:rsidTr="00537F49">
        <w:tc>
          <w:tcPr>
            <w:tcW w:w="1887" w:type="pct"/>
            <w:tcBorders>
              <w:bottom w:val="single" w:sz="12" w:space="0" w:color="auto"/>
            </w:tcBorders>
            <w:shd w:val="clear" w:color="auto" w:fill="auto"/>
          </w:tcPr>
          <w:p w14:paraId="745EC031" w14:textId="43C027E9" w:rsidR="00FD2FAC" w:rsidRPr="00537F49" w:rsidRDefault="00FD2FAC" w:rsidP="00327B12">
            <w:pPr>
              <w:spacing w:before="60" w:after="60"/>
              <w:rPr>
                <w:rFonts w:ascii="Arial" w:hAnsi="Arial" w:cs="Arial"/>
                <w:sz w:val="20"/>
              </w:rPr>
            </w:pPr>
            <w:r w:rsidRPr="00537F49">
              <w:rPr>
                <w:rFonts w:ascii="Arial" w:hAnsi="Arial" w:cs="Arial"/>
                <w:sz w:val="20"/>
              </w:rPr>
              <w:t xml:space="preserve">Net sum of the debit errors within the applicable debit error value limit </w:t>
            </w:r>
            <w:r w:rsidR="00DD131B">
              <w:rPr>
                <w:rFonts w:ascii="Arial" w:hAnsi="Arial" w:cs="Arial"/>
                <w:sz w:val="20"/>
              </w:rPr>
              <w:t>(</w:t>
            </w:r>
            <w:r w:rsidR="003711E1">
              <w:rPr>
                <w:rFonts w:ascii="Arial" w:hAnsi="Arial" w:cs="Arial"/>
                <w:sz w:val="20"/>
              </w:rPr>
              <w:t>p</w:t>
            </w:r>
            <w:r w:rsidR="00FB730A" w:rsidRPr="00537F49">
              <w:rPr>
                <w:rFonts w:ascii="Arial" w:hAnsi="Arial" w:cs="Arial"/>
                <w:sz w:val="20"/>
              </w:rPr>
              <w:t>ara</w:t>
            </w:r>
            <w:r w:rsidR="004B0095" w:rsidRPr="00537F49">
              <w:rPr>
                <w:rFonts w:ascii="Arial" w:hAnsi="Arial" w:cs="Arial"/>
                <w:sz w:val="20"/>
              </w:rPr>
              <w:t>graph</w:t>
            </w:r>
            <w:r w:rsidR="00FB730A" w:rsidRPr="00537F49">
              <w:rPr>
                <w:rFonts w:ascii="Arial" w:hAnsi="Arial" w:cs="Arial"/>
                <w:sz w:val="20"/>
              </w:rPr>
              <w:t xml:space="preserve"> </w:t>
            </w:r>
            <w:r w:rsidR="00081D6F" w:rsidRPr="00537F49">
              <w:rPr>
                <w:rFonts w:ascii="Arial" w:hAnsi="Arial" w:cs="Arial"/>
                <w:sz w:val="20"/>
              </w:rPr>
              <w:t>7(c</w:t>
            </w:r>
            <w:r w:rsidRPr="00537F49">
              <w:rPr>
                <w:rFonts w:ascii="Arial" w:hAnsi="Arial" w:cs="Arial"/>
                <w:sz w:val="20"/>
              </w:rPr>
              <w:t>)</w:t>
            </w:r>
            <w:r w:rsidR="00DD131B">
              <w:rPr>
                <w:rFonts w:ascii="Arial" w:hAnsi="Arial" w:cs="Arial"/>
                <w:sz w:val="20"/>
              </w:rPr>
              <w:t>)</w:t>
            </w:r>
            <w:r w:rsidRPr="00537F49">
              <w:rPr>
                <w:rFonts w:ascii="Arial" w:hAnsi="Arial" w:cs="Arial"/>
                <w:sz w:val="20"/>
              </w:rPr>
              <w:t>?</w:t>
            </w:r>
          </w:p>
        </w:tc>
        <w:tc>
          <w:tcPr>
            <w:tcW w:w="1358" w:type="pct"/>
            <w:tcBorders>
              <w:bottom w:val="single" w:sz="12" w:space="0" w:color="auto"/>
            </w:tcBorders>
            <w:shd w:val="clear" w:color="auto" w:fill="auto"/>
          </w:tcPr>
          <w:p w14:paraId="72000352" w14:textId="727E6EE6" w:rsidR="00FD2FAC" w:rsidRPr="00537F49" w:rsidRDefault="00FD2FAC" w:rsidP="00537F49">
            <w:pPr>
              <w:spacing w:before="60" w:after="60"/>
              <w:ind w:right="113"/>
              <w:jc w:val="right"/>
              <w:rPr>
                <w:rFonts w:ascii="Arial" w:hAnsi="Arial" w:cs="Arial"/>
                <w:sz w:val="20"/>
              </w:rPr>
            </w:pPr>
            <w:r w:rsidRPr="00537F49">
              <w:rPr>
                <w:rFonts w:ascii="Arial" w:hAnsi="Arial" w:cs="Arial"/>
                <w:sz w:val="20"/>
              </w:rPr>
              <w:t>N/A – credit error.</w:t>
            </w:r>
          </w:p>
        </w:tc>
        <w:tc>
          <w:tcPr>
            <w:tcW w:w="1754" w:type="pct"/>
            <w:tcBorders>
              <w:bottom w:val="single" w:sz="12" w:space="0" w:color="auto"/>
            </w:tcBorders>
            <w:shd w:val="clear" w:color="auto" w:fill="auto"/>
          </w:tcPr>
          <w:p w14:paraId="058C53CF" w14:textId="3BC3BDAA" w:rsidR="00FD2FAC" w:rsidRPr="00537F49" w:rsidRDefault="00FD2FAC" w:rsidP="00537F49">
            <w:pPr>
              <w:spacing w:before="60" w:after="60"/>
              <w:ind w:right="113"/>
              <w:jc w:val="right"/>
              <w:rPr>
                <w:rFonts w:ascii="Arial" w:hAnsi="Arial" w:cs="Arial"/>
                <w:sz w:val="20"/>
              </w:rPr>
            </w:pPr>
            <w:r w:rsidRPr="00537F49">
              <w:rPr>
                <w:rFonts w:ascii="Arial" w:hAnsi="Arial" w:cs="Arial"/>
                <w:sz w:val="20"/>
              </w:rPr>
              <w:t>Yes.</w:t>
            </w:r>
          </w:p>
          <w:p w14:paraId="7377D8C7" w14:textId="7771545A" w:rsidR="00FD2FAC" w:rsidRPr="00537F49" w:rsidRDefault="00FD2FAC" w:rsidP="00537F49">
            <w:pPr>
              <w:spacing w:before="60" w:after="60"/>
              <w:ind w:right="113"/>
              <w:jc w:val="right"/>
              <w:rPr>
                <w:rFonts w:ascii="Arial" w:hAnsi="Arial" w:cs="Arial"/>
                <w:sz w:val="20"/>
              </w:rPr>
            </w:pPr>
            <w:r w:rsidRPr="00537F49">
              <w:rPr>
                <w:rFonts w:ascii="Arial" w:hAnsi="Arial" w:cs="Arial"/>
                <w:sz w:val="20"/>
              </w:rPr>
              <w:t>Net sum of the debit errors is $8,000 ($15,000 less $7,000), which is below the applicable debit error value limit of $</w:t>
            </w:r>
            <w:r w:rsidR="00C03C99" w:rsidRPr="00537F49">
              <w:rPr>
                <w:rFonts w:ascii="Arial" w:hAnsi="Arial" w:cs="Arial"/>
                <w:sz w:val="20"/>
              </w:rPr>
              <w:t>20</w:t>
            </w:r>
            <w:r w:rsidRPr="00537F49">
              <w:rPr>
                <w:rFonts w:ascii="Arial" w:hAnsi="Arial" w:cs="Arial"/>
                <w:sz w:val="20"/>
              </w:rPr>
              <w:t>,000.</w:t>
            </w:r>
          </w:p>
        </w:tc>
      </w:tr>
    </w:tbl>
    <w:p w14:paraId="37778635" w14:textId="53EA1CF6" w:rsidR="00FD2FAC" w:rsidRPr="00B753F6" w:rsidRDefault="00FD2FAC" w:rsidP="0019176E">
      <w:pPr>
        <w:spacing w:after="120"/>
        <w:rPr>
          <w:rFonts w:ascii="Arial" w:hAnsi="Arial" w:cs="Arial"/>
          <w:sz w:val="22"/>
          <w:szCs w:val="22"/>
        </w:rPr>
      </w:pPr>
    </w:p>
    <w:p w14:paraId="768A4818" w14:textId="03826B72" w:rsidR="00D4665E" w:rsidRPr="006643E8" w:rsidRDefault="00D4665E" w:rsidP="006643E8">
      <w:pPr>
        <w:spacing w:after="120"/>
        <w:rPr>
          <w:rFonts w:ascii="Arial" w:hAnsi="Arial" w:cs="Arial"/>
          <w:i/>
          <w:iCs/>
          <w:sz w:val="20"/>
        </w:rPr>
      </w:pPr>
      <w:r w:rsidRPr="006643E8">
        <w:rPr>
          <w:rFonts w:ascii="Arial" w:hAnsi="Arial" w:cs="Arial"/>
          <w:i/>
          <w:iCs/>
          <w:sz w:val="20"/>
        </w:rPr>
        <w:t>Du Maurier Company can correct both errors in its GST return for the June 20</w:t>
      </w:r>
      <w:r w:rsidR="00796E44" w:rsidRPr="006643E8">
        <w:rPr>
          <w:rFonts w:ascii="Arial" w:hAnsi="Arial" w:cs="Arial"/>
          <w:i/>
          <w:iCs/>
          <w:sz w:val="20"/>
        </w:rPr>
        <w:t>24</w:t>
      </w:r>
      <w:r w:rsidRPr="006643E8">
        <w:rPr>
          <w:rFonts w:ascii="Arial" w:hAnsi="Arial" w:cs="Arial"/>
          <w:i/>
          <w:iCs/>
          <w:sz w:val="20"/>
        </w:rPr>
        <w:t xml:space="preserve"> quarterly tax period.</w:t>
      </w:r>
    </w:p>
    <w:p w14:paraId="31FCC1D2" w14:textId="579505C7" w:rsidR="00D4665E" w:rsidRPr="00B753F6" w:rsidRDefault="00D4665E" w:rsidP="00753F0C">
      <w:pPr>
        <w:pStyle w:val="Numberedparagraph"/>
      </w:pPr>
      <w:r w:rsidRPr="00B753F6">
        <w:t xml:space="preserve">The debit error value limit applies to the entity that is required to give to the </w:t>
      </w:r>
      <w:r w:rsidRPr="0066630F">
        <w:t>Commissioner</w:t>
      </w:r>
      <w:r w:rsidRPr="00B753F6">
        <w:t xml:space="preserve"> a GST return and is liable to pay </w:t>
      </w:r>
      <w:r w:rsidR="00013194" w:rsidRPr="00B753F6">
        <w:t xml:space="preserve">wine tax </w:t>
      </w:r>
      <w:r w:rsidRPr="00B753F6">
        <w:t>or</w:t>
      </w:r>
      <w:r w:rsidR="00013194" w:rsidRPr="00B753F6">
        <w:t xml:space="preserve"> is</w:t>
      </w:r>
      <w:r w:rsidRPr="00B753F6">
        <w:t xml:space="preserve"> entitled to a</w:t>
      </w:r>
      <w:r w:rsidR="00013194" w:rsidRPr="00B753F6">
        <w:t xml:space="preserve"> wine tax </w:t>
      </w:r>
      <w:r w:rsidRPr="00B753F6">
        <w:t>refund. For example, it applies to the representative member of the GST group (rather than each individual member) and the GST joint venture operator of a GST joint venture.</w:t>
      </w:r>
    </w:p>
    <w:p w14:paraId="48A46DEE" w14:textId="77777777" w:rsidR="00D4665E" w:rsidRPr="00B753F6" w:rsidRDefault="00D4665E" w:rsidP="0019176E">
      <w:pPr>
        <w:spacing w:after="120"/>
        <w:rPr>
          <w:rFonts w:ascii="Arial" w:hAnsi="Arial" w:cs="Arial"/>
          <w:sz w:val="22"/>
          <w:szCs w:val="22"/>
        </w:rPr>
      </w:pPr>
    </w:p>
    <w:p w14:paraId="671A18BA" w14:textId="4BD7C2AF" w:rsidR="00D4665E" w:rsidRPr="00B753F6" w:rsidRDefault="00D4665E" w:rsidP="0019176E">
      <w:pPr>
        <w:pStyle w:val="Heading3"/>
        <w:spacing w:before="0" w:after="120"/>
        <w:rPr>
          <w:i/>
          <w:iCs/>
          <w:sz w:val="22"/>
          <w:szCs w:val="22"/>
        </w:rPr>
      </w:pPr>
      <w:bookmarkStart w:id="5" w:name="_Hlk183523586"/>
      <w:r w:rsidRPr="0066630F">
        <w:rPr>
          <w:i/>
          <w:iCs/>
          <w:sz w:val="22"/>
          <w:szCs w:val="22"/>
        </w:rPr>
        <w:t xml:space="preserve">Record </w:t>
      </w:r>
      <w:r w:rsidR="00C968E5" w:rsidRPr="0066630F">
        <w:rPr>
          <w:i/>
          <w:iCs/>
          <w:sz w:val="22"/>
          <w:szCs w:val="22"/>
        </w:rPr>
        <w:t>k</w:t>
      </w:r>
      <w:r w:rsidRPr="0066630F">
        <w:rPr>
          <w:i/>
          <w:iCs/>
          <w:sz w:val="22"/>
          <w:szCs w:val="22"/>
        </w:rPr>
        <w:t>eeping</w:t>
      </w:r>
    </w:p>
    <w:bookmarkEnd w:id="5"/>
    <w:p w14:paraId="022E42DF" w14:textId="432CFF26" w:rsidR="00D84CFC" w:rsidRPr="00B753F6" w:rsidRDefault="00D4665E" w:rsidP="00753F0C">
      <w:pPr>
        <w:pStyle w:val="Numberedparagraph"/>
      </w:pPr>
      <w:r w:rsidRPr="00B753F6">
        <w:t>If, in working out your net amount for a tax period, you correct a</w:t>
      </w:r>
      <w:r w:rsidR="00D23C2B" w:rsidRPr="00B753F6">
        <w:t xml:space="preserve"> </w:t>
      </w:r>
      <w:r w:rsidR="008F76F5" w:rsidRPr="00B753F6">
        <w:t>credit or debit</w:t>
      </w:r>
      <w:r w:rsidR="00D23C2B" w:rsidRPr="00B753F6">
        <w:t xml:space="preserve"> </w:t>
      </w:r>
      <w:r w:rsidRPr="00B753F6">
        <w:t xml:space="preserve">error that was made in an earlier tax period you must keep records in accordance with section 382-5 in Schedule 1 to the TAA. This includes records that explain the correction of the error in accordance with the </w:t>
      </w:r>
      <w:r w:rsidR="003D16C4" w:rsidRPr="00B753F6">
        <w:t>i</w:t>
      </w:r>
      <w:r w:rsidR="000A47D7" w:rsidRPr="00B753F6">
        <w:t>nstrument</w:t>
      </w:r>
      <w:r w:rsidRPr="00B753F6">
        <w:t>.</w:t>
      </w:r>
    </w:p>
    <w:p w14:paraId="04E6AE1B" w14:textId="63DBCC02" w:rsidR="00A04ED1" w:rsidRPr="00B753F6" w:rsidRDefault="00A04ED1" w:rsidP="0019176E">
      <w:pPr>
        <w:spacing w:after="120"/>
        <w:rPr>
          <w:rFonts w:ascii="Arial" w:hAnsi="Arial" w:cs="Arial"/>
          <w:sz w:val="22"/>
          <w:szCs w:val="22"/>
        </w:rPr>
      </w:pPr>
    </w:p>
    <w:p w14:paraId="59948FCC" w14:textId="4E169744" w:rsidR="006D6B26" w:rsidRPr="00B753F6" w:rsidRDefault="006D6B26" w:rsidP="0019176E">
      <w:pPr>
        <w:pStyle w:val="Heading3"/>
        <w:spacing w:before="0" w:after="120"/>
        <w:rPr>
          <w:i/>
          <w:iCs/>
          <w:sz w:val="22"/>
          <w:szCs w:val="22"/>
        </w:rPr>
      </w:pPr>
      <w:r w:rsidRPr="00B753F6">
        <w:rPr>
          <w:i/>
          <w:iCs/>
          <w:sz w:val="22"/>
          <w:szCs w:val="22"/>
        </w:rPr>
        <w:t>Correcting error by</w:t>
      </w:r>
      <w:r w:rsidR="00160F79" w:rsidRPr="00B753F6">
        <w:rPr>
          <w:i/>
          <w:iCs/>
          <w:sz w:val="22"/>
          <w:szCs w:val="22"/>
        </w:rPr>
        <w:t xml:space="preserve"> </w:t>
      </w:r>
      <w:r w:rsidR="00160F79" w:rsidRPr="0066630F">
        <w:rPr>
          <w:i/>
          <w:iCs/>
          <w:sz w:val="22"/>
          <w:szCs w:val="22"/>
        </w:rPr>
        <w:t>Commissioner</w:t>
      </w:r>
      <w:r w:rsidRPr="00B753F6">
        <w:rPr>
          <w:i/>
          <w:iCs/>
          <w:sz w:val="22"/>
          <w:szCs w:val="22"/>
        </w:rPr>
        <w:t xml:space="preserve"> amending assessment</w:t>
      </w:r>
    </w:p>
    <w:p w14:paraId="6B948549" w14:textId="112C6DE4" w:rsidR="00D84CFC" w:rsidRPr="00B753F6" w:rsidRDefault="00182EF9" w:rsidP="00753F0C">
      <w:pPr>
        <w:pStyle w:val="Numberedparagraph"/>
      </w:pPr>
      <w:r w:rsidRPr="00B753F6">
        <w:t>You</w:t>
      </w:r>
      <w:r w:rsidR="006D6B26" w:rsidRPr="00B753F6">
        <w:t xml:space="preserve"> do not have to apply this instrument to correct an error made in an earlier tax </w:t>
      </w:r>
      <w:proofErr w:type="gramStart"/>
      <w:r w:rsidR="006D6B26" w:rsidRPr="00B753F6">
        <w:t>period, but</w:t>
      </w:r>
      <w:proofErr w:type="gramEnd"/>
      <w:r w:rsidRPr="00B753F6">
        <w:t xml:space="preserve"> may</w:t>
      </w:r>
      <w:r w:rsidR="006D6B26" w:rsidRPr="00B753F6">
        <w:t xml:space="preserve"> instead</w:t>
      </w:r>
      <w:r w:rsidRPr="00B753F6">
        <w:t xml:space="preserve"> choose to correct a</w:t>
      </w:r>
      <w:r w:rsidR="003B11B5" w:rsidRPr="00B753F6">
        <w:t>n</w:t>
      </w:r>
      <w:r w:rsidRPr="00B753F6">
        <w:t xml:space="preserve"> error by requesting the </w:t>
      </w:r>
      <w:r w:rsidRPr="0066630F">
        <w:t>Commissioner</w:t>
      </w:r>
      <w:r w:rsidRPr="00B753F6">
        <w:t xml:space="preserve"> amend the assessment for the tax period in which the error was made</w:t>
      </w:r>
      <w:r w:rsidR="0011404C" w:rsidRPr="00B753F6">
        <w:t xml:space="preserve">. </w:t>
      </w:r>
      <w:r w:rsidR="006D6B26" w:rsidRPr="00B753F6">
        <w:t xml:space="preserve">However, </w:t>
      </w:r>
      <w:r w:rsidR="002E56E1" w:rsidRPr="00B753F6">
        <w:t xml:space="preserve">under section 8 </w:t>
      </w:r>
      <w:r w:rsidR="006D6B26" w:rsidRPr="00B753F6">
        <w:t>y</w:t>
      </w:r>
      <w:r w:rsidR="0011404C" w:rsidRPr="00B753F6">
        <w:t>ou cannot correct a</w:t>
      </w:r>
      <w:r w:rsidR="003B11B5" w:rsidRPr="00B753F6">
        <w:t xml:space="preserve">n </w:t>
      </w:r>
      <w:r w:rsidR="0011404C" w:rsidRPr="00B753F6">
        <w:t xml:space="preserve">error </w:t>
      </w:r>
      <w:r w:rsidR="006D6B26" w:rsidRPr="00B753F6">
        <w:t xml:space="preserve">made in an earlier tax period </w:t>
      </w:r>
      <w:r w:rsidR="0011404C" w:rsidRPr="00B753F6">
        <w:t xml:space="preserve">by requesting </w:t>
      </w:r>
      <w:r w:rsidRPr="00B753F6">
        <w:t xml:space="preserve">the </w:t>
      </w:r>
      <w:r w:rsidRPr="0066630F">
        <w:t>Commissioner</w:t>
      </w:r>
      <w:r w:rsidRPr="00B753F6">
        <w:t xml:space="preserve"> </w:t>
      </w:r>
      <w:r w:rsidR="0011404C" w:rsidRPr="00B753F6">
        <w:t>amend</w:t>
      </w:r>
      <w:r w:rsidRPr="00B753F6">
        <w:t xml:space="preserve"> an </w:t>
      </w:r>
      <w:r w:rsidR="0011404C" w:rsidRPr="00B753F6">
        <w:t xml:space="preserve">assessment </w:t>
      </w:r>
      <w:r w:rsidRPr="00B753F6">
        <w:t>for a</w:t>
      </w:r>
      <w:r w:rsidR="00802FF6" w:rsidRPr="00B753F6">
        <w:t>ny</w:t>
      </w:r>
      <w:r w:rsidRPr="00B753F6">
        <w:t xml:space="preserve"> tax period other than the one in which the error was made.</w:t>
      </w:r>
    </w:p>
    <w:p w14:paraId="4A0BA040" w14:textId="43C805D5" w:rsidR="009F3006" w:rsidRPr="00B753F6" w:rsidRDefault="009F3006" w:rsidP="0019176E">
      <w:pPr>
        <w:spacing w:after="120"/>
        <w:rPr>
          <w:rFonts w:ascii="Arial" w:hAnsi="Arial" w:cs="Arial"/>
          <w:sz w:val="22"/>
          <w:szCs w:val="22"/>
        </w:rPr>
      </w:pPr>
    </w:p>
    <w:p w14:paraId="367FF941" w14:textId="77777777" w:rsidR="003A4835" w:rsidRPr="00B753F6" w:rsidRDefault="003A4835" w:rsidP="0019176E">
      <w:pPr>
        <w:pStyle w:val="Heading2"/>
      </w:pPr>
      <w:r w:rsidRPr="00B753F6">
        <w:t>Compliance cost assessment</w:t>
      </w:r>
    </w:p>
    <w:p w14:paraId="668A08A1" w14:textId="1E325ABD" w:rsidR="003A4835" w:rsidRPr="00806D5E" w:rsidRDefault="00806D5E" w:rsidP="00753F0C">
      <w:pPr>
        <w:pStyle w:val="Numberedparagraph"/>
      </w:pPr>
      <w:r w:rsidRPr="00806D5E">
        <w:t>Minor – There will be no additional regulatory impacts as the instrument is minor and machinery in nature OIA25-09320.</w:t>
      </w:r>
    </w:p>
    <w:p w14:paraId="1F4A5DEA" w14:textId="35DDFB50" w:rsidR="00BA12BE" w:rsidRDefault="00BA12BE">
      <w:pPr>
        <w:rPr>
          <w:rFonts w:ascii="Arial" w:hAnsi="Arial" w:cs="Arial"/>
          <w:b/>
          <w:sz w:val="22"/>
          <w:szCs w:val="22"/>
        </w:rPr>
      </w:pPr>
    </w:p>
    <w:p w14:paraId="15AC1B77" w14:textId="556BAFF6" w:rsidR="00486653" w:rsidRPr="00B753F6" w:rsidRDefault="00E10B37" w:rsidP="0019176E">
      <w:pPr>
        <w:pStyle w:val="Heading2"/>
      </w:pPr>
      <w:r w:rsidRPr="00B753F6">
        <w:t>Consultation</w:t>
      </w:r>
    </w:p>
    <w:p w14:paraId="61533412" w14:textId="358FB183" w:rsidR="009371D0" w:rsidRPr="00B753F6" w:rsidRDefault="00B31550" w:rsidP="00753F0C">
      <w:pPr>
        <w:pStyle w:val="Numberedparagraph"/>
      </w:pPr>
      <w:r w:rsidRPr="00B753F6">
        <w:t xml:space="preserve">Subsection 17(1) of the </w:t>
      </w:r>
      <w:r w:rsidRPr="00B753F6">
        <w:rPr>
          <w:i/>
          <w:iCs/>
        </w:rPr>
        <w:t>Legislation Act 2003</w:t>
      </w:r>
      <w:r w:rsidRPr="00B753F6">
        <w:t xml:space="preserve"> requires</w:t>
      </w:r>
      <w:r w:rsidR="003B547B" w:rsidRPr="00B753F6">
        <w:t xml:space="preserve"> </w:t>
      </w:r>
      <w:r w:rsidRPr="00B753F6">
        <w:t xml:space="preserve">that the </w:t>
      </w:r>
      <w:r w:rsidRPr="0066630F">
        <w:t>Commissioner</w:t>
      </w:r>
      <w:r w:rsidRPr="00B753F6">
        <w:t xml:space="preserve"> is satisfied that appropriate and reasonably practicable consultation has been undertaken</w:t>
      </w:r>
      <w:r w:rsidR="003B547B" w:rsidRPr="00B753F6">
        <w:t xml:space="preserve"> before they make a</w:t>
      </w:r>
      <w:r w:rsidR="000A47D7" w:rsidRPr="00B753F6">
        <w:t>n</w:t>
      </w:r>
      <w:r w:rsidR="003B547B" w:rsidRPr="00B753F6">
        <w:t xml:space="preserve"> </w:t>
      </w:r>
      <w:r w:rsidR="000A47D7" w:rsidRPr="00B753F6">
        <w:t>instrument</w:t>
      </w:r>
      <w:r w:rsidRPr="00B753F6">
        <w:t>.</w:t>
      </w:r>
    </w:p>
    <w:p w14:paraId="71A7A354" w14:textId="219E3713" w:rsidR="00E13AF3" w:rsidRPr="00837DEA" w:rsidRDefault="00837DEA" w:rsidP="00753F0C">
      <w:pPr>
        <w:pStyle w:val="Numberedparagraph"/>
      </w:pPr>
      <w:r>
        <w:t>Public consultation was undertaken for a period of 4 weeks from 14 May to 11 June 2025.</w:t>
      </w:r>
    </w:p>
    <w:p w14:paraId="7F9ED4E4" w14:textId="2511C163" w:rsidR="00837DEA" w:rsidRDefault="00837DEA" w:rsidP="00753F0C">
      <w:pPr>
        <w:pStyle w:val="Numberedparagraph"/>
      </w:pPr>
      <w:r w:rsidRPr="00837DEA">
        <w:t>The draft instrument and draft explanatory statement were published to the ATO Legal database and advertised via the database's 'What's new' page. Major tax and superannuation publishers and associations commonly monitor these pages and include the details in the daily and weekly alerts and newsletters to their subscribers and members.</w:t>
      </w:r>
      <w:r>
        <w:t xml:space="preserve"> Links to the drafts were also circulated via the weekly “Business Bulletins” and “Tax Professionals” newsletters, and via an email to the members of the Alcohol Stakeholder Group.</w:t>
      </w:r>
    </w:p>
    <w:p w14:paraId="22BD5E6D" w14:textId="1846A2A4" w:rsidR="00AF6FA8" w:rsidRPr="00A744DA" w:rsidRDefault="00F757B3" w:rsidP="00E774A3">
      <w:pPr>
        <w:pStyle w:val="Numberedparagraph"/>
      </w:pPr>
      <w:bookmarkStart w:id="6" w:name="_Hlk202179775"/>
      <w:r w:rsidRPr="00A744DA">
        <w:t>One submission was received</w:t>
      </w:r>
      <w:r w:rsidR="0007708B" w:rsidRPr="00A744DA">
        <w:t xml:space="preserve"> </w:t>
      </w:r>
      <w:r w:rsidR="007E344C" w:rsidRPr="00A744DA">
        <w:t xml:space="preserve">during consultation </w:t>
      </w:r>
      <w:r w:rsidR="0007708B" w:rsidRPr="00A744DA">
        <w:t>which</w:t>
      </w:r>
      <w:r w:rsidRPr="00A744DA">
        <w:t xml:space="preserve"> </w:t>
      </w:r>
      <w:r w:rsidR="00DD04DB" w:rsidRPr="00A744DA">
        <w:t xml:space="preserve">suggested </w:t>
      </w:r>
      <w:r w:rsidRPr="00A744DA">
        <w:t>a</w:t>
      </w:r>
      <w:r w:rsidR="00194349" w:rsidRPr="00A744DA">
        <w:t xml:space="preserve">n additional </w:t>
      </w:r>
      <w:proofErr w:type="gramStart"/>
      <w:r w:rsidR="0007708B" w:rsidRPr="00A744DA">
        <w:t>word</w:t>
      </w:r>
      <w:proofErr w:type="gramEnd"/>
      <w:r w:rsidR="0007708B" w:rsidRPr="00A744DA">
        <w:t xml:space="preserve"> </w:t>
      </w:r>
      <w:r w:rsidR="00194349" w:rsidRPr="00A744DA">
        <w:t xml:space="preserve">be </w:t>
      </w:r>
      <w:r w:rsidR="007E344C" w:rsidRPr="00A744DA">
        <w:t>inserted</w:t>
      </w:r>
      <w:r w:rsidR="00194349" w:rsidRPr="00A744DA">
        <w:t xml:space="preserve"> in</w:t>
      </w:r>
      <w:r w:rsidR="0007708B" w:rsidRPr="00A744DA">
        <w:t xml:space="preserve"> paragraph 6(c)</w:t>
      </w:r>
      <w:r w:rsidR="00194349" w:rsidRPr="00A744DA">
        <w:t>.</w:t>
      </w:r>
      <w:r w:rsidRPr="00A744DA">
        <w:t xml:space="preserve"> </w:t>
      </w:r>
      <w:r w:rsidR="00AA7A95" w:rsidRPr="00A744DA">
        <w:t>T</w:t>
      </w:r>
      <w:r w:rsidRPr="00A744DA">
        <w:t>his</w:t>
      </w:r>
      <w:r w:rsidR="00194349" w:rsidRPr="00A744DA">
        <w:t xml:space="preserve"> </w:t>
      </w:r>
      <w:r w:rsidR="00AA7A95" w:rsidRPr="00A744DA">
        <w:t>suggestion</w:t>
      </w:r>
      <w:r w:rsidR="00194349" w:rsidRPr="00A744DA">
        <w:t xml:space="preserve"> was </w:t>
      </w:r>
      <w:r w:rsidR="0007708B" w:rsidRPr="00A744DA">
        <w:t>considered</w:t>
      </w:r>
      <w:r w:rsidR="00AA7A95" w:rsidRPr="00A744DA">
        <w:t xml:space="preserve">, but </w:t>
      </w:r>
      <w:r w:rsidR="007E344C" w:rsidRPr="00A744DA">
        <w:t xml:space="preserve">ultimately </w:t>
      </w:r>
      <w:r w:rsidR="00AA7A95" w:rsidRPr="00A744DA">
        <w:t>no</w:t>
      </w:r>
      <w:r w:rsidR="007E344C" w:rsidRPr="00A744DA">
        <w:t>t made</w:t>
      </w:r>
      <w:r w:rsidR="00AF531B" w:rsidRPr="00A744DA">
        <w:t xml:space="preserve"> to the instrument</w:t>
      </w:r>
      <w:r w:rsidR="007E344C" w:rsidRPr="00A744DA">
        <w:t xml:space="preserve">, as the amendment </w:t>
      </w:r>
      <w:r w:rsidR="00A035B8" w:rsidRPr="00A744DA">
        <w:t>was not required</w:t>
      </w:r>
      <w:r w:rsidR="005C5CC2">
        <w:t>.</w:t>
      </w:r>
      <w:bookmarkEnd w:id="6"/>
    </w:p>
    <w:p w14:paraId="15AC1BA6" w14:textId="071C8BC4" w:rsidR="00101CD5" w:rsidRPr="00C620E9" w:rsidRDefault="00101CD5" w:rsidP="0019176E">
      <w:pPr>
        <w:rPr>
          <w:rFonts w:ascii="Arial" w:hAnsi="Arial" w:cs="Arial"/>
          <w:sz w:val="22"/>
          <w:szCs w:val="22"/>
        </w:rPr>
      </w:pPr>
      <w:r w:rsidRPr="00C620E9">
        <w:rPr>
          <w:rFonts w:ascii="Arial" w:hAnsi="Arial" w:cs="Arial"/>
          <w:sz w:val="22"/>
          <w:szCs w:val="22"/>
        </w:rPr>
        <w:br w:type="page"/>
      </w:r>
    </w:p>
    <w:p w14:paraId="15AC1BAB" w14:textId="08BC1495" w:rsidR="00526403" w:rsidRPr="00B753F6" w:rsidRDefault="00526403" w:rsidP="0019176E">
      <w:pPr>
        <w:spacing w:after="120"/>
        <w:rPr>
          <w:rFonts w:ascii="Arial" w:hAnsi="Arial" w:cs="Arial"/>
          <w:sz w:val="22"/>
          <w:szCs w:val="22"/>
        </w:rPr>
      </w:pPr>
    </w:p>
    <w:p w14:paraId="15AC1BAC" w14:textId="36661E80" w:rsidR="00333567" w:rsidRPr="00C620E9" w:rsidRDefault="00E53399" w:rsidP="0019176E">
      <w:pPr>
        <w:pStyle w:val="Heading3"/>
        <w:spacing w:before="0" w:after="120"/>
        <w:jc w:val="center"/>
        <w:rPr>
          <w:sz w:val="24"/>
        </w:rPr>
      </w:pPr>
      <w:r w:rsidRPr="00C620E9">
        <w:rPr>
          <w:sz w:val="24"/>
        </w:rPr>
        <w:t xml:space="preserve">Statement of compatibility </w:t>
      </w:r>
      <w:r w:rsidR="00C11D03" w:rsidRPr="00C620E9">
        <w:rPr>
          <w:sz w:val="24"/>
        </w:rPr>
        <w:t xml:space="preserve">with </w:t>
      </w:r>
      <w:r w:rsidR="006C0522">
        <w:rPr>
          <w:sz w:val="24"/>
        </w:rPr>
        <w:t>h</w:t>
      </w:r>
      <w:r w:rsidR="00C11D03" w:rsidRPr="00C620E9">
        <w:rPr>
          <w:sz w:val="24"/>
        </w:rPr>
        <w:t xml:space="preserve">uman </w:t>
      </w:r>
      <w:r w:rsidR="006C0522">
        <w:rPr>
          <w:sz w:val="24"/>
        </w:rPr>
        <w:t>r</w:t>
      </w:r>
      <w:r w:rsidR="00C11D03" w:rsidRPr="00C620E9">
        <w:rPr>
          <w:sz w:val="24"/>
        </w:rPr>
        <w:t>ights</w:t>
      </w:r>
    </w:p>
    <w:p w14:paraId="15AC1BAD" w14:textId="4AD858FB" w:rsidR="00E53399" w:rsidRPr="00B753F6" w:rsidRDefault="004F5EB1" w:rsidP="0019176E">
      <w:pPr>
        <w:autoSpaceDE w:val="0"/>
        <w:autoSpaceDN w:val="0"/>
        <w:adjustRightInd w:val="0"/>
        <w:spacing w:after="120"/>
        <w:rPr>
          <w:rFonts w:ascii="Arial" w:hAnsi="Arial" w:cs="Arial"/>
          <w:color w:val="000000"/>
          <w:sz w:val="22"/>
        </w:rPr>
      </w:pPr>
      <w:r w:rsidRPr="00B753F6">
        <w:rPr>
          <w:rFonts w:ascii="Arial" w:hAnsi="Arial" w:cs="Arial"/>
          <w:color w:val="000000"/>
          <w:sz w:val="22"/>
        </w:rPr>
        <w:t>P</w:t>
      </w:r>
      <w:r w:rsidR="00E53399" w:rsidRPr="00B753F6">
        <w:rPr>
          <w:rFonts w:ascii="Arial" w:hAnsi="Arial" w:cs="Arial"/>
          <w:color w:val="000000"/>
          <w:sz w:val="22"/>
        </w:rPr>
        <w:t xml:space="preserve">repared in accordance with Part 3 of the </w:t>
      </w:r>
      <w:r w:rsidR="00E53399" w:rsidRPr="00B753F6">
        <w:rPr>
          <w:rFonts w:ascii="Arial" w:hAnsi="Arial" w:cs="Arial"/>
          <w:i/>
          <w:iCs/>
          <w:color w:val="000000"/>
          <w:sz w:val="22"/>
        </w:rPr>
        <w:t>Human Rights (</w:t>
      </w:r>
      <w:r w:rsidR="00E53399" w:rsidRPr="0066630F">
        <w:rPr>
          <w:rFonts w:ascii="Arial" w:hAnsi="Arial" w:cs="Arial"/>
          <w:i/>
          <w:iCs/>
          <w:color w:val="000000"/>
          <w:sz w:val="22"/>
        </w:rPr>
        <w:t>Parliament</w:t>
      </w:r>
      <w:r w:rsidR="00E53399" w:rsidRPr="00B753F6">
        <w:rPr>
          <w:rFonts w:ascii="Arial" w:hAnsi="Arial" w:cs="Arial"/>
          <w:i/>
          <w:iCs/>
          <w:color w:val="000000"/>
          <w:sz w:val="22"/>
        </w:rPr>
        <w:t>ary Scrutiny) Act 2011</w:t>
      </w:r>
    </w:p>
    <w:p w14:paraId="15AC1BAE" w14:textId="68DA81E7" w:rsidR="00D77015" w:rsidRPr="00C620E9" w:rsidRDefault="00D77015" w:rsidP="0019176E">
      <w:pPr>
        <w:spacing w:after="120"/>
        <w:rPr>
          <w:rFonts w:ascii="Arial" w:hAnsi="Arial" w:cs="Arial"/>
          <w:sz w:val="22"/>
          <w:szCs w:val="22"/>
        </w:rPr>
      </w:pPr>
    </w:p>
    <w:p w14:paraId="6C43FB4A" w14:textId="77777777" w:rsidR="00DC43E6" w:rsidRPr="00B753F6" w:rsidRDefault="00DC43E6" w:rsidP="000E22A8">
      <w:pPr>
        <w:pStyle w:val="Heading2"/>
        <w:jc w:val="center"/>
      </w:pPr>
      <w:r w:rsidRPr="00DC43E6">
        <w:t>A</w:t>
      </w:r>
      <w:r w:rsidRPr="0066630F">
        <w:t xml:space="preserve"> New </w:t>
      </w:r>
      <w:r w:rsidRPr="00DC43E6">
        <w:t>Tax System (Goods and Services Tax) (Correcting Wine Equalisation Tax Errors) Determination 2025</w:t>
      </w:r>
    </w:p>
    <w:p w14:paraId="54F9AC2D" w14:textId="7D598ABC" w:rsidR="009371D0" w:rsidRPr="00C620E9" w:rsidRDefault="00075B58" w:rsidP="0019176E">
      <w:pPr>
        <w:autoSpaceDE w:val="0"/>
        <w:autoSpaceDN w:val="0"/>
        <w:adjustRightInd w:val="0"/>
        <w:spacing w:after="120"/>
        <w:rPr>
          <w:rFonts w:ascii="Arial" w:hAnsi="Arial" w:cs="Arial"/>
          <w:color w:val="000000"/>
          <w:sz w:val="22"/>
        </w:rPr>
      </w:pPr>
      <w:r w:rsidRPr="00C620E9">
        <w:rPr>
          <w:rFonts w:ascii="Arial" w:hAnsi="Arial" w:cs="Arial"/>
          <w:color w:val="000000"/>
          <w:sz w:val="22"/>
        </w:rPr>
        <w:t xml:space="preserve">This </w:t>
      </w:r>
      <w:r w:rsidR="003B547B">
        <w:rPr>
          <w:rFonts w:ascii="Arial" w:hAnsi="Arial" w:cs="Arial"/>
          <w:color w:val="000000"/>
          <w:sz w:val="22"/>
        </w:rPr>
        <w:t>l</w:t>
      </w:r>
      <w:r w:rsidRPr="00C620E9">
        <w:rPr>
          <w:rFonts w:ascii="Arial" w:hAnsi="Arial" w:cs="Arial"/>
          <w:color w:val="000000"/>
          <w:sz w:val="22"/>
        </w:rPr>
        <w:t xml:space="preserve">egislative </w:t>
      </w:r>
      <w:r w:rsidR="003B547B">
        <w:rPr>
          <w:rFonts w:ascii="Arial" w:hAnsi="Arial" w:cs="Arial"/>
          <w:color w:val="000000"/>
          <w:sz w:val="22"/>
        </w:rPr>
        <w:t>i</w:t>
      </w:r>
      <w:r w:rsidRPr="00C620E9">
        <w:rPr>
          <w:rFonts w:ascii="Arial" w:hAnsi="Arial" w:cs="Arial"/>
          <w:color w:val="000000"/>
          <w:sz w:val="22"/>
        </w:rPr>
        <w:t xml:space="preserve">nstrument is compatible with the human rights and freedoms recognised or declared in the international instruments listed in section 3 of the </w:t>
      </w:r>
      <w:r w:rsidRPr="00C620E9">
        <w:rPr>
          <w:rFonts w:ascii="Arial" w:hAnsi="Arial" w:cs="Arial"/>
          <w:i/>
          <w:color w:val="000000"/>
          <w:sz w:val="22"/>
        </w:rPr>
        <w:t>Human Righ</w:t>
      </w:r>
      <w:r w:rsidR="00101CD5" w:rsidRPr="00C620E9">
        <w:rPr>
          <w:rFonts w:ascii="Arial" w:hAnsi="Arial" w:cs="Arial"/>
          <w:i/>
          <w:color w:val="000000"/>
          <w:sz w:val="22"/>
        </w:rPr>
        <w:t>ts (</w:t>
      </w:r>
      <w:r w:rsidR="00101CD5" w:rsidRPr="0066630F">
        <w:rPr>
          <w:rFonts w:ascii="Arial" w:hAnsi="Arial" w:cs="Arial"/>
          <w:i/>
          <w:color w:val="000000"/>
          <w:sz w:val="22"/>
        </w:rPr>
        <w:t>Parliament</w:t>
      </w:r>
      <w:r w:rsidR="00101CD5" w:rsidRPr="00C620E9">
        <w:rPr>
          <w:rFonts w:ascii="Arial" w:hAnsi="Arial" w:cs="Arial"/>
          <w:i/>
          <w:color w:val="000000"/>
          <w:sz w:val="22"/>
        </w:rPr>
        <w:t>ary Scrutiny) Act </w:t>
      </w:r>
      <w:r w:rsidRPr="00C620E9">
        <w:rPr>
          <w:rFonts w:ascii="Arial" w:hAnsi="Arial" w:cs="Arial"/>
          <w:i/>
          <w:color w:val="000000"/>
          <w:sz w:val="22"/>
        </w:rPr>
        <w:t>2011.</w:t>
      </w:r>
    </w:p>
    <w:p w14:paraId="0681EE79" w14:textId="77777777" w:rsidR="007B298E" w:rsidRPr="007B298E" w:rsidRDefault="007B298E" w:rsidP="007B298E">
      <w:pPr>
        <w:spacing w:after="120"/>
        <w:rPr>
          <w:rFonts w:ascii="Arial" w:hAnsi="Arial" w:cs="Arial"/>
          <w:sz w:val="22"/>
          <w:szCs w:val="22"/>
        </w:rPr>
      </w:pPr>
    </w:p>
    <w:p w14:paraId="41A65D31" w14:textId="77777777" w:rsidR="007B298E" w:rsidRPr="007B298E" w:rsidRDefault="007B298E" w:rsidP="007B298E">
      <w:pPr>
        <w:pStyle w:val="Heading2"/>
      </w:pPr>
      <w:r w:rsidRPr="007B298E">
        <w:t>Overview of the legislative instrument</w:t>
      </w:r>
    </w:p>
    <w:p w14:paraId="5CEF18C7" w14:textId="5B966973" w:rsidR="007B298E" w:rsidRPr="007B298E" w:rsidRDefault="007B298E" w:rsidP="007B298E">
      <w:pPr>
        <w:spacing w:after="120"/>
        <w:rPr>
          <w:rFonts w:ascii="Arial" w:hAnsi="Arial" w:cs="Arial"/>
          <w:sz w:val="22"/>
          <w:szCs w:val="22"/>
        </w:rPr>
      </w:pPr>
      <w:bookmarkStart w:id="7" w:name="_Hlk201223823"/>
      <w:r w:rsidRPr="007B298E">
        <w:rPr>
          <w:rFonts w:ascii="Arial" w:hAnsi="Arial" w:cs="Arial"/>
          <w:sz w:val="22"/>
          <w:szCs w:val="22"/>
        </w:rPr>
        <w:t xml:space="preserve">Under this instrument taxpayers may choose to correct credit or debit errors that relate to an amount of wine tax or wine tax credit under the </w:t>
      </w:r>
      <w:r w:rsidRPr="00B82257">
        <w:rPr>
          <w:rFonts w:ascii="Arial" w:hAnsi="Arial" w:cs="Arial"/>
          <w:i/>
          <w:iCs/>
          <w:sz w:val="22"/>
          <w:szCs w:val="22"/>
        </w:rPr>
        <w:t>A New Tax System (Wine Equalisation Tax) Act 1999</w:t>
      </w:r>
      <w:r w:rsidRPr="007B298E">
        <w:rPr>
          <w:rFonts w:ascii="Arial" w:hAnsi="Arial" w:cs="Arial"/>
          <w:sz w:val="22"/>
          <w:szCs w:val="22"/>
        </w:rPr>
        <w:t>, that was made in an earlier tax period, by including the amount of that error in working out the net amount of a later tax period.</w:t>
      </w:r>
    </w:p>
    <w:p w14:paraId="2AC60DE4" w14:textId="3117C21D" w:rsidR="009B3579" w:rsidRDefault="007B298E" w:rsidP="007B298E">
      <w:pPr>
        <w:spacing w:after="120"/>
        <w:rPr>
          <w:rFonts w:ascii="Arial" w:hAnsi="Arial" w:cs="Arial"/>
          <w:sz w:val="22"/>
          <w:szCs w:val="22"/>
        </w:rPr>
      </w:pPr>
      <w:r w:rsidRPr="007B298E">
        <w:rPr>
          <w:rFonts w:ascii="Arial" w:hAnsi="Arial" w:cs="Arial"/>
          <w:sz w:val="22"/>
          <w:szCs w:val="22"/>
        </w:rPr>
        <w:t>This will reduce compliance costs for taxpayers as they will not need to request the Commissioner to amend their assessment for an earlier tax period to correct certain errors in circumstances covered by the instrument. It will also reduce the likelihood of taxpayers being subjected to any related general interest charge or penalties.</w:t>
      </w:r>
    </w:p>
    <w:bookmarkEnd w:id="7"/>
    <w:p w14:paraId="3BBBA3CF" w14:textId="77777777" w:rsidR="007B298E" w:rsidRPr="006E4F51" w:rsidRDefault="007B298E" w:rsidP="007B298E">
      <w:pPr>
        <w:spacing w:after="120"/>
        <w:rPr>
          <w:rFonts w:ascii="Arial" w:hAnsi="Arial" w:cs="Arial"/>
          <w:sz w:val="22"/>
          <w:szCs w:val="22"/>
        </w:rPr>
      </w:pPr>
    </w:p>
    <w:p w14:paraId="15AC1BB6" w14:textId="77777777" w:rsidR="00075B58" w:rsidRPr="00C620E9" w:rsidRDefault="00075B58" w:rsidP="0019176E">
      <w:pPr>
        <w:pStyle w:val="Heading2"/>
      </w:pPr>
      <w:r w:rsidRPr="00C620E9">
        <w:t>Human rights implications</w:t>
      </w:r>
    </w:p>
    <w:p w14:paraId="15AC1BB8" w14:textId="218EE33B" w:rsidR="00075B58" w:rsidRDefault="00075B58" w:rsidP="0019176E">
      <w:pPr>
        <w:spacing w:after="120"/>
        <w:rPr>
          <w:rFonts w:ascii="Arial" w:hAnsi="Arial" w:cs="Arial"/>
          <w:sz w:val="22"/>
        </w:rPr>
      </w:pPr>
      <w:r w:rsidRPr="00C620E9">
        <w:rPr>
          <w:rFonts w:ascii="Arial" w:hAnsi="Arial" w:cs="Arial"/>
          <w:sz w:val="22"/>
        </w:rPr>
        <w:t xml:space="preserve">This </w:t>
      </w:r>
      <w:r w:rsidR="003B547B">
        <w:rPr>
          <w:rFonts w:ascii="Arial" w:hAnsi="Arial" w:cs="Arial"/>
          <w:sz w:val="22"/>
        </w:rPr>
        <w:t>i</w:t>
      </w:r>
      <w:r w:rsidRPr="00C620E9">
        <w:rPr>
          <w:rFonts w:ascii="Arial" w:hAnsi="Arial" w:cs="Arial"/>
          <w:sz w:val="22"/>
        </w:rPr>
        <w:t xml:space="preserve">nstrument does not engage any of the applicable rights or freedoms. </w:t>
      </w:r>
      <w:r w:rsidR="00BA75FC" w:rsidRPr="00BA75FC">
        <w:rPr>
          <w:rFonts w:ascii="Arial" w:hAnsi="Arial" w:cs="Arial"/>
          <w:sz w:val="22"/>
        </w:rPr>
        <w:t>It merely specifies the circumstances in which a taxpayer may correct</w:t>
      </w:r>
      <w:r w:rsidR="00D23C2B">
        <w:rPr>
          <w:rFonts w:ascii="Arial" w:hAnsi="Arial" w:cs="Arial"/>
          <w:sz w:val="22"/>
        </w:rPr>
        <w:t xml:space="preserve"> </w:t>
      </w:r>
      <w:r w:rsidR="00C728D7">
        <w:rPr>
          <w:rFonts w:ascii="Arial" w:hAnsi="Arial" w:cs="Arial"/>
          <w:sz w:val="22"/>
        </w:rPr>
        <w:t xml:space="preserve">debit or credit </w:t>
      </w:r>
      <w:r w:rsidR="00BA75FC" w:rsidRPr="00BA75FC">
        <w:rPr>
          <w:rFonts w:ascii="Arial" w:hAnsi="Arial" w:cs="Arial"/>
          <w:sz w:val="22"/>
        </w:rPr>
        <w:t xml:space="preserve">errors that were made in working out their </w:t>
      </w:r>
      <w:r w:rsidR="006E4F51">
        <w:rPr>
          <w:rFonts w:ascii="Arial" w:hAnsi="Arial" w:cs="Arial"/>
          <w:sz w:val="22"/>
        </w:rPr>
        <w:t>net</w:t>
      </w:r>
      <w:r w:rsidR="00BA75FC" w:rsidRPr="00BA75FC">
        <w:rPr>
          <w:rFonts w:ascii="Arial" w:hAnsi="Arial" w:cs="Arial"/>
          <w:sz w:val="22"/>
        </w:rPr>
        <w:t xml:space="preserve"> amount for an earlier tax period without having to request the </w:t>
      </w:r>
      <w:r w:rsidR="00BA75FC" w:rsidRPr="0066630F">
        <w:rPr>
          <w:rFonts w:ascii="Arial" w:hAnsi="Arial" w:cs="Arial"/>
          <w:sz w:val="22"/>
        </w:rPr>
        <w:t>Commissioner</w:t>
      </w:r>
      <w:r w:rsidR="00BA75FC" w:rsidRPr="00BA75FC">
        <w:rPr>
          <w:rFonts w:ascii="Arial" w:hAnsi="Arial" w:cs="Arial"/>
          <w:sz w:val="22"/>
        </w:rPr>
        <w:t xml:space="preserve"> to amend their assessment for that earlier period.</w:t>
      </w:r>
    </w:p>
    <w:p w14:paraId="14F896A8" w14:textId="77777777" w:rsidR="009B3579" w:rsidRPr="00B753F6" w:rsidRDefault="009B3579" w:rsidP="0019176E">
      <w:pPr>
        <w:spacing w:after="120"/>
        <w:rPr>
          <w:rFonts w:ascii="Arial" w:hAnsi="Arial" w:cs="Arial"/>
          <w:sz w:val="22"/>
          <w:szCs w:val="22"/>
        </w:rPr>
      </w:pPr>
    </w:p>
    <w:p w14:paraId="15AC1BB9" w14:textId="77777777" w:rsidR="00075B58" w:rsidRPr="00C620E9" w:rsidRDefault="00075B58" w:rsidP="0019176E">
      <w:pPr>
        <w:pStyle w:val="Heading2"/>
      </w:pPr>
      <w:r w:rsidRPr="00C620E9">
        <w:t>Conclusion</w:t>
      </w:r>
    </w:p>
    <w:p w14:paraId="15AC1BBA" w14:textId="3B92FABF" w:rsidR="00075B58" w:rsidRPr="00C620E9" w:rsidRDefault="00075B58" w:rsidP="0019176E">
      <w:pPr>
        <w:spacing w:after="120"/>
        <w:rPr>
          <w:rFonts w:ascii="Arial" w:hAnsi="Arial" w:cs="Arial"/>
          <w:sz w:val="22"/>
          <w:szCs w:val="22"/>
        </w:rPr>
      </w:pPr>
      <w:r w:rsidRPr="00C620E9">
        <w:rPr>
          <w:rFonts w:ascii="Arial" w:hAnsi="Arial" w:cs="Arial"/>
          <w:sz w:val="22"/>
          <w:szCs w:val="22"/>
        </w:rPr>
        <w:t xml:space="preserve">This </w:t>
      </w:r>
      <w:r w:rsidR="003B547B">
        <w:rPr>
          <w:rFonts w:ascii="Arial" w:hAnsi="Arial" w:cs="Arial"/>
          <w:sz w:val="22"/>
          <w:szCs w:val="22"/>
        </w:rPr>
        <w:t>i</w:t>
      </w:r>
      <w:r w:rsidRPr="00C620E9">
        <w:rPr>
          <w:rFonts w:ascii="Arial" w:hAnsi="Arial" w:cs="Arial"/>
          <w:sz w:val="22"/>
          <w:szCs w:val="22"/>
        </w:rPr>
        <w:t>nstrument is compatible with human rights as it does not raise any human rights issues.</w:t>
      </w:r>
    </w:p>
    <w:sectPr w:rsidR="00075B58" w:rsidRPr="00C620E9" w:rsidSect="00081520">
      <w:headerReference w:type="default" r:id="rId10"/>
      <w:headerReference w:type="first" r:id="rId11"/>
      <w:pgSz w:w="11906" w:h="16838" w:code="9"/>
      <w:pgMar w:top="1440" w:right="1133" w:bottom="1358" w:left="993"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C72E7" w14:textId="77777777" w:rsidR="00275459" w:rsidRDefault="00275459">
      <w:r>
        <w:separator/>
      </w:r>
    </w:p>
  </w:endnote>
  <w:endnote w:type="continuationSeparator" w:id="0">
    <w:p w14:paraId="0A275CA4" w14:textId="77777777" w:rsidR="00275459" w:rsidRDefault="00275459">
      <w:r>
        <w:continuationSeparator/>
      </w:r>
    </w:p>
  </w:endnote>
  <w:endnote w:type="continuationNotice" w:id="1">
    <w:p w14:paraId="2E47171E" w14:textId="77777777" w:rsidR="00275459" w:rsidRDefault="002754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80924" w14:textId="77777777" w:rsidR="00275459" w:rsidRDefault="00275459">
      <w:r>
        <w:separator/>
      </w:r>
    </w:p>
  </w:footnote>
  <w:footnote w:type="continuationSeparator" w:id="0">
    <w:p w14:paraId="4CB7566A" w14:textId="77777777" w:rsidR="00275459" w:rsidRDefault="00275459">
      <w:r>
        <w:continuationSeparator/>
      </w:r>
    </w:p>
  </w:footnote>
  <w:footnote w:type="continuationNotice" w:id="1">
    <w:p w14:paraId="7C2D341C" w14:textId="77777777" w:rsidR="00275459" w:rsidRDefault="002754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1BCD" w14:textId="3A49D7F2" w:rsidR="00587C50" w:rsidRDefault="00587C50" w:rsidP="001828A4">
    <w:pPr>
      <w:pStyle w:val="Header"/>
      <w:tabs>
        <w:tab w:val="clear" w:pos="4153"/>
        <w:tab w:val="clear" w:pos="8306"/>
        <w:tab w:val="center" w:pos="1418"/>
        <w:tab w:val="right" w:pos="878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1BCF" w14:textId="14DA7EFE" w:rsidR="00587C50" w:rsidRDefault="003D0CBA" w:rsidP="001828A4">
    <w:pPr>
      <w:pStyle w:val="Header"/>
      <w:tabs>
        <w:tab w:val="clear" w:pos="4153"/>
        <w:tab w:val="clear" w:pos="8306"/>
      </w:tabs>
      <w:rPr>
        <w:rFonts w:ascii="Arial" w:hAnsi="Arial" w:cs="Arial"/>
        <w:sz w:val="20"/>
      </w:rPr>
    </w:pPr>
    <w:r>
      <w:rPr>
        <w:noProof/>
      </w:rPr>
      <w:drawing>
        <wp:inline distT="0" distB="0" distL="0" distR="0" wp14:anchorId="15AC1BD1" wp14:editId="2114605D">
          <wp:extent cx="2413635" cy="701675"/>
          <wp:effectExtent l="0" t="0" r="5715" b="3175"/>
          <wp:docPr id="3" name="Picture 1" descr="Australian Taxation Office logo, includes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ustralian Taxation Office logo, includes the Commonwealth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15AC1BD0" w14:textId="77777777" w:rsidR="00CC1833" w:rsidRPr="001A6644" w:rsidRDefault="00CC1833" w:rsidP="00767CE8">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6249"/>
    <w:multiLevelType w:val="hybridMultilevel"/>
    <w:tmpl w:val="045A4224"/>
    <w:lvl w:ilvl="0" w:tplc="4FFCCB3E">
      <w:start w:val="1"/>
      <w:numFmt w:val="lowerLetter"/>
      <w:lvlText w:val="(%1)"/>
      <w:lvlJc w:val="left"/>
      <w:pPr>
        <w:ind w:left="1440" w:hanging="360"/>
      </w:pPr>
      <w:rPr>
        <w:rFonts w:hint="default"/>
        <w:b w:val="0"/>
        <w:i w:val="0"/>
        <w:i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E601CE"/>
    <w:multiLevelType w:val="hybridMultilevel"/>
    <w:tmpl w:val="3FE496C2"/>
    <w:lvl w:ilvl="0" w:tplc="4FFCCB3E">
      <w:start w:val="1"/>
      <w:numFmt w:val="lowerLetter"/>
      <w:lvlText w:val="(%1)"/>
      <w:lvlJc w:val="left"/>
      <w:pPr>
        <w:ind w:left="1440" w:hanging="360"/>
      </w:pPr>
      <w:rPr>
        <w:rFonts w:hint="default"/>
        <w:b w:val="0"/>
        <w:i w:val="0"/>
        <w:iCs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2D4262"/>
    <w:multiLevelType w:val="hybridMultilevel"/>
    <w:tmpl w:val="264EDBCA"/>
    <w:lvl w:ilvl="0" w:tplc="69FA2028">
      <w:start w:val="1"/>
      <w:numFmt w:val="decimal"/>
      <w:pStyle w:val="Numberedparagraph"/>
      <w:lvlText w:val="%1."/>
      <w:lvlJc w:val="left"/>
      <w:pPr>
        <w:tabs>
          <w:tab w:val="num" w:pos="709"/>
        </w:tabs>
        <w:ind w:left="0" w:firstLine="0"/>
      </w:pPr>
      <w:rPr>
        <w:rFonts w:ascii="Arial" w:hAnsi="Arial" w:cs="Arial" w:hint="default"/>
        <w:i w:val="0"/>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AED10EE"/>
    <w:multiLevelType w:val="hybridMultilevel"/>
    <w:tmpl w:val="9AF88EA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FCC3903"/>
    <w:multiLevelType w:val="hybridMultilevel"/>
    <w:tmpl w:val="A35EE29C"/>
    <w:lvl w:ilvl="0" w:tplc="BCA815D6">
      <w:start w:val="1"/>
      <w:numFmt w:val="decimal"/>
      <w:lvlText w:val="%1."/>
      <w:lvlJc w:val="left"/>
      <w:pPr>
        <w:tabs>
          <w:tab w:val="num" w:pos="360"/>
        </w:tabs>
        <w:ind w:left="360" w:hanging="360"/>
      </w:pPr>
      <w:rPr>
        <w:rFonts w:ascii="Arial" w:hAnsi="Arial" w:cs="Arial" w:hint="default"/>
        <w:b w:val="0"/>
        <w:bCs/>
        <w:i w:val="0"/>
        <w:iCs w:val="0"/>
        <w:color w:val="auto"/>
        <w:sz w:val="22"/>
        <w:szCs w:val="22"/>
      </w:rPr>
    </w:lvl>
    <w:lvl w:ilvl="1" w:tplc="2CDA06FA">
      <w:start w:val="1"/>
      <w:numFmt w:val="lowerLetter"/>
      <w:lvlText w:val="(%2)"/>
      <w:lvlJc w:val="left"/>
      <w:pPr>
        <w:tabs>
          <w:tab w:val="num" w:pos="1440"/>
        </w:tabs>
        <w:ind w:left="1440" w:hanging="360"/>
      </w:pPr>
      <w:rPr>
        <w:rFonts w:ascii="Arial" w:eastAsia="Times New Roman" w:hAnsi="Arial" w:cs="Arial"/>
        <w:i w:val="0"/>
        <w:iCs w:val="0"/>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40FD5FBF"/>
    <w:multiLevelType w:val="hybridMultilevel"/>
    <w:tmpl w:val="470C12C0"/>
    <w:lvl w:ilvl="0" w:tplc="129E986E">
      <w:start w:val="1"/>
      <w:numFmt w:val="lowerLetter"/>
      <w:lvlText w:val="(%1)"/>
      <w:lvlJc w:val="left"/>
      <w:pPr>
        <w:ind w:left="1440" w:hanging="360"/>
      </w:pPr>
      <w:rPr>
        <w:rFonts w:ascii="Arial" w:eastAsia="Times New Roman" w:hAnsi="Arial" w:cs="Arial" w:hint="default"/>
        <w:b w:val="0"/>
        <w:i/>
        <w:i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33766FC"/>
    <w:multiLevelType w:val="hybridMultilevel"/>
    <w:tmpl w:val="6EB809A2"/>
    <w:lvl w:ilvl="0" w:tplc="129E986E">
      <w:start w:val="1"/>
      <w:numFmt w:val="lowerLetter"/>
      <w:lvlText w:val="(%1)"/>
      <w:lvlJc w:val="left"/>
      <w:pPr>
        <w:ind w:left="1440" w:hanging="360"/>
      </w:pPr>
      <w:rPr>
        <w:rFonts w:ascii="Arial" w:eastAsia="Times New Roman" w:hAnsi="Arial" w:cs="Arial" w:hint="default"/>
        <w:b w:val="0"/>
        <w:i/>
        <w:i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6430B2"/>
    <w:multiLevelType w:val="hybridMultilevel"/>
    <w:tmpl w:val="43BE4406"/>
    <w:lvl w:ilvl="0" w:tplc="129E986E">
      <w:start w:val="1"/>
      <w:numFmt w:val="lowerLetter"/>
      <w:lvlText w:val="(%1)"/>
      <w:lvlJc w:val="left"/>
      <w:pPr>
        <w:tabs>
          <w:tab w:val="num" w:pos="1800"/>
        </w:tabs>
        <w:ind w:left="1800" w:hanging="360"/>
      </w:pPr>
      <w:rPr>
        <w:rFonts w:ascii="Arial" w:eastAsia="Times New Roman" w:hAnsi="Arial" w:cs="Arial"/>
        <w:b w:val="0"/>
        <w:i/>
        <w:iCs w:val="0"/>
        <w:sz w:val="20"/>
        <w:szCs w:val="20"/>
      </w:rPr>
    </w:lvl>
    <w:lvl w:ilvl="1" w:tplc="4FFCCB3E">
      <w:start w:val="1"/>
      <w:numFmt w:val="lowerLetter"/>
      <w:lvlText w:val="(%2)"/>
      <w:lvlJc w:val="left"/>
      <w:pPr>
        <w:tabs>
          <w:tab w:val="num" w:pos="2880"/>
        </w:tabs>
        <w:ind w:left="2880" w:hanging="360"/>
      </w:pPr>
      <w:rPr>
        <w:rFonts w:hint="default"/>
        <w:b w:val="0"/>
        <w:i w:val="0"/>
        <w:sz w:val="22"/>
      </w:rPr>
    </w:lvl>
    <w:lvl w:ilvl="2" w:tplc="0C090005">
      <w:start w:val="1"/>
      <w:numFmt w:val="bullet"/>
      <w:lvlText w:val=""/>
      <w:lvlJc w:val="left"/>
      <w:pPr>
        <w:tabs>
          <w:tab w:val="num" w:pos="3780"/>
        </w:tabs>
        <w:ind w:left="3780" w:hanging="360"/>
      </w:pPr>
      <w:rPr>
        <w:rFonts w:ascii="Wingdings" w:hAnsi="Wingdings" w:hint="default"/>
        <w:b w:val="0"/>
        <w:i w:val="0"/>
        <w:sz w:val="22"/>
      </w:rPr>
    </w:lvl>
    <w:lvl w:ilvl="3" w:tplc="0C09000F" w:tentative="1">
      <w:start w:val="1"/>
      <w:numFmt w:val="decimal"/>
      <w:lvlText w:val="%4."/>
      <w:lvlJc w:val="left"/>
      <w:pPr>
        <w:tabs>
          <w:tab w:val="num" w:pos="4320"/>
        </w:tabs>
        <w:ind w:left="4320" w:hanging="360"/>
      </w:pPr>
    </w:lvl>
    <w:lvl w:ilvl="4" w:tplc="0C090019" w:tentative="1">
      <w:start w:val="1"/>
      <w:numFmt w:val="lowerLetter"/>
      <w:lvlText w:val="%5."/>
      <w:lvlJc w:val="left"/>
      <w:pPr>
        <w:tabs>
          <w:tab w:val="num" w:pos="5040"/>
        </w:tabs>
        <w:ind w:left="5040" w:hanging="360"/>
      </w:pPr>
    </w:lvl>
    <w:lvl w:ilvl="5" w:tplc="0C09001B" w:tentative="1">
      <w:start w:val="1"/>
      <w:numFmt w:val="lowerRoman"/>
      <w:lvlText w:val="%6."/>
      <w:lvlJc w:val="right"/>
      <w:pPr>
        <w:tabs>
          <w:tab w:val="num" w:pos="5760"/>
        </w:tabs>
        <w:ind w:left="5760" w:hanging="180"/>
      </w:pPr>
    </w:lvl>
    <w:lvl w:ilvl="6" w:tplc="0C09000F" w:tentative="1">
      <w:start w:val="1"/>
      <w:numFmt w:val="decimal"/>
      <w:lvlText w:val="%7."/>
      <w:lvlJc w:val="left"/>
      <w:pPr>
        <w:tabs>
          <w:tab w:val="num" w:pos="6480"/>
        </w:tabs>
        <w:ind w:left="6480" w:hanging="360"/>
      </w:pPr>
    </w:lvl>
    <w:lvl w:ilvl="7" w:tplc="0C090019" w:tentative="1">
      <w:start w:val="1"/>
      <w:numFmt w:val="lowerLetter"/>
      <w:lvlText w:val="%8."/>
      <w:lvlJc w:val="left"/>
      <w:pPr>
        <w:tabs>
          <w:tab w:val="num" w:pos="7200"/>
        </w:tabs>
        <w:ind w:left="7200" w:hanging="360"/>
      </w:pPr>
    </w:lvl>
    <w:lvl w:ilvl="8" w:tplc="0C09001B" w:tentative="1">
      <w:start w:val="1"/>
      <w:numFmt w:val="lowerRoman"/>
      <w:lvlText w:val="%9."/>
      <w:lvlJc w:val="right"/>
      <w:pPr>
        <w:tabs>
          <w:tab w:val="num" w:pos="7920"/>
        </w:tabs>
        <w:ind w:left="7920" w:hanging="180"/>
      </w:pPr>
    </w:lvl>
  </w:abstractNum>
  <w:abstractNum w:abstractNumId="8" w15:restartNumberingAfterBreak="0">
    <w:nsid w:val="46796422"/>
    <w:multiLevelType w:val="hybridMultilevel"/>
    <w:tmpl w:val="19C61354"/>
    <w:lvl w:ilvl="0" w:tplc="2CDA06FA">
      <w:start w:val="1"/>
      <w:numFmt w:val="lowerLetter"/>
      <w:lvlText w:val="(%1)"/>
      <w:lvlJc w:val="left"/>
      <w:pPr>
        <w:ind w:left="1440" w:hanging="360"/>
      </w:pPr>
      <w:rPr>
        <w:rFonts w:ascii="Arial" w:eastAsia="Times New Roman" w:hAnsi="Arial" w:cs="Arial" w:hint="default"/>
        <w:b w:val="0"/>
        <w:i w:val="0"/>
        <w:i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423DB2"/>
    <w:multiLevelType w:val="hybridMultilevel"/>
    <w:tmpl w:val="6B309C9E"/>
    <w:lvl w:ilvl="0" w:tplc="0C090001">
      <w:start w:val="1"/>
      <w:numFmt w:val="bullet"/>
      <w:lvlText w:val=""/>
      <w:lvlJc w:val="left"/>
      <w:pPr>
        <w:ind w:left="1440" w:hanging="360"/>
      </w:pPr>
      <w:rPr>
        <w:rFonts w:ascii="Symbol" w:hAnsi="Symbol" w:hint="default"/>
        <w:b w:val="0"/>
        <w:i w:val="0"/>
        <w:iCs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071B33"/>
    <w:multiLevelType w:val="hybridMultilevel"/>
    <w:tmpl w:val="CE82FCB4"/>
    <w:lvl w:ilvl="0" w:tplc="32CE57E2">
      <w:start w:val="1"/>
      <w:numFmt w:val="lowerLetter"/>
      <w:lvlText w:val="(%1)"/>
      <w:lvlJc w:val="left"/>
      <w:pPr>
        <w:ind w:left="1440" w:hanging="360"/>
      </w:pPr>
      <w:rPr>
        <w:rFonts w:ascii="Arial" w:eastAsia="Times New Roman" w:hAnsi="Arial" w:cs="Arial" w:hint="default"/>
        <w:b w:val="0"/>
        <w:i w:val="0"/>
        <w:i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29248C"/>
    <w:multiLevelType w:val="hybridMultilevel"/>
    <w:tmpl w:val="217C0C28"/>
    <w:lvl w:ilvl="0" w:tplc="0C090001">
      <w:start w:val="1"/>
      <w:numFmt w:val="bullet"/>
      <w:lvlText w:val=""/>
      <w:lvlJc w:val="left"/>
      <w:pPr>
        <w:ind w:left="1440" w:hanging="360"/>
      </w:pPr>
      <w:rPr>
        <w:rFonts w:ascii="Symbol" w:hAnsi="Symbol" w:hint="default"/>
        <w:b w:val="0"/>
        <w:i w:val="0"/>
        <w:iCs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295E90"/>
    <w:multiLevelType w:val="hybridMultilevel"/>
    <w:tmpl w:val="29C60C06"/>
    <w:lvl w:ilvl="0" w:tplc="F6666F22">
      <w:start w:val="1"/>
      <w:numFmt w:val="lowerLetter"/>
      <w:pStyle w:val="alphabullets"/>
      <w:lvlText w:val="(%1)"/>
      <w:lvlJc w:val="left"/>
      <w:pPr>
        <w:ind w:left="1440" w:hanging="360"/>
      </w:pPr>
      <w:rPr>
        <w:rFonts w:ascii="Arial" w:eastAsia="Times New Roman" w:hAnsi="Arial" w:cs="Arial"/>
        <w:b w:val="0"/>
        <w:i w:val="0"/>
        <w:iCs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D1A5CC0"/>
    <w:multiLevelType w:val="hybridMultilevel"/>
    <w:tmpl w:val="51A4793E"/>
    <w:lvl w:ilvl="0" w:tplc="4FFCCB3E">
      <w:start w:val="1"/>
      <w:numFmt w:val="lowerLetter"/>
      <w:lvlText w:val="(%1)"/>
      <w:lvlJc w:val="left"/>
      <w:pPr>
        <w:ind w:left="1440" w:hanging="360"/>
      </w:pPr>
      <w:rPr>
        <w:rFonts w:hint="default"/>
        <w:b w:val="0"/>
        <w:i w:val="0"/>
        <w:iCs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21512042">
    <w:abstractNumId w:val="4"/>
  </w:num>
  <w:num w:numId="2" w16cid:durableId="276913747">
    <w:abstractNumId w:val="7"/>
  </w:num>
  <w:num w:numId="3" w16cid:durableId="1940797523">
    <w:abstractNumId w:val="3"/>
  </w:num>
  <w:num w:numId="4" w16cid:durableId="538934939">
    <w:abstractNumId w:val="2"/>
  </w:num>
  <w:num w:numId="5" w16cid:durableId="1415200884">
    <w:abstractNumId w:val="12"/>
  </w:num>
  <w:num w:numId="6" w16cid:durableId="1140346486">
    <w:abstractNumId w:val="12"/>
    <w:lvlOverride w:ilvl="0">
      <w:startOverride w:val="1"/>
    </w:lvlOverride>
  </w:num>
  <w:num w:numId="7" w16cid:durableId="1628396043">
    <w:abstractNumId w:val="12"/>
    <w:lvlOverride w:ilvl="0">
      <w:startOverride w:val="1"/>
    </w:lvlOverride>
  </w:num>
  <w:num w:numId="8" w16cid:durableId="1306158041">
    <w:abstractNumId w:val="12"/>
    <w:lvlOverride w:ilvl="0">
      <w:startOverride w:val="1"/>
    </w:lvlOverride>
  </w:num>
  <w:num w:numId="9" w16cid:durableId="1496803668">
    <w:abstractNumId w:val="11"/>
  </w:num>
  <w:num w:numId="10" w16cid:durableId="2028097830">
    <w:abstractNumId w:val="13"/>
  </w:num>
  <w:num w:numId="11" w16cid:durableId="1646425908">
    <w:abstractNumId w:val="1"/>
  </w:num>
  <w:num w:numId="12" w16cid:durableId="108014592">
    <w:abstractNumId w:val="9"/>
  </w:num>
  <w:num w:numId="13" w16cid:durableId="495069260">
    <w:abstractNumId w:val="6"/>
  </w:num>
  <w:num w:numId="14" w16cid:durableId="1673528820">
    <w:abstractNumId w:val="0"/>
  </w:num>
  <w:num w:numId="15" w16cid:durableId="2140610949">
    <w:abstractNumId w:val="5"/>
  </w:num>
  <w:num w:numId="16" w16cid:durableId="1219852696">
    <w:abstractNumId w:val="8"/>
  </w:num>
  <w:num w:numId="17" w16cid:durableId="43190298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18"/>
    <w:rsid w:val="00000270"/>
    <w:rsid w:val="00000F06"/>
    <w:rsid w:val="00005D92"/>
    <w:rsid w:val="00006ED4"/>
    <w:rsid w:val="000070B1"/>
    <w:rsid w:val="00007D16"/>
    <w:rsid w:val="00010120"/>
    <w:rsid w:val="000114C2"/>
    <w:rsid w:val="000117B2"/>
    <w:rsid w:val="00012C5B"/>
    <w:rsid w:val="00013194"/>
    <w:rsid w:val="00013A67"/>
    <w:rsid w:val="0001796D"/>
    <w:rsid w:val="00017BF0"/>
    <w:rsid w:val="0002039A"/>
    <w:rsid w:val="00023C0E"/>
    <w:rsid w:val="0002568B"/>
    <w:rsid w:val="00026E23"/>
    <w:rsid w:val="0003168C"/>
    <w:rsid w:val="00043FA7"/>
    <w:rsid w:val="00044383"/>
    <w:rsid w:val="0005309A"/>
    <w:rsid w:val="000552E8"/>
    <w:rsid w:val="00055C7B"/>
    <w:rsid w:val="00056585"/>
    <w:rsid w:val="0005674F"/>
    <w:rsid w:val="00056C6A"/>
    <w:rsid w:val="000602F7"/>
    <w:rsid w:val="00061213"/>
    <w:rsid w:val="000633E7"/>
    <w:rsid w:val="00064675"/>
    <w:rsid w:val="00064D0D"/>
    <w:rsid w:val="000650D1"/>
    <w:rsid w:val="00065290"/>
    <w:rsid w:val="00065C6E"/>
    <w:rsid w:val="0007082B"/>
    <w:rsid w:val="00072E6E"/>
    <w:rsid w:val="00073A51"/>
    <w:rsid w:val="00073F1B"/>
    <w:rsid w:val="000753A7"/>
    <w:rsid w:val="00075B58"/>
    <w:rsid w:val="000762EA"/>
    <w:rsid w:val="000767ED"/>
    <w:rsid w:val="0007708B"/>
    <w:rsid w:val="000774CE"/>
    <w:rsid w:val="0007776C"/>
    <w:rsid w:val="00081520"/>
    <w:rsid w:val="00081D6F"/>
    <w:rsid w:val="00087063"/>
    <w:rsid w:val="00087267"/>
    <w:rsid w:val="00087821"/>
    <w:rsid w:val="000910DC"/>
    <w:rsid w:val="00091DDD"/>
    <w:rsid w:val="000A18DA"/>
    <w:rsid w:val="000A1BEA"/>
    <w:rsid w:val="000A2D96"/>
    <w:rsid w:val="000A3196"/>
    <w:rsid w:val="000A3306"/>
    <w:rsid w:val="000A372D"/>
    <w:rsid w:val="000A3730"/>
    <w:rsid w:val="000A4121"/>
    <w:rsid w:val="000A47D7"/>
    <w:rsid w:val="000A6A87"/>
    <w:rsid w:val="000B0B73"/>
    <w:rsid w:val="000B11DD"/>
    <w:rsid w:val="000B131E"/>
    <w:rsid w:val="000B1785"/>
    <w:rsid w:val="000B3CC2"/>
    <w:rsid w:val="000B61BF"/>
    <w:rsid w:val="000B668B"/>
    <w:rsid w:val="000B72F3"/>
    <w:rsid w:val="000B7C19"/>
    <w:rsid w:val="000C17CB"/>
    <w:rsid w:val="000C1F8C"/>
    <w:rsid w:val="000C20BF"/>
    <w:rsid w:val="000C390A"/>
    <w:rsid w:val="000C77DD"/>
    <w:rsid w:val="000D162B"/>
    <w:rsid w:val="000D6C97"/>
    <w:rsid w:val="000D6E7B"/>
    <w:rsid w:val="000E0414"/>
    <w:rsid w:val="000E22A8"/>
    <w:rsid w:val="000E295B"/>
    <w:rsid w:val="000E45A0"/>
    <w:rsid w:val="000E4D95"/>
    <w:rsid w:val="000E6B55"/>
    <w:rsid w:val="000F1513"/>
    <w:rsid w:val="00101CD5"/>
    <w:rsid w:val="00103837"/>
    <w:rsid w:val="00105F2B"/>
    <w:rsid w:val="00107460"/>
    <w:rsid w:val="0010746A"/>
    <w:rsid w:val="00112415"/>
    <w:rsid w:val="00113B95"/>
    <w:rsid w:val="00113CCD"/>
    <w:rsid w:val="0011404C"/>
    <w:rsid w:val="0011478A"/>
    <w:rsid w:val="001159A6"/>
    <w:rsid w:val="00116821"/>
    <w:rsid w:val="00122670"/>
    <w:rsid w:val="00125EA0"/>
    <w:rsid w:val="00134F76"/>
    <w:rsid w:val="0013678D"/>
    <w:rsid w:val="00137DA7"/>
    <w:rsid w:val="00140A34"/>
    <w:rsid w:val="00145A3D"/>
    <w:rsid w:val="00146ED8"/>
    <w:rsid w:val="001470E5"/>
    <w:rsid w:val="00147A48"/>
    <w:rsid w:val="00154AEE"/>
    <w:rsid w:val="00154C08"/>
    <w:rsid w:val="00155D74"/>
    <w:rsid w:val="001564FE"/>
    <w:rsid w:val="001568AC"/>
    <w:rsid w:val="00156F22"/>
    <w:rsid w:val="0015745A"/>
    <w:rsid w:val="00157D35"/>
    <w:rsid w:val="00160F79"/>
    <w:rsid w:val="001619EB"/>
    <w:rsid w:val="00164007"/>
    <w:rsid w:val="00166DA8"/>
    <w:rsid w:val="00167202"/>
    <w:rsid w:val="0017004D"/>
    <w:rsid w:val="00170E21"/>
    <w:rsid w:val="00171E5A"/>
    <w:rsid w:val="00175604"/>
    <w:rsid w:val="00176189"/>
    <w:rsid w:val="00176411"/>
    <w:rsid w:val="00176821"/>
    <w:rsid w:val="00176FE2"/>
    <w:rsid w:val="00180206"/>
    <w:rsid w:val="001828A4"/>
    <w:rsid w:val="00182EF9"/>
    <w:rsid w:val="001870EC"/>
    <w:rsid w:val="0019176E"/>
    <w:rsid w:val="0019348A"/>
    <w:rsid w:val="00193B39"/>
    <w:rsid w:val="00194349"/>
    <w:rsid w:val="00195710"/>
    <w:rsid w:val="001A1AB5"/>
    <w:rsid w:val="001A37E5"/>
    <w:rsid w:val="001A391E"/>
    <w:rsid w:val="001A39CF"/>
    <w:rsid w:val="001A3BE2"/>
    <w:rsid w:val="001A48A1"/>
    <w:rsid w:val="001A5591"/>
    <w:rsid w:val="001A7626"/>
    <w:rsid w:val="001B01D1"/>
    <w:rsid w:val="001B2B55"/>
    <w:rsid w:val="001B2C68"/>
    <w:rsid w:val="001B3C5E"/>
    <w:rsid w:val="001B417D"/>
    <w:rsid w:val="001B5287"/>
    <w:rsid w:val="001B6793"/>
    <w:rsid w:val="001C314E"/>
    <w:rsid w:val="001C32D3"/>
    <w:rsid w:val="001C35E7"/>
    <w:rsid w:val="001C4578"/>
    <w:rsid w:val="001D02AD"/>
    <w:rsid w:val="001D02E6"/>
    <w:rsid w:val="001D1C48"/>
    <w:rsid w:val="001D3EF0"/>
    <w:rsid w:val="001D5D10"/>
    <w:rsid w:val="001E00A2"/>
    <w:rsid w:val="001E2562"/>
    <w:rsid w:val="001E33BD"/>
    <w:rsid w:val="001E584C"/>
    <w:rsid w:val="001E59B0"/>
    <w:rsid w:val="001E5B68"/>
    <w:rsid w:val="001E706B"/>
    <w:rsid w:val="001E729E"/>
    <w:rsid w:val="001E7B29"/>
    <w:rsid w:val="001F0184"/>
    <w:rsid w:val="001F1352"/>
    <w:rsid w:val="001F28A6"/>
    <w:rsid w:val="001F2A16"/>
    <w:rsid w:val="001F3691"/>
    <w:rsid w:val="001F3BF9"/>
    <w:rsid w:val="001F555A"/>
    <w:rsid w:val="001F6921"/>
    <w:rsid w:val="001F7C3E"/>
    <w:rsid w:val="00201969"/>
    <w:rsid w:val="00205020"/>
    <w:rsid w:val="00205E4B"/>
    <w:rsid w:val="0020607F"/>
    <w:rsid w:val="00210102"/>
    <w:rsid w:val="0021222C"/>
    <w:rsid w:val="00213BE2"/>
    <w:rsid w:val="00213FA5"/>
    <w:rsid w:val="0021496E"/>
    <w:rsid w:val="0021616F"/>
    <w:rsid w:val="00222AFB"/>
    <w:rsid w:val="002253A2"/>
    <w:rsid w:val="00226744"/>
    <w:rsid w:val="00231522"/>
    <w:rsid w:val="00231759"/>
    <w:rsid w:val="00231CA5"/>
    <w:rsid w:val="00231FB4"/>
    <w:rsid w:val="0023207C"/>
    <w:rsid w:val="002346C0"/>
    <w:rsid w:val="0023733A"/>
    <w:rsid w:val="0024044F"/>
    <w:rsid w:val="00240CFB"/>
    <w:rsid w:val="002448E0"/>
    <w:rsid w:val="00245D00"/>
    <w:rsid w:val="00245D79"/>
    <w:rsid w:val="00246786"/>
    <w:rsid w:val="00252ABA"/>
    <w:rsid w:val="00253C4D"/>
    <w:rsid w:val="002542FE"/>
    <w:rsid w:val="00254B4B"/>
    <w:rsid w:val="00257F2D"/>
    <w:rsid w:val="00262F9F"/>
    <w:rsid w:val="00263F98"/>
    <w:rsid w:val="00264220"/>
    <w:rsid w:val="002662A0"/>
    <w:rsid w:val="00266D2D"/>
    <w:rsid w:val="0027331F"/>
    <w:rsid w:val="00275459"/>
    <w:rsid w:val="00276B67"/>
    <w:rsid w:val="00282215"/>
    <w:rsid w:val="00282D12"/>
    <w:rsid w:val="00282E87"/>
    <w:rsid w:val="002846A0"/>
    <w:rsid w:val="00285E76"/>
    <w:rsid w:val="00291157"/>
    <w:rsid w:val="002949C3"/>
    <w:rsid w:val="00295E41"/>
    <w:rsid w:val="00295E99"/>
    <w:rsid w:val="00296855"/>
    <w:rsid w:val="00296A51"/>
    <w:rsid w:val="00296D5C"/>
    <w:rsid w:val="002A10A4"/>
    <w:rsid w:val="002A26FE"/>
    <w:rsid w:val="002A672A"/>
    <w:rsid w:val="002B1423"/>
    <w:rsid w:val="002B16BD"/>
    <w:rsid w:val="002B1F48"/>
    <w:rsid w:val="002C0DDA"/>
    <w:rsid w:val="002C103C"/>
    <w:rsid w:val="002C1E9A"/>
    <w:rsid w:val="002C4732"/>
    <w:rsid w:val="002C5402"/>
    <w:rsid w:val="002C6DC5"/>
    <w:rsid w:val="002D35CC"/>
    <w:rsid w:val="002D69C2"/>
    <w:rsid w:val="002E0BA1"/>
    <w:rsid w:val="002E1BB9"/>
    <w:rsid w:val="002E251D"/>
    <w:rsid w:val="002E28AE"/>
    <w:rsid w:val="002E31F3"/>
    <w:rsid w:val="002E3877"/>
    <w:rsid w:val="002E3F23"/>
    <w:rsid w:val="002E4BF7"/>
    <w:rsid w:val="002E56E1"/>
    <w:rsid w:val="002E5A70"/>
    <w:rsid w:val="002E5B3D"/>
    <w:rsid w:val="002E5DDE"/>
    <w:rsid w:val="002E700E"/>
    <w:rsid w:val="002E70E9"/>
    <w:rsid w:val="002F0C19"/>
    <w:rsid w:val="002F1257"/>
    <w:rsid w:val="002F2F7E"/>
    <w:rsid w:val="002F7CC6"/>
    <w:rsid w:val="0030025D"/>
    <w:rsid w:val="00301A50"/>
    <w:rsid w:val="00304225"/>
    <w:rsid w:val="00310C61"/>
    <w:rsid w:val="0031124C"/>
    <w:rsid w:val="00313E71"/>
    <w:rsid w:val="003144AD"/>
    <w:rsid w:val="003171B3"/>
    <w:rsid w:val="003204F9"/>
    <w:rsid w:val="0032199C"/>
    <w:rsid w:val="0032559D"/>
    <w:rsid w:val="00327B12"/>
    <w:rsid w:val="00331616"/>
    <w:rsid w:val="00333567"/>
    <w:rsid w:val="00336B12"/>
    <w:rsid w:val="00344575"/>
    <w:rsid w:val="00344858"/>
    <w:rsid w:val="00345A77"/>
    <w:rsid w:val="00346B71"/>
    <w:rsid w:val="00346DFC"/>
    <w:rsid w:val="0035113C"/>
    <w:rsid w:val="003522BF"/>
    <w:rsid w:val="00352C3F"/>
    <w:rsid w:val="00354525"/>
    <w:rsid w:val="00360C8F"/>
    <w:rsid w:val="00367C18"/>
    <w:rsid w:val="003706E5"/>
    <w:rsid w:val="003711E1"/>
    <w:rsid w:val="003717B7"/>
    <w:rsid w:val="0037245F"/>
    <w:rsid w:val="00374385"/>
    <w:rsid w:val="00376EE6"/>
    <w:rsid w:val="00380CC4"/>
    <w:rsid w:val="0038298D"/>
    <w:rsid w:val="00383F63"/>
    <w:rsid w:val="00386E77"/>
    <w:rsid w:val="00387A2F"/>
    <w:rsid w:val="00394A8C"/>
    <w:rsid w:val="00395746"/>
    <w:rsid w:val="00395D6F"/>
    <w:rsid w:val="00397FA3"/>
    <w:rsid w:val="003A1A71"/>
    <w:rsid w:val="003A2821"/>
    <w:rsid w:val="003A3807"/>
    <w:rsid w:val="003A4835"/>
    <w:rsid w:val="003A6070"/>
    <w:rsid w:val="003A77EA"/>
    <w:rsid w:val="003B11B5"/>
    <w:rsid w:val="003B547B"/>
    <w:rsid w:val="003C0686"/>
    <w:rsid w:val="003C3FDF"/>
    <w:rsid w:val="003C4A52"/>
    <w:rsid w:val="003C59B0"/>
    <w:rsid w:val="003C5D53"/>
    <w:rsid w:val="003D08CF"/>
    <w:rsid w:val="003D0CBA"/>
    <w:rsid w:val="003D0F6A"/>
    <w:rsid w:val="003D16C4"/>
    <w:rsid w:val="003D4762"/>
    <w:rsid w:val="003D4BA8"/>
    <w:rsid w:val="003D582E"/>
    <w:rsid w:val="003E1191"/>
    <w:rsid w:val="003E11FE"/>
    <w:rsid w:val="003E1326"/>
    <w:rsid w:val="003E3362"/>
    <w:rsid w:val="003E3BB1"/>
    <w:rsid w:val="003E4DB8"/>
    <w:rsid w:val="003E5269"/>
    <w:rsid w:val="003E5C5D"/>
    <w:rsid w:val="003E6402"/>
    <w:rsid w:val="003E6571"/>
    <w:rsid w:val="003F1848"/>
    <w:rsid w:val="003F1BD9"/>
    <w:rsid w:val="003F2C14"/>
    <w:rsid w:val="003F3B9E"/>
    <w:rsid w:val="003F4B0E"/>
    <w:rsid w:val="00400460"/>
    <w:rsid w:val="004035D8"/>
    <w:rsid w:val="00405394"/>
    <w:rsid w:val="004066E4"/>
    <w:rsid w:val="0040680B"/>
    <w:rsid w:val="00406C83"/>
    <w:rsid w:val="00407361"/>
    <w:rsid w:val="00407BE8"/>
    <w:rsid w:val="00410D4D"/>
    <w:rsid w:val="004113D6"/>
    <w:rsid w:val="00411CDF"/>
    <w:rsid w:val="00414628"/>
    <w:rsid w:val="00417C55"/>
    <w:rsid w:val="004223DB"/>
    <w:rsid w:val="004227B6"/>
    <w:rsid w:val="00423438"/>
    <w:rsid w:val="00424A7B"/>
    <w:rsid w:val="004253A7"/>
    <w:rsid w:val="004263F9"/>
    <w:rsid w:val="00427250"/>
    <w:rsid w:val="004301EB"/>
    <w:rsid w:val="00431765"/>
    <w:rsid w:val="004330DE"/>
    <w:rsid w:val="004360DA"/>
    <w:rsid w:val="00440453"/>
    <w:rsid w:val="00440DB1"/>
    <w:rsid w:val="00443C0B"/>
    <w:rsid w:val="004447C1"/>
    <w:rsid w:val="00446AA8"/>
    <w:rsid w:val="0044765D"/>
    <w:rsid w:val="0045155A"/>
    <w:rsid w:val="00452E0E"/>
    <w:rsid w:val="0045368E"/>
    <w:rsid w:val="0045422B"/>
    <w:rsid w:val="00455622"/>
    <w:rsid w:val="0045590D"/>
    <w:rsid w:val="00456C56"/>
    <w:rsid w:val="00460FA9"/>
    <w:rsid w:val="0046211F"/>
    <w:rsid w:val="00462417"/>
    <w:rsid w:val="00462738"/>
    <w:rsid w:val="00462890"/>
    <w:rsid w:val="004676DA"/>
    <w:rsid w:val="0046787B"/>
    <w:rsid w:val="004679B9"/>
    <w:rsid w:val="004714E5"/>
    <w:rsid w:val="00473FA2"/>
    <w:rsid w:val="004751E9"/>
    <w:rsid w:val="004754A9"/>
    <w:rsid w:val="00475E45"/>
    <w:rsid w:val="004765CA"/>
    <w:rsid w:val="004770AB"/>
    <w:rsid w:val="00482190"/>
    <w:rsid w:val="00482472"/>
    <w:rsid w:val="0048532F"/>
    <w:rsid w:val="00486028"/>
    <w:rsid w:val="00486653"/>
    <w:rsid w:val="00487A11"/>
    <w:rsid w:val="00487E8F"/>
    <w:rsid w:val="00492552"/>
    <w:rsid w:val="004938E1"/>
    <w:rsid w:val="004938FB"/>
    <w:rsid w:val="00493CA7"/>
    <w:rsid w:val="00496A4E"/>
    <w:rsid w:val="004A0D67"/>
    <w:rsid w:val="004A2F30"/>
    <w:rsid w:val="004A3899"/>
    <w:rsid w:val="004A4A30"/>
    <w:rsid w:val="004A5EF7"/>
    <w:rsid w:val="004A5FDA"/>
    <w:rsid w:val="004A77C3"/>
    <w:rsid w:val="004B0095"/>
    <w:rsid w:val="004B131F"/>
    <w:rsid w:val="004B15F9"/>
    <w:rsid w:val="004B4E20"/>
    <w:rsid w:val="004B6705"/>
    <w:rsid w:val="004C1D72"/>
    <w:rsid w:val="004C2057"/>
    <w:rsid w:val="004C70FA"/>
    <w:rsid w:val="004D098C"/>
    <w:rsid w:val="004D24A9"/>
    <w:rsid w:val="004D41FE"/>
    <w:rsid w:val="004D6DE8"/>
    <w:rsid w:val="004D6FE1"/>
    <w:rsid w:val="004E118A"/>
    <w:rsid w:val="004E3600"/>
    <w:rsid w:val="004E5357"/>
    <w:rsid w:val="004E72EF"/>
    <w:rsid w:val="004F1339"/>
    <w:rsid w:val="004F17EB"/>
    <w:rsid w:val="004F1EFD"/>
    <w:rsid w:val="004F4A07"/>
    <w:rsid w:val="004F54BA"/>
    <w:rsid w:val="004F5EB1"/>
    <w:rsid w:val="004F5F2A"/>
    <w:rsid w:val="004F6887"/>
    <w:rsid w:val="005000AA"/>
    <w:rsid w:val="005030AD"/>
    <w:rsid w:val="00505EE0"/>
    <w:rsid w:val="0051249C"/>
    <w:rsid w:val="005131AF"/>
    <w:rsid w:val="0051456B"/>
    <w:rsid w:val="005164BC"/>
    <w:rsid w:val="005176E7"/>
    <w:rsid w:val="00520330"/>
    <w:rsid w:val="00520855"/>
    <w:rsid w:val="005210FB"/>
    <w:rsid w:val="00521550"/>
    <w:rsid w:val="00521AFE"/>
    <w:rsid w:val="005233D0"/>
    <w:rsid w:val="005248A7"/>
    <w:rsid w:val="00524B6B"/>
    <w:rsid w:val="00526403"/>
    <w:rsid w:val="00526795"/>
    <w:rsid w:val="00526E9B"/>
    <w:rsid w:val="00531058"/>
    <w:rsid w:val="0053418C"/>
    <w:rsid w:val="005341DB"/>
    <w:rsid w:val="00534FB5"/>
    <w:rsid w:val="005362B3"/>
    <w:rsid w:val="005364AB"/>
    <w:rsid w:val="00537F49"/>
    <w:rsid w:val="005413EE"/>
    <w:rsid w:val="0054305E"/>
    <w:rsid w:val="005435D2"/>
    <w:rsid w:val="0054450C"/>
    <w:rsid w:val="00544A0F"/>
    <w:rsid w:val="00545376"/>
    <w:rsid w:val="0054570D"/>
    <w:rsid w:val="005475EC"/>
    <w:rsid w:val="00550D23"/>
    <w:rsid w:val="00553999"/>
    <w:rsid w:val="00563F15"/>
    <w:rsid w:val="00564BB5"/>
    <w:rsid w:val="005651EE"/>
    <w:rsid w:val="005653DF"/>
    <w:rsid w:val="00566D0D"/>
    <w:rsid w:val="00571FA6"/>
    <w:rsid w:val="00575FE8"/>
    <w:rsid w:val="00576219"/>
    <w:rsid w:val="00576D36"/>
    <w:rsid w:val="00577D05"/>
    <w:rsid w:val="00582E39"/>
    <w:rsid w:val="0058334D"/>
    <w:rsid w:val="00583FD2"/>
    <w:rsid w:val="005841CA"/>
    <w:rsid w:val="00586948"/>
    <w:rsid w:val="00587443"/>
    <w:rsid w:val="005878D6"/>
    <w:rsid w:val="00587C50"/>
    <w:rsid w:val="0059007C"/>
    <w:rsid w:val="005917F2"/>
    <w:rsid w:val="005917F3"/>
    <w:rsid w:val="00594878"/>
    <w:rsid w:val="005A0BBC"/>
    <w:rsid w:val="005A1123"/>
    <w:rsid w:val="005B0ACD"/>
    <w:rsid w:val="005B1656"/>
    <w:rsid w:val="005B1CDB"/>
    <w:rsid w:val="005B4C3F"/>
    <w:rsid w:val="005B50A2"/>
    <w:rsid w:val="005B6DE4"/>
    <w:rsid w:val="005C3408"/>
    <w:rsid w:val="005C4894"/>
    <w:rsid w:val="005C4C3C"/>
    <w:rsid w:val="005C5CC2"/>
    <w:rsid w:val="005C6030"/>
    <w:rsid w:val="005C7DE2"/>
    <w:rsid w:val="005D1A94"/>
    <w:rsid w:val="005D1EE0"/>
    <w:rsid w:val="005D306C"/>
    <w:rsid w:val="005D3F9F"/>
    <w:rsid w:val="005D4FD2"/>
    <w:rsid w:val="005D611B"/>
    <w:rsid w:val="005D6D59"/>
    <w:rsid w:val="005D7E6C"/>
    <w:rsid w:val="005E0D59"/>
    <w:rsid w:val="005E1551"/>
    <w:rsid w:val="005E213B"/>
    <w:rsid w:val="005E3AC1"/>
    <w:rsid w:val="005E4A13"/>
    <w:rsid w:val="005E4EA2"/>
    <w:rsid w:val="005F0769"/>
    <w:rsid w:val="005F1ACE"/>
    <w:rsid w:val="005F1F06"/>
    <w:rsid w:val="005F256D"/>
    <w:rsid w:val="005F348E"/>
    <w:rsid w:val="005F6425"/>
    <w:rsid w:val="005F705A"/>
    <w:rsid w:val="006005F4"/>
    <w:rsid w:val="0060183A"/>
    <w:rsid w:val="00603110"/>
    <w:rsid w:val="00605698"/>
    <w:rsid w:val="00611C8E"/>
    <w:rsid w:val="00612232"/>
    <w:rsid w:val="0061338C"/>
    <w:rsid w:val="00613AF3"/>
    <w:rsid w:val="0061614B"/>
    <w:rsid w:val="00620184"/>
    <w:rsid w:val="006213A8"/>
    <w:rsid w:val="00623AF3"/>
    <w:rsid w:val="00624954"/>
    <w:rsid w:val="00624E09"/>
    <w:rsid w:val="00625DA5"/>
    <w:rsid w:val="006302F7"/>
    <w:rsid w:val="0063144C"/>
    <w:rsid w:val="00631F30"/>
    <w:rsid w:val="006370D0"/>
    <w:rsid w:val="00640CC2"/>
    <w:rsid w:val="00642420"/>
    <w:rsid w:val="00642D2D"/>
    <w:rsid w:val="006457A7"/>
    <w:rsid w:val="00645993"/>
    <w:rsid w:val="00646158"/>
    <w:rsid w:val="00647A2E"/>
    <w:rsid w:val="00650243"/>
    <w:rsid w:val="006513F4"/>
    <w:rsid w:val="00655CB2"/>
    <w:rsid w:val="00656C6D"/>
    <w:rsid w:val="006610C9"/>
    <w:rsid w:val="006611F4"/>
    <w:rsid w:val="006612DD"/>
    <w:rsid w:val="006624F3"/>
    <w:rsid w:val="00663E43"/>
    <w:rsid w:val="006643E8"/>
    <w:rsid w:val="0066622C"/>
    <w:rsid w:val="0066630F"/>
    <w:rsid w:val="00666487"/>
    <w:rsid w:val="00666829"/>
    <w:rsid w:val="0066687C"/>
    <w:rsid w:val="00667315"/>
    <w:rsid w:val="00667640"/>
    <w:rsid w:val="00671F87"/>
    <w:rsid w:val="00673B37"/>
    <w:rsid w:val="00674E18"/>
    <w:rsid w:val="00676BBD"/>
    <w:rsid w:val="006821F6"/>
    <w:rsid w:val="00686C29"/>
    <w:rsid w:val="006929D7"/>
    <w:rsid w:val="0069395A"/>
    <w:rsid w:val="006945EA"/>
    <w:rsid w:val="0069529C"/>
    <w:rsid w:val="0069549C"/>
    <w:rsid w:val="00695B77"/>
    <w:rsid w:val="006A3316"/>
    <w:rsid w:val="006A55BA"/>
    <w:rsid w:val="006A5772"/>
    <w:rsid w:val="006A58A4"/>
    <w:rsid w:val="006B033A"/>
    <w:rsid w:val="006B186F"/>
    <w:rsid w:val="006B5470"/>
    <w:rsid w:val="006B61DA"/>
    <w:rsid w:val="006B7D52"/>
    <w:rsid w:val="006C0522"/>
    <w:rsid w:val="006C16E2"/>
    <w:rsid w:val="006C6497"/>
    <w:rsid w:val="006D0138"/>
    <w:rsid w:val="006D04D6"/>
    <w:rsid w:val="006D052D"/>
    <w:rsid w:val="006D4CA6"/>
    <w:rsid w:val="006D5BFF"/>
    <w:rsid w:val="006D6B26"/>
    <w:rsid w:val="006D6F52"/>
    <w:rsid w:val="006E16E4"/>
    <w:rsid w:val="006E1951"/>
    <w:rsid w:val="006E4110"/>
    <w:rsid w:val="006E4F51"/>
    <w:rsid w:val="006E57DE"/>
    <w:rsid w:val="006E6431"/>
    <w:rsid w:val="006F57E1"/>
    <w:rsid w:val="006F6982"/>
    <w:rsid w:val="00701718"/>
    <w:rsid w:val="00702C1A"/>
    <w:rsid w:val="00702D0A"/>
    <w:rsid w:val="00704EA2"/>
    <w:rsid w:val="00705525"/>
    <w:rsid w:val="00707BDF"/>
    <w:rsid w:val="00710359"/>
    <w:rsid w:val="00710B7D"/>
    <w:rsid w:val="00710E71"/>
    <w:rsid w:val="007113FF"/>
    <w:rsid w:val="00712FFF"/>
    <w:rsid w:val="007133F3"/>
    <w:rsid w:val="007143AF"/>
    <w:rsid w:val="0072292F"/>
    <w:rsid w:val="00722DBF"/>
    <w:rsid w:val="007234FE"/>
    <w:rsid w:val="007343E8"/>
    <w:rsid w:val="00735157"/>
    <w:rsid w:val="007370E3"/>
    <w:rsid w:val="00740D0E"/>
    <w:rsid w:val="007435D1"/>
    <w:rsid w:val="00750A77"/>
    <w:rsid w:val="00753F0C"/>
    <w:rsid w:val="007557B1"/>
    <w:rsid w:val="007573BC"/>
    <w:rsid w:val="0076271C"/>
    <w:rsid w:val="00766ABC"/>
    <w:rsid w:val="00767CE8"/>
    <w:rsid w:val="007716D0"/>
    <w:rsid w:val="00773767"/>
    <w:rsid w:val="00775490"/>
    <w:rsid w:val="007761A8"/>
    <w:rsid w:val="007807B9"/>
    <w:rsid w:val="00780AA6"/>
    <w:rsid w:val="00782893"/>
    <w:rsid w:val="00782944"/>
    <w:rsid w:val="00785EA1"/>
    <w:rsid w:val="00787A4C"/>
    <w:rsid w:val="00790930"/>
    <w:rsid w:val="007934AC"/>
    <w:rsid w:val="00794690"/>
    <w:rsid w:val="00795D0C"/>
    <w:rsid w:val="00796E44"/>
    <w:rsid w:val="00796E5B"/>
    <w:rsid w:val="0079770F"/>
    <w:rsid w:val="00797F42"/>
    <w:rsid w:val="007A1AE4"/>
    <w:rsid w:val="007A55BA"/>
    <w:rsid w:val="007B1163"/>
    <w:rsid w:val="007B298E"/>
    <w:rsid w:val="007B7864"/>
    <w:rsid w:val="007C1734"/>
    <w:rsid w:val="007C1FBD"/>
    <w:rsid w:val="007C54B3"/>
    <w:rsid w:val="007C5C8E"/>
    <w:rsid w:val="007D1153"/>
    <w:rsid w:val="007D4150"/>
    <w:rsid w:val="007D41F8"/>
    <w:rsid w:val="007D436A"/>
    <w:rsid w:val="007D68DF"/>
    <w:rsid w:val="007D7A17"/>
    <w:rsid w:val="007D7B18"/>
    <w:rsid w:val="007E0A01"/>
    <w:rsid w:val="007E22F5"/>
    <w:rsid w:val="007E344C"/>
    <w:rsid w:val="007E74FE"/>
    <w:rsid w:val="007F25F3"/>
    <w:rsid w:val="007F4901"/>
    <w:rsid w:val="007F7533"/>
    <w:rsid w:val="00800C3A"/>
    <w:rsid w:val="00801969"/>
    <w:rsid w:val="00801C64"/>
    <w:rsid w:val="0080220B"/>
    <w:rsid w:val="00802959"/>
    <w:rsid w:val="00802FF6"/>
    <w:rsid w:val="00803257"/>
    <w:rsid w:val="00805B75"/>
    <w:rsid w:val="00806D5E"/>
    <w:rsid w:val="0081197D"/>
    <w:rsid w:val="00812276"/>
    <w:rsid w:val="00813644"/>
    <w:rsid w:val="00814890"/>
    <w:rsid w:val="00815AF4"/>
    <w:rsid w:val="00820BDF"/>
    <w:rsid w:val="00820E20"/>
    <w:rsid w:val="00823C10"/>
    <w:rsid w:val="00826380"/>
    <w:rsid w:val="00826DEB"/>
    <w:rsid w:val="00830F60"/>
    <w:rsid w:val="00832A78"/>
    <w:rsid w:val="00834DA7"/>
    <w:rsid w:val="00835460"/>
    <w:rsid w:val="00836B02"/>
    <w:rsid w:val="00836CF3"/>
    <w:rsid w:val="00837DEA"/>
    <w:rsid w:val="00840DEB"/>
    <w:rsid w:val="00842DC1"/>
    <w:rsid w:val="00844ECA"/>
    <w:rsid w:val="00845DDD"/>
    <w:rsid w:val="008467D4"/>
    <w:rsid w:val="00850FB0"/>
    <w:rsid w:val="00851023"/>
    <w:rsid w:val="00852018"/>
    <w:rsid w:val="0085238E"/>
    <w:rsid w:val="00853428"/>
    <w:rsid w:val="008540EA"/>
    <w:rsid w:val="00854424"/>
    <w:rsid w:val="00854AE2"/>
    <w:rsid w:val="00855285"/>
    <w:rsid w:val="008557E7"/>
    <w:rsid w:val="00860317"/>
    <w:rsid w:val="00862699"/>
    <w:rsid w:val="008647BA"/>
    <w:rsid w:val="00866A00"/>
    <w:rsid w:val="008702A6"/>
    <w:rsid w:val="00870CD9"/>
    <w:rsid w:val="00871D09"/>
    <w:rsid w:val="008738C7"/>
    <w:rsid w:val="00873997"/>
    <w:rsid w:val="00873C59"/>
    <w:rsid w:val="008757CE"/>
    <w:rsid w:val="008801DB"/>
    <w:rsid w:val="00882C21"/>
    <w:rsid w:val="00882FED"/>
    <w:rsid w:val="00883635"/>
    <w:rsid w:val="0088392C"/>
    <w:rsid w:val="008868C1"/>
    <w:rsid w:val="00886DC5"/>
    <w:rsid w:val="00887D23"/>
    <w:rsid w:val="0089415F"/>
    <w:rsid w:val="00894423"/>
    <w:rsid w:val="0089697E"/>
    <w:rsid w:val="00896C86"/>
    <w:rsid w:val="00897C0E"/>
    <w:rsid w:val="00897E31"/>
    <w:rsid w:val="00897FEA"/>
    <w:rsid w:val="008A046F"/>
    <w:rsid w:val="008A1319"/>
    <w:rsid w:val="008A401B"/>
    <w:rsid w:val="008A405A"/>
    <w:rsid w:val="008A6A6A"/>
    <w:rsid w:val="008A74DF"/>
    <w:rsid w:val="008B00CD"/>
    <w:rsid w:val="008B0988"/>
    <w:rsid w:val="008B18E2"/>
    <w:rsid w:val="008B5AD2"/>
    <w:rsid w:val="008B650A"/>
    <w:rsid w:val="008B6844"/>
    <w:rsid w:val="008B7109"/>
    <w:rsid w:val="008B756F"/>
    <w:rsid w:val="008B787C"/>
    <w:rsid w:val="008B7C4F"/>
    <w:rsid w:val="008C165E"/>
    <w:rsid w:val="008C2073"/>
    <w:rsid w:val="008C20D9"/>
    <w:rsid w:val="008C3729"/>
    <w:rsid w:val="008C3898"/>
    <w:rsid w:val="008C66CC"/>
    <w:rsid w:val="008D0779"/>
    <w:rsid w:val="008D239A"/>
    <w:rsid w:val="008D2B67"/>
    <w:rsid w:val="008E1234"/>
    <w:rsid w:val="008E65F6"/>
    <w:rsid w:val="008E673B"/>
    <w:rsid w:val="008E69D7"/>
    <w:rsid w:val="008E6C21"/>
    <w:rsid w:val="008F061B"/>
    <w:rsid w:val="008F1E77"/>
    <w:rsid w:val="008F4223"/>
    <w:rsid w:val="008F483C"/>
    <w:rsid w:val="008F56CD"/>
    <w:rsid w:val="008F6A51"/>
    <w:rsid w:val="008F706B"/>
    <w:rsid w:val="008F76F5"/>
    <w:rsid w:val="00901ABE"/>
    <w:rsid w:val="0090470D"/>
    <w:rsid w:val="00905D89"/>
    <w:rsid w:val="00905E16"/>
    <w:rsid w:val="00907A60"/>
    <w:rsid w:val="00910595"/>
    <w:rsid w:val="00910756"/>
    <w:rsid w:val="00912D61"/>
    <w:rsid w:val="009175D8"/>
    <w:rsid w:val="00921000"/>
    <w:rsid w:val="00921BEC"/>
    <w:rsid w:val="00921E84"/>
    <w:rsid w:val="009220EC"/>
    <w:rsid w:val="0092296C"/>
    <w:rsid w:val="00930327"/>
    <w:rsid w:val="009322D7"/>
    <w:rsid w:val="00932BDE"/>
    <w:rsid w:val="009371D0"/>
    <w:rsid w:val="009408C3"/>
    <w:rsid w:val="009439BE"/>
    <w:rsid w:val="009473A0"/>
    <w:rsid w:val="00950199"/>
    <w:rsid w:val="00950FEA"/>
    <w:rsid w:val="0095190F"/>
    <w:rsid w:val="009526D2"/>
    <w:rsid w:val="00952950"/>
    <w:rsid w:val="009529E4"/>
    <w:rsid w:val="0095341E"/>
    <w:rsid w:val="00953F7A"/>
    <w:rsid w:val="009546C6"/>
    <w:rsid w:val="00955271"/>
    <w:rsid w:val="00956B57"/>
    <w:rsid w:val="00960ED3"/>
    <w:rsid w:val="00962574"/>
    <w:rsid w:val="00962A99"/>
    <w:rsid w:val="00963041"/>
    <w:rsid w:val="00965853"/>
    <w:rsid w:val="0096675F"/>
    <w:rsid w:val="00967725"/>
    <w:rsid w:val="009734A4"/>
    <w:rsid w:val="0098195F"/>
    <w:rsid w:val="009820DB"/>
    <w:rsid w:val="009822BD"/>
    <w:rsid w:val="0098247E"/>
    <w:rsid w:val="009870E0"/>
    <w:rsid w:val="009876A2"/>
    <w:rsid w:val="009902F8"/>
    <w:rsid w:val="00990E08"/>
    <w:rsid w:val="00991796"/>
    <w:rsid w:val="00992A0A"/>
    <w:rsid w:val="00993BB8"/>
    <w:rsid w:val="0099555F"/>
    <w:rsid w:val="0099578B"/>
    <w:rsid w:val="00996EA2"/>
    <w:rsid w:val="0099754E"/>
    <w:rsid w:val="009A07B8"/>
    <w:rsid w:val="009A22A1"/>
    <w:rsid w:val="009A241B"/>
    <w:rsid w:val="009A33BE"/>
    <w:rsid w:val="009A7501"/>
    <w:rsid w:val="009B3579"/>
    <w:rsid w:val="009B3A1B"/>
    <w:rsid w:val="009B6332"/>
    <w:rsid w:val="009B780D"/>
    <w:rsid w:val="009C0912"/>
    <w:rsid w:val="009C0C8E"/>
    <w:rsid w:val="009C2790"/>
    <w:rsid w:val="009C2B50"/>
    <w:rsid w:val="009C2BB3"/>
    <w:rsid w:val="009C387D"/>
    <w:rsid w:val="009C6190"/>
    <w:rsid w:val="009C6880"/>
    <w:rsid w:val="009C7443"/>
    <w:rsid w:val="009D2B8A"/>
    <w:rsid w:val="009D6694"/>
    <w:rsid w:val="009E0987"/>
    <w:rsid w:val="009E6D2E"/>
    <w:rsid w:val="009E7B17"/>
    <w:rsid w:val="009F0300"/>
    <w:rsid w:val="009F3006"/>
    <w:rsid w:val="009F38F7"/>
    <w:rsid w:val="009F58F9"/>
    <w:rsid w:val="009F78D3"/>
    <w:rsid w:val="009F7B07"/>
    <w:rsid w:val="00A0068D"/>
    <w:rsid w:val="00A035B8"/>
    <w:rsid w:val="00A04ED1"/>
    <w:rsid w:val="00A04F63"/>
    <w:rsid w:val="00A073B4"/>
    <w:rsid w:val="00A07D75"/>
    <w:rsid w:val="00A1225D"/>
    <w:rsid w:val="00A126EA"/>
    <w:rsid w:val="00A14349"/>
    <w:rsid w:val="00A14BA2"/>
    <w:rsid w:val="00A15F57"/>
    <w:rsid w:val="00A167A8"/>
    <w:rsid w:val="00A20C42"/>
    <w:rsid w:val="00A21F0A"/>
    <w:rsid w:val="00A226F8"/>
    <w:rsid w:val="00A26011"/>
    <w:rsid w:val="00A2633A"/>
    <w:rsid w:val="00A32A1E"/>
    <w:rsid w:val="00A33D87"/>
    <w:rsid w:val="00A34087"/>
    <w:rsid w:val="00A34F45"/>
    <w:rsid w:val="00A35B4F"/>
    <w:rsid w:val="00A35C49"/>
    <w:rsid w:val="00A36950"/>
    <w:rsid w:val="00A3709D"/>
    <w:rsid w:val="00A4092D"/>
    <w:rsid w:val="00A43117"/>
    <w:rsid w:val="00A47D20"/>
    <w:rsid w:val="00A50108"/>
    <w:rsid w:val="00A506C2"/>
    <w:rsid w:val="00A53D60"/>
    <w:rsid w:val="00A57A5A"/>
    <w:rsid w:val="00A608AC"/>
    <w:rsid w:val="00A6214E"/>
    <w:rsid w:val="00A62886"/>
    <w:rsid w:val="00A64DEE"/>
    <w:rsid w:val="00A667FC"/>
    <w:rsid w:val="00A703BC"/>
    <w:rsid w:val="00A711BC"/>
    <w:rsid w:val="00A729FC"/>
    <w:rsid w:val="00A73CFE"/>
    <w:rsid w:val="00A744DA"/>
    <w:rsid w:val="00A74C38"/>
    <w:rsid w:val="00A75055"/>
    <w:rsid w:val="00A7631C"/>
    <w:rsid w:val="00A7684B"/>
    <w:rsid w:val="00A77135"/>
    <w:rsid w:val="00A77D24"/>
    <w:rsid w:val="00A813EC"/>
    <w:rsid w:val="00A8572F"/>
    <w:rsid w:val="00A8767D"/>
    <w:rsid w:val="00A93D12"/>
    <w:rsid w:val="00A93E07"/>
    <w:rsid w:val="00A95C7F"/>
    <w:rsid w:val="00A97616"/>
    <w:rsid w:val="00A979CF"/>
    <w:rsid w:val="00AA0913"/>
    <w:rsid w:val="00AA2FF0"/>
    <w:rsid w:val="00AA4DF8"/>
    <w:rsid w:val="00AA700C"/>
    <w:rsid w:val="00AA7A95"/>
    <w:rsid w:val="00AB1A85"/>
    <w:rsid w:val="00AB47A8"/>
    <w:rsid w:val="00AB583C"/>
    <w:rsid w:val="00AB6D47"/>
    <w:rsid w:val="00AB780C"/>
    <w:rsid w:val="00AC2448"/>
    <w:rsid w:val="00AC5915"/>
    <w:rsid w:val="00AC6983"/>
    <w:rsid w:val="00AD0B0B"/>
    <w:rsid w:val="00AD2A06"/>
    <w:rsid w:val="00AD34D9"/>
    <w:rsid w:val="00AD45DB"/>
    <w:rsid w:val="00AD5ADE"/>
    <w:rsid w:val="00AE188A"/>
    <w:rsid w:val="00AE1D24"/>
    <w:rsid w:val="00AE380B"/>
    <w:rsid w:val="00AE3A6D"/>
    <w:rsid w:val="00AE483D"/>
    <w:rsid w:val="00AE7138"/>
    <w:rsid w:val="00AE7982"/>
    <w:rsid w:val="00AF2532"/>
    <w:rsid w:val="00AF2EEA"/>
    <w:rsid w:val="00AF3B8C"/>
    <w:rsid w:val="00AF4CAF"/>
    <w:rsid w:val="00AF531B"/>
    <w:rsid w:val="00AF693D"/>
    <w:rsid w:val="00AF6C8C"/>
    <w:rsid w:val="00AF6FA8"/>
    <w:rsid w:val="00B004A9"/>
    <w:rsid w:val="00B00E12"/>
    <w:rsid w:val="00B05B55"/>
    <w:rsid w:val="00B117BA"/>
    <w:rsid w:val="00B13A97"/>
    <w:rsid w:val="00B15F23"/>
    <w:rsid w:val="00B16508"/>
    <w:rsid w:val="00B17790"/>
    <w:rsid w:val="00B20D87"/>
    <w:rsid w:val="00B20E14"/>
    <w:rsid w:val="00B21202"/>
    <w:rsid w:val="00B21BCC"/>
    <w:rsid w:val="00B24053"/>
    <w:rsid w:val="00B31550"/>
    <w:rsid w:val="00B33B4A"/>
    <w:rsid w:val="00B33CB7"/>
    <w:rsid w:val="00B360AF"/>
    <w:rsid w:val="00B42A22"/>
    <w:rsid w:val="00B466BF"/>
    <w:rsid w:val="00B469C8"/>
    <w:rsid w:val="00B541B7"/>
    <w:rsid w:val="00B578AC"/>
    <w:rsid w:val="00B6160C"/>
    <w:rsid w:val="00B62F06"/>
    <w:rsid w:val="00B63B6E"/>
    <w:rsid w:val="00B6433F"/>
    <w:rsid w:val="00B6442A"/>
    <w:rsid w:val="00B64CF5"/>
    <w:rsid w:val="00B669C6"/>
    <w:rsid w:val="00B7044F"/>
    <w:rsid w:val="00B70932"/>
    <w:rsid w:val="00B72395"/>
    <w:rsid w:val="00B72AC6"/>
    <w:rsid w:val="00B753F6"/>
    <w:rsid w:val="00B76C9B"/>
    <w:rsid w:val="00B776D9"/>
    <w:rsid w:val="00B80D7D"/>
    <w:rsid w:val="00B8122C"/>
    <w:rsid w:val="00B82257"/>
    <w:rsid w:val="00B823A1"/>
    <w:rsid w:val="00B8428B"/>
    <w:rsid w:val="00B91DAE"/>
    <w:rsid w:val="00B92BD9"/>
    <w:rsid w:val="00B93A5A"/>
    <w:rsid w:val="00B96418"/>
    <w:rsid w:val="00B96AE0"/>
    <w:rsid w:val="00BA12BE"/>
    <w:rsid w:val="00BA259D"/>
    <w:rsid w:val="00BA41F5"/>
    <w:rsid w:val="00BA75FC"/>
    <w:rsid w:val="00BB0690"/>
    <w:rsid w:val="00BB3C9C"/>
    <w:rsid w:val="00BB4722"/>
    <w:rsid w:val="00BB53AF"/>
    <w:rsid w:val="00BB713A"/>
    <w:rsid w:val="00BB7C25"/>
    <w:rsid w:val="00BC2A9C"/>
    <w:rsid w:val="00BC2BEB"/>
    <w:rsid w:val="00BC3521"/>
    <w:rsid w:val="00BC3A84"/>
    <w:rsid w:val="00BC46F9"/>
    <w:rsid w:val="00BD0A32"/>
    <w:rsid w:val="00BD3E7A"/>
    <w:rsid w:val="00BE1FCD"/>
    <w:rsid w:val="00BE6C41"/>
    <w:rsid w:val="00BF4822"/>
    <w:rsid w:val="00BF621D"/>
    <w:rsid w:val="00C001A5"/>
    <w:rsid w:val="00C01D22"/>
    <w:rsid w:val="00C03C99"/>
    <w:rsid w:val="00C074A1"/>
    <w:rsid w:val="00C104B6"/>
    <w:rsid w:val="00C10F02"/>
    <w:rsid w:val="00C114F4"/>
    <w:rsid w:val="00C11D03"/>
    <w:rsid w:val="00C12E07"/>
    <w:rsid w:val="00C2144E"/>
    <w:rsid w:val="00C242F2"/>
    <w:rsid w:val="00C244E0"/>
    <w:rsid w:val="00C24FD3"/>
    <w:rsid w:val="00C262ED"/>
    <w:rsid w:val="00C26622"/>
    <w:rsid w:val="00C30D6C"/>
    <w:rsid w:val="00C31967"/>
    <w:rsid w:val="00C34C96"/>
    <w:rsid w:val="00C363D5"/>
    <w:rsid w:val="00C371DE"/>
    <w:rsid w:val="00C409AE"/>
    <w:rsid w:val="00C4143E"/>
    <w:rsid w:val="00C42D50"/>
    <w:rsid w:val="00C46646"/>
    <w:rsid w:val="00C4683C"/>
    <w:rsid w:val="00C47392"/>
    <w:rsid w:val="00C503CC"/>
    <w:rsid w:val="00C54DF8"/>
    <w:rsid w:val="00C60B49"/>
    <w:rsid w:val="00C6125E"/>
    <w:rsid w:val="00C61606"/>
    <w:rsid w:val="00C61A4B"/>
    <w:rsid w:val="00C620E9"/>
    <w:rsid w:val="00C64229"/>
    <w:rsid w:val="00C665DF"/>
    <w:rsid w:val="00C66C78"/>
    <w:rsid w:val="00C70964"/>
    <w:rsid w:val="00C70BB5"/>
    <w:rsid w:val="00C728D7"/>
    <w:rsid w:val="00C7440A"/>
    <w:rsid w:val="00C75A6F"/>
    <w:rsid w:val="00C76B63"/>
    <w:rsid w:val="00C822BB"/>
    <w:rsid w:val="00C82874"/>
    <w:rsid w:val="00C845F1"/>
    <w:rsid w:val="00C865ED"/>
    <w:rsid w:val="00C86CB0"/>
    <w:rsid w:val="00C8775A"/>
    <w:rsid w:val="00C87AC5"/>
    <w:rsid w:val="00C9171F"/>
    <w:rsid w:val="00C91C40"/>
    <w:rsid w:val="00C922E0"/>
    <w:rsid w:val="00C936A9"/>
    <w:rsid w:val="00C94D00"/>
    <w:rsid w:val="00C94F10"/>
    <w:rsid w:val="00C961F8"/>
    <w:rsid w:val="00C968E5"/>
    <w:rsid w:val="00CA0877"/>
    <w:rsid w:val="00CA3869"/>
    <w:rsid w:val="00CA6B59"/>
    <w:rsid w:val="00CB0C86"/>
    <w:rsid w:val="00CB0E25"/>
    <w:rsid w:val="00CB129F"/>
    <w:rsid w:val="00CB2DCD"/>
    <w:rsid w:val="00CB3B6C"/>
    <w:rsid w:val="00CB54FF"/>
    <w:rsid w:val="00CB75F1"/>
    <w:rsid w:val="00CC1833"/>
    <w:rsid w:val="00CC189F"/>
    <w:rsid w:val="00CC214C"/>
    <w:rsid w:val="00CC2845"/>
    <w:rsid w:val="00CC3368"/>
    <w:rsid w:val="00CD2F06"/>
    <w:rsid w:val="00CD347A"/>
    <w:rsid w:val="00CD396B"/>
    <w:rsid w:val="00CD6E97"/>
    <w:rsid w:val="00CD7215"/>
    <w:rsid w:val="00CE28C9"/>
    <w:rsid w:val="00CE30BE"/>
    <w:rsid w:val="00CE3C4B"/>
    <w:rsid w:val="00CE3CB3"/>
    <w:rsid w:val="00CE72E8"/>
    <w:rsid w:val="00CF03E5"/>
    <w:rsid w:val="00CF19C4"/>
    <w:rsid w:val="00CF2B0A"/>
    <w:rsid w:val="00CF2E58"/>
    <w:rsid w:val="00CF5CFB"/>
    <w:rsid w:val="00CF6E2A"/>
    <w:rsid w:val="00D00BC6"/>
    <w:rsid w:val="00D01A93"/>
    <w:rsid w:val="00D02A44"/>
    <w:rsid w:val="00D04159"/>
    <w:rsid w:val="00D05F4D"/>
    <w:rsid w:val="00D065C1"/>
    <w:rsid w:val="00D124F6"/>
    <w:rsid w:val="00D13C04"/>
    <w:rsid w:val="00D14100"/>
    <w:rsid w:val="00D155B2"/>
    <w:rsid w:val="00D208A9"/>
    <w:rsid w:val="00D20A78"/>
    <w:rsid w:val="00D21588"/>
    <w:rsid w:val="00D23C2B"/>
    <w:rsid w:val="00D24041"/>
    <w:rsid w:val="00D266EA"/>
    <w:rsid w:val="00D278BA"/>
    <w:rsid w:val="00D33264"/>
    <w:rsid w:val="00D36328"/>
    <w:rsid w:val="00D36B93"/>
    <w:rsid w:val="00D37B49"/>
    <w:rsid w:val="00D40454"/>
    <w:rsid w:val="00D4059C"/>
    <w:rsid w:val="00D40F5A"/>
    <w:rsid w:val="00D4665E"/>
    <w:rsid w:val="00D46BD7"/>
    <w:rsid w:val="00D51883"/>
    <w:rsid w:val="00D53733"/>
    <w:rsid w:val="00D53D8F"/>
    <w:rsid w:val="00D546E4"/>
    <w:rsid w:val="00D54BFC"/>
    <w:rsid w:val="00D54C09"/>
    <w:rsid w:val="00D612D1"/>
    <w:rsid w:val="00D613A6"/>
    <w:rsid w:val="00D61C76"/>
    <w:rsid w:val="00D6483F"/>
    <w:rsid w:val="00D6515B"/>
    <w:rsid w:val="00D658F5"/>
    <w:rsid w:val="00D65FFA"/>
    <w:rsid w:val="00D6667C"/>
    <w:rsid w:val="00D70ECB"/>
    <w:rsid w:val="00D73468"/>
    <w:rsid w:val="00D73602"/>
    <w:rsid w:val="00D762A9"/>
    <w:rsid w:val="00D77015"/>
    <w:rsid w:val="00D82687"/>
    <w:rsid w:val="00D838E7"/>
    <w:rsid w:val="00D84CFC"/>
    <w:rsid w:val="00D90DDB"/>
    <w:rsid w:val="00D91498"/>
    <w:rsid w:val="00D91AEA"/>
    <w:rsid w:val="00D92502"/>
    <w:rsid w:val="00D92B48"/>
    <w:rsid w:val="00D96B67"/>
    <w:rsid w:val="00D97173"/>
    <w:rsid w:val="00D97EBB"/>
    <w:rsid w:val="00DA5D5C"/>
    <w:rsid w:val="00DA78AB"/>
    <w:rsid w:val="00DB11E3"/>
    <w:rsid w:val="00DB1693"/>
    <w:rsid w:val="00DB3F73"/>
    <w:rsid w:val="00DB54C2"/>
    <w:rsid w:val="00DB5E4F"/>
    <w:rsid w:val="00DB6112"/>
    <w:rsid w:val="00DB6E44"/>
    <w:rsid w:val="00DB7405"/>
    <w:rsid w:val="00DB78C7"/>
    <w:rsid w:val="00DC0744"/>
    <w:rsid w:val="00DC43E6"/>
    <w:rsid w:val="00DC4593"/>
    <w:rsid w:val="00DC50FD"/>
    <w:rsid w:val="00DC54BA"/>
    <w:rsid w:val="00DD04DB"/>
    <w:rsid w:val="00DD106F"/>
    <w:rsid w:val="00DD131B"/>
    <w:rsid w:val="00DD4E17"/>
    <w:rsid w:val="00DD57E4"/>
    <w:rsid w:val="00DD5B07"/>
    <w:rsid w:val="00DD64C0"/>
    <w:rsid w:val="00DE2FCA"/>
    <w:rsid w:val="00DE5E93"/>
    <w:rsid w:val="00DE6257"/>
    <w:rsid w:val="00DE6392"/>
    <w:rsid w:val="00DE6821"/>
    <w:rsid w:val="00DF2022"/>
    <w:rsid w:val="00DF2C5F"/>
    <w:rsid w:val="00DF34BE"/>
    <w:rsid w:val="00DF4476"/>
    <w:rsid w:val="00DF475A"/>
    <w:rsid w:val="00DF5D59"/>
    <w:rsid w:val="00E0529B"/>
    <w:rsid w:val="00E05851"/>
    <w:rsid w:val="00E05E92"/>
    <w:rsid w:val="00E0641C"/>
    <w:rsid w:val="00E10B37"/>
    <w:rsid w:val="00E10C2A"/>
    <w:rsid w:val="00E13AF3"/>
    <w:rsid w:val="00E1450E"/>
    <w:rsid w:val="00E16141"/>
    <w:rsid w:val="00E16B5A"/>
    <w:rsid w:val="00E178DD"/>
    <w:rsid w:val="00E22FF3"/>
    <w:rsid w:val="00E23339"/>
    <w:rsid w:val="00E239E4"/>
    <w:rsid w:val="00E2546B"/>
    <w:rsid w:val="00E2584A"/>
    <w:rsid w:val="00E276A7"/>
    <w:rsid w:val="00E35ACE"/>
    <w:rsid w:val="00E36A38"/>
    <w:rsid w:val="00E37544"/>
    <w:rsid w:val="00E427E6"/>
    <w:rsid w:val="00E42B83"/>
    <w:rsid w:val="00E4433C"/>
    <w:rsid w:val="00E446B7"/>
    <w:rsid w:val="00E510EC"/>
    <w:rsid w:val="00E53399"/>
    <w:rsid w:val="00E57553"/>
    <w:rsid w:val="00E603EC"/>
    <w:rsid w:val="00E64B78"/>
    <w:rsid w:val="00E6527E"/>
    <w:rsid w:val="00E673A3"/>
    <w:rsid w:val="00E70308"/>
    <w:rsid w:val="00E705DD"/>
    <w:rsid w:val="00E722D4"/>
    <w:rsid w:val="00E74A36"/>
    <w:rsid w:val="00E7592A"/>
    <w:rsid w:val="00E76E78"/>
    <w:rsid w:val="00E774A3"/>
    <w:rsid w:val="00E77995"/>
    <w:rsid w:val="00E81632"/>
    <w:rsid w:val="00E82895"/>
    <w:rsid w:val="00E829F0"/>
    <w:rsid w:val="00E86768"/>
    <w:rsid w:val="00E87099"/>
    <w:rsid w:val="00E91878"/>
    <w:rsid w:val="00E92D14"/>
    <w:rsid w:val="00E944E5"/>
    <w:rsid w:val="00E9520B"/>
    <w:rsid w:val="00EA04B9"/>
    <w:rsid w:val="00EA0A95"/>
    <w:rsid w:val="00EA28E6"/>
    <w:rsid w:val="00EA3E0A"/>
    <w:rsid w:val="00EA3E10"/>
    <w:rsid w:val="00EA4220"/>
    <w:rsid w:val="00EA4911"/>
    <w:rsid w:val="00EA5EE3"/>
    <w:rsid w:val="00EB7F0F"/>
    <w:rsid w:val="00EC0EBD"/>
    <w:rsid w:val="00EC2A44"/>
    <w:rsid w:val="00EC2A69"/>
    <w:rsid w:val="00EC3AC4"/>
    <w:rsid w:val="00EC4966"/>
    <w:rsid w:val="00EC608A"/>
    <w:rsid w:val="00ED2293"/>
    <w:rsid w:val="00ED27FB"/>
    <w:rsid w:val="00ED4075"/>
    <w:rsid w:val="00ED5DE5"/>
    <w:rsid w:val="00EE012B"/>
    <w:rsid w:val="00EE1F47"/>
    <w:rsid w:val="00EE32FC"/>
    <w:rsid w:val="00EE4073"/>
    <w:rsid w:val="00EE656D"/>
    <w:rsid w:val="00EE6B53"/>
    <w:rsid w:val="00EF052A"/>
    <w:rsid w:val="00EF0DAA"/>
    <w:rsid w:val="00EF1654"/>
    <w:rsid w:val="00EF434A"/>
    <w:rsid w:val="00EF4B3D"/>
    <w:rsid w:val="00EF78C4"/>
    <w:rsid w:val="00F00CFE"/>
    <w:rsid w:val="00F01BF7"/>
    <w:rsid w:val="00F03388"/>
    <w:rsid w:val="00F04CD7"/>
    <w:rsid w:val="00F07BC2"/>
    <w:rsid w:val="00F12A26"/>
    <w:rsid w:val="00F15342"/>
    <w:rsid w:val="00F15791"/>
    <w:rsid w:val="00F20591"/>
    <w:rsid w:val="00F2109B"/>
    <w:rsid w:val="00F23E15"/>
    <w:rsid w:val="00F244A2"/>
    <w:rsid w:val="00F35064"/>
    <w:rsid w:val="00F36019"/>
    <w:rsid w:val="00F361F5"/>
    <w:rsid w:val="00F37141"/>
    <w:rsid w:val="00F374D8"/>
    <w:rsid w:val="00F40174"/>
    <w:rsid w:val="00F404E6"/>
    <w:rsid w:val="00F421C0"/>
    <w:rsid w:val="00F44C3E"/>
    <w:rsid w:val="00F46DCB"/>
    <w:rsid w:val="00F50723"/>
    <w:rsid w:val="00F50E2E"/>
    <w:rsid w:val="00F51C2B"/>
    <w:rsid w:val="00F539FB"/>
    <w:rsid w:val="00F545EE"/>
    <w:rsid w:val="00F5615E"/>
    <w:rsid w:val="00F563D2"/>
    <w:rsid w:val="00F5684D"/>
    <w:rsid w:val="00F57AB6"/>
    <w:rsid w:val="00F6036F"/>
    <w:rsid w:val="00F63A7E"/>
    <w:rsid w:val="00F6480F"/>
    <w:rsid w:val="00F64868"/>
    <w:rsid w:val="00F65B08"/>
    <w:rsid w:val="00F66E82"/>
    <w:rsid w:val="00F70C2E"/>
    <w:rsid w:val="00F71B3A"/>
    <w:rsid w:val="00F757B3"/>
    <w:rsid w:val="00F77A62"/>
    <w:rsid w:val="00F81A29"/>
    <w:rsid w:val="00F84DF2"/>
    <w:rsid w:val="00F85E16"/>
    <w:rsid w:val="00F86713"/>
    <w:rsid w:val="00F90605"/>
    <w:rsid w:val="00F932E0"/>
    <w:rsid w:val="00F9519A"/>
    <w:rsid w:val="00FA0AC4"/>
    <w:rsid w:val="00FA1485"/>
    <w:rsid w:val="00FA1D87"/>
    <w:rsid w:val="00FA1E77"/>
    <w:rsid w:val="00FA225F"/>
    <w:rsid w:val="00FA48AF"/>
    <w:rsid w:val="00FA5355"/>
    <w:rsid w:val="00FA6C2F"/>
    <w:rsid w:val="00FA77DA"/>
    <w:rsid w:val="00FB17B7"/>
    <w:rsid w:val="00FB30DF"/>
    <w:rsid w:val="00FB3759"/>
    <w:rsid w:val="00FB3F5A"/>
    <w:rsid w:val="00FB5CAA"/>
    <w:rsid w:val="00FB730A"/>
    <w:rsid w:val="00FB7701"/>
    <w:rsid w:val="00FC2FAC"/>
    <w:rsid w:val="00FC3257"/>
    <w:rsid w:val="00FC40F0"/>
    <w:rsid w:val="00FC4744"/>
    <w:rsid w:val="00FC57FA"/>
    <w:rsid w:val="00FC6D3B"/>
    <w:rsid w:val="00FD0129"/>
    <w:rsid w:val="00FD0AF2"/>
    <w:rsid w:val="00FD2FAC"/>
    <w:rsid w:val="00FD6A09"/>
    <w:rsid w:val="00FE132E"/>
    <w:rsid w:val="00FE17ED"/>
    <w:rsid w:val="00FE400C"/>
    <w:rsid w:val="00FE4E58"/>
    <w:rsid w:val="00FE6017"/>
    <w:rsid w:val="00FE7894"/>
    <w:rsid w:val="00FE7EB8"/>
    <w:rsid w:val="00FF0561"/>
    <w:rsid w:val="00FF08FA"/>
    <w:rsid w:val="00FF1E9D"/>
    <w:rsid w:val="00FF2F8B"/>
    <w:rsid w:val="00FF4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C1B4F"/>
  <w15:docId w15:val="{71FF464B-44D0-446D-B2D7-03E320BFB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55F"/>
    <w:rPr>
      <w:sz w:val="24"/>
    </w:rPr>
  </w:style>
  <w:style w:type="paragraph" w:styleId="Heading2">
    <w:name w:val="heading 2"/>
    <w:basedOn w:val="Normal"/>
    <w:next w:val="Normal"/>
    <w:link w:val="Heading2Char"/>
    <w:qFormat/>
    <w:rsid w:val="00240CFB"/>
    <w:pPr>
      <w:keepNext/>
      <w:spacing w:after="120"/>
      <w:outlineLvl w:val="1"/>
    </w:pPr>
    <w:rPr>
      <w:rFonts w:ascii="Arial" w:hAnsi="Arial" w:cs="Arial"/>
      <w:b/>
      <w:sz w:val="22"/>
      <w:szCs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link w:val="FootnoteTextChar"/>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uiPriority w:val="99"/>
    <w:semiHidden/>
    <w:rsid w:val="00A26011"/>
    <w:rPr>
      <w:sz w:val="16"/>
      <w:szCs w:val="16"/>
    </w:rPr>
  </w:style>
  <w:style w:type="paragraph" w:styleId="CommentText">
    <w:name w:val="annotation text"/>
    <w:basedOn w:val="Normal"/>
    <w:link w:val="CommentTextChar"/>
    <w:uiPriority w:val="99"/>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link w:val="ListParagraphChar"/>
    <w:uiPriority w:val="34"/>
    <w:qFormat/>
    <w:rsid w:val="00075B58"/>
    <w:pPr>
      <w:spacing w:after="200" w:line="276" w:lineRule="auto"/>
      <w:ind w:left="720"/>
    </w:pPr>
    <w:rPr>
      <w:rFonts w:ascii="Calibri" w:eastAsia="Calibri" w:hAnsi="Calibri"/>
      <w:sz w:val="22"/>
      <w:szCs w:val="22"/>
      <w:lang w:eastAsia="en-US"/>
    </w:rPr>
  </w:style>
  <w:style w:type="character" w:customStyle="1" w:styleId="HeaderChar">
    <w:name w:val="Header Char"/>
    <w:basedOn w:val="DefaultParagraphFont"/>
    <w:link w:val="Header"/>
    <w:rsid w:val="00AC2448"/>
    <w:rPr>
      <w:sz w:val="24"/>
    </w:rPr>
  </w:style>
  <w:style w:type="character" w:customStyle="1" w:styleId="CommentTextChar">
    <w:name w:val="Comment Text Char"/>
    <w:basedOn w:val="DefaultParagraphFont"/>
    <w:link w:val="CommentText"/>
    <w:uiPriority w:val="99"/>
    <w:semiHidden/>
    <w:rsid w:val="00640CC2"/>
  </w:style>
  <w:style w:type="character" w:customStyle="1" w:styleId="Heading2Char">
    <w:name w:val="Heading 2 Char"/>
    <w:basedOn w:val="DefaultParagraphFont"/>
    <w:link w:val="Heading2"/>
    <w:rsid w:val="00D4665E"/>
    <w:rPr>
      <w:rFonts w:ascii="Arial" w:hAnsi="Arial" w:cs="Arial"/>
      <w:b/>
      <w:sz w:val="22"/>
      <w:szCs w:val="22"/>
    </w:rPr>
  </w:style>
  <w:style w:type="character" w:customStyle="1" w:styleId="FootnoteTextChar">
    <w:name w:val="Footnote Text Char"/>
    <w:basedOn w:val="DefaultParagraphFont"/>
    <w:link w:val="FootnoteText"/>
    <w:semiHidden/>
    <w:rsid w:val="00D4665E"/>
  </w:style>
  <w:style w:type="paragraph" w:styleId="Revision">
    <w:name w:val="Revision"/>
    <w:hidden/>
    <w:uiPriority w:val="99"/>
    <w:semiHidden/>
    <w:rsid w:val="00E05E92"/>
    <w:rPr>
      <w:sz w:val="24"/>
    </w:rPr>
  </w:style>
  <w:style w:type="character" w:styleId="UnresolvedMention">
    <w:name w:val="Unresolved Mention"/>
    <w:basedOn w:val="DefaultParagraphFont"/>
    <w:uiPriority w:val="99"/>
    <w:semiHidden/>
    <w:unhideWhenUsed/>
    <w:rsid w:val="00FF0561"/>
    <w:rPr>
      <w:color w:val="605E5C"/>
      <w:shd w:val="clear" w:color="auto" w:fill="E1DFDD"/>
    </w:rPr>
  </w:style>
  <w:style w:type="character" w:customStyle="1" w:styleId="cf01">
    <w:name w:val="cf01"/>
    <w:basedOn w:val="DefaultParagraphFont"/>
    <w:rsid w:val="002E1BB9"/>
    <w:rPr>
      <w:rFonts w:ascii="Segoe UI" w:hAnsi="Segoe UI" w:cs="Segoe UI" w:hint="default"/>
      <w:sz w:val="18"/>
      <w:szCs w:val="18"/>
    </w:rPr>
  </w:style>
  <w:style w:type="character" w:customStyle="1" w:styleId="cf11">
    <w:name w:val="cf11"/>
    <w:basedOn w:val="DefaultParagraphFont"/>
    <w:rsid w:val="002E1BB9"/>
    <w:rPr>
      <w:rFonts w:ascii="Segoe UI" w:hAnsi="Segoe UI" w:cs="Segoe UI" w:hint="default"/>
      <w:sz w:val="18"/>
      <w:szCs w:val="18"/>
      <w:shd w:val="clear" w:color="auto" w:fill="FFFFFF"/>
    </w:rPr>
  </w:style>
  <w:style w:type="character" w:styleId="FollowedHyperlink">
    <w:name w:val="FollowedHyperlink"/>
    <w:basedOn w:val="DefaultParagraphFont"/>
    <w:semiHidden/>
    <w:unhideWhenUsed/>
    <w:rsid w:val="00176FE2"/>
    <w:rPr>
      <w:color w:val="800080" w:themeColor="followedHyperlink"/>
      <w:u w:val="single"/>
    </w:rPr>
  </w:style>
  <w:style w:type="paragraph" w:customStyle="1" w:styleId="Numberedparagraph">
    <w:name w:val="Numbered paragraph"/>
    <w:basedOn w:val="Normal"/>
    <w:uiPriority w:val="6"/>
    <w:qFormat/>
    <w:rsid w:val="00327B12"/>
    <w:pPr>
      <w:numPr>
        <w:numId w:val="4"/>
      </w:numPr>
      <w:spacing w:after="120"/>
    </w:pPr>
    <w:rPr>
      <w:rFonts w:ascii="Arial" w:hAnsi="Arial" w:cs="Arial"/>
      <w:kern w:val="2"/>
      <w:sz w:val="22"/>
      <w:szCs w:val="22"/>
      <w14:ligatures w14:val="standardContextual"/>
    </w:rPr>
  </w:style>
  <w:style w:type="paragraph" w:styleId="Caption">
    <w:name w:val="caption"/>
    <w:basedOn w:val="Normal"/>
    <w:next w:val="Normal"/>
    <w:unhideWhenUsed/>
    <w:qFormat/>
    <w:rsid w:val="005878D6"/>
    <w:pPr>
      <w:spacing w:after="200"/>
    </w:pPr>
    <w:rPr>
      <w:i/>
      <w:iCs/>
      <w:color w:val="1F497D" w:themeColor="text2"/>
      <w:sz w:val="18"/>
      <w:szCs w:val="18"/>
    </w:rPr>
  </w:style>
  <w:style w:type="paragraph" w:customStyle="1" w:styleId="alphabullets">
    <w:name w:val="alpha bullets"/>
    <w:basedOn w:val="ListParagraph"/>
    <w:link w:val="alphabulletsChar"/>
    <w:qFormat/>
    <w:rsid w:val="007716D0"/>
    <w:pPr>
      <w:numPr>
        <w:numId w:val="5"/>
      </w:numPr>
      <w:spacing w:after="120" w:line="240" w:lineRule="auto"/>
      <w:ind w:left="1418" w:hanging="709"/>
    </w:pPr>
    <w:rPr>
      <w:rFonts w:ascii="Arial" w:hAnsi="Arial" w:cs="Arial"/>
    </w:rPr>
  </w:style>
  <w:style w:type="character" w:customStyle="1" w:styleId="ListParagraphChar">
    <w:name w:val="List Paragraph Char"/>
    <w:basedOn w:val="DefaultParagraphFont"/>
    <w:link w:val="ListParagraph"/>
    <w:uiPriority w:val="34"/>
    <w:rsid w:val="007716D0"/>
    <w:rPr>
      <w:rFonts w:ascii="Calibri" w:eastAsia="Calibri" w:hAnsi="Calibri"/>
      <w:sz w:val="22"/>
      <w:szCs w:val="22"/>
      <w:lang w:eastAsia="en-US"/>
    </w:rPr>
  </w:style>
  <w:style w:type="character" w:customStyle="1" w:styleId="alphabulletsChar">
    <w:name w:val="alpha bullets Char"/>
    <w:basedOn w:val="ListParagraphChar"/>
    <w:link w:val="alphabullets"/>
    <w:rsid w:val="007716D0"/>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046241">
      <w:bodyDiv w:val="1"/>
      <w:marLeft w:val="0"/>
      <w:marRight w:val="0"/>
      <w:marTop w:val="0"/>
      <w:marBottom w:val="0"/>
      <w:divBdr>
        <w:top w:val="none" w:sz="0" w:space="0" w:color="auto"/>
        <w:left w:val="none" w:sz="0" w:space="0" w:color="auto"/>
        <w:bottom w:val="none" w:sz="0" w:space="0" w:color="auto"/>
        <w:right w:val="none" w:sz="0" w:space="0" w:color="auto"/>
      </w:divBdr>
    </w:div>
    <w:div w:id="984242822">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14254097">
      <w:bodyDiv w:val="1"/>
      <w:marLeft w:val="0"/>
      <w:marRight w:val="0"/>
      <w:marTop w:val="0"/>
      <w:marBottom w:val="0"/>
      <w:divBdr>
        <w:top w:val="none" w:sz="0" w:space="0" w:color="auto"/>
        <w:left w:val="none" w:sz="0" w:space="0" w:color="auto"/>
        <w:bottom w:val="none" w:sz="0" w:space="0" w:color="auto"/>
        <w:right w:val="none" w:sz="0" w:space="0" w:color="auto"/>
      </w:divBdr>
    </w:div>
    <w:div w:id="1480727923">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54540-4688-4A8B-A2F6-C5AAB725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5912</Words>
  <Characters>27905</Characters>
  <Application>Microsoft Office Word</Application>
  <DocSecurity>0</DocSecurity>
  <Lines>232</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33750</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Legh</dc:creator>
  <cp:keywords/>
  <dc:description/>
  <cp:lastModifiedBy>Peter Giasoumi</cp:lastModifiedBy>
  <cp:revision>3</cp:revision>
  <dcterms:created xsi:type="dcterms:W3CDTF">2025-07-24T08:47:00Z</dcterms:created>
  <dcterms:modified xsi:type="dcterms:W3CDTF">2025-08-12T04:17:00Z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0x0101006381614D443F4E45AD23A8BD133FEC9F00635C18BB39FA7C429D78CB442A1DCFA8</vt:lpwstr>
  </property>
  <property fmtid="{D5CDD505-2E9C-101B-9397-08002B2CF9AE}" pid="3" name="_dlc_DocIdItemGuid">
    <vt:lpwstr>f93d9032-b034-4d54-bc89-6c12a73f871d</vt:lpwstr>
  </property>
  <property fmtid="{D5CDD505-2E9C-101B-9397-08002B2CF9AE}" pid="4" name="Security Classification">
    <vt:lpwstr>1;#OFFICIAL|5d128361-bbb7-4b9a-ac60-b26612a0ec1b</vt:lpwstr>
  </property>
  <property fmtid="{D5CDD505-2E9C-101B-9397-08002B2CF9AE}" pid="5" name="IsABRSLetter">
    <vt:bool>false</vt:bool>
  </property>
  <property fmtid="{D5CDD505-2E9C-101B-9397-08002B2CF9AE}" pid="6" name="MediaServiceImageTags">
    <vt:lpwstr/>
  </property>
  <property fmtid="{D5CDD505-2E9C-101B-9397-08002B2CF9AE}" pid="7" name="Security_x0020_Classification">
    <vt:lpwstr>1;#OFFICIAL|5d128361-bbb7-4b9a-ac60-b26612a0ec1b</vt:lpwstr>
  </property>
  <property fmtid="{D5CDD505-2E9C-101B-9397-08002B2CF9AE}" pid="8" name="MSIP_Label_4dee6122-a064-4c71-a15e-0a915cdd92d7_Enabled">
    <vt:lpwstr>true</vt:lpwstr>
  </property>
  <property fmtid="{D5CDD505-2E9C-101B-9397-08002B2CF9AE}" pid="9" name="MSIP_Label_4dee6122-a064-4c71-a15e-0a915cdd92d7_SetDate">
    <vt:lpwstr>2025-06-19T01:02:57Z</vt:lpwstr>
  </property>
  <property fmtid="{D5CDD505-2E9C-101B-9397-08002B2CF9AE}" pid="10" name="MSIP_Label_4dee6122-a064-4c71-a15e-0a915cdd92d7_Method">
    <vt:lpwstr>Privileged</vt:lpwstr>
  </property>
  <property fmtid="{D5CDD505-2E9C-101B-9397-08002B2CF9AE}" pid="11" name="MSIP_Label_4dee6122-a064-4c71-a15e-0a915cdd92d7_Name">
    <vt:lpwstr>OFFICIAL - Sensitive - ATO Letterhead</vt:lpwstr>
  </property>
  <property fmtid="{D5CDD505-2E9C-101B-9397-08002B2CF9AE}" pid="12" name="MSIP_Label_4dee6122-a064-4c71-a15e-0a915cdd92d7_SiteId">
    <vt:lpwstr>8e823e99-cbcb-430f-a0f6-af1365c21e22</vt:lpwstr>
  </property>
  <property fmtid="{D5CDD505-2E9C-101B-9397-08002B2CF9AE}" pid="13" name="MSIP_Label_4dee6122-a064-4c71-a15e-0a915cdd92d7_ActionId">
    <vt:lpwstr>2e8fa1ca-7bef-41cd-a598-00c5aa0ce123</vt:lpwstr>
  </property>
  <property fmtid="{D5CDD505-2E9C-101B-9397-08002B2CF9AE}" pid="14" name="MSIP_Label_4dee6122-a064-4c71-a15e-0a915cdd92d7_ContentBits">
    <vt:lpwstr>0</vt:lpwstr>
  </property>
</Properties>
</file>