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4694E" w14:textId="77777777" w:rsidR="00C157FE" w:rsidRPr="00C157FE" w:rsidRDefault="00C157FE" w:rsidP="00C157FE">
      <w:pPr>
        <w:spacing w:after="0" w:line="240" w:lineRule="auto"/>
        <w:jc w:val="center"/>
        <w:textAlignment w:val="baseline"/>
        <w:rPr>
          <w:rFonts w:ascii="Arial" w:eastAsia="Times New Roman" w:hAnsi="Arial" w:cs="Arial"/>
          <w:kern w:val="0"/>
          <w:sz w:val="18"/>
          <w:szCs w:val="18"/>
          <w:lang w:val="en-NZ" w:eastAsia="en-NZ"/>
          <w14:ligatures w14:val="none"/>
        </w:rPr>
      </w:pPr>
      <w:r w:rsidRPr="00C157FE">
        <w:rPr>
          <w:rFonts w:ascii="Arial" w:eastAsia="Times New Roman" w:hAnsi="Arial" w:cs="Arial"/>
          <w:b/>
          <w:bCs/>
          <w:caps/>
          <w:kern w:val="0"/>
          <w:u w:val="single"/>
          <w:lang w:val="en-GB" w:eastAsia="en-NZ"/>
          <w14:ligatures w14:val="none"/>
        </w:rPr>
        <w:t>EXPLANATORY STATEMENT</w:t>
      </w:r>
      <w:r w:rsidRPr="00C157FE">
        <w:rPr>
          <w:rFonts w:ascii="Arial" w:eastAsia="Times New Roman" w:hAnsi="Arial" w:cs="Arial"/>
          <w:kern w:val="0"/>
          <w:lang w:val="en-NZ" w:eastAsia="en-NZ"/>
          <w14:ligatures w14:val="none"/>
        </w:rPr>
        <w:t> </w:t>
      </w:r>
    </w:p>
    <w:p w14:paraId="14389567" w14:textId="77777777" w:rsidR="00C157FE" w:rsidRPr="00C157FE" w:rsidRDefault="00C157FE" w:rsidP="00C157FE">
      <w:pPr>
        <w:spacing w:after="0" w:line="240" w:lineRule="auto"/>
        <w:textAlignment w:val="baseline"/>
        <w:rPr>
          <w:rFonts w:ascii="Segoe UI" w:eastAsia="Times New Roman" w:hAnsi="Segoe UI" w:cs="Segoe UI"/>
          <w:kern w:val="0"/>
          <w:sz w:val="18"/>
          <w:szCs w:val="18"/>
          <w:lang w:val="en-NZ" w:eastAsia="en-NZ"/>
          <w14:ligatures w14:val="none"/>
        </w:rPr>
      </w:pPr>
      <w:r w:rsidRPr="00C157FE">
        <w:rPr>
          <w:rFonts w:ascii="Times New Roman" w:eastAsia="Times New Roman" w:hAnsi="Times New Roman" w:cs="Arial"/>
          <w:kern w:val="0"/>
          <w:lang w:val="en-NZ" w:eastAsia="en-NZ"/>
          <w14:ligatures w14:val="none"/>
        </w:rPr>
        <w:t> </w:t>
      </w:r>
    </w:p>
    <w:p w14:paraId="59C84F82" w14:textId="77777777" w:rsidR="00C157FE" w:rsidRPr="00C157FE" w:rsidRDefault="00C157FE" w:rsidP="00C157FE">
      <w:pPr>
        <w:shd w:val="clear" w:color="auto" w:fill="FFFFFF"/>
        <w:spacing w:after="0" w:line="240" w:lineRule="auto"/>
        <w:jc w:val="center"/>
        <w:textAlignment w:val="baseline"/>
        <w:rPr>
          <w:rFonts w:ascii="Arial" w:eastAsia="Times New Roman" w:hAnsi="Arial" w:cs="Arial"/>
          <w:kern w:val="0"/>
          <w:sz w:val="18"/>
          <w:szCs w:val="18"/>
          <w:lang w:val="en-NZ" w:eastAsia="en-NZ"/>
          <w14:ligatures w14:val="none"/>
        </w:rPr>
      </w:pPr>
      <w:r w:rsidRPr="00C157FE">
        <w:rPr>
          <w:rFonts w:ascii="Arial" w:eastAsia="Times New Roman" w:hAnsi="Arial" w:cs="Arial"/>
          <w:i/>
          <w:iCs/>
          <w:color w:val="000000"/>
          <w:kern w:val="0"/>
          <w:lang w:eastAsia="en-NZ"/>
          <w14:ligatures w14:val="none"/>
        </w:rPr>
        <w:t>Food Standards Australia New Zealand Act 1991</w:t>
      </w:r>
      <w:r w:rsidRPr="00C157FE">
        <w:rPr>
          <w:rFonts w:ascii="Arial" w:eastAsia="Times New Roman" w:hAnsi="Arial" w:cs="Arial"/>
          <w:color w:val="000000"/>
          <w:kern w:val="0"/>
          <w:lang w:val="en-NZ" w:eastAsia="en-NZ"/>
          <w14:ligatures w14:val="none"/>
        </w:rPr>
        <w:t> </w:t>
      </w:r>
    </w:p>
    <w:p w14:paraId="749F05D1" w14:textId="77777777" w:rsidR="00C157FE" w:rsidRPr="00C157FE" w:rsidRDefault="00C157FE" w:rsidP="00C157FE">
      <w:pPr>
        <w:widowControl w:val="0"/>
        <w:spacing w:after="0" w:line="240" w:lineRule="auto"/>
        <w:rPr>
          <w:rFonts w:ascii="Arial" w:eastAsia="Times New Roman" w:hAnsi="Arial" w:cs="Times New Roman"/>
          <w:kern w:val="0"/>
          <w:sz w:val="22"/>
          <w:lang w:val="en-GB"/>
          <w14:ligatures w14:val="none"/>
        </w:rPr>
      </w:pPr>
    </w:p>
    <w:p w14:paraId="13AF09BB" w14:textId="77777777" w:rsidR="00C157FE" w:rsidRPr="00C157FE" w:rsidRDefault="00C157FE" w:rsidP="00C157FE">
      <w:pPr>
        <w:spacing w:after="0" w:line="240" w:lineRule="auto"/>
        <w:jc w:val="center"/>
        <w:textAlignment w:val="baseline"/>
        <w:rPr>
          <w:rFonts w:ascii="Arial" w:eastAsia="Times New Roman" w:hAnsi="Arial" w:cs="Arial"/>
          <w:kern w:val="0"/>
          <w:sz w:val="18"/>
          <w:szCs w:val="18"/>
          <w:lang w:val="en-NZ" w:eastAsia="en-NZ"/>
          <w14:ligatures w14:val="none"/>
        </w:rPr>
      </w:pPr>
      <w:r w:rsidRPr="00C157FE">
        <w:rPr>
          <w:rFonts w:ascii="Arial" w:eastAsia="Times New Roman" w:hAnsi="Arial" w:cs="Arial"/>
          <w:b/>
          <w:bCs/>
          <w:i/>
          <w:iCs/>
          <w:kern w:val="0"/>
          <w:lang w:val="en-GB" w:eastAsia="en-NZ"/>
          <w14:ligatures w14:val="none"/>
        </w:rPr>
        <w:t>Food Standards (Proposal P1049 – Carbohydrate and sugar claims on alcoholic beverages) Variation</w:t>
      </w:r>
      <w:r w:rsidRPr="00C157FE">
        <w:rPr>
          <w:rFonts w:ascii="Arial" w:eastAsia="Times New Roman" w:hAnsi="Arial" w:cs="Arial"/>
          <w:b/>
          <w:bCs/>
          <w:i/>
          <w:iCs/>
          <w:kern w:val="0"/>
          <w:sz w:val="20"/>
          <w:szCs w:val="20"/>
          <w:lang w:val="en-GB" w:eastAsia="en-NZ"/>
          <w14:ligatures w14:val="none"/>
        </w:rPr>
        <w:t xml:space="preserve"> </w:t>
      </w:r>
      <w:r w:rsidRPr="00C157FE">
        <w:rPr>
          <w:rFonts w:ascii="Arial" w:eastAsia="Times New Roman" w:hAnsi="Arial" w:cs="Arial"/>
          <w:kern w:val="0"/>
          <w:sz w:val="20"/>
          <w:szCs w:val="20"/>
          <w:lang w:val="en-NZ" w:eastAsia="en-NZ"/>
          <w14:ligatures w14:val="none"/>
        </w:rPr>
        <w:t> </w:t>
      </w:r>
    </w:p>
    <w:p w14:paraId="3D150681" w14:textId="77777777" w:rsidR="00C157FE" w:rsidRPr="00C157FE" w:rsidRDefault="00C157FE" w:rsidP="00C157FE">
      <w:pPr>
        <w:spacing w:after="0" w:line="240" w:lineRule="auto"/>
        <w:textAlignment w:val="baseline"/>
        <w:rPr>
          <w:rFonts w:ascii="Segoe UI" w:eastAsia="Times New Roman" w:hAnsi="Segoe UI" w:cs="Segoe UI"/>
          <w:kern w:val="0"/>
          <w:sz w:val="18"/>
          <w:szCs w:val="18"/>
          <w:lang w:val="en-NZ" w:eastAsia="en-NZ"/>
          <w14:ligatures w14:val="none"/>
        </w:rPr>
      </w:pPr>
      <w:r w:rsidRPr="00C157FE">
        <w:rPr>
          <w:rFonts w:ascii="Times New Roman" w:eastAsia="Times New Roman" w:hAnsi="Times New Roman" w:cs="Arial"/>
          <w:kern w:val="0"/>
          <w:lang w:val="en-NZ" w:eastAsia="en-NZ"/>
          <w14:ligatures w14:val="none"/>
        </w:rPr>
        <w:t> </w:t>
      </w:r>
    </w:p>
    <w:p w14:paraId="6AA745D9" w14:textId="77777777" w:rsidR="00C157FE" w:rsidRPr="00C157FE" w:rsidRDefault="00C157FE" w:rsidP="00C157FE">
      <w:pPr>
        <w:widowControl w:val="0"/>
        <w:spacing w:after="0" w:line="240" w:lineRule="auto"/>
        <w:rPr>
          <w:rFonts w:ascii="Arial" w:eastAsia="Times New Roman" w:hAnsi="Arial" w:cs="Times New Roman"/>
          <w:b/>
          <w:kern w:val="0"/>
          <w:sz w:val="22"/>
          <w:lang w:eastAsia="en-GB"/>
          <w14:ligatures w14:val="none"/>
        </w:rPr>
      </w:pPr>
      <w:r w:rsidRPr="00C157FE">
        <w:rPr>
          <w:rFonts w:ascii="Arial" w:eastAsia="Times New Roman" w:hAnsi="Arial" w:cs="Times New Roman"/>
          <w:b/>
          <w:kern w:val="0"/>
          <w:sz w:val="22"/>
          <w:lang w:eastAsia="en-GB"/>
          <w14:ligatures w14:val="none"/>
        </w:rPr>
        <w:t>1.</w:t>
      </w:r>
      <w:r w:rsidRPr="00C157FE">
        <w:rPr>
          <w:rFonts w:ascii="Arial" w:eastAsia="Times New Roman" w:hAnsi="Arial" w:cs="Times New Roman"/>
          <w:b/>
          <w:kern w:val="0"/>
          <w:sz w:val="22"/>
          <w:lang w:eastAsia="en-GB"/>
          <w14:ligatures w14:val="none"/>
        </w:rPr>
        <w:tab/>
        <w:t>Authority</w:t>
      </w:r>
    </w:p>
    <w:p w14:paraId="2E2F7E82" w14:textId="77777777" w:rsidR="00C157FE" w:rsidRPr="00C157FE" w:rsidRDefault="00C157FE" w:rsidP="00C157FE">
      <w:pPr>
        <w:widowControl w:val="0"/>
        <w:spacing w:after="0" w:line="240" w:lineRule="auto"/>
        <w:rPr>
          <w:rFonts w:ascii="Arial" w:eastAsia="Times New Roman" w:hAnsi="Arial" w:cs="Times New Roman"/>
          <w:kern w:val="0"/>
          <w:sz w:val="22"/>
          <w:lang w:eastAsia="en-GB"/>
          <w14:ligatures w14:val="none"/>
        </w:rPr>
      </w:pPr>
    </w:p>
    <w:p w14:paraId="6F15118C" w14:textId="77777777" w:rsidR="00C157FE" w:rsidRPr="00C157FE" w:rsidRDefault="00C157FE" w:rsidP="00C157FE">
      <w:pPr>
        <w:autoSpaceDE w:val="0"/>
        <w:autoSpaceDN w:val="0"/>
        <w:adjustRightInd w:val="0"/>
        <w:spacing w:after="0" w:line="240" w:lineRule="auto"/>
        <w:rPr>
          <w:rFonts w:ascii="Arial" w:eastAsia="Calibri" w:hAnsi="Arial" w:cs="Arial"/>
          <w:bCs/>
          <w:kern w:val="0"/>
          <w:sz w:val="22"/>
          <w:szCs w:val="22"/>
          <w14:ligatures w14:val="none"/>
        </w:rPr>
      </w:pPr>
      <w:r w:rsidRPr="00C157FE">
        <w:rPr>
          <w:rFonts w:ascii="Arial" w:eastAsia="Calibri" w:hAnsi="Arial" w:cs="Arial"/>
          <w:bCs/>
          <w:kern w:val="0"/>
          <w:sz w:val="22"/>
          <w:szCs w:val="22"/>
          <w14:ligatures w14:val="none"/>
        </w:rPr>
        <w:t xml:space="preserve">Section 13 of the </w:t>
      </w:r>
      <w:r w:rsidRPr="00C157FE">
        <w:rPr>
          <w:rFonts w:ascii="Arial" w:eastAsia="Calibri" w:hAnsi="Arial" w:cs="Arial"/>
          <w:bCs/>
          <w:i/>
          <w:kern w:val="0"/>
          <w:sz w:val="22"/>
          <w:szCs w:val="22"/>
          <w14:ligatures w14:val="none"/>
        </w:rPr>
        <w:t>Food Standards Australia New Zealand Act 1991</w:t>
      </w:r>
      <w:r w:rsidRPr="00C157FE">
        <w:rPr>
          <w:rFonts w:ascii="Arial" w:eastAsia="Calibri" w:hAnsi="Arial" w:cs="Arial"/>
          <w:bCs/>
          <w:kern w:val="0"/>
          <w:sz w:val="22"/>
          <w:szCs w:val="22"/>
          <w14:ligatures w14:val="none"/>
        </w:rPr>
        <w:t xml:space="preserve"> (the FSANZ Act) provides that the functions of Food Standards Australia New Zealand (the Authority) include the development of standards and variations of standards for inclusion in the </w:t>
      </w:r>
      <w:r w:rsidRPr="00C157FE">
        <w:rPr>
          <w:rFonts w:ascii="Arial" w:eastAsia="Calibri" w:hAnsi="Arial" w:cs="Arial"/>
          <w:bCs/>
          <w:i/>
          <w:kern w:val="0"/>
          <w:sz w:val="22"/>
          <w:szCs w:val="22"/>
          <w14:ligatures w14:val="none"/>
        </w:rPr>
        <w:t>Australia New Zealand Food Standards Code</w:t>
      </w:r>
      <w:r w:rsidRPr="00C157FE">
        <w:rPr>
          <w:rFonts w:ascii="Arial" w:eastAsia="Calibri" w:hAnsi="Arial" w:cs="Arial"/>
          <w:bCs/>
          <w:kern w:val="0"/>
          <w:sz w:val="22"/>
          <w:szCs w:val="22"/>
          <w14:ligatures w14:val="none"/>
        </w:rPr>
        <w:t xml:space="preserve"> (the Code).</w:t>
      </w:r>
    </w:p>
    <w:p w14:paraId="164F1D46" w14:textId="77777777" w:rsidR="00C157FE" w:rsidRPr="00C157FE" w:rsidRDefault="00C157FE" w:rsidP="00C157FE">
      <w:pPr>
        <w:autoSpaceDE w:val="0"/>
        <w:autoSpaceDN w:val="0"/>
        <w:adjustRightInd w:val="0"/>
        <w:spacing w:after="0" w:line="240" w:lineRule="auto"/>
        <w:rPr>
          <w:rFonts w:ascii="Arial" w:eastAsia="Calibri" w:hAnsi="Arial" w:cs="Arial"/>
          <w:bCs/>
          <w:kern w:val="0"/>
          <w:sz w:val="22"/>
          <w:szCs w:val="22"/>
          <w14:ligatures w14:val="none"/>
        </w:rPr>
      </w:pPr>
    </w:p>
    <w:p w14:paraId="7422D22E" w14:textId="77777777" w:rsidR="00C157FE" w:rsidRPr="00C157FE" w:rsidRDefault="00C157FE" w:rsidP="00C157FE">
      <w:pPr>
        <w:autoSpaceDE w:val="0"/>
        <w:autoSpaceDN w:val="0"/>
        <w:adjustRightInd w:val="0"/>
        <w:spacing w:after="0" w:line="240" w:lineRule="auto"/>
        <w:rPr>
          <w:rFonts w:ascii="Arial" w:eastAsia="Calibri" w:hAnsi="Arial" w:cs="Arial"/>
          <w:bCs/>
          <w:kern w:val="0"/>
          <w:sz w:val="22"/>
          <w:szCs w:val="22"/>
          <w14:ligatures w14:val="none"/>
        </w:rPr>
      </w:pPr>
      <w:r w:rsidRPr="00C157FE">
        <w:rPr>
          <w:rFonts w:ascii="Arial" w:eastAsia="Calibri" w:hAnsi="Arial" w:cs="Arial"/>
          <w:bCs/>
          <w:kern w:val="0"/>
          <w:sz w:val="22"/>
          <w:szCs w:val="22"/>
          <w14:ligatures w14:val="none"/>
        </w:rPr>
        <w:t xml:space="preserve">Division 2 of Part 3 of the FSANZ Act specifies that the Authority may prepare a proposal for the development or variation of food regulatory measures, including standards. This Division also stipulates the procedure for considering a proposal for the development or variation of food regulatory measures. </w:t>
      </w:r>
    </w:p>
    <w:p w14:paraId="76E6210C" w14:textId="77777777" w:rsidR="00C157FE" w:rsidRPr="00C157FE" w:rsidRDefault="00C157FE" w:rsidP="00C157FE">
      <w:pPr>
        <w:autoSpaceDE w:val="0"/>
        <w:autoSpaceDN w:val="0"/>
        <w:adjustRightInd w:val="0"/>
        <w:spacing w:after="0" w:line="240" w:lineRule="auto"/>
        <w:rPr>
          <w:rFonts w:ascii="Arial" w:eastAsia="Calibri" w:hAnsi="Arial" w:cs="Arial"/>
          <w:bCs/>
          <w:kern w:val="0"/>
          <w:sz w:val="22"/>
          <w:szCs w:val="22"/>
          <w14:ligatures w14:val="none"/>
        </w:rPr>
      </w:pPr>
    </w:p>
    <w:p w14:paraId="758ED0C0" w14:textId="5EDA8787" w:rsidR="00C157FE" w:rsidRPr="00C157FE" w:rsidRDefault="00C157FE" w:rsidP="00C157FE">
      <w:pPr>
        <w:widowControl w:val="0"/>
        <w:spacing w:after="0" w:line="240" w:lineRule="auto"/>
        <w:rPr>
          <w:rFonts w:ascii="Arial" w:eastAsia="Calibri" w:hAnsi="Arial" w:cs="Times New Roman"/>
          <w:kern w:val="0"/>
          <w:sz w:val="22"/>
          <w:lang w:bidi="en-US"/>
          <w14:ligatures w14:val="none"/>
        </w:rPr>
      </w:pPr>
      <w:r w:rsidRPr="00C157FE">
        <w:rPr>
          <w:rFonts w:ascii="Arial" w:eastAsia="Calibri" w:hAnsi="Arial" w:cs="Arial"/>
          <w:kern w:val="0"/>
          <w:sz w:val="22"/>
          <w14:ligatures w14:val="none"/>
        </w:rPr>
        <w:t xml:space="preserve">The Authority prepared Proposal P1049 to </w:t>
      </w:r>
      <w:r w:rsidRPr="00C157FE">
        <w:rPr>
          <w:rFonts w:ascii="Arial" w:eastAsia="Times New Roman" w:hAnsi="Arial" w:cs="Times New Roman"/>
          <w:kern w:val="0"/>
          <w:sz w:val="22"/>
          <w:lang w:bidi="en-US"/>
          <w14:ligatures w14:val="none"/>
        </w:rPr>
        <w:t>clarify requirements in the Code with respect to nutrition content claims about carbohydrate content and the components of carbohydrate (such as sugar) in relation to food (including alcoholic beverages) containing more than 1.15% alcohol by volume (ABV)</w:t>
      </w:r>
      <w:r w:rsidRPr="00C157FE">
        <w:rPr>
          <w:rFonts w:ascii="Arial" w:eastAsia="Calibri" w:hAnsi="Arial" w:cs="Arial"/>
          <w:kern w:val="0"/>
          <w:sz w:val="22"/>
          <w14:ligatures w14:val="none"/>
        </w:rPr>
        <w:t>. The Authority considered the Proposal in accordance with Division 2 of Part 3 and has approved a draft variation: the</w:t>
      </w:r>
      <w:r w:rsidRPr="00C157FE">
        <w:rPr>
          <w:rFonts w:ascii="Arial" w:eastAsia="Calibri" w:hAnsi="Arial" w:cs="Arial"/>
          <w:i/>
          <w:iCs/>
          <w:kern w:val="0"/>
          <w:sz w:val="22"/>
          <w14:ligatures w14:val="none"/>
        </w:rPr>
        <w:t xml:space="preserve"> </w:t>
      </w:r>
      <w:r w:rsidRPr="00C157FE">
        <w:rPr>
          <w:rFonts w:ascii="Arial" w:eastAsia="Times New Roman" w:hAnsi="Arial" w:cs="Arial"/>
          <w:i/>
          <w:iCs/>
          <w:kern w:val="0"/>
          <w:sz w:val="22"/>
          <w:lang w:bidi="en-US"/>
          <w14:ligatures w14:val="none"/>
        </w:rPr>
        <w:t xml:space="preserve">Food Standards (Proposal P1049 – Carbohydrate and sugar claims on alcoholic beverages) Variation </w:t>
      </w:r>
      <w:r w:rsidRPr="00C157FE">
        <w:rPr>
          <w:rFonts w:ascii="Arial" w:eastAsia="Times New Roman" w:hAnsi="Arial" w:cs="Arial"/>
          <w:kern w:val="0"/>
          <w:sz w:val="22"/>
          <w:lang w:bidi="en-US"/>
          <w14:ligatures w14:val="none"/>
        </w:rPr>
        <w:t>(the approved draft variation).</w:t>
      </w:r>
      <w:r w:rsidRPr="00C157FE">
        <w:rPr>
          <w:rFonts w:ascii="Arial" w:eastAsia="Calibri" w:hAnsi="Arial" w:cs="Arial"/>
          <w:kern w:val="0"/>
          <w:sz w:val="22"/>
          <w14:ligatures w14:val="none"/>
        </w:rPr>
        <w:t xml:space="preserve"> </w:t>
      </w:r>
    </w:p>
    <w:p w14:paraId="02EB5EA6" w14:textId="77777777" w:rsidR="00C157FE" w:rsidRPr="00C157FE" w:rsidRDefault="00C157FE" w:rsidP="00C157FE">
      <w:pPr>
        <w:autoSpaceDE w:val="0"/>
        <w:autoSpaceDN w:val="0"/>
        <w:adjustRightInd w:val="0"/>
        <w:spacing w:after="0" w:line="240" w:lineRule="auto"/>
        <w:rPr>
          <w:rFonts w:ascii="Arial" w:eastAsia="Calibri" w:hAnsi="Arial" w:cs="Arial"/>
          <w:bCs/>
          <w:kern w:val="0"/>
          <w:sz w:val="22"/>
          <w:szCs w:val="22"/>
          <w14:ligatures w14:val="none"/>
        </w:rPr>
      </w:pPr>
    </w:p>
    <w:p w14:paraId="1A9AB463" w14:textId="77777777" w:rsidR="00C157FE" w:rsidRPr="00C157FE" w:rsidRDefault="00C157FE" w:rsidP="00C157FE">
      <w:pPr>
        <w:autoSpaceDE w:val="0"/>
        <w:autoSpaceDN w:val="0"/>
        <w:adjustRightInd w:val="0"/>
        <w:spacing w:after="0" w:line="240" w:lineRule="auto"/>
        <w:rPr>
          <w:rFonts w:ascii="Arial" w:eastAsia="Calibri" w:hAnsi="Arial" w:cs="Arial"/>
          <w:bCs/>
          <w:kern w:val="0"/>
          <w:sz w:val="22"/>
          <w:szCs w:val="22"/>
          <w14:ligatures w14:val="none"/>
        </w:rPr>
      </w:pPr>
      <w:r w:rsidRPr="00C157FE">
        <w:rPr>
          <w:rFonts w:ascii="Arial" w:eastAsia="Calibri" w:hAnsi="Arial" w:cs="Arial"/>
          <w:bCs/>
          <w:kern w:val="0"/>
          <w:sz w:val="22"/>
          <w:szCs w:val="22"/>
          <w14:ligatures w14:val="none"/>
        </w:rPr>
        <w:t xml:space="preserve">Following consideration by the </w:t>
      </w:r>
      <w:r w:rsidRPr="00C157FE">
        <w:rPr>
          <w:rFonts w:ascii="Arial" w:eastAsia="Times New Roman" w:hAnsi="Arial" w:cs="Helvetica"/>
          <w:kern w:val="0"/>
          <w:sz w:val="22"/>
          <w:lang w:bidi="en-US"/>
          <w14:ligatures w14:val="none"/>
        </w:rPr>
        <w:t>Food Ministers’ Meeting (FMM)</w:t>
      </w:r>
      <w:r w:rsidRPr="00C157FE">
        <w:rPr>
          <w:rFonts w:ascii="Arial" w:eastAsia="Calibri" w:hAnsi="Arial" w:cs="Arial"/>
          <w:bCs/>
          <w:kern w:val="0"/>
          <w:sz w:val="22"/>
          <w:szCs w:val="22"/>
          <w14:ligatures w14:val="none"/>
        </w:rPr>
        <w:t xml:space="preserve">, section 92 of the FSANZ Act stipulates that the Authority must publish a notice about the draft variation. </w:t>
      </w:r>
    </w:p>
    <w:p w14:paraId="3C0708A4" w14:textId="77777777" w:rsidR="00C157FE" w:rsidRPr="00C157FE" w:rsidRDefault="00C157FE" w:rsidP="00C157FE">
      <w:pPr>
        <w:widowControl w:val="0"/>
        <w:spacing w:after="0" w:line="240" w:lineRule="auto"/>
        <w:rPr>
          <w:rFonts w:ascii="Arial" w:eastAsia="Times New Roman" w:hAnsi="Arial" w:cs="Times New Roman"/>
          <w:kern w:val="0"/>
          <w:sz w:val="22"/>
          <w:lang w:eastAsia="en-GB"/>
          <w14:ligatures w14:val="none"/>
        </w:rPr>
      </w:pPr>
    </w:p>
    <w:p w14:paraId="74E361C7" w14:textId="77777777" w:rsidR="00C157FE" w:rsidRPr="00C157FE" w:rsidRDefault="00C157FE" w:rsidP="00C157FE">
      <w:pPr>
        <w:widowControl w:val="0"/>
        <w:spacing w:after="0" w:line="240" w:lineRule="auto"/>
        <w:rPr>
          <w:rFonts w:ascii="Arial" w:eastAsia="Times New Roman" w:hAnsi="Arial" w:cs="Times New Roman"/>
          <w:b/>
          <w:kern w:val="0"/>
          <w:sz w:val="22"/>
          <w:lang w:eastAsia="en-GB"/>
          <w14:ligatures w14:val="none"/>
        </w:rPr>
      </w:pPr>
      <w:r w:rsidRPr="00C157FE">
        <w:rPr>
          <w:rFonts w:ascii="Arial" w:eastAsia="Times New Roman" w:hAnsi="Arial" w:cs="Times New Roman"/>
          <w:b/>
          <w:kern w:val="0"/>
          <w:sz w:val="22"/>
          <w:lang w:eastAsia="en-GB"/>
          <w14:ligatures w14:val="none"/>
        </w:rPr>
        <w:t>2.</w:t>
      </w:r>
      <w:r w:rsidRPr="00C157FE">
        <w:rPr>
          <w:rFonts w:ascii="Arial" w:eastAsia="Times New Roman" w:hAnsi="Arial" w:cs="Times New Roman"/>
          <w:b/>
          <w:kern w:val="0"/>
          <w:sz w:val="22"/>
          <w:lang w:eastAsia="en-GB"/>
          <w14:ligatures w14:val="none"/>
        </w:rPr>
        <w:tab/>
        <w:t>Variation is a legislative instrument</w:t>
      </w:r>
    </w:p>
    <w:p w14:paraId="522B0634" w14:textId="77777777" w:rsidR="00C157FE" w:rsidRPr="00C157FE" w:rsidRDefault="00C157FE" w:rsidP="00C157FE">
      <w:pPr>
        <w:widowControl w:val="0"/>
        <w:spacing w:after="0" w:line="240" w:lineRule="auto"/>
        <w:rPr>
          <w:rFonts w:ascii="Arial" w:eastAsia="Times New Roman" w:hAnsi="Arial" w:cs="Times New Roman"/>
          <w:b/>
          <w:kern w:val="0"/>
          <w:sz w:val="22"/>
          <w:lang w:eastAsia="en-GB"/>
          <w14:ligatures w14:val="none"/>
        </w:rPr>
      </w:pPr>
    </w:p>
    <w:p w14:paraId="5799DCEB" w14:textId="2C5C4BF1" w:rsidR="00C157FE" w:rsidRPr="00C157FE" w:rsidRDefault="00C157FE" w:rsidP="00C157FE">
      <w:pPr>
        <w:widowControl w:val="0"/>
        <w:spacing w:after="0" w:line="240" w:lineRule="auto"/>
        <w:rPr>
          <w:rFonts w:ascii="Arial" w:eastAsia="Times New Roman" w:hAnsi="Arial" w:cs="Arial"/>
          <w:kern w:val="0"/>
          <w:sz w:val="22"/>
          <w:szCs w:val="22"/>
          <w:lang w:val="en-GB"/>
          <w14:ligatures w14:val="none"/>
        </w:rPr>
      </w:pPr>
      <w:r w:rsidRPr="00C157FE">
        <w:rPr>
          <w:rFonts w:ascii="Arial" w:eastAsia="Times New Roman" w:hAnsi="Arial" w:cs="Arial"/>
          <w:kern w:val="0"/>
          <w:sz w:val="22"/>
          <w:lang w:val="en-GB" w:bidi="en-US"/>
          <w14:ligatures w14:val="none"/>
        </w:rPr>
        <w:t xml:space="preserve">The approved draft variation is a legislative instrument for the purposes of the </w:t>
      </w:r>
      <w:r w:rsidRPr="00C157FE">
        <w:rPr>
          <w:rFonts w:ascii="Arial" w:eastAsia="Times New Roman" w:hAnsi="Arial" w:cs="Arial"/>
          <w:i/>
          <w:iCs/>
          <w:kern w:val="0"/>
          <w:sz w:val="22"/>
          <w:lang w:val="en-GB" w:bidi="en-US"/>
          <w14:ligatures w14:val="none"/>
        </w:rPr>
        <w:t>Legislation Act 2003</w:t>
      </w:r>
      <w:r w:rsidRPr="00C157FE">
        <w:rPr>
          <w:rFonts w:ascii="Arial" w:eastAsia="Times New Roman" w:hAnsi="Arial" w:cs="Arial"/>
          <w:kern w:val="0"/>
          <w:sz w:val="22"/>
          <w:lang w:val="en-GB" w:bidi="en-US"/>
          <w14:ligatures w14:val="none"/>
        </w:rPr>
        <w:t xml:space="preserve"> (see section 94 of the FSANZ Act) and is publicly available on the Federal Register of Legislation (</w:t>
      </w:r>
      <w:r w:rsidRPr="004E400A">
        <w:rPr>
          <w:rFonts w:ascii="Arial" w:eastAsia="Times New Roman" w:hAnsi="Arial" w:cs="Arial"/>
          <w:kern w:val="0"/>
          <w:sz w:val="22"/>
          <w:lang w:val="en-GB" w:bidi="en-US"/>
          <w14:ligatures w14:val="none"/>
        </w:rPr>
        <w:t>www.legislation.gov.au</w:t>
      </w:r>
      <w:r w:rsidRPr="00C157FE">
        <w:rPr>
          <w:rFonts w:ascii="Arial" w:eastAsia="Times New Roman" w:hAnsi="Arial" w:cs="Arial"/>
          <w:kern w:val="0"/>
          <w:sz w:val="22"/>
          <w:lang w:val="en-GB" w:bidi="en-US"/>
          <w14:ligatures w14:val="none"/>
        </w:rPr>
        <w:t>).</w:t>
      </w:r>
    </w:p>
    <w:p w14:paraId="44BD1004" w14:textId="77777777" w:rsidR="00C157FE" w:rsidRPr="00C157FE" w:rsidRDefault="00C157FE" w:rsidP="00C157FE">
      <w:pPr>
        <w:widowControl w:val="0"/>
        <w:spacing w:after="0" w:line="240" w:lineRule="auto"/>
        <w:rPr>
          <w:rFonts w:ascii="Arial" w:eastAsia="Times New Roman" w:hAnsi="Arial" w:cs="Arial"/>
          <w:kern w:val="0"/>
          <w:sz w:val="22"/>
          <w:lang w:val="en-GB" w:bidi="en-US"/>
          <w14:ligatures w14:val="none"/>
        </w:rPr>
      </w:pPr>
    </w:p>
    <w:p w14:paraId="241C51D5" w14:textId="77777777" w:rsidR="00C157FE" w:rsidRPr="00C157FE" w:rsidRDefault="00C157FE" w:rsidP="00C157FE">
      <w:pPr>
        <w:widowControl w:val="0"/>
        <w:spacing w:after="0" w:line="240" w:lineRule="auto"/>
        <w:rPr>
          <w:rFonts w:ascii="Arial" w:eastAsia="Times New Roman" w:hAnsi="Arial" w:cs="Arial"/>
          <w:kern w:val="0"/>
          <w:sz w:val="22"/>
          <w:lang w:val="en-GB" w:bidi="en-US"/>
          <w14:ligatures w14:val="none"/>
        </w:rPr>
      </w:pPr>
      <w:r w:rsidRPr="00C157FE">
        <w:rPr>
          <w:rFonts w:ascii="Arial" w:eastAsia="Times New Roman" w:hAnsi="Arial" w:cs="Arial"/>
          <w:kern w:val="0"/>
          <w:sz w:val="22"/>
          <w:lang w:val="en-GB" w:bidi="en-US"/>
          <w14:ligatures w14:val="none"/>
        </w:rPr>
        <w:t xml:space="preserve">This instrument is not subject to the disallowance or sunsetting provisions of the </w:t>
      </w:r>
      <w:r w:rsidRPr="00C157FE">
        <w:rPr>
          <w:rFonts w:ascii="Arial" w:eastAsia="Times New Roman" w:hAnsi="Arial" w:cs="Arial"/>
          <w:i/>
          <w:iCs/>
          <w:kern w:val="0"/>
          <w:sz w:val="22"/>
          <w:lang w:val="en-GB" w:bidi="en-US"/>
          <w14:ligatures w14:val="none"/>
        </w:rPr>
        <w:t xml:space="preserve">Legislation Act 2003. </w:t>
      </w:r>
      <w:r w:rsidRPr="00C157FE">
        <w:rPr>
          <w:rFonts w:ascii="Arial" w:eastAsia="Times New Roman" w:hAnsi="Arial" w:cs="Arial"/>
          <w:kern w:val="0"/>
          <w:sz w:val="22"/>
          <w:lang w:val="en-GB" w:bidi="en-US"/>
          <w14:ligatures w14:val="none"/>
        </w:rPr>
        <w:t>Subsections</w:t>
      </w:r>
      <w:r w:rsidRPr="00C157FE">
        <w:rPr>
          <w:rFonts w:ascii="Arial" w:eastAsia="Times New Roman" w:hAnsi="Arial" w:cs="Arial"/>
          <w:i/>
          <w:iCs/>
          <w:kern w:val="0"/>
          <w:sz w:val="22"/>
          <w:lang w:val="en-GB" w:bidi="en-US"/>
          <w14:ligatures w14:val="none"/>
        </w:rPr>
        <w:t xml:space="preserve"> </w:t>
      </w:r>
      <w:r w:rsidRPr="00C157FE">
        <w:rPr>
          <w:rFonts w:ascii="Arial" w:eastAsia="Times New Roman" w:hAnsi="Arial" w:cs="Arial"/>
          <w:kern w:val="0"/>
          <w:sz w:val="22"/>
          <w:lang w:val="en-GB" w:bidi="en-US"/>
          <w14:ligatures w14:val="none"/>
        </w:rPr>
        <w:t>44(1) and 54(1) of that Act</w:t>
      </w:r>
      <w:r w:rsidRPr="00C157FE">
        <w:rPr>
          <w:rFonts w:ascii="Arial" w:eastAsia="Times New Roman" w:hAnsi="Arial" w:cs="Arial"/>
          <w:i/>
          <w:iCs/>
          <w:kern w:val="0"/>
          <w:sz w:val="22"/>
          <w:lang w:val="en-GB" w:bidi="en-US"/>
          <w14:ligatures w14:val="none"/>
        </w:rPr>
        <w:t xml:space="preserve"> </w:t>
      </w:r>
      <w:r w:rsidRPr="00C157FE">
        <w:rPr>
          <w:rFonts w:ascii="Arial" w:eastAsia="Times New Roman" w:hAnsi="Arial" w:cs="Arial"/>
          <w:kern w:val="0"/>
          <w:sz w:val="22"/>
          <w:lang w:val="en-GB" w:bidi="en-US"/>
          <w14:ligatures w14:val="none"/>
        </w:rPr>
        <w:t xml:space="preserve">provide that a legislative instrument is not disallowable or subject to sunsetting if the enabling legislation for the instrument (in this case, the FSANZ Act): (a) facilitates the establishment or operation of an intergovernmental scheme involving the Commonwealth and one or more States; and (b) authorises the instrument to be made for the purposes of the scheme. Regulation 11 of the </w:t>
      </w:r>
      <w:r w:rsidRPr="00C157FE">
        <w:rPr>
          <w:rFonts w:ascii="Arial" w:eastAsia="Times New Roman" w:hAnsi="Arial" w:cs="Arial"/>
          <w:i/>
          <w:iCs/>
          <w:kern w:val="0"/>
          <w:sz w:val="22"/>
          <w:lang w:val="en-GB" w:bidi="en-US"/>
          <w14:ligatures w14:val="none"/>
        </w:rPr>
        <w:t>Legislation (Exemptions and other Matters) Regulation 2015</w:t>
      </w:r>
      <w:r w:rsidRPr="00C157FE">
        <w:rPr>
          <w:rFonts w:ascii="Arial" w:eastAsia="Times New Roman" w:hAnsi="Arial" w:cs="Arial"/>
          <w:kern w:val="0"/>
          <w:sz w:val="22"/>
          <w:lang w:val="en-GB" w:bidi="en-US"/>
          <w14:ligatures w14:val="none"/>
        </w:rPr>
        <w:t xml:space="preserve"> </w:t>
      </w:r>
      <w:r w:rsidRPr="00C157FE">
        <w:rPr>
          <w:rFonts w:ascii="Arial" w:eastAsia="Times New Roman" w:hAnsi="Arial" w:cs="Arial"/>
          <w:kern w:val="0"/>
          <w:sz w:val="22"/>
          <w:lang w:val="en" w:bidi="en-US"/>
          <w14:ligatures w14:val="none"/>
        </w:rPr>
        <w:t xml:space="preserve">also exempts from sunsetting legislative instruments </w:t>
      </w:r>
      <w:r w:rsidRPr="00C157FE">
        <w:rPr>
          <w:rFonts w:ascii="Arial" w:eastAsia="Times New Roman" w:hAnsi="Arial" w:cs="Arial"/>
          <w:kern w:val="0"/>
          <w:sz w:val="22"/>
          <w:shd w:val="clear" w:color="auto" w:fill="FFFFFF"/>
          <w:lang w:val="en-GB" w:bidi="en-US"/>
          <w14:ligatures w14:val="none"/>
        </w:rPr>
        <w:t xml:space="preserve">a primary purpose of which is to </w:t>
      </w:r>
      <w:r w:rsidRPr="00C157FE">
        <w:rPr>
          <w:rFonts w:ascii="Arial" w:eastAsia="Times New Roman" w:hAnsi="Arial" w:cs="Arial"/>
          <w:kern w:val="0"/>
          <w:sz w:val="22"/>
          <w:lang w:val="en-GB" w:bidi="en-US"/>
          <w14:ligatures w14:val="none"/>
        </w:rPr>
        <w:t>give effect to an international obligation of Australia.</w:t>
      </w:r>
    </w:p>
    <w:p w14:paraId="6D7C0CD4" w14:textId="77777777" w:rsidR="00C157FE" w:rsidRPr="00C157FE" w:rsidRDefault="00C157FE" w:rsidP="00C157FE">
      <w:pPr>
        <w:widowControl w:val="0"/>
        <w:spacing w:after="0" w:line="240" w:lineRule="auto"/>
        <w:rPr>
          <w:rFonts w:ascii="Arial" w:eastAsia="Times New Roman" w:hAnsi="Arial" w:cs="Arial"/>
          <w:kern w:val="0"/>
          <w:sz w:val="22"/>
          <w:lang w:val="en-GB" w:bidi="en-US"/>
          <w14:ligatures w14:val="none"/>
        </w:rPr>
      </w:pPr>
    </w:p>
    <w:p w14:paraId="4B05008D" w14:textId="77777777" w:rsidR="00C157FE" w:rsidRPr="00C157FE" w:rsidRDefault="00C157FE" w:rsidP="00C157FE">
      <w:pPr>
        <w:widowControl w:val="0"/>
        <w:spacing w:after="0" w:line="240" w:lineRule="auto"/>
        <w:rPr>
          <w:rFonts w:ascii="Arial" w:eastAsia="Times New Roman" w:hAnsi="Arial" w:cs="Times New Roman"/>
          <w:b/>
          <w:bCs/>
          <w:kern w:val="0"/>
          <w:sz w:val="22"/>
          <w:lang w:eastAsia="en-GB"/>
          <w14:ligatures w14:val="none"/>
        </w:rPr>
      </w:pPr>
      <w:r w:rsidRPr="00C157FE">
        <w:rPr>
          <w:rFonts w:ascii="Arial" w:eastAsia="Times New Roman" w:hAnsi="Arial" w:cs="Arial"/>
          <w:kern w:val="0"/>
          <w:sz w:val="22"/>
          <w:lang w:bidi="en-US"/>
          <w14:ligatures w14:val="none"/>
        </w:rPr>
        <w:t>The FSANZ Act</w:t>
      </w:r>
      <w:r w:rsidRPr="00C157FE">
        <w:rPr>
          <w:rFonts w:ascii="Arial" w:eastAsia="Times New Roman" w:hAnsi="Arial" w:cs="Arial"/>
          <w:i/>
          <w:iCs/>
          <w:kern w:val="0"/>
          <w:sz w:val="22"/>
          <w:lang w:bidi="en-US"/>
          <w14:ligatures w14:val="none"/>
        </w:rPr>
        <w:t xml:space="preserve"> </w:t>
      </w:r>
      <w:r w:rsidRPr="00C157FE">
        <w:rPr>
          <w:rFonts w:ascii="Arial" w:eastAsia="Times New Roman" w:hAnsi="Arial" w:cs="Arial"/>
          <w:kern w:val="0"/>
          <w:sz w:val="22"/>
          <w:lang w:bidi="en-US"/>
          <w14:ligatures w14:val="none"/>
        </w:rPr>
        <w:t>gives effect to an intergovernmental agreement (the Food Regulation Agreement) and facilitates the establishment or operation of an intergovernmental scheme (national uniform food regulation). That Act also</w:t>
      </w:r>
      <w:r w:rsidRPr="00C157FE">
        <w:rPr>
          <w:rFonts w:ascii="Arial" w:eastAsia="Times New Roman" w:hAnsi="Arial" w:cs="Arial"/>
          <w:i/>
          <w:iCs/>
          <w:kern w:val="0"/>
          <w:sz w:val="22"/>
          <w:lang w:bidi="en-US"/>
          <w14:ligatures w14:val="none"/>
        </w:rPr>
        <w:t xml:space="preserve"> </w:t>
      </w:r>
      <w:r w:rsidRPr="00C157FE">
        <w:rPr>
          <w:rFonts w:ascii="Arial" w:eastAsia="Times New Roman" w:hAnsi="Arial" w:cs="Arial"/>
          <w:kern w:val="0"/>
          <w:sz w:val="22"/>
          <w:lang w:bidi="en-US"/>
          <w14:ligatures w14:val="none"/>
        </w:rPr>
        <w:t xml:space="preserve">gives effect to Australia’s obligations under an international agreement between Australia and New Zealand. For these purposes, the Act establishes the Authority to develop food standards for consideration and endorsement by the FMM. The FMM is established under the Food Regulation Agreement and the international agreement between Australia and New Zealand, and consists of New Zealand, Commonwealth and State/Territory members. If endorsed by the FMM, the food standards </w:t>
      </w:r>
      <w:r w:rsidRPr="00C157FE">
        <w:rPr>
          <w:rFonts w:ascii="Arial" w:eastAsia="Times New Roman" w:hAnsi="Arial" w:cs="Arial"/>
          <w:kern w:val="0"/>
          <w:sz w:val="22"/>
          <w:lang w:bidi="en-US"/>
          <w14:ligatures w14:val="none"/>
        </w:rPr>
        <w:lastRenderedPageBreak/>
        <w:t>on gazettal and registration are incorporated into and become part of Commonwealth, State and Territory and New Zealand food laws. These standards or instruments are then administered, applied and enforced by these jurisdictions’ regulators as part of those food laws.</w:t>
      </w:r>
    </w:p>
    <w:p w14:paraId="19F2EB7B" w14:textId="77777777" w:rsidR="00C157FE" w:rsidRPr="00C157FE" w:rsidRDefault="00C157FE" w:rsidP="00C157FE">
      <w:pPr>
        <w:widowControl w:val="0"/>
        <w:spacing w:after="0" w:line="240" w:lineRule="auto"/>
        <w:rPr>
          <w:rFonts w:ascii="Arial" w:eastAsia="Times New Roman" w:hAnsi="Arial" w:cs="Times New Roman"/>
          <w:b/>
          <w:kern w:val="0"/>
          <w:sz w:val="22"/>
          <w:lang w:eastAsia="en-GB"/>
          <w14:ligatures w14:val="none"/>
        </w:rPr>
      </w:pPr>
    </w:p>
    <w:p w14:paraId="17408163" w14:textId="77777777" w:rsidR="00C157FE" w:rsidRPr="00C157FE" w:rsidRDefault="00C157FE" w:rsidP="00C157FE">
      <w:pPr>
        <w:widowControl w:val="0"/>
        <w:spacing w:after="0" w:line="240" w:lineRule="auto"/>
        <w:rPr>
          <w:rFonts w:ascii="Arial" w:eastAsia="Times New Roman" w:hAnsi="Arial" w:cs="Times New Roman"/>
          <w:b/>
          <w:kern w:val="0"/>
          <w:sz w:val="22"/>
          <w:lang w:eastAsia="en-GB"/>
          <w14:ligatures w14:val="none"/>
        </w:rPr>
      </w:pPr>
      <w:r w:rsidRPr="00C157FE">
        <w:rPr>
          <w:rFonts w:ascii="Arial" w:eastAsia="Times New Roman" w:hAnsi="Arial" w:cs="Times New Roman"/>
          <w:b/>
          <w:kern w:val="0"/>
          <w:sz w:val="22"/>
          <w:lang w:eastAsia="en-GB"/>
          <w14:ligatures w14:val="none"/>
        </w:rPr>
        <w:t>3.</w:t>
      </w:r>
      <w:r w:rsidRPr="00C157FE">
        <w:rPr>
          <w:rFonts w:ascii="Arial" w:eastAsia="Times New Roman" w:hAnsi="Arial" w:cs="Times New Roman"/>
          <w:b/>
          <w:kern w:val="0"/>
          <w:sz w:val="22"/>
          <w:lang w:eastAsia="en-GB"/>
          <w14:ligatures w14:val="none"/>
        </w:rPr>
        <w:tab/>
        <w:t xml:space="preserve">Purpose </w:t>
      </w:r>
    </w:p>
    <w:p w14:paraId="20B0732E" w14:textId="77777777" w:rsidR="00C157FE" w:rsidRPr="00C157FE" w:rsidRDefault="00C157FE" w:rsidP="00C157FE">
      <w:pPr>
        <w:widowControl w:val="0"/>
        <w:spacing w:after="0" w:line="240" w:lineRule="auto"/>
        <w:rPr>
          <w:rFonts w:ascii="Arial" w:eastAsia="Times New Roman" w:hAnsi="Arial" w:cs="Times New Roman"/>
          <w:kern w:val="0"/>
          <w:sz w:val="22"/>
          <w:lang w:eastAsia="en-GB"/>
          <w14:ligatures w14:val="none"/>
        </w:rPr>
      </w:pPr>
    </w:p>
    <w:p w14:paraId="2C3F78BD" w14:textId="77777777" w:rsidR="00C157FE" w:rsidRPr="00C157FE" w:rsidRDefault="00C157FE" w:rsidP="00C157FE">
      <w:pPr>
        <w:widowControl w:val="0"/>
        <w:spacing w:after="0" w:line="240" w:lineRule="auto"/>
        <w:rPr>
          <w:rFonts w:ascii="Arial" w:eastAsia="Times New Roman" w:hAnsi="Arial" w:cs="Times New Roman"/>
          <w:kern w:val="0"/>
          <w:sz w:val="22"/>
          <w:lang w:val="en-GB" w:bidi="en-US"/>
          <w14:ligatures w14:val="none"/>
        </w:rPr>
      </w:pPr>
      <w:r w:rsidRPr="00C157FE">
        <w:rPr>
          <w:rFonts w:ascii="Arial" w:eastAsia="Times New Roman" w:hAnsi="Arial" w:cs="Times New Roman"/>
          <w:kern w:val="0"/>
          <w:sz w:val="22"/>
          <w:lang w:val="en-GB" w:eastAsia="en-GB"/>
          <w14:ligatures w14:val="none"/>
        </w:rPr>
        <w:t>The Authority has approved a draft variation to amend Standard 1.2.7</w:t>
      </w:r>
      <w:r w:rsidRPr="00C157FE">
        <w:rPr>
          <w:rFonts w:ascii="Arial" w:eastAsia="Times New Roman" w:hAnsi="Arial" w:cs="Times New Roman"/>
          <w:kern w:val="0"/>
          <w:sz w:val="22"/>
          <w:lang w:val="en-GB" w:bidi="en-US"/>
          <w14:ligatures w14:val="none"/>
        </w:rPr>
        <w:t xml:space="preserve"> to clarify requirements for nutrition content claims about carbohydrate content and components of carbohydrate (‘sugar’ or ‘sugars’) in relation to food (including alcoholic beverages) containing more than 1.15% ABV.</w:t>
      </w:r>
    </w:p>
    <w:p w14:paraId="1A07BA03" w14:textId="77777777" w:rsidR="00C157FE" w:rsidRPr="00C157FE" w:rsidRDefault="00C157FE" w:rsidP="00C157FE">
      <w:pPr>
        <w:widowControl w:val="0"/>
        <w:spacing w:after="0" w:line="240" w:lineRule="auto"/>
        <w:rPr>
          <w:rFonts w:ascii="Arial" w:eastAsia="Times New Roman" w:hAnsi="Arial" w:cs="Times New Roman"/>
          <w:kern w:val="0"/>
          <w:sz w:val="22"/>
          <w:lang w:eastAsia="en-GB"/>
          <w14:ligatures w14:val="none"/>
        </w:rPr>
      </w:pPr>
    </w:p>
    <w:p w14:paraId="3577C647" w14:textId="77777777" w:rsidR="00C157FE" w:rsidRPr="00C157FE" w:rsidRDefault="00C157FE" w:rsidP="00C157FE">
      <w:pPr>
        <w:widowControl w:val="0"/>
        <w:spacing w:after="0" w:line="240" w:lineRule="auto"/>
        <w:rPr>
          <w:rFonts w:ascii="Arial" w:eastAsia="Times New Roman" w:hAnsi="Arial" w:cs="Times New Roman"/>
          <w:b/>
          <w:kern w:val="0"/>
          <w:sz w:val="22"/>
          <w:lang w:eastAsia="en-GB"/>
          <w14:ligatures w14:val="none"/>
        </w:rPr>
      </w:pPr>
      <w:r w:rsidRPr="00C157FE">
        <w:rPr>
          <w:rFonts w:ascii="Arial" w:eastAsia="Times New Roman" w:hAnsi="Arial" w:cs="Times New Roman"/>
          <w:b/>
          <w:kern w:val="0"/>
          <w:sz w:val="22"/>
          <w:lang w:eastAsia="en-GB"/>
          <w14:ligatures w14:val="none"/>
        </w:rPr>
        <w:t>4.</w:t>
      </w:r>
      <w:r w:rsidRPr="00C157FE">
        <w:rPr>
          <w:rFonts w:ascii="Arial" w:eastAsia="Times New Roman" w:hAnsi="Arial" w:cs="Times New Roman"/>
          <w:b/>
          <w:kern w:val="0"/>
          <w:sz w:val="22"/>
          <w:lang w:eastAsia="en-GB"/>
          <w14:ligatures w14:val="none"/>
        </w:rPr>
        <w:tab/>
        <w:t>Documents incorporated by reference</w:t>
      </w:r>
    </w:p>
    <w:p w14:paraId="4EFE6CAE" w14:textId="77777777" w:rsidR="00C157FE" w:rsidRPr="00C157FE" w:rsidRDefault="00C157FE" w:rsidP="00C157FE">
      <w:pPr>
        <w:widowControl w:val="0"/>
        <w:spacing w:after="0" w:line="240" w:lineRule="auto"/>
        <w:rPr>
          <w:rFonts w:ascii="Arial" w:eastAsia="Times New Roman" w:hAnsi="Arial" w:cs="Times New Roman"/>
          <w:kern w:val="0"/>
          <w:sz w:val="22"/>
          <w:lang w:eastAsia="en-GB"/>
          <w14:ligatures w14:val="none"/>
        </w:rPr>
      </w:pPr>
    </w:p>
    <w:p w14:paraId="119C35B7" w14:textId="77777777" w:rsidR="00C157FE" w:rsidRPr="00C157FE" w:rsidRDefault="00C157FE" w:rsidP="00C157FE">
      <w:pPr>
        <w:autoSpaceDE w:val="0"/>
        <w:autoSpaceDN w:val="0"/>
        <w:adjustRightInd w:val="0"/>
        <w:spacing w:after="0" w:line="240" w:lineRule="auto"/>
        <w:rPr>
          <w:rFonts w:ascii="Arial" w:eastAsia="Calibri" w:hAnsi="Arial" w:cs="Arial"/>
          <w:bCs/>
          <w:kern w:val="0"/>
          <w:sz w:val="22"/>
          <w:szCs w:val="22"/>
          <w14:ligatures w14:val="none"/>
        </w:rPr>
      </w:pPr>
      <w:r w:rsidRPr="00C157FE">
        <w:rPr>
          <w:rFonts w:ascii="Arial" w:eastAsia="Calibri" w:hAnsi="Arial" w:cs="Arial"/>
          <w:bCs/>
          <w:kern w:val="0"/>
          <w:sz w:val="22"/>
          <w:szCs w:val="22"/>
          <w14:ligatures w14:val="none"/>
        </w:rPr>
        <w:t>The approved draft variation does not incorporate any documents by reference.</w:t>
      </w:r>
    </w:p>
    <w:p w14:paraId="30C5738A" w14:textId="77777777" w:rsidR="00C157FE" w:rsidRPr="00C157FE" w:rsidRDefault="00C157FE" w:rsidP="00C157FE">
      <w:pPr>
        <w:widowControl w:val="0"/>
        <w:spacing w:after="0" w:line="240" w:lineRule="auto"/>
        <w:rPr>
          <w:rFonts w:ascii="Arial" w:eastAsia="Times New Roman" w:hAnsi="Arial" w:cs="Times New Roman"/>
          <w:kern w:val="0"/>
          <w:sz w:val="22"/>
          <w:lang w:eastAsia="en-GB"/>
          <w14:ligatures w14:val="none"/>
        </w:rPr>
      </w:pPr>
    </w:p>
    <w:p w14:paraId="21EE489B" w14:textId="77777777" w:rsidR="00C157FE" w:rsidRPr="00C157FE" w:rsidRDefault="00C157FE" w:rsidP="00C157FE">
      <w:pPr>
        <w:widowControl w:val="0"/>
        <w:spacing w:after="0" w:line="240" w:lineRule="auto"/>
        <w:rPr>
          <w:rFonts w:ascii="Arial" w:eastAsia="Times New Roman" w:hAnsi="Arial" w:cs="Times New Roman"/>
          <w:b/>
          <w:kern w:val="0"/>
          <w:sz w:val="22"/>
          <w:lang w:eastAsia="en-GB"/>
          <w14:ligatures w14:val="none"/>
        </w:rPr>
      </w:pPr>
      <w:r w:rsidRPr="00C157FE">
        <w:rPr>
          <w:rFonts w:ascii="Arial" w:eastAsia="Times New Roman" w:hAnsi="Arial" w:cs="Times New Roman"/>
          <w:b/>
          <w:kern w:val="0"/>
          <w:sz w:val="22"/>
          <w:lang w:eastAsia="en-GB"/>
          <w14:ligatures w14:val="none"/>
        </w:rPr>
        <w:t>5.</w:t>
      </w:r>
      <w:r w:rsidRPr="00C157FE">
        <w:rPr>
          <w:rFonts w:ascii="Arial" w:eastAsia="Times New Roman" w:hAnsi="Arial" w:cs="Times New Roman"/>
          <w:b/>
          <w:kern w:val="0"/>
          <w:sz w:val="22"/>
          <w:lang w:eastAsia="en-GB"/>
          <w14:ligatures w14:val="none"/>
        </w:rPr>
        <w:tab/>
        <w:t>Consultation</w:t>
      </w:r>
    </w:p>
    <w:p w14:paraId="4D64231F" w14:textId="77777777" w:rsidR="00C157FE" w:rsidRPr="00C157FE" w:rsidRDefault="00C157FE" w:rsidP="00C157FE">
      <w:pPr>
        <w:widowControl w:val="0"/>
        <w:spacing w:after="0" w:line="240" w:lineRule="auto"/>
        <w:rPr>
          <w:rFonts w:ascii="Arial" w:eastAsia="Times New Roman" w:hAnsi="Arial" w:cs="Times New Roman"/>
          <w:kern w:val="0"/>
          <w:sz w:val="22"/>
          <w:lang w:eastAsia="en-GB"/>
          <w14:ligatures w14:val="none"/>
        </w:rPr>
      </w:pPr>
    </w:p>
    <w:p w14:paraId="15A43AAD" w14:textId="77777777" w:rsidR="00C157FE" w:rsidRPr="00C157FE" w:rsidRDefault="00C157FE" w:rsidP="00C157FE">
      <w:pPr>
        <w:widowControl w:val="0"/>
        <w:spacing w:after="0" w:line="240" w:lineRule="auto"/>
        <w:rPr>
          <w:rFonts w:ascii="Arial" w:eastAsia="Times New Roman" w:hAnsi="Arial" w:cs="Times New Roman"/>
          <w:kern w:val="0"/>
          <w:sz w:val="22"/>
          <w:szCs w:val="22"/>
          <w:lang w:val="en-GB" w:bidi="en-US"/>
          <w14:ligatures w14:val="none"/>
        </w:rPr>
      </w:pPr>
      <w:r w:rsidRPr="00C157FE">
        <w:rPr>
          <w:rFonts w:ascii="Arial" w:eastAsia="Times New Roman" w:hAnsi="Arial" w:cs="Times New Roman"/>
          <w:kern w:val="0"/>
          <w:sz w:val="22"/>
          <w:szCs w:val="22"/>
          <w:lang w:val="en-GB" w:bidi="en-US"/>
          <w14:ligatures w14:val="none"/>
        </w:rPr>
        <w:t xml:space="preserve">In accordance with the procedure in Division 2 of Part 3 of the FSANZ Act, </w:t>
      </w:r>
      <w:r w:rsidRPr="00C157FE">
        <w:rPr>
          <w:rFonts w:ascii="Arial" w:eastAsia="Calibri" w:hAnsi="Arial" w:cs="Arial"/>
          <w:bCs/>
          <w:kern w:val="0"/>
          <w:sz w:val="22"/>
          <w:szCs w:val="22"/>
          <w14:ligatures w14:val="none"/>
        </w:rPr>
        <w:t>the Authority</w:t>
      </w:r>
      <w:r w:rsidRPr="00C157FE">
        <w:rPr>
          <w:rFonts w:ascii="Arial" w:eastAsia="Times New Roman" w:hAnsi="Arial" w:cs="Times New Roman"/>
          <w:kern w:val="0"/>
          <w:sz w:val="22"/>
          <w:szCs w:val="22"/>
          <w:lang w:val="en-GB" w:bidi="en-US"/>
          <w14:ligatures w14:val="none"/>
        </w:rPr>
        <w:t xml:space="preserve">’s consideration of Proposal P1049 included one round of public consultation following an assessment and the preparation of a draft variation and associated report. Submissions were called for on 24 July 2023 for a 6-week consultation period. </w:t>
      </w:r>
      <w:bookmarkStart w:id="0" w:name="_Hlk189393711"/>
      <w:r w:rsidRPr="00C157FE">
        <w:rPr>
          <w:rFonts w:ascii="Arial" w:eastAsia="Times New Roman" w:hAnsi="Arial" w:cs="Times New Roman"/>
          <w:kern w:val="0"/>
          <w:sz w:val="22"/>
          <w:szCs w:val="22"/>
          <w:lang w:val="en-US" w:bidi="en-US"/>
          <w14:ligatures w14:val="none"/>
        </w:rPr>
        <w:t>Further details of the consultation process, the issues raised during consultation and by whom, and the Authority’s response to these issues are available in an approval report published on the Authority’s website at www.</w:t>
      </w:r>
      <w:r w:rsidRPr="00C157FE">
        <w:rPr>
          <w:rFonts w:ascii="Arial" w:eastAsia="Times New Roman" w:hAnsi="Arial" w:cs="Times New Roman"/>
          <w:kern w:val="0"/>
          <w:sz w:val="22"/>
          <w:szCs w:val="22"/>
          <w:lang w:val="en-GB" w:bidi="en-US"/>
          <w14:ligatures w14:val="none"/>
        </w:rPr>
        <w:t>foodstandards.gov.au.</w:t>
      </w:r>
    </w:p>
    <w:bookmarkEnd w:id="0"/>
    <w:p w14:paraId="586BAD3A" w14:textId="77777777" w:rsidR="00C157FE" w:rsidRPr="00C157FE" w:rsidRDefault="00C157FE" w:rsidP="00C157FE">
      <w:pPr>
        <w:widowControl w:val="0"/>
        <w:spacing w:after="0" w:line="240" w:lineRule="auto"/>
        <w:rPr>
          <w:rFonts w:ascii="Arial" w:eastAsia="Calibri" w:hAnsi="Arial" w:cs="Times New Roman"/>
          <w:kern w:val="0"/>
          <w:sz w:val="22"/>
          <w:szCs w:val="22"/>
          <w:lang w:val="en-GB" w:bidi="en-US"/>
          <w14:ligatures w14:val="none"/>
        </w:rPr>
      </w:pPr>
    </w:p>
    <w:p w14:paraId="35E1749F" w14:textId="77777777" w:rsidR="00C157FE" w:rsidRPr="00C157FE" w:rsidRDefault="00C157FE" w:rsidP="00C157FE">
      <w:pPr>
        <w:widowControl w:val="0"/>
        <w:spacing w:after="0" w:line="240" w:lineRule="auto"/>
        <w:rPr>
          <w:rFonts w:ascii="Arial" w:eastAsia="Times New Roman" w:hAnsi="Arial" w:cs="Times New Roman"/>
          <w:kern w:val="0"/>
          <w:sz w:val="22"/>
          <w:lang w:val="en-US" w:bidi="en-US"/>
          <w14:ligatures w14:val="none"/>
        </w:rPr>
      </w:pPr>
      <w:r w:rsidRPr="00C157FE">
        <w:rPr>
          <w:rFonts w:ascii="Arial" w:eastAsia="Times New Roman" w:hAnsi="Arial" w:cs="Times New Roman"/>
          <w:kern w:val="0"/>
          <w:sz w:val="22"/>
          <w:lang w:val="en-US" w:bidi="en-US"/>
          <w14:ligatures w14:val="none"/>
        </w:rPr>
        <w:t>The Office of Impact Analysis (OIA</w:t>
      </w:r>
      <w:r w:rsidRPr="00C157FE">
        <w:rPr>
          <w:rFonts w:ascii="Arial" w:eastAsia="Times New Roman" w:hAnsi="Arial" w:cs="Times New Roman"/>
          <w:kern w:val="0"/>
          <w:sz w:val="22"/>
          <w:vertAlign w:val="superscript"/>
          <w:lang w:val="en-US" w:bidi="en-US"/>
          <w14:ligatures w14:val="none"/>
        </w:rPr>
        <w:footnoteReference w:id="1"/>
      </w:r>
      <w:r w:rsidRPr="00C157FE">
        <w:rPr>
          <w:rFonts w:ascii="Arial" w:eastAsia="Times New Roman" w:hAnsi="Arial" w:cs="Times New Roman"/>
          <w:kern w:val="0"/>
          <w:sz w:val="22"/>
          <w:lang w:val="en-US" w:bidi="en-US"/>
          <w14:ligatures w14:val="none"/>
        </w:rPr>
        <w:t>) previously exempted FSANZ from the need to prepare a formal Consultation Regulation Impact Statement (CRIS) in relation to the regulatory change proposed in the CFS</w:t>
      </w:r>
      <w:r w:rsidRPr="00C157FE">
        <w:rPr>
          <w:rFonts w:ascii="Arial" w:eastAsia="Times New Roman" w:hAnsi="Arial" w:cs="Times New Roman"/>
          <w:kern w:val="0"/>
          <w:sz w:val="22"/>
          <w:vertAlign w:val="superscript"/>
          <w:lang w:val="en-US" w:bidi="en-US"/>
          <w14:ligatures w14:val="none"/>
        </w:rPr>
        <w:footnoteReference w:id="2"/>
      </w:r>
      <w:r w:rsidRPr="00C157FE">
        <w:rPr>
          <w:rFonts w:ascii="Arial" w:eastAsia="Times New Roman" w:hAnsi="Arial" w:cs="Times New Roman"/>
          <w:kern w:val="0"/>
          <w:sz w:val="22"/>
          <w:lang w:val="en-US" w:bidi="en-US"/>
          <w14:ligatures w14:val="none"/>
        </w:rPr>
        <w:t>. The OIA was satisfied that extensive and ongoing consultation with affected stakeholders had occurred, and that a statutory consultation process would be undertaken. The CFS included a detailed CRIS equivalent (see Attachment D of the CFS).</w:t>
      </w:r>
    </w:p>
    <w:p w14:paraId="2543B67B" w14:textId="77777777" w:rsidR="00C157FE" w:rsidRPr="00C157FE" w:rsidRDefault="00C157FE" w:rsidP="00C157FE">
      <w:pPr>
        <w:widowControl w:val="0"/>
        <w:spacing w:after="0" w:line="240" w:lineRule="auto"/>
        <w:rPr>
          <w:rFonts w:ascii="Arial" w:eastAsia="Times New Roman" w:hAnsi="Arial" w:cs="Times New Roman"/>
          <w:kern w:val="0"/>
          <w:sz w:val="22"/>
          <w:lang w:val="en-GB" w:bidi="en-US"/>
          <w14:ligatures w14:val="none"/>
        </w:rPr>
      </w:pPr>
    </w:p>
    <w:p w14:paraId="31BC416F" w14:textId="77777777" w:rsidR="00C157FE" w:rsidRPr="00C157FE" w:rsidRDefault="00C157FE" w:rsidP="00C157FE">
      <w:pPr>
        <w:widowControl w:val="0"/>
        <w:spacing w:after="0" w:line="240" w:lineRule="auto"/>
        <w:rPr>
          <w:rFonts w:ascii="Arial" w:eastAsia="Times New Roman" w:hAnsi="Arial" w:cs="Arial"/>
          <w:kern w:val="0"/>
          <w:sz w:val="22"/>
          <w:lang w:val="en-GB" w:bidi="en-US"/>
          <w14:ligatures w14:val="none"/>
        </w:rPr>
      </w:pPr>
      <w:r w:rsidRPr="00C157FE">
        <w:rPr>
          <w:rFonts w:ascii="Arial" w:eastAsia="Times New Roman" w:hAnsi="Arial" w:cs="Times New Roman"/>
          <w:kern w:val="0"/>
          <w:sz w:val="22"/>
          <w:lang w:val="en-US" w:bidi="en-US"/>
          <w14:ligatures w14:val="none"/>
        </w:rPr>
        <w:t xml:space="preserve">The OIA also exempted FSANZ from the need to prepare a Decision Regulation Impact Statement (DRIS) for P1049 </w:t>
      </w:r>
      <w:r w:rsidRPr="00C157FE">
        <w:rPr>
          <w:rFonts w:ascii="Arial" w:eastAsia="Times New Roman" w:hAnsi="Arial" w:cs="Times New Roman"/>
          <w:kern w:val="0"/>
          <w:sz w:val="22"/>
          <w14:ligatures w14:val="none"/>
        </w:rPr>
        <w:t>because the amendments in the approved draft variation are considered unlikely to have more than a minor regulatory impact</w:t>
      </w:r>
      <w:r w:rsidRPr="00C157FE">
        <w:rPr>
          <w:rFonts w:ascii="Arial" w:eastAsia="Times New Roman" w:hAnsi="Arial" w:cs="Times New Roman"/>
          <w:kern w:val="0"/>
          <w:sz w:val="22"/>
          <w:vertAlign w:val="superscript"/>
          <w14:ligatures w14:val="none"/>
        </w:rPr>
        <w:footnoteReference w:id="3"/>
      </w:r>
      <w:r w:rsidRPr="00C157FE">
        <w:rPr>
          <w:rFonts w:ascii="Arial" w:eastAsia="Times New Roman" w:hAnsi="Arial" w:cs="Times New Roman"/>
          <w:kern w:val="0"/>
          <w:sz w:val="22"/>
          <w14:ligatures w14:val="none"/>
        </w:rPr>
        <w:t xml:space="preserve">. However, </w:t>
      </w:r>
      <w:r w:rsidRPr="00C157FE">
        <w:rPr>
          <w:rFonts w:ascii="Arial" w:eastAsia="Times New Roman" w:hAnsi="Arial" w:cs="Arial"/>
          <w:kern w:val="0"/>
          <w:sz w:val="22"/>
          <w:lang w:val="en-GB" w:bidi="en-US"/>
          <w14:ligatures w14:val="none"/>
        </w:rPr>
        <w:t>FSANZ has undertaken an assessment in accordance with the FSANZ Act requirements</w:t>
      </w:r>
      <w:r w:rsidRPr="00C157FE">
        <w:rPr>
          <w:rFonts w:ascii="Arial" w:eastAsia="Times New Roman" w:hAnsi="Arial" w:cs="Times New Roman"/>
          <w:kern w:val="0"/>
          <w:sz w:val="22"/>
          <w:lang w:val="en-GB" w:bidi="en-US"/>
          <w14:ligatures w14:val="none"/>
        </w:rPr>
        <w:t xml:space="preserve"> to consider the regulatory impacts and costs and benefits. </w:t>
      </w:r>
    </w:p>
    <w:p w14:paraId="1E27145F" w14:textId="77777777" w:rsidR="00C157FE" w:rsidRPr="00C157FE" w:rsidRDefault="00C157FE" w:rsidP="00C157FE">
      <w:pPr>
        <w:widowControl w:val="0"/>
        <w:spacing w:after="0" w:line="240" w:lineRule="auto"/>
        <w:rPr>
          <w:rFonts w:ascii="Arial" w:eastAsia="Times New Roman" w:hAnsi="Arial" w:cs="Times New Roman"/>
          <w:kern w:val="0"/>
          <w:sz w:val="22"/>
          <w:lang w:eastAsia="en-GB"/>
          <w14:ligatures w14:val="none"/>
        </w:rPr>
      </w:pPr>
    </w:p>
    <w:p w14:paraId="5C453A35" w14:textId="77777777" w:rsidR="00C157FE" w:rsidRPr="00C157FE" w:rsidRDefault="00C157FE" w:rsidP="00C157FE">
      <w:pPr>
        <w:spacing w:after="0" w:line="240" w:lineRule="auto"/>
        <w:rPr>
          <w:rFonts w:ascii="Arial" w:eastAsia="Calibri" w:hAnsi="Arial" w:cs="Arial"/>
          <w:b/>
          <w:bCs/>
          <w:kern w:val="0"/>
          <w:sz w:val="22"/>
          <w:szCs w:val="22"/>
          <w14:ligatures w14:val="none"/>
        </w:rPr>
      </w:pPr>
      <w:r w:rsidRPr="00C157FE">
        <w:rPr>
          <w:rFonts w:ascii="Arial" w:eastAsia="Calibri" w:hAnsi="Arial" w:cs="Arial"/>
          <w:b/>
          <w:bCs/>
          <w:kern w:val="0"/>
          <w:sz w:val="22"/>
          <w:szCs w:val="22"/>
          <w14:ligatures w14:val="none"/>
        </w:rPr>
        <w:t>6.</w:t>
      </w:r>
      <w:r w:rsidRPr="00C157FE">
        <w:rPr>
          <w:rFonts w:ascii="Arial" w:eastAsia="Calibri" w:hAnsi="Arial" w:cs="Arial"/>
          <w:b/>
          <w:bCs/>
          <w:kern w:val="0"/>
          <w:sz w:val="22"/>
          <w:szCs w:val="22"/>
          <w14:ligatures w14:val="none"/>
        </w:rPr>
        <w:tab/>
        <w:t>Statement of compatibility with human rights</w:t>
      </w:r>
    </w:p>
    <w:p w14:paraId="66D6D7D9" w14:textId="77777777" w:rsidR="00C157FE" w:rsidRPr="00C157FE" w:rsidRDefault="00C157FE" w:rsidP="00C157FE">
      <w:pPr>
        <w:widowControl w:val="0"/>
        <w:spacing w:after="0" w:line="240" w:lineRule="auto"/>
        <w:rPr>
          <w:rFonts w:ascii="Arial" w:eastAsia="Calibri" w:hAnsi="Arial" w:cs="Times New Roman"/>
          <w:kern w:val="0"/>
          <w:sz w:val="22"/>
          <w14:ligatures w14:val="none"/>
        </w:rPr>
      </w:pPr>
    </w:p>
    <w:p w14:paraId="5B237C71" w14:textId="77777777" w:rsidR="00C157FE" w:rsidRPr="00C157FE" w:rsidRDefault="00C157FE" w:rsidP="00C157FE">
      <w:pPr>
        <w:widowControl w:val="0"/>
        <w:spacing w:after="0" w:line="240" w:lineRule="auto"/>
        <w:rPr>
          <w:rFonts w:ascii="Arial" w:eastAsia="Calibri" w:hAnsi="Arial" w:cs="Times New Roman"/>
          <w:kern w:val="0"/>
          <w:sz w:val="22"/>
          <w14:ligatures w14:val="none"/>
        </w:rPr>
      </w:pPr>
      <w:r w:rsidRPr="00C157FE">
        <w:rPr>
          <w:rFonts w:ascii="Arial" w:eastAsia="Calibri" w:hAnsi="Arial" w:cs="Times New Roman"/>
          <w:kern w:val="0"/>
          <w:sz w:val="22"/>
          <w14:ligatures w14:val="none"/>
        </w:rPr>
        <w:t xml:space="preserve">This instrument is exempt from the requirements for a statement of compatibility with human rights as it is a non-disallowable instrument under section 44 of the </w:t>
      </w:r>
      <w:r w:rsidRPr="00C157FE">
        <w:rPr>
          <w:rFonts w:ascii="Arial" w:eastAsia="Calibri" w:hAnsi="Arial" w:cs="Times New Roman"/>
          <w:i/>
          <w:kern w:val="0"/>
          <w:sz w:val="22"/>
          <w14:ligatures w14:val="none"/>
        </w:rPr>
        <w:t>Legislation Act 2003</w:t>
      </w:r>
      <w:r w:rsidRPr="00C157FE">
        <w:rPr>
          <w:rFonts w:ascii="Arial" w:eastAsia="Calibri" w:hAnsi="Arial" w:cs="Times New Roman"/>
          <w:kern w:val="0"/>
          <w:sz w:val="22"/>
          <w14:ligatures w14:val="none"/>
        </w:rPr>
        <w:t>.</w:t>
      </w:r>
    </w:p>
    <w:p w14:paraId="7B69E85E" w14:textId="77777777" w:rsidR="00C157FE" w:rsidRPr="00C157FE" w:rsidRDefault="00C157FE" w:rsidP="00C157FE">
      <w:pPr>
        <w:widowControl w:val="0"/>
        <w:spacing w:after="0" w:line="240" w:lineRule="auto"/>
        <w:rPr>
          <w:rFonts w:ascii="Arial" w:eastAsia="Calibri" w:hAnsi="Arial" w:cs="Times New Roman"/>
          <w:kern w:val="0"/>
          <w:sz w:val="22"/>
          <w14:ligatures w14:val="none"/>
        </w:rPr>
      </w:pPr>
    </w:p>
    <w:p w14:paraId="29045EE1" w14:textId="77777777" w:rsidR="00C157FE" w:rsidRPr="00C157FE" w:rsidRDefault="00C157FE" w:rsidP="00C157FE">
      <w:pPr>
        <w:widowControl w:val="0"/>
        <w:spacing w:after="0" w:line="240" w:lineRule="auto"/>
        <w:rPr>
          <w:rFonts w:ascii="Arial" w:eastAsia="Times New Roman" w:hAnsi="Arial" w:cs="Times New Roman"/>
          <w:b/>
          <w:kern w:val="0"/>
          <w:sz w:val="22"/>
          <w:lang w:eastAsia="en-GB"/>
          <w14:ligatures w14:val="none"/>
        </w:rPr>
      </w:pPr>
      <w:r w:rsidRPr="00C157FE">
        <w:rPr>
          <w:rFonts w:ascii="Arial" w:eastAsia="Times New Roman" w:hAnsi="Arial" w:cs="Times New Roman"/>
          <w:b/>
          <w:kern w:val="0"/>
          <w:sz w:val="22"/>
          <w:lang w:val="en-GB" w:bidi="en-US"/>
          <w14:ligatures w14:val="none"/>
        </w:rPr>
        <w:t>7.</w:t>
      </w:r>
      <w:r w:rsidRPr="00C157FE">
        <w:rPr>
          <w:rFonts w:ascii="Arial" w:eastAsia="Times New Roman" w:hAnsi="Arial" w:cs="Times New Roman"/>
          <w:b/>
          <w:kern w:val="0"/>
          <w:sz w:val="22"/>
          <w:lang w:val="en-GB" w:bidi="en-US"/>
          <w14:ligatures w14:val="none"/>
        </w:rPr>
        <w:tab/>
      </w:r>
      <w:r w:rsidRPr="00C157FE">
        <w:rPr>
          <w:rFonts w:ascii="Arial" w:eastAsia="Times New Roman" w:hAnsi="Arial" w:cs="Times New Roman"/>
          <w:b/>
          <w:kern w:val="0"/>
          <w:sz w:val="22"/>
          <w:lang w:eastAsia="en-GB"/>
          <w14:ligatures w14:val="none"/>
        </w:rPr>
        <w:t>Variation</w:t>
      </w:r>
    </w:p>
    <w:p w14:paraId="27B8939D" w14:textId="77777777" w:rsidR="00C157FE" w:rsidRPr="00C157FE" w:rsidRDefault="00C157FE" w:rsidP="00C157FE">
      <w:pPr>
        <w:widowControl w:val="0"/>
        <w:spacing w:after="0" w:line="240" w:lineRule="auto"/>
        <w:rPr>
          <w:rFonts w:ascii="Arial" w:eastAsia="Times New Roman" w:hAnsi="Arial" w:cs="Times New Roman"/>
          <w:b/>
          <w:kern w:val="0"/>
          <w:sz w:val="22"/>
          <w:lang w:val="en-GB" w:bidi="en-US"/>
          <w14:ligatures w14:val="none"/>
        </w:rPr>
      </w:pPr>
    </w:p>
    <w:p w14:paraId="6F03B883" w14:textId="77777777" w:rsidR="00C157FE" w:rsidRPr="00C157FE" w:rsidRDefault="00C157FE" w:rsidP="00C157FE">
      <w:pPr>
        <w:widowControl w:val="0"/>
        <w:spacing w:after="0" w:line="240" w:lineRule="auto"/>
        <w:rPr>
          <w:rFonts w:ascii="Arial" w:eastAsia="Arial" w:hAnsi="Arial" w:cs="Arial"/>
          <w:color w:val="000000"/>
          <w:kern w:val="0"/>
          <w:sz w:val="22"/>
          <w:szCs w:val="22"/>
          <w:lang w:val="en-GB" w:bidi="en-US"/>
          <w14:ligatures w14:val="none"/>
        </w:rPr>
      </w:pPr>
      <w:r w:rsidRPr="00C157FE">
        <w:rPr>
          <w:rFonts w:ascii="Arial" w:eastAsia="Arial" w:hAnsi="Arial" w:cs="Arial"/>
          <w:color w:val="000000"/>
          <w:kern w:val="0"/>
          <w:sz w:val="22"/>
          <w:lang w:val="en-GB" w:bidi="en-US"/>
          <w14:ligatures w14:val="none"/>
        </w:rPr>
        <w:t>A reference</w:t>
      </w:r>
      <w:r w:rsidRPr="00C157FE">
        <w:rPr>
          <w:rFonts w:ascii="Arial" w:eastAsia="Arial" w:hAnsi="Arial" w:cs="Arial"/>
          <w:color w:val="000000"/>
          <w:kern w:val="0"/>
          <w:sz w:val="22"/>
          <w:szCs w:val="22"/>
          <w:lang w:val="en-GB" w:bidi="en-US"/>
          <w14:ligatures w14:val="none"/>
        </w:rPr>
        <w:t xml:space="preserve"> to ‘the variation’ in this section </w:t>
      </w:r>
      <w:r w:rsidRPr="00C157FE">
        <w:rPr>
          <w:rFonts w:ascii="Arial" w:eastAsia="Arial" w:hAnsi="Arial" w:cs="Arial"/>
          <w:color w:val="000000"/>
          <w:kern w:val="0"/>
          <w:sz w:val="22"/>
          <w:lang w:val="en-GB" w:bidi="en-US"/>
          <w14:ligatures w14:val="none"/>
        </w:rPr>
        <w:t>is a</w:t>
      </w:r>
      <w:r w:rsidRPr="00C157FE">
        <w:rPr>
          <w:rFonts w:ascii="Arial" w:eastAsia="Arial" w:hAnsi="Arial" w:cs="Arial"/>
          <w:color w:val="000000"/>
          <w:kern w:val="0"/>
          <w:sz w:val="22"/>
          <w:szCs w:val="22"/>
          <w:lang w:val="en-GB" w:bidi="en-US"/>
          <w14:ligatures w14:val="none"/>
        </w:rPr>
        <w:t xml:space="preserve"> reference to the approved draft variation.</w:t>
      </w:r>
    </w:p>
    <w:p w14:paraId="7CCA688E" w14:textId="77777777" w:rsidR="00C157FE" w:rsidRPr="00C157FE" w:rsidRDefault="00C157FE" w:rsidP="00C157FE">
      <w:pPr>
        <w:widowControl w:val="0"/>
        <w:spacing w:after="0" w:line="240" w:lineRule="auto"/>
        <w:rPr>
          <w:rFonts w:ascii="Arial" w:eastAsia="Times New Roman" w:hAnsi="Arial" w:cs="Times New Roman"/>
          <w:kern w:val="0"/>
          <w:sz w:val="22"/>
          <w:lang w:val="en-GB" w:bidi="en-US"/>
          <w14:ligatures w14:val="none"/>
        </w:rPr>
      </w:pPr>
    </w:p>
    <w:p w14:paraId="7C1A103C" w14:textId="77777777" w:rsidR="00C157FE" w:rsidRPr="00C157FE" w:rsidRDefault="00C157FE" w:rsidP="00C157FE">
      <w:pPr>
        <w:widowControl w:val="0"/>
        <w:spacing w:after="0" w:line="240" w:lineRule="auto"/>
        <w:rPr>
          <w:rFonts w:ascii="Arial" w:eastAsia="Times New Roman" w:hAnsi="Arial" w:cs="Times New Roman"/>
          <w:kern w:val="0"/>
          <w:sz w:val="22"/>
          <w:lang w:val="en-GB" w:bidi="en-US"/>
          <w14:ligatures w14:val="none"/>
        </w:rPr>
      </w:pPr>
      <w:r w:rsidRPr="00C157FE">
        <w:rPr>
          <w:rFonts w:ascii="Arial" w:eastAsia="Times New Roman" w:hAnsi="Arial" w:cs="Times New Roman"/>
          <w:kern w:val="0"/>
          <w:sz w:val="22"/>
          <w:lang w:val="en-GB" w:bidi="en-US"/>
          <w14:ligatures w14:val="none"/>
        </w:rPr>
        <w:t xml:space="preserve">Clause 1 of the variation provides that the name of the variation is the </w:t>
      </w:r>
      <w:r w:rsidRPr="00C157FE">
        <w:rPr>
          <w:rFonts w:ascii="Arial" w:eastAsia="Times New Roman" w:hAnsi="Arial" w:cs="Times New Roman"/>
          <w:i/>
          <w:iCs/>
          <w:kern w:val="0"/>
          <w:sz w:val="22"/>
          <w:lang w:val="en-GB" w:bidi="en-US"/>
          <w14:ligatures w14:val="none"/>
        </w:rPr>
        <w:t>Food Standards (</w:t>
      </w:r>
      <w:r w:rsidRPr="00C157FE">
        <w:rPr>
          <w:rFonts w:ascii="Arial" w:eastAsia="Times New Roman" w:hAnsi="Arial" w:cs="Arial"/>
          <w:bCs/>
          <w:i/>
          <w:iCs/>
          <w:kern w:val="0"/>
          <w:sz w:val="22"/>
          <w:szCs w:val="22"/>
          <w:lang w:val="en-GB" w:bidi="en-US"/>
          <w14:ligatures w14:val="none"/>
        </w:rPr>
        <w:t>Proposal P1049 – Carbohydrate and sugar claims on alcoholic beverages</w:t>
      </w:r>
      <w:r w:rsidRPr="00C157FE">
        <w:rPr>
          <w:rFonts w:ascii="Arial" w:eastAsia="Times New Roman" w:hAnsi="Arial" w:cs="Times New Roman"/>
          <w:i/>
          <w:iCs/>
          <w:kern w:val="0"/>
          <w:sz w:val="22"/>
          <w:lang w:val="en-GB" w:bidi="en-US"/>
          <w14:ligatures w14:val="none"/>
        </w:rPr>
        <w:t>) Variation.</w:t>
      </w:r>
    </w:p>
    <w:p w14:paraId="0EEDC95B" w14:textId="77777777" w:rsidR="00C157FE" w:rsidRPr="00C157FE" w:rsidRDefault="00C157FE" w:rsidP="00C157FE">
      <w:pPr>
        <w:widowControl w:val="0"/>
        <w:spacing w:after="0" w:line="240" w:lineRule="auto"/>
        <w:rPr>
          <w:rFonts w:ascii="Arial" w:eastAsia="Times New Roman" w:hAnsi="Arial" w:cs="Times New Roman"/>
          <w:kern w:val="0"/>
          <w:sz w:val="22"/>
          <w:lang w:val="en-GB" w:bidi="en-US"/>
          <w14:ligatures w14:val="none"/>
        </w:rPr>
      </w:pPr>
    </w:p>
    <w:p w14:paraId="53526FC4" w14:textId="77777777" w:rsidR="00C157FE" w:rsidRPr="00C157FE" w:rsidRDefault="00C157FE" w:rsidP="00C157FE">
      <w:pPr>
        <w:widowControl w:val="0"/>
        <w:spacing w:after="0" w:line="240" w:lineRule="auto"/>
        <w:rPr>
          <w:rFonts w:ascii="Arial" w:eastAsia="Times New Roman" w:hAnsi="Arial" w:cs="Times New Roman"/>
          <w:kern w:val="0"/>
          <w:sz w:val="22"/>
          <w:lang w:val="en-GB" w:bidi="en-US"/>
          <w14:ligatures w14:val="none"/>
        </w:rPr>
      </w:pPr>
      <w:r w:rsidRPr="00C157FE">
        <w:rPr>
          <w:rFonts w:ascii="Arial" w:eastAsia="Times New Roman" w:hAnsi="Arial" w:cs="Times New Roman"/>
          <w:kern w:val="0"/>
          <w:sz w:val="22"/>
          <w:lang w:val="en-GB" w:bidi="en-US"/>
          <w14:ligatures w14:val="none"/>
        </w:rPr>
        <w:lastRenderedPageBreak/>
        <w:t>Clause 2 of the variation provides that the Code is amended by the Schedule to the variation.</w:t>
      </w:r>
    </w:p>
    <w:p w14:paraId="1C968587" w14:textId="77777777" w:rsidR="00C157FE" w:rsidRPr="00C157FE" w:rsidRDefault="00C157FE" w:rsidP="00C157FE">
      <w:pPr>
        <w:widowControl w:val="0"/>
        <w:spacing w:after="0" w:line="240" w:lineRule="auto"/>
        <w:rPr>
          <w:rFonts w:ascii="Arial" w:eastAsia="Times New Roman" w:hAnsi="Arial" w:cs="Times New Roman"/>
          <w:kern w:val="0"/>
          <w:sz w:val="22"/>
          <w:lang w:val="en-GB" w:bidi="en-US"/>
          <w14:ligatures w14:val="none"/>
        </w:rPr>
      </w:pPr>
    </w:p>
    <w:p w14:paraId="558D3EEB" w14:textId="77777777" w:rsidR="00C157FE" w:rsidRPr="00C157FE" w:rsidRDefault="00C157FE" w:rsidP="00C157FE">
      <w:pPr>
        <w:widowControl w:val="0"/>
        <w:spacing w:after="0" w:line="240" w:lineRule="auto"/>
        <w:rPr>
          <w:rFonts w:ascii="Arial" w:eastAsia="Times New Roman" w:hAnsi="Arial" w:cs="Times New Roman"/>
          <w:b/>
          <w:bCs/>
          <w:kern w:val="0"/>
          <w:sz w:val="22"/>
          <w:lang w:val="en-GB" w:bidi="en-US"/>
          <w14:ligatures w14:val="none"/>
        </w:rPr>
      </w:pPr>
      <w:r w:rsidRPr="00C157FE">
        <w:rPr>
          <w:rFonts w:ascii="Arial" w:eastAsia="Times New Roman" w:hAnsi="Arial" w:cs="Times New Roman"/>
          <w:kern w:val="0"/>
          <w:sz w:val="22"/>
          <w:lang w:val="en-GB" w:bidi="en-US"/>
          <w14:ligatures w14:val="none"/>
        </w:rPr>
        <w:t>Clause 3 of the variation provides that the variation commences on the date of gazettal of the instrument.</w:t>
      </w:r>
    </w:p>
    <w:p w14:paraId="26B3A406" w14:textId="77777777" w:rsidR="00C157FE" w:rsidRPr="00C157FE" w:rsidRDefault="00C157FE" w:rsidP="00C157FE">
      <w:pPr>
        <w:widowControl w:val="0"/>
        <w:spacing w:after="0" w:line="240" w:lineRule="auto"/>
        <w:rPr>
          <w:rFonts w:ascii="Arial" w:eastAsia="Times New Roman" w:hAnsi="Arial" w:cs="Times New Roman"/>
          <w:b/>
          <w:kern w:val="0"/>
          <w:sz w:val="22"/>
          <w:lang w:val="en-GB" w:bidi="en-US"/>
          <w14:ligatures w14:val="none"/>
        </w:rPr>
      </w:pPr>
    </w:p>
    <w:p w14:paraId="54A84E2C" w14:textId="77777777" w:rsidR="00C157FE" w:rsidRPr="00C157FE" w:rsidRDefault="00C157FE" w:rsidP="00C157FE">
      <w:pPr>
        <w:widowControl w:val="0"/>
        <w:spacing w:after="0" w:line="240" w:lineRule="auto"/>
        <w:rPr>
          <w:rFonts w:ascii="Arial" w:eastAsia="Times New Roman" w:hAnsi="Arial" w:cs="Times New Roman"/>
          <w:kern w:val="0"/>
          <w:sz w:val="22"/>
          <w:szCs w:val="22"/>
          <w:lang w:val="en-GB" w:bidi="en-US"/>
          <w14:ligatures w14:val="none"/>
        </w:rPr>
      </w:pPr>
      <w:r w:rsidRPr="00C157FE">
        <w:rPr>
          <w:rFonts w:ascii="Arial" w:eastAsia="Times New Roman" w:hAnsi="Arial" w:cs="Times New Roman"/>
          <w:b/>
          <w:kern w:val="0"/>
          <w:sz w:val="22"/>
          <w:szCs w:val="22"/>
          <w:lang w:val="en-GB" w:bidi="en-US"/>
          <w14:ligatures w14:val="none"/>
        </w:rPr>
        <w:t>Item [1]</w:t>
      </w:r>
      <w:r w:rsidRPr="00C157FE">
        <w:rPr>
          <w:rFonts w:ascii="Arial" w:eastAsia="Times New Roman" w:hAnsi="Arial" w:cs="Times New Roman"/>
          <w:kern w:val="0"/>
          <w:sz w:val="22"/>
          <w:szCs w:val="22"/>
          <w:lang w:val="en-GB" w:bidi="en-US"/>
          <w14:ligatures w14:val="none"/>
        </w:rPr>
        <w:t xml:space="preserve"> of the Schedule to the variation amends Standard 1.2.7 </w:t>
      </w:r>
      <w:r w:rsidRPr="00C157FE">
        <w:rPr>
          <w:rFonts w:ascii="Arial" w:eastAsia="Times New Roman" w:hAnsi="Arial" w:cs="Times New Roman"/>
          <w:kern w:val="0"/>
          <w:sz w:val="22"/>
          <w:lang w:val="en-GB" w:bidi="en-US"/>
          <w14:ligatures w14:val="none"/>
        </w:rPr>
        <w:t>of</w:t>
      </w:r>
      <w:r w:rsidRPr="00C157FE">
        <w:rPr>
          <w:rFonts w:ascii="Arial" w:eastAsia="Times New Roman" w:hAnsi="Arial" w:cs="Times New Roman"/>
          <w:kern w:val="0"/>
          <w:sz w:val="22"/>
          <w:szCs w:val="22"/>
          <w:lang w:val="en-GB" w:bidi="en-US"/>
          <w14:ligatures w14:val="none"/>
        </w:rPr>
        <w:t xml:space="preserve"> the Code</w:t>
      </w:r>
      <w:r w:rsidRPr="00C157FE">
        <w:rPr>
          <w:rFonts w:ascii="Arial" w:eastAsia="Times New Roman" w:hAnsi="Arial" w:cs="Times New Roman"/>
          <w:kern w:val="0"/>
          <w:sz w:val="22"/>
          <w:lang w:val="en-GB" w:bidi="en-US"/>
          <w14:ligatures w14:val="none"/>
        </w:rPr>
        <w:t xml:space="preserve"> by </w:t>
      </w:r>
    </w:p>
    <w:p w14:paraId="57CBDF93" w14:textId="77777777" w:rsidR="00C157FE" w:rsidRPr="00C157FE" w:rsidRDefault="00C157FE" w:rsidP="00C157FE">
      <w:pPr>
        <w:autoSpaceDE w:val="0"/>
        <w:autoSpaceDN w:val="0"/>
        <w:adjustRightInd w:val="0"/>
        <w:spacing w:after="0" w:line="240" w:lineRule="auto"/>
        <w:rPr>
          <w:rFonts w:ascii="Arial" w:eastAsia="Times New Roman" w:hAnsi="Arial" w:cs="Arial"/>
          <w:color w:val="000000"/>
          <w:kern w:val="0"/>
          <w:sz w:val="22"/>
          <w:szCs w:val="22"/>
          <w:lang w:val="en-NZ" w:eastAsia="en-GB"/>
          <w14:ligatures w14:val="none"/>
        </w:rPr>
      </w:pPr>
      <w:r w:rsidRPr="00C157FE">
        <w:rPr>
          <w:rFonts w:ascii="Arial" w:eastAsia="Times New Roman" w:hAnsi="Arial" w:cs="Arial"/>
          <w:color w:val="000000"/>
          <w:kern w:val="0"/>
          <w:sz w:val="22"/>
          <w:lang w:val="en-NZ" w:eastAsia="en-GB"/>
          <w14:ligatures w14:val="none"/>
        </w:rPr>
        <w:t xml:space="preserve"> repealing existing section 1.2.7—</w:t>
      </w:r>
      <w:proofErr w:type="gramStart"/>
      <w:r w:rsidRPr="00C157FE">
        <w:rPr>
          <w:rFonts w:ascii="Arial" w:eastAsia="Times New Roman" w:hAnsi="Arial" w:cs="Arial"/>
          <w:color w:val="000000"/>
          <w:kern w:val="0"/>
          <w:sz w:val="22"/>
          <w:lang w:val="en-NZ" w:eastAsia="en-GB"/>
          <w14:ligatures w14:val="none"/>
        </w:rPr>
        <w:t>4, and</w:t>
      </w:r>
      <w:proofErr w:type="gramEnd"/>
      <w:r w:rsidRPr="00C157FE">
        <w:rPr>
          <w:rFonts w:ascii="Arial" w:eastAsia="Times New Roman" w:hAnsi="Arial" w:cs="Arial"/>
          <w:color w:val="000000"/>
          <w:kern w:val="0"/>
          <w:sz w:val="22"/>
          <w:lang w:val="en-NZ" w:eastAsia="en-GB"/>
          <w14:ligatures w14:val="none"/>
        </w:rPr>
        <w:t xml:space="preserve"> substituting it with a new section 1.2.7—4. </w:t>
      </w:r>
    </w:p>
    <w:p w14:paraId="434CF254" w14:textId="77777777" w:rsidR="00C157FE" w:rsidRPr="00C157FE" w:rsidRDefault="00C157FE" w:rsidP="00C157FE">
      <w:pPr>
        <w:autoSpaceDE w:val="0"/>
        <w:autoSpaceDN w:val="0"/>
        <w:adjustRightInd w:val="0"/>
        <w:spacing w:after="0" w:line="240" w:lineRule="auto"/>
        <w:rPr>
          <w:rFonts w:ascii="Arial" w:eastAsia="Times New Roman" w:hAnsi="Arial" w:cs="Arial"/>
          <w:color w:val="000000"/>
          <w:kern w:val="0"/>
          <w:sz w:val="22"/>
          <w:szCs w:val="22"/>
          <w:lang w:val="en-NZ" w:eastAsia="en-GB"/>
          <w14:ligatures w14:val="none"/>
        </w:rPr>
      </w:pPr>
    </w:p>
    <w:p w14:paraId="79F957E1" w14:textId="77777777" w:rsidR="00C157FE" w:rsidRPr="00C157FE" w:rsidRDefault="00C157FE" w:rsidP="00C157FE">
      <w:pPr>
        <w:autoSpaceDE w:val="0"/>
        <w:autoSpaceDN w:val="0"/>
        <w:adjustRightInd w:val="0"/>
        <w:spacing w:after="0" w:line="240" w:lineRule="auto"/>
        <w:rPr>
          <w:rFonts w:ascii="Arial" w:eastAsia="Times New Roman" w:hAnsi="Arial" w:cs="Arial"/>
          <w:color w:val="000000"/>
          <w:kern w:val="0"/>
          <w:sz w:val="22"/>
          <w:lang w:val="en-NZ" w:eastAsia="en-GB"/>
          <w14:ligatures w14:val="none"/>
        </w:rPr>
      </w:pPr>
      <w:r w:rsidRPr="00C157FE">
        <w:rPr>
          <w:rFonts w:ascii="Arial" w:eastAsia="Times New Roman" w:hAnsi="Arial" w:cs="Arial"/>
          <w:color w:val="000000"/>
          <w:kern w:val="0"/>
          <w:sz w:val="22"/>
          <w:lang w:val="en-NZ" w:eastAsia="en-GB"/>
          <w14:ligatures w14:val="none"/>
        </w:rPr>
        <w:t xml:space="preserve">Existing section 1.2.7—4 provides that nutrition content claims and health claims must not be made about certain foods. </w:t>
      </w:r>
    </w:p>
    <w:p w14:paraId="6DAD4AFF" w14:textId="77777777" w:rsidR="00C157FE" w:rsidRPr="00C157FE" w:rsidRDefault="00C157FE" w:rsidP="00C157FE">
      <w:pPr>
        <w:autoSpaceDE w:val="0"/>
        <w:autoSpaceDN w:val="0"/>
        <w:adjustRightInd w:val="0"/>
        <w:spacing w:after="0" w:line="240" w:lineRule="auto"/>
        <w:rPr>
          <w:rFonts w:ascii="Arial" w:eastAsia="Times New Roman" w:hAnsi="Arial" w:cs="Arial"/>
          <w:color w:val="000000"/>
          <w:kern w:val="0"/>
          <w:sz w:val="22"/>
          <w:szCs w:val="22"/>
          <w:lang w:val="en-NZ" w:eastAsia="en-GB"/>
          <w14:ligatures w14:val="none"/>
        </w:rPr>
      </w:pPr>
    </w:p>
    <w:p w14:paraId="2C230702" w14:textId="008E35FD" w:rsidR="00C157FE" w:rsidRPr="00C157FE" w:rsidRDefault="00C157FE" w:rsidP="00C157FE">
      <w:pPr>
        <w:autoSpaceDE w:val="0"/>
        <w:autoSpaceDN w:val="0"/>
        <w:adjustRightInd w:val="0"/>
        <w:spacing w:after="0" w:line="240" w:lineRule="auto"/>
        <w:rPr>
          <w:rFonts w:ascii="Arial" w:eastAsia="Times New Roman" w:hAnsi="Arial" w:cs="Arial"/>
          <w:color w:val="000000"/>
          <w:kern w:val="0"/>
          <w:sz w:val="22"/>
          <w:szCs w:val="22"/>
          <w:lang w:val="en-NZ" w:eastAsia="en-GB"/>
          <w14:ligatures w14:val="none"/>
        </w:rPr>
      </w:pPr>
      <w:r w:rsidRPr="00C157FE">
        <w:rPr>
          <w:rFonts w:ascii="Arial" w:eastAsia="Times New Roman" w:hAnsi="Arial" w:cs="Arial"/>
          <w:color w:val="000000"/>
          <w:kern w:val="0"/>
          <w:sz w:val="22"/>
          <w:lang w:val="en-NZ" w:eastAsia="en-GB"/>
          <w14:ligatures w14:val="none"/>
        </w:rPr>
        <w:t>‘Nutrition content claim’ and ‘health claim’ are defined in sections 1.1.2—9 and 1.1.2—2 respectively.</w:t>
      </w:r>
    </w:p>
    <w:p w14:paraId="56D0A0A1" w14:textId="77777777" w:rsidR="00C157FE" w:rsidRPr="00C157FE" w:rsidRDefault="00C157FE" w:rsidP="00C157FE">
      <w:pPr>
        <w:autoSpaceDE w:val="0"/>
        <w:autoSpaceDN w:val="0"/>
        <w:adjustRightInd w:val="0"/>
        <w:spacing w:after="0" w:line="240" w:lineRule="auto"/>
        <w:rPr>
          <w:rFonts w:ascii="Arial" w:eastAsia="Times New Roman" w:hAnsi="Arial" w:cs="Arial"/>
          <w:color w:val="000000"/>
          <w:kern w:val="0"/>
          <w:sz w:val="22"/>
          <w:szCs w:val="22"/>
          <w:lang w:val="en-NZ" w:eastAsia="en-GB"/>
          <w14:ligatures w14:val="none"/>
        </w:rPr>
      </w:pPr>
    </w:p>
    <w:p w14:paraId="1CAF3694" w14:textId="77777777" w:rsidR="00C157FE" w:rsidRPr="00C157FE" w:rsidRDefault="00C157FE" w:rsidP="00C157FE">
      <w:pPr>
        <w:autoSpaceDE w:val="0"/>
        <w:autoSpaceDN w:val="0"/>
        <w:adjustRightInd w:val="0"/>
        <w:spacing w:after="0" w:line="240" w:lineRule="auto"/>
        <w:rPr>
          <w:rFonts w:ascii="Arial" w:eastAsia="Times New Roman" w:hAnsi="Arial" w:cs="Arial"/>
          <w:color w:val="000000"/>
          <w:kern w:val="0"/>
          <w:sz w:val="22"/>
          <w:lang w:val="en-NZ" w:eastAsia="en-GB"/>
          <w14:ligatures w14:val="none"/>
        </w:rPr>
      </w:pPr>
      <w:r w:rsidRPr="00C157FE">
        <w:rPr>
          <w:rFonts w:ascii="Arial" w:eastAsia="Times New Roman" w:hAnsi="Arial" w:cs="Arial"/>
          <w:color w:val="000000"/>
          <w:kern w:val="0"/>
          <w:sz w:val="22"/>
          <w:lang w:val="en-NZ" w:eastAsia="en-GB"/>
          <w14:ligatures w14:val="none"/>
        </w:rPr>
        <w:t xml:space="preserve">New section 1.2.7—4 is entitled ‘Restrictions on nutrition content claims and health claims about certain foods’ and contains two subsections. </w:t>
      </w:r>
    </w:p>
    <w:p w14:paraId="08CD896F" w14:textId="77777777" w:rsidR="00C157FE" w:rsidRPr="00C157FE" w:rsidRDefault="00C157FE" w:rsidP="00C157FE">
      <w:pPr>
        <w:autoSpaceDE w:val="0"/>
        <w:autoSpaceDN w:val="0"/>
        <w:adjustRightInd w:val="0"/>
        <w:spacing w:after="0" w:line="240" w:lineRule="auto"/>
        <w:rPr>
          <w:rFonts w:ascii="Arial" w:eastAsia="Times New Roman" w:hAnsi="Arial" w:cs="Arial"/>
          <w:color w:val="000000"/>
          <w:kern w:val="0"/>
          <w:sz w:val="22"/>
          <w:szCs w:val="22"/>
          <w:lang w:val="en-NZ" w:eastAsia="en-GB"/>
          <w14:ligatures w14:val="none"/>
        </w:rPr>
      </w:pPr>
    </w:p>
    <w:p w14:paraId="501E2D9B" w14:textId="77777777" w:rsidR="00C157FE" w:rsidRPr="00C157FE" w:rsidRDefault="00C157FE" w:rsidP="00C157FE">
      <w:pPr>
        <w:autoSpaceDE w:val="0"/>
        <w:autoSpaceDN w:val="0"/>
        <w:adjustRightInd w:val="0"/>
        <w:spacing w:after="0" w:line="240" w:lineRule="auto"/>
        <w:rPr>
          <w:rFonts w:ascii="Arial" w:eastAsia="Times New Roman" w:hAnsi="Arial" w:cs="Arial"/>
          <w:color w:val="000000"/>
          <w:kern w:val="0"/>
          <w:sz w:val="22"/>
          <w:szCs w:val="22"/>
          <w:lang w:val="en-NZ" w:eastAsia="en-GB"/>
          <w14:ligatures w14:val="none"/>
        </w:rPr>
      </w:pPr>
      <w:r w:rsidRPr="00C157FE">
        <w:rPr>
          <w:rFonts w:ascii="Arial" w:eastAsia="Times New Roman" w:hAnsi="Arial" w:cs="Arial"/>
          <w:color w:val="000000"/>
          <w:kern w:val="0"/>
          <w:sz w:val="22"/>
          <w:szCs w:val="22"/>
          <w:lang w:val="en-NZ" w:eastAsia="en-GB"/>
          <w14:ligatures w14:val="none"/>
        </w:rPr>
        <w:t xml:space="preserve">New subsection 1.2.7—4(1) contains three paragraphs. </w:t>
      </w:r>
    </w:p>
    <w:p w14:paraId="30C87BAF" w14:textId="77777777" w:rsidR="00C157FE" w:rsidRPr="00C157FE" w:rsidRDefault="00C157FE" w:rsidP="00C157FE">
      <w:pPr>
        <w:autoSpaceDE w:val="0"/>
        <w:autoSpaceDN w:val="0"/>
        <w:adjustRightInd w:val="0"/>
        <w:spacing w:after="0" w:line="240" w:lineRule="auto"/>
        <w:rPr>
          <w:rFonts w:ascii="Arial" w:eastAsia="Times New Roman" w:hAnsi="Arial" w:cs="Arial"/>
          <w:color w:val="000000"/>
          <w:kern w:val="0"/>
          <w:sz w:val="22"/>
          <w:szCs w:val="22"/>
          <w:lang w:val="en-NZ" w:eastAsia="en-GB"/>
          <w14:ligatures w14:val="none"/>
        </w:rPr>
      </w:pPr>
    </w:p>
    <w:p w14:paraId="163DC364" w14:textId="77777777" w:rsidR="00C157FE" w:rsidRPr="00C157FE" w:rsidRDefault="00C157FE" w:rsidP="00C157FE">
      <w:pPr>
        <w:autoSpaceDE w:val="0"/>
        <w:autoSpaceDN w:val="0"/>
        <w:adjustRightInd w:val="0"/>
        <w:spacing w:after="0" w:line="240" w:lineRule="auto"/>
        <w:rPr>
          <w:rFonts w:ascii="Arial" w:eastAsia="Times New Roman" w:hAnsi="Arial" w:cs="Arial"/>
          <w:color w:val="000000"/>
          <w:kern w:val="0"/>
          <w:sz w:val="22"/>
          <w:lang w:val="en-NZ" w:eastAsia="en-GB"/>
          <w14:ligatures w14:val="none"/>
        </w:rPr>
      </w:pPr>
      <w:r w:rsidRPr="00C157FE">
        <w:rPr>
          <w:rFonts w:ascii="Arial" w:eastAsia="Times New Roman" w:hAnsi="Arial" w:cs="Arial"/>
          <w:color w:val="000000"/>
          <w:kern w:val="0"/>
          <w:sz w:val="22"/>
          <w:lang w:val="en-NZ" w:eastAsia="en-GB"/>
          <w14:ligatures w14:val="none"/>
        </w:rPr>
        <w:t xml:space="preserve">Paragraphs 1.2.7—4(1)(a) and (b) provide that a nutrition content claim or health claim must not be made about kava nor an infant formula product. These prohibitions are the same as those set out in existing paragraphs 1.2.7—4(a) and (b). </w:t>
      </w:r>
    </w:p>
    <w:p w14:paraId="5A7D8C7F" w14:textId="77777777" w:rsidR="00C157FE" w:rsidRPr="00C157FE" w:rsidRDefault="00C157FE" w:rsidP="00C157FE">
      <w:pPr>
        <w:autoSpaceDE w:val="0"/>
        <w:autoSpaceDN w:val="0"/>
        <w:adjustRightInd w:val="0"/>
        <w:spacing w:after="0" w:line="240" w:lineRule="auto"/>
        <w:rPr>
          <w:rFonts w:ascii="Arial" w:eastAsia="Times New Roman" w:hAnsi="Arial" w:cs="Arial"/>
          <w:color w:val="000000"/>
          <w:kern w:val="0"/>
          <w:sz w:val="22"/>
          <w:szCs w:val="22"/>
          <w:lang w:val="en-NZ" w:eastAsia="en-GB"/>
          <w14:ligatures w14:val="none"/>
        </w:rPr>
      </w:pPr>
    </w:p>
    <w:p w14:paraId="1D83D4AE" w14:textId="77777777" w:rsidR="00C157FE" w:rsidRPr="00C157FE" w:rsidRDefault="00C157FE" w:rsidP="00C157FE">
      <w:pPr>
        <w:autoSpaceDE w:val="0"/>
        <w:autoSpaceDN w:val="0"/>
        <w:adjustRightInd w:val="0"/>
        <w:spacing w:after="0" w:line="240" w:lineRule="auto"/>
        <w:rPr>
          <w:rFonts w:ascii="Arial" w:eastAsia="Times New Roman" w:hAnsi="Arial" w:cs="Arial"/>
          <w:color w:val="000000"/>
          <w:kern w:val="0"/>
          <w:sz w:val="22"/>
          <w:szCs w:val="22"/>
          <w:lang w:val="en-NZ" w:eastAsia="en-GB"/>
          <w14:ligatures w14:val="none"/>
        </w:rPr>
      </w:pPr>
      <w:r w:rsidRPr="00C157FE">
        <w:rPr>
          <w:rFonts w:ascii="Arial" w:eastAsia="Times New Roman" w:hAnsi="Arial" w:cs="Arial"/>
          <w:color w:val="000000"/>
          <w:kern w:val="0"/>
          <w:sz w:val="22"/>
          <w:szCs w:val="22"/>
          <w:lang w:val="en-NZ" w:eastAsia="en-GB"/>
          <w14:ligatures w14:val="none"/>
        </w:rPr>
        <w:t xml:space="preserve">New paragraph 1.2.7— 4(1)(c) provides that a nutrition content claim or health claim must not be made about a food that contains more than 1.15% ABV, other than a nutrition content claim about any of the following: </w:t>
      </w:r>
    </w:p>
    <w:p w14:paraId="6582EA4E" w14:textId="77777777" w:rsidR="00C157FE" w:rsidRPr="00C157FE" w:rsidRDefault="00C157FE" w:rsidP="00C157FE">
      <w:pPr>
        <w:autoSpaceDE w:val="0"/>
        <w:autoSpaceDN w:val="0"/>
        <w:adjustRightInd w:val="0"/>
        <w:spacing w:after="0" w:line="240" w:lineRule="auto"/>
        <w:rPr>
          <w:rFonts w:ascii="Arial" w:eastAsia="Times New Roman" w:hAnsi="Arial" w:cs="Arial"/>
          <w:color w:val="000000"/>
          <w:kern w:val="0"/>
          <w:sz w:val="22"/>
          <w:szCs w:val="22"/>
          <w:lang w:val="en-NZ" w:eastAsia="en-GB"/>
          <w14:ligatures w14:val="none"/>
        </w:rPr>
      </w:pPr>
    </w:p>
    <w:p w14:paraId="6A639D08" w14:textId="77777777" w:rsidR="00C157FE" w:rsidRPr="00C157FE" w:rsidRDefault="00C157FE" w:rsidP="00C157FE">
      <w:pPr>
        <w:autoSpaceDE w:val="0"/>
        <w:autoSpaceDN w:val="0"/>
        <w:adjustRightInd w:val="0"/>
        <w:spacing w:after="0" w:line="240" w:lineRule="auto"/>
        <w:ind w:left="567" w:hanging="567"/>
        <w:rPr>
          <w:rFonts w:ascii="Arial" w:eastAsia="Times New Roman" w:hAnsi="Arial" w:cs="Arial"/>
          <w:color w:val="000000"/>
          <w:kern w:val="0"/>
          <w:sz w:val="22"/>
          <w:szCs w:val="22"/>
          <w:lang w:val="en-NZ" w:eastAsia="en-GB"/>
          <w14:ligatures w14:val="none"/>
        </w:rPr>
      </w:pPr>
      <w:r w:rsidRPr="00C157FE">
        <w:rPr>
          <w:rFonts w:ascii="Arial" w:eastAsia="Times New Roman" w:hAnsi="Arial" w:cs="Arial"/>
          <w:color w:val="000000"/>
          <w:kern w:val="0"/>
          <w:sz w:val="22"/>
          <w:szCs w:val="22"/>
          <w:lang w:val="en-NZ" w:eastAsia="en-GB"/>
          <w14:ligatures w14:val="none"/>
        </w:rPr>
        <w:t xml:space="preserve">(i) </w:t>
      </w:r>
      <w:r w:rsidRPr="00C157FE">
        <w:rPr>
          <w:rFonts w:ascii="Arial" w:eastAsia="Times New Roman" w:hAnsi="Arial" w:cs="Arial"/>
          <w:color w:val="000000"/>
          <w:kern w:val="0"/>
          <w:sz w:val="22"/>
          <w:szCs w:val="22"/>
          <w:lang w:val="en-NZ" w:eastAsia="en-GB"/>
          <w14:ligatures w14:val="none"/>
        </w:rPr>
        <w:tab/>
        <w:t xml:space="preserve">salt or sodium content of a food that is not a </w:t>
      </w:r>
      <w:proofErr w:type="gramStart"/>
      <w:r w:rsidRPr="00C157FE">
        <w:rPr>
          <w:rFonts w:ascii="Arial" w:eastAsia="Times New Roman" w:hAnsi="Arial" w:cs="Arial"/>
          <w:color w:val="000000"/>
          <w:kern w:val="0"/>
          <w:sz w:val="22"/>
          <w:szCs w:val="22"/>
          <w:lang w:val="en-NZ" w:eastAsia="en-GB"/>
          <w14:ligatures w14:val="none"/>
        </w:rPr>
        <w:t>beverage;</w:t>
      </w:r>
      <w:proofErr w:type="gramEnd"/>
      <w:r w:rsidRPr="00C157FE">
        <w:rPr>
          <w:rFonts w:ascii="Arial" w:eastAsia="Times New Roman" w:hAnsi="Arial" w:cs="Arial"/>
          <w:color w:val="000000"/>
          <w:kern w:val="0"/>
          <w:sz w:val="22"/>
          <w:szCs w:val="22"/>
          <w:lang w:val="en-NZ" w:eastAsia="en-GB"/>
          <w14:ligatures w14:val="none"/>
        </w:rPr>
        <w:t xml:space="preserve"> </w:t>
      </w:r>
    </w:p>
    <w:p w14:paraId="0A8C2EED" w14:textId="77777777" w:rsidR="00C157FE" w:rsidRPr="00C157FE" w:rsidRDefault="00C157FE" w:rsidP="00C157FE">
      <w:pPr>
        <w:autoSpaceDE w:val="0"/>
        <w:autoSpaceDN w:val="0"/>
        <w:adjustRightInd w:val="0"/>
        <w:spacing w:after="0" w:line="240" w:lineRule="auto"/>
        <w:ind w:left="567" w:hanging="567"/>
        <w:rPr>
          <w:rFonts w:ascii="Arial" w:eastAsia="Times New Roman" w:hAnsi="Arial" w:cs="Arial"/>
          <w:color w:val="000000"/>
          <w:kern w:val="0"/>
          <w:sz w:val="22"/>
          <w:szCs w:val="22"/>
          <w:lang w:val="en-NZ" w:eastAsia="en-GB"/>
          <w14:ligatures w14:val="none"/>
        </w:rPr>
      </w:pPr>
      <w:r w:rsidRPr="00C157FE">
        <w:rPr>
          <w:rFonts w:ascii="Arial" w:eastAsia="Times New Roman" w:hAnsi="Arial" w:cs="Arial"/>
          <w:color w:val="000000"/>
          <w:kern w:val="0"/>
          <w:sz w:val="22"/>
          <w:szCs w:val="22"/>
          <w:lang w:val="en-NZ" w:eastAsia="en-GB"/>
          <w14:ligatures w14:val="none"/>
        </w:rPr>
        <w:t xml:space="preserve">(ii) </w:t>
      </w:r>
      <w:r w:rsidRPr="00C157FE">
        <w:rPr>
          <w:rFonts w:ascii="Arial" w:eastAsia="Times New Roman" w:hAnsi="Arial" w:cs="Arial"/>
          <w:color w:val="000000"/>
          <w:kern w:val="0"/>
          <w:sz w:val="22"/>
          <w:szCs w:val="22"/>
          <w:lang w:val="en-NZ" w:eastAsia="en-GB"/>
          <w14:ligatures w14:val="none"/>
        </w:rPr>
        <w:tab/>
        <w:t xml:space="preserve">carbohydrate </w:t>
      </w:r>
      <w:proofErr w:type="gramStart"/>
      <w:r w:rsidRPr="00C157FE">
        <w:rPr>
          <w:rFonts w:ascii="Arial" w:eastAsia="Times New Roman" w:hAnsi="Arial" w:cs="Arial"/>
          <w:color w:val="000000"/>
          <w:kern w:val="0"/>
          <w:sz w:val="22"/>
          <w:szCs w:val="22"/>
          <w:lang w:val="en-NZ" w:eastAsia="en-GB"/>
          <w14:ligatures w14:val="none"/>
        </w:rPr>
        <w:t>content;</w:t>
      </w:r>
      <w:proofErr w:type="gramEnd"/>
      <w:r w:rsidRPr="00C157FE">
        <w:rPr>
          <w:rFonts w:ascii="Arial" w:eastAsia="Times New Roman" w:hAnsi="Arial" w:cs="Arial"/>
          <w:color w:val="000000"/>
          <w:kern w:val="0"/>
          <w:sz w:val="22"/>
          <w:szCs w:val="22"/>
          <w:lang w:val="en-NZ" w:eastAsia="en-GB"/>
          <w14:ligatures w14:val="none"/>
        </w:rPr>
        <w:t xml:space="preserve"> </w:t>
      </w:r>
    </w:p>
    <w:p w14:paraId="3EF0E69B" w14:textId="77777777" w:rsidR="00C157FE" w:rsidRPr="00C157FE" w:rsidRDefault="00C157FE" w:rsidP="00C157FE">
      <w:pPr>
        <w:autoSpaceDE w:val="0"/>
        <w:autoSpaceDN w:val="0"/>
        <w:adjustRightInd w:val="0"/>
        <w:spacing w:after="0" w:line="240" w:lineRule="auto"/>
        <w:ind w:left="567" w:hanging="567"/>
        <w:rPr>
          <w:rFonts w:ascii="Arial" w:eastAsia="Times New Roman" w:hAnsi="Arial" w:cs="Arial"/>
          <w:color w:val="000000"/>
          <w:kern w:val="0"/>
          <w:sz w:val="22"/>
          <w:szCs w:val="22"/>
          <w:lang w:val="en-NZ" w:eastAsia="en-GB"/>
          <w14:ligatures w14:val="none"/>
        </w:rPr>
      </w:pPr>
      <w:r w:rsidRPr="00C157FE">
        <w:rPr>
          <w:rFonts w:ascii="Arial" w:eastAsia="Times New Roman" w:hAnsi="Arial" w:cs="Arial"/>
          <w:color w:val="000000"/>
          <w:kern w:val="0"/>
          <w:sz w:val="22"/>
          <w:szCs w:val="22"/>
          <w:lang w:val="en-NZ" w:eastAsia="en-GB"/>
          <w14:ligatures w14:val="none"/>
        </w:rPr>
        <w:t xml:space="preserve">(iii) </w:t>
      </w:r>
      <w:r w:rsidRPr="00C157FE">
        <w:rPr>
          <w:rFonts w:ascii="Arial" w:eastAsia="Times New Roman" w:hAnsi="Arial" w:cs="Arial"/>
          <w:color w:val="000000"/>
          <w:kern w:val="0"/>
          <w:sz w:val="22"/>
          <w:szCs w:val="22"/>
          <w:lang w:val="en-NZ" w:eastAsia="en-GB"/>
          <w14:ligatures w14:val="none"/>
        </w:rPr>
        <w:tab/>
        <w:t xml:space="preserve">energy </w:t>
      </w:r>
      <w:proofErr w:type="gramStart"/>
      <w:r w:rsidRPr="00C157FE">
        <w:rPr>
          <w:rFonts w:ascii="Arial" w:eastAsia="Times New Roman" w:hAnsi="Arial" w:cs="Arial"/>
          <w:color w:val="000000"/>
          <w:kern w:val="0"/>
          <w:sz w:val="22"/>
          <w:szCs w:val="22"/>
          <w:lang w:val="en-NZ" w:eastAsia="en-GB"/>
          <w14:ligatures w14:val="none"/>
        </w:rPr>
        <w:t>content;</w:t>
      </w:r>
      <w:proofErr w:type="gramEnd"/>
      <w:r w:rsidRPr="00C157FE">
        <w:rPr>
          <w:rFonts w:ascii="Arial" w:eastAsia="Times New Roman" w:hAnsi="Arial" w:cs="Arial"/>
          <w:color w:val="000000"/>
          <w:kern w:val="0"/>
          <w:sz w:val="22"/>
          <w:szCs w:val="22"/>
          <w:lang w:val="en-NZ" w:eastAsia="en-GB"/>
          <w14:ligatures w14:val="none"/>
        </w:rPr>
        <w:t xml:space="preserve"> </w:t>
      </w:r>
    </w:p>
    <w:p w14:paraId="3ACB9E1A" w14:textId="77777777" w:rsidR="00C157FE" w:rsidRPr="00C157FE" w:rsidRDefault="00C157FE" w:rsidP="00C157FE">
      <w:pPr>
        <w:autoSpaceDE w:val="0"/>
        <w:autoSpaceDN w:val="0"/>
        <w:adjustRightInd w:val="0"/>
        <w:spacing w:after="0" w:line="240" w:lineRule="auto"/>
        <w:ind w:left="567" w:hanging="567"/>
        <w:rPr>
          <w:rFonts w:ascii="Arial" w:eastAsia="Times New Roman" w:hAnsi="Arial" w:cs="Arial"/>
          <w:color w:val="000000"/>
          <w:kern w:val="0"/>
          <w:sz w:val="22"/>
          <w:szCs w:val="22"/>
          <w:lang w:val="en-NZ" w:eastAsia="en-GB"/>
          <w14:ligatures w14:val="none"/>
        </w:rPr>
      </w:pPr>
      <w:r w:rsidRPr="00C157FE">
        <w:rPr>
          <w:rFonts w:ascii="Arial" w:eastAsia="Times New Roman" w:hAnsi="Arial" w:cs="Arial"/>
          <w:color w:val="000000"/>
          <w:kern w:val="0"/>
          <w:sz w:val="22"/>
          <w:szCs w:val="22"/>
          <w:lang w:val="en-NZ" w:eastAsia="en-GB"/>
          <w14:ligatures w14:val="none"/>
        </w:rPr>
        <w:t xml:space="preserve">(iv) </w:t>
      </w:r>
      <w:r w:rsidRPr="00C157FE">
        <w:rPr>
          <w:rFonts w:ascii="Arial" w:eastAsia="Times New Roman" w:hAnsi="Arial" w:cs="Arial"/>
          <w:color w:val="000000"/>
          <w:kern w:val="0"/>
          <w:sz w:val="22"/>
          <w:szCs w:val="22"/>
          <w:lang w:val="en-NZ" w:eastAsia="en-GB"/>
          <w14:ligatures w14:val="none"/>
        </w:rPr>
        <w:tab/>
        <w:t xml:space="preserve">gluten </w:t>
      </w:r>
      <w:proofErr w:type="gramStart"/>
      <w:r w:rsidRPr="00C157FE">
        <w:rPr>
          <w:rFonts w:ascii="Arial" w:eastAsia="Times New Roman" w:hAnsi="Arial" w:cs="Arial"/>
          <w:color w:val="000000"/>
          <w:kern w:val="0"/>
          <w:sz w:val="22"/>
          <w:szCs w:val="22"/>
          <w:lang w:val="en-NZ" w:eastAsia="en-GB"/>
          <w14:ligatures w14:val="none"/>
        </w:rPr>
        <w:t>content;</w:t>
      </w:r>
      <w:proofErr w:type="gramEnd"/>
      <w:r w:rsidRPr="00C157FE">
        <w:rPr>
          <w:rFonts w:ascii="Arial" w:eastAsia="Times New Roman" w:hAnsi="Arial" w:cs="Arial"/>
          <w:color w:val="000000"/>
          <w:kern w:val="0"/>
          <w:sz w:val="22"/>
          <w:szCs w:val="22"/>
          <w:lang w:val="en-NZ" w:eastAsia="en-GB"/>
          <w14:ligatures w14:val="none"/>
        </w:rPr>
        <w:t xml:space="preserve"> </w:t>
      </w:r>
    </w:p>
    <w:p w14:paraId="307D2476" w14:textId="77777777" w:rsidR="00C157FE" w:rsidRPr="00C157FE" w:rsidRDefault="00C157FE" w:rsidP="00C157FE">
      <w:pPr>
        <w:autoSpaceDE w:val="0"/>
        <w:autoSpaceDN w:val="0"/>
        <w:adjustRightInd w:val="0"/>
        <w:spacing w:after="0" w:line="240" w:lineRule="auto"/>
        <w:ind w:left="567" w:hanging="567"/>
        <w:rPr>
          <w:rFonts w:ascii="Arial" w:eastAsia="Times New Roman" w:hAnsi="Arial" w:cs="Arial"/>
          <w:color w:val="000000"/>
          <w:kern w:val="0"/>
          <w:sz w:val="22"/>
          <w:szCs w:val="22"/>
          <w:lang w:val="en-NZ" w:eastAsia="en-GB"/>
          <w14:ligatures w14:val="none"/>
        </w:rPr>
      </w:pPr>
      <w:r w:rsidRPr="00C157FE">
        <w:rPr>
          <w:rFonts w:ascii="Arial" w:eastAsia="Times New Roman" w:hAnsi="Arial" w:cs="Arial"/>
          <w:color w:val="000000"/>
          <w:kern w:val="0"/>
          <w:sz w:val="22"/>
          <w:szCs w:val="22"/>
          <w:lang w:val="en-NZ" w:eastAsia="en-GB"/>
          <w14:ligatures w14:val="none"/>
        </w:rPr>
        <w:t xml:space="preserve">(v) </w:t>
      </w:r>
      <w:r w:rsidRPr="00C157FE">
        <w:rPr>
          <w:rFonts w:ascii="Arial" w:eastAsia="Times New Roman" w:hAnsi="Arial" w:cs="Arial"/>
          <w:color w:val="000000"/>
          <w:kern w:val="0"/>
          <w:sz w:val="22"/>
          <w:szCs w:val="22"/>
          <w:lang w:val="en-NZ" w:eastAsia="en-GB"/>
          <w14:ligatures w14:val="none"/>
        </w:rPr>
        <w:tab/>
        <w:t xml:space="preserve">sugar or sugars content. </w:t>
      </w:r>
    </w:p>
    <w:p w14:paraId="4BEC949D" w14:textId="77777777" w:rsidR="00C157FE" w:rsidRPr="00C157FE" w:rsidRDefault="00C157FE" w:rsidP="00C157FE">
      <w:pPr>
        <w:autoSpaceDE w:val="0"/>
        <w:autoSpaceDN w:val="0"/>
        <w:adjustRightInd w:val="0"/>
        <w:spacing w:after="0" w:line="240" w:lineRule="auto"/>
        <w:rPr>
          <w:rFonts w:ascii="Arial" w:eastAsia="Times New Roman" w:hAnsi="Arial" w:cs="Arial"/>
          <w:color w:val="000000"/>
          <w:kern w:val="0"/>
          <w:sz w:val="22"/>
          <w:szCs w:val="22"/>
          <w:lang w:val="en-NZ" w:eastAsia="en-GB"/>
          <w14:ligatures w14:val="none"/>
        </w:rPr>
      </w:pPr>
    </w:p>
    <w:p w14:paraId="4E0E2B64" w14:textId="77777777" w:rsidR="00C157FE" w:rsidRPr="00C157FE" w:rsidRDefault="00C157FE" w:rsidP="00C157FE">
      <w:pPr>
        <w:autoSpaceDE w:val="0"/>
        <w:autoSpaceDN w:val="0"/>
        <w:adjustRightInd w:val="0"/>
        <w:spacing w:after="0" w:line="240" w:lineRule="auto"/>
        <w:rPr>
          <w:rFonts w:ascii="Arial" w:eastAsia="Times New Roman" w:hAnsi="Arial" w:cs="Arial"/>
          <w:color w:val="000000"/>
          <w:kern w:val="0"/>
          <w:sz w:val="22"/>
          <w:lang w:val="en-NZ" w:eastAsia="en-GB"/>
          <w14:ligatures w14:val="none"/>
        </w:rPr>
      </w:pPr>
      <w:r w:rsidRPr="00C157FE">
        <w:rPr>
          <w:rFonts w:ascii="Arial" w:eastAsia="Times New Roman" w:hAnsi="Arial" w:cs="Arial"/>
          <w:color w:val="000000"/>
          <w:kern w:val="0"/>
          <w:sz w:val="22"/>
          <w:lang w:val="en-NZ" w:eastAsia="en-GB"/>
          <w14:ligatures w14:val="none"/>
        </w:rPr>
        <w:t>That is, the new paragraph 1.2.7—4(1)(c) retains the current exclusions to the prohibition on nutrition content claims about food that contains more than 1.15% ABV for: salt or sodium content of a food that is not a beverage, carbohydrate content, energy content and gluten content. The new paragraph then adds one new exclusion to the prohibition on nutrition content claims about food that contains more than 1.15% ABV for sugar or sugars content (subparagraph 1.2.7—4(1)(c)(v)).</w:t>
      </w:r>
    </w:p>
    <w:p w14:paraId="10A38BCC" w14:textId="77777777" w:rsidR="00C157FE" w:rsidRPr="00C157FE" w:rsidRDefault="00C157FE" w:rsidP="00C157FE">
      <w:pPr>
        <w:autoSpaceDE w:val="0"/>
        <w:autoSpaceDN w:val="0"/>
        <w:adjustRightInd w:val="0"/>
        <w:spacing w:after="0" w:line="240" w:lineRule="auto"/>
        <w:rPr>
          <w:rFonts w:ascii="Arial" w:eastAsia="Times New Roman" w:hAnsi="Arial" w:cs="Arial"/>
          <w:color w:val="000000"/>
          <w:kern w:val="0"/>
          <w:sz w:val="22"/>
          <w:szCs w:val="22"/>
          <w:lang w:val="en-NZ" w:eastAsia="en-GB"/>
          <w14:ligatures w14:val="none"/>
        </w:rPr>
      </w:pPr>
    </w:p>
    <w:p w14:paraId="6D36DD3C" w14:textId="77777777" w:rsidR="00C157FE" w:rsidRPr="00C157FE" w:rsidRDefault="00C157FE" w:rsidP="00C157FE">
      <w:pPr>
        <w:autoSpaceDE w:val="0"/>
        <w:autoSpaceDN w:val="0"/>
        <w:adjustRightInd w:val="0"/>
        <w:spacing w:after="0" w:line="240" w:lineRule="auto"/>
        <w:rPr>
          <w:rFonts w:ascii="Arial" w:eastAsia="Times New Roman" w:hAnsi="Arial" w:cs="Arial"/>
          <w:color w:val="000000"/>
          <w:kern w:val="0"/>
          <w:sz w:val="22"/>
          <w:lang w:val="en-NZ" w:eastAsia="en-GB"/>
          <w14:ligatures w14:val="none"/>
        </w:rPr>
      </w:pPr>
      <w:r w:rsidRPr="00C157FE">
        <w:rPr>
          <w:rFonts w:ascii="Arial" w:eastAsia="Times New Roman" w:hAnsi="Arial" w:cs="Arial"/>
          <w:color w:val="000000"/>
          <w:kern w:val="0"/>
          <w:sz w:val="22"/>
          <w:lang w:val="en-NZ" w:eastAsia="en-GB"/>
          <w14:ligatures w14:val="none"/>
        </w:rPr>
        <w:t>A note follows the subsection. The note is identical to the existing note to paragraph 1.2.7—4(c). It states: ‘</w:t>
      </w:r>
      <w:r w:rsidRPr="00C157FE">
        <w:rPr>
          <w:rFonts w:ascii="Arial" w:eastAsia="Times New Roman" w:hAnsi="Arial" w:cs="Arial"/>
          <w:b/>
          <w:i/>
          <w:color w:val="000000"/>
          <w:kern w:val="0"/>
          <w:sz w:val="22"/>
          <w:lang w:val="en-NZ" w:eastAsia="en-GB"/>
          <w14:ligatures w14:val="none"/>
        </w:rPr>
        <w:t xml:space="preserve">Note </w:t>
      </w:r>
      <w:r w:rsidRPr="00C157FE">
        <w:rPr>
          <w:rFonts w:ascii="Arial" w:eastAsia="Times New Roman" w:hAnsi="Arial" w:cs="Arial"/>
          <w:color w:val="000000"/>
          <w:kern w:val="0"/>
          <w:sz w:val="22"/>
          <w:lang w:val="en-NZ" w:eastAsia="en-GB"/>
          <w14:ligatures w14:val="none"/>
        </w:rPr>
        <w:t xml:space="preserve">Section 1.4.4—7 proscribes health claims and nutrition content claims in relation to cannabidiol in hemp food </w:t>
      </w:r>
      <w:proofErr w:type="gramStart"/>
      <w:r w:rsidRPr="00C157FE">
        <w:rPr>
          <w:rFonts w:ascii="Arial" w:eastAsia="Times New Roman" w:hAnsi="Arial" w:cs="Arial"/>
          <w:color w:val="000000"/>
          <w:kern w:val="0"/>
          <w:sz w:val="22"/>
          <w:lang w:val="en-NZ" w:eastAsia="en-GB"/>
          <w14:ligatures w14:val="none"/>
        </w:rPr>
        <w:t>products.‘</w:t>
      </w:r>
      <w:proofErr w:type="gramEnd"/>
      <w:r w:rsidRPr="00C157FE">
        <w:rPr>
          <w:rFonts w:ascii="Arial" w:eastAsia="Times New Roman" w:hAnsi="Arial" w:cs="Arial"/>
          <w:color w:val="000000"/>
          <w:kern w:val="0"/>
          <w:sz w:val="22"/>
          <w:lang w:val="en-NZ" w:eastAsia="en-GB"/>
          <w14:ligatures w14:val="none"/>
        </w:rPr>
        <w:t xml:space="preserve"> </w:t>
      </w:r>
    </w:p>
    <w:p w14:paraId="6CD2359D" w14:textId="77777777" w:rsidR="00C157FE" w:rsidRPr="00C157FE" w:rsidRDefault="00C157FE" w:rsidP="00C157FE">
      <w:pPr>
        <w:autoSpaceDE w:val="0"/>
        <w:autoSpaceDN w:val="0"/>
        <w:adjustRightInd w:val="0"/>
        <w:spacing w:after="0" w:line="240" w:lineRule="auto"/>
        <w:rPr>
          <w:rFonts w:ascii="Arial" w:eastAsia="Times New Roman" w:hAnsi="Arial" w:cs="Arial"/>
          <w:color w:val="000000"/>
          <w:kern w:val="0"/>
          <w:sz w:val="22"/>
          <w:szCs w:val="22"/>
          <w:lang w:val="en-NZ" w:eastAsia="en-GB"/>
          <w14:ligatures w14:val="none"/>
        </w:rPr>
      </w:pPr>
    </w:p>
    <w:p w14:paraId="575FBAC0" w14:textId="77777777" w:rsidR="00C157FE" w:rsidRPr="00C157FE" w:rsidRDefault="00C157FE" w:rsidP="00C157FE">
      <w:pPr>
        <w:autoSpaceDE w:val="0"/>
        <w:autoSpaceDN w:val="0"/>
        <w:adjustRightInd w:val="0"/>
        <w:spacing w:after="0" w:line="240" w:lineRule="auto"/>
        <w:rPr>
          <w:rFonts w:ascii="Arial" w:eastAsia="Times New Roman" w:hAnsi="Arial" w:cs="Arial"/>
          <w:color w:val="000000"/>
          <w:kern w:val="0"/>
          <w:sz w:val="22"/>
          <w:lang w:val="en-NZ" w:eastAsia="en-GB"/>
          <w14:ligatures w14:val="none"/>
        </w:rPr>
      </w:pPr>
      <w:r w:rsidRPr="00C157FE">
        <w:rPr>
          <w:rFonts w:ascii="Arial" w:eastAsia="Times New Roman" w:hAnsi="Arial" w:cs="Arial"/>
          <w:color w:val="000000"/>
          <w:kern w:val="0"/>
          <w:sz w:val="22"/>
          <w:lang w:val="en-NZ" w:eastAsia="en-GB"/>
          <w14:ligatures w14:val="none"/>
        </w:rPr>
        <w:t>New subsection 1.2.7—4(2) provides that a nutrition content claim about a food that contains more than 1.15% ABV must not name or refer to:</w:t>
      </w:r>
    </w:p>
    <w:p w14:paraId="0E8C3530" w14:textId="77777777" w:rsidR="00C157FE" w:rsidRPr="00C157FE" w:rsidRDefault="00C157FE" w:rsidP="00C157FE">
      <w:pPr>
        <w:autoSpaceDE w:val="0"/>
        <w:autoSpaceDN w:val="0"/>
        <w:adjustRightInd w:val="0"/>
        <w:spacing w:after="0" w:line="240" w:lineRule="auto"/>
        <w:rPr>
          <w:rFonts w:ascii="Arial" w:eastAsia="Times New Roman" w:hAnsi="Arial" w:cs="Arial"/>
          <w:color w:val="000000"/>
          <w:kern w:val="0"/>
          <w:sz w:val="22"/>
          <w:lang w:val="en-NZ" w:eastAsia="en-GB"/>
          <w14:ligatures w14:val="none"/>
        </w:rPr>
      </w:pPr>
    </w:p>
    <w:p w14:paraId="33E13952" w14:textId="77777777" w:rsidR="00C157FE" w:rsidRPr="00C157FE" w:rsidRDefault="00C157FE" w:rsidP="00C157FE">
      <w:pPr>
        <w:autoSpaceDE w:val="0"/>
        <w:autoSpaceDN w:val="0"/>
        <w:adjustRightInd w:val="0"/>
        <w:spacing w:after="0" w:line="240" w:lineRule="auto"/>
        <w:rPr>
          <w:rFonts w:ascii="Arial" w:eastAsia="Times New Roman" w:hAnsi="Arial" w:cs="Arial"/>
          <w:color w:val="000000"/>
          <w:kern w:val="0"/>
          <w:sz w:val="22"/>
          <w:lang w:val="en-NZ" w:eastAsia="en-GB"/>
          <w14:ligatures w14:val="none"/>
        </w:rPr>
      </w:pPr>
      <w:r w:rsidRPr="00C157FE">
        <w:rPr>
          <w:rFonts w:ascii="Arial" w:eastAsia="Times New Roman" w:hAnsi="Arial" w:cs="Arial"/>
          <w:color w:val="000000"/>
          <w:kern w:val="0"/>
          <w:sz w:val="22"/>
          <w:lang w:val="en-NZ" w:eastAsia="en-GB"/>
          <w14:ligatures w14:val="none"/>
        </w:rPr>
        <w:t xml:space="preserve">(a) a component of carbohydrate other than sugar or sugars; or </w:t>
      </w:r>
    </w:p>
    <w:p w14:paraId="6260D22F" w14:textId="77777777" w:rsidR="00C157FE" w:rsidRPr="00C157FE" w:rsidRDefault="00C157FE" w:rsidP="00C157FE">
      <w:pPr>
        <w:autoSpaceDE w:val="0"/>
        <w:autoSpaceDN w:val="0"/>
        <w:adjustRightInd w:val="0"/>
        <w:spacing w:after="0" w:line="240" w:lineRule="auto"/>
        <w:rPr>
          <w:rFonts w:ascii="Arial" w:eastAsia="Times New Roman" w:hAnsi="Arial" w:cs="Arial"/>
          <w:color w:val="000000"/>
          <w:kern w:val="0"/>
          <w:sz w:val="22"/>
          <w:lang w:val="en-NZ" w:eastAsia="en-GB"/>
          <w14:ligatures w14:val="none"/>
        </w:rPr>
      </w:pPr>
      <w:r w:rsidRPr="00C157FE">
        <w:rPr>
          <w:rFonts w:ascii="Arial" w:eastAsia="Times New Roman" w:hAnsi="Arial" w:cs="Arial"/>
          <w:color w:val="000000"/>
          <w:kern w:val="0"/>
          <w:sz w:val="22"/>
          <w:lang w:val="en-NZ" w:eastAsia="en-GB"/>
          <w14:ligatures w14:val="none"/>
        </w:rPr>
        <w:t>(b) individually named sugars.</w:t>
      </w:r>
    </w:p>
    <w:p w14:paraId="376C3548" w14:textId="77777777" w:rsidR="00C157FE" w:rsidRPr="00C157FE" w:rsidRDefault="00C157FE" w:rsidP="00C157FE">
      <w:pPr>
        <w:autoSpaceDE w:val="0"/>
        <w:autoSpaceDN w:val="0"/>
        <w:adjustRightInd w:val="0"/>
        <w:spacing w:after="0" w:line="240" w:lineRule="auto"/>
        <w:rPr>
          <w:rFonts w:ascii="Arial" w:eastAsia="Times New Roman" w:hAnsi="Arial" w:cs="Arial"/>
          <w:color w:val="000000"/>
          <w:kern w:val="0"/>
          <w:sz w:val="22"/>
          <w:lang w:val="en-GB" w:eastAsia="en-GB"/>
          <w14:ligatures w14:val="none"/>
        </w:rPr>
      </w:pPr>
    </w:p>
    <w:p w14:paraId="63A41B1D" w14:textId="707AB4C5" w:rsidR="00C157FE" w:rsidRPr="001E0431" w:rsidRDefault="00C157FE" w:rsidP="001E0431">
      <w:pPr>
        <w:autoSpaceDE w:val="0"/>
        <w:autoSpaceDN w:val="0"/>
        <w:adjustRightInd w:val="0"/>
        <w:spacing w:after="0" w:line="240" w:lineRule="auto"/>
        <w:rPr>
          <w:rFonts w:ascii="Arial" w:eastAsia="Times New Roman" w:hAnsi="Arial" w:cs="Arial"/>
          <w:color w:val="000000"/>
          <w:kern w:val="0"/>
          <w:sz w:val="22"/>
          <w:lang w:val="en-GB" w:eastAsia="en-GB"/>
          <w14:ligatures w14:val="none"/>
        </w:rPr>
      </w:pPr>
      <w:r w:rsidRPr="00C157FE">
        <w:rPr>
          <w:rFonts w:ascii="Arial" w:eastAsia="Times New Roman" w:hAnsi="Arial" w:cs="Arial"/>
          <w:color w:val="000000"/>
          <w:kern w:val="0"/>
          <w:sz w:val="22"/>
          <w:lang w:val="en-GB" w:eastAsia="en-GB"/>
          <w14:ligatures w14:val="none"/>
        </w:rPr>
        <w:t>The following example of the prohibition in paragraph 1.2.7—4(2)(b) is provided under this subsection for clarity - a nutrition content claim that refers to fructose is not permitted.</w:t>
      </w:r>
    </w:p>
    <w:sectPr w:rsidR="00C157FE" w:rsidRPr="001E04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845C5" w14:textId="77777777" w:rsidR="006D1A01" w:rsidRDefault="006D1A01" w:rsidP="00C157FE">
      <w:pPr>
        <w:spacing w:after="0" w:line="240" w:lineRule="auto"/>
      </w:pPr>
      <w:r>
        <w:separator/>
      </w:r>
    </w:p>
  </w:endnote>
  <w:endnote w:type="continuationSeparator" w:id="0">
    <w:p w14:paraId="1A8B1037" w14:textId="77777777" w:rsidR="006D1A01" w:rsidRDefault="006D1A01" w:rsidP="00C15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E08D8" w14:textId="77777777" w:rsidR="006D1A01" w:rsidRDefault="006D1A01" w:rsidP="00C157FE">
      <w:pPr>
        <w:spacing w:after="0" w:line="240" w:lineRule="auto"/>
      </w:pPr>
      <w:r>
        <w:separator/>
      </w:r>
    </w:p>
  </w:footnote>
  <w:footnote w:type="continuationSeparator" w:id="0">
    <w:p w14:paraId="484DFDC4" w14:textId="77777777" w:rsidR="006D1A01" w:rsidRDefault="006D1A01" w:rsidP="00C157FE">
      <w:pPr>
        <w:spacing w:after="0" w:line="240" w:lineRule="auto"/>
      </w:pPr>
      <w:r>
        <w:continuationSeparator/>
      </w:r>
    </w:p>
  </w:footnote>
  <w:footnote w:id="1">
    <w:p w14:paraId="685F4D4E" w14:textId="77777777" w:rsidR="00C157FE" w:rsidRPr="0007376E" w:rsidRDefault="00C157FE" w:rsidP="00C157FE">
      <w:pPr>
        <w:pStyle w:val="FootnoteText"/>
        <w:rPr>
          <w:rFonts w:cs="Arial"/>
          <w:sz w:val="18"/>
          <w:szCs w:val="18"/>
          <w:lang w:val="en-NZ"/>
        </w:rPr>
      </w:pPr>
      <w:r w:rsidRPr="0007376E">
        <w:rPr>
          <w:rStyle w:val="FootnoteReference"/>
          <w:rFonts w:cs="Arial"/>
          <w:sz w:val="18"/>
          <w:szCs w:val="18"/>
        </w:rPr>
        <w:footnoteRef/>
      </w:r>
      <w:r w:rsidRPr="0007376E">
        <w:rPr>
          <w:rFonts w:cs="Arial"/>
          <w:sz w:val="18"/>
          <w:szCs w:val="18"/>
        </w:rPr>
        <w:t xml:space="preserve"> </w:t>
      </w:r>
      <w:r w:rsidRPr="0007376E">
        <w:rPr>
          <w:rFonts w:cs="Arial"/>
          <w:sz w:val="18"/>
          <w:szCs w:val="18"/>
          <w:lang w:val="en-NZ"/>
        </w:rPr>
        <w:t xml:space="preserve">Formerly The Office of Best Practice Regulation (OBPR). </w:t>
      </w:r>
    </w:p>
  </w:footnote>
  <w:footnote w:id="2">
    <w:p w14:paraId="2B259768" w14:textId="77777777" w:rsidR="00C157FE" w:rsidRPr="008B3785" w:rsidRDefault="00C157FE" w:rsidP="00C157FE">
      <w:pPr>
        <w:pStyle w:val="FootnoteText"/>
        <w:rPr>
          <w:sz w:val="18"/>
          <w:szCs w:val="18"/>
          <w:lang w:val="en-US"/>
        </w:rPr>
      </w:pPr>
      <w:r w:rsidRPr="008C3148">
        <w:rPr>
          <w:rStyle w:val="FootnoteReference"/>
          <w:sz w:val="18"/>
          <w:szCs w:val="18"/>
        </w:rPr>
        <w:footnoteRef/>
      </w:r>
      <w:r w:rsidRPr="008C3148">
        <w:rPr>
          <w:sz w:val="18"/>
          <w:szCs w:val="18"/>
        </w:rPr>
        <w:t xml:space="preserve"> Reference number OBPR22-02136</w:t>
      </w:r>
      <w:r>
        <w:rPr>
          <w:sz w:val="18"/>
          <w:szCs w:val="18"/>
        </w:rPr>
        <w:t>.</w:t>
      </w:r>
    </w:p>
  </w:footnote>
  <w:footnote w:id="3">
    <w:p w14:paraId="5C2E441A" w14:textId="77777777" w:rsidR="00C157FE" w:rsidRPr="008B3785" w:rsidRDefault="00C157FE" w:rsidP="00C157FE">
      <w:pPr>
        <w:pStyle w:val="FootnoteText"/>
        <w:rPr>
          <w:sz w:val="18"/>
          <w:szCs w:val="18"/>
          <w:lang w:val="en-US"/>
        </w:rPr>
      </w:pPr>
      <w:r w:rsidRPr="008B3785">
        <w:rPr>
          <w:rStyle w:val="FootnoteReference"/>
          <w:sz w:val="18"/>
          <w:szCs w:val="18"/>
        </w:rPr>
        <w:footnoteRef/>
      </w:r>
      <w:r w:rsidRPr="008B3785">
        <w:rPr>
          <w:sz w:val="18"/>
          <w:szCs w:val="18"/>
        </w:rPr>
        <w:t xml:space="preserve"> Reference number OBPR22-02136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7FE"/>
    <w:rsid w:val="001E0431"/>
    <w:rsid w:val="00295F74"/>
    <w:rsid w:val="004E400A"/>
    <w:rsid w:val="006D1A01"/>
    <w:rsid w:val="007C3DAC"/>
    <w:rsid w:val="00C157FE"/>
    <w:rsid w:val="00CA0C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70A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57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57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57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57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57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57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57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57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57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7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57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57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57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57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57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57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57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57FE"/>
    <w:rPr>
      <w:rFonts w:eastAsiaTheme="majorEastAsia" w:cstheme="majorBidi"/>
      <w:color w:val="272727" w:themeColor="text1" w:themeTint="D8"/>
    </w:rPr>
  </w:style>
  <w:style w:type="paragraph" w:styleId="Title">
    <w:name w:val="Title"/>
    <w:basedOn w:val="Normal"/>
    <w:next w:val="Normal"/>
    <w:link w:val="TitleChar"/>
    <w:uiPriority w:val="10"/>
    <w:qFormat/>
    <w:rsid w:val="00C157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57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57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57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57FE"/>
    <w:pPr>
      <w:spacing w:before="160"/>
      <w:jc w:val="center"/>
    </w:pPr>
    <w:rPr>
      <w:i/>
      <w:iCs/>
      <w:color w:val="404040" w:themeColor="text1" w:themeTint="BF"/>
    </w:rPr>
  </w:style>
  <w:style w:type="character" w:customStyle="1" w:styleId="QuoteChar">
    <w:name w:val="Quote Char"/>
    <w:basedOn w:val="DefaultParagraphFont"/>
    <w:link w:val="Quote"/>
    <w:uiPriority w:val="29"/>
    <w:rsid w:val="00C157FE"/>
    <w:rPr>
      <w:i/>
      <w:iCs/>
      <w:color w:val="404040" w:themeColor="text1" w:themeTint="BF"/>
    </w:rPr>
  </w:style>
  <w:style w:type="paragraph" w:styleId="ListParagraph">
    <w:name w:val="List Paragraph"/>
    <w:basedOn w:val="Normal"/>
    <w:uiPriority w:val="34"/>
    <w:qFormat/>
    <w:rsid w:val="00C157FE"/>
    <w:pPr>
      <w:ind w:left="720"/>
      <w:contextualSpacing/>
    </w:pPr>
  </w:style>
  <w:style w:type="character" w:styleId="IntenseEmphasis">
    <w:name w:val="Intense Emphasis"/>
    <w:basedOn w:val="DefaultParagraphFont"/>
    <w:uiPriority w:val="21"/>
    <w:qFormat/>
    <w:rsid w:val="00C157FE"/>
    <w:rPr>
      <w:i/>
      <w:iCs/>
      <w:color w:val="0F4761" w:themeColor="accent1" w:themeShade="BF"/>
    </w:rPr>
  </w:style>
  <w:style w:type="paragraph" w:styleId="IntenseQuote">
    <w:name w:val="Intense Quote"/>
    <w:basedOn w:val="Normal"/>
    <w:next w:val="Normal"/>
    <w:link w:val="IntenseQuoteChar"/>
    <w:uiPriority w:val="30"/>
    <w:qFormat/>
    <w:rsid w:val="00C157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57FE"/>
    <w:rPr>
      <w:i/>
      <w:iCs/>
      <w:color w:val="0F4761" w:themeColor="accent1" w:themeShade="BF"/>
    </w:rPr>
  </w:style>
  <w:style w:type="character" w:styleId="IntenseReference">
    <w:name w:val="Intense Reference"/>
    <w:basedOn w:val="DefaultParagraphFont"/>
    <w:uiPriority w:val="32"/>
    <w:qFormat/>
    <w:rsid w:val="00C157FE"/>
    <w:rPr>
      <w:b/>
      <w:bCs/>
      <w:smallCaps/>
      <w:color w:val="0F4761" w:themeColor="accent1" w:themeShade="BF"/>
      <w:spacing w:val="5"/>
    </w:rPr>
  </w:style>
  <w:style w:type="paragraph" w:styleId="FootnoteText">
    <w:name w:val="footnote text"/>
    <w:aliases w:val="Footnotes Text,FSFootnotes Text,FSFootnote Text,Footnote Snez"/>
    <w:basedOn w:val="Normal"/>
    <w:link w:val="FootnoteTextChar"/>
    <w:uiPriority w:val="5"/>
    <w:qFormat/>
    <w:rsid w:val="00C157FE"/>
    <w:pPr>
      <w:widowControl w:val="0"/>
      <w:spacing w:after="0" w:line="240" w:lineRule="auto"/>
    </w:pPr>
    <w:rPr>
      <w:rFonts w:ascii="Arial" w:eastAsia="Times New Roman" w:hAnsi="Arial" w:cs="Times New Roman"/>
      <w:kern w:val="0"/>
      <w:sz w:val="20"/>
      <w:szCs w:val="20"/>
      <w:lang w:val="en-GB" w:bidi="en-US"/>
      <w14:ligatures w14:val="none"/>
    </w:rPr>
  </w:style>
  <w:style w:type="character" w:customStyle="1" w:styleId="FootnoteTextChar">
    <w:name w:val="Footnote Text Char"/>
    <w:aliases w:val="Footnotes Text Char,FSFootnotes Text Char,FSFootnote Text Char,Footnote Snez Char"/>
    <w:basedOn w:val="DefaultParagraphFont"/>
    <w:link w:val="FootnoteText"/>
    <w:uiPriority w:val="5"/>
    <w:rsid w:val="00C157FE"/>
    <w:rPr>
      <w:rFonts w:ascii="Arial" w:eastAsia="Times New Roman" w:hAnsi="Arial" w:cs="Times New Roman"/>
      <w:kern w:val="0"/>
      <w:sz w:val="20"/>
      <w:szCs w:val="20"/>
      <w:lang w:val="en-GB" w:bidi="en-US"/>
      <w14:ligatures w14:val="none"/>
    </w:rPr>
  </w:style>
  <w:style w:type="character" w:styleId="FootnoteReference">
    <w:name w:val="footnote reference"/>
    <w:basedOn w:val="DefaultParagraphFont"/>
    <w:uiPriority w:val="5"/>
    <w:rsid w:val="00C157FE"/>
    <w:rPr>
      <w:vertAlign w:val="superscript"/>
    </w:rPr>
  </w:style>
  <w:style w:type="paragraph" w:styleId="Header">
    <w:name w:val="header"/>
    <w:basedOn w:val="Normal"/>
    <w:link w:val="HeaderChar"/>
    <w:uiPriority w:val="99"/>
    <w:unhideWhenUsed/>
    <w:rsid w:val="004E40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400A"/>
  </w:style>
  <w:style w:type="paragraph" w:styleId="Footer">
    <w:name w:val="footer"/>
    <w:basedOn w:val="Normal"/>
    <w:link w:val="FooterChar"/>
    <w:uiPriority w:val="99"/>
    <w:unhideWhenUsed/>
    <w:rsid w:val="004E40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40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1292</Words>
  <Characters>7123</Characters>
  <Application>Microsoft Office Word</Application>
  <DocSecurity>0</DocSecurity>
  <Lines>161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[SEC=UNOFFICIAL]</cp:keywords>
  <dc:description/>
  <cp:lastModifiedBy/>
  <cp:revision>1</cp:revision>
  <dcterms:created xsi:type="dcterms:W3CDTF">2025-08-08T01:31:00Z</dcterms:created>
  <dcterms:modified xsi:type="dcterms:W3CDTF">2025-08-08T01:31:00Z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OriginationTimeStamp">
    <vt:lpwstr>2025-08-08T01:29:23Z</vt:lpwstr>
  </property>
  <property fmtid="{D5CDD505-2E9C-101B-9397-08002B2CF9AE}" pid="3" name="PM_ProtectiveMarkingValue_Header">
    <vt:lpwstr>UNOFFICIAL</vt:lpwstr>
  </property>
  <property fmtid="{D5CDD505-2E9C-101B-9397-08002B2CF9AE}" pid="4" name="bjDocumentLabelXML-0">
    <vt:lpwstr>ent xmlns="" uid="0d6753b0-55bf-4bfe-9711-090a5860f1b6" value=""/&gt;&lt;/sisl&gt;</vt:lpwstr>
  </property>
  <property fmtid="{D5CDD505-2E9C-101B-9397-08002B2CF9AE}" pid="5" name="PM_Expires">
    <vt:lpwstr/>
  </property>
  <property fmtid="{D5CDD505-2E9C-101B-9397-08002B2CF9AE}" pid="6" name="PM_DisplayValueSecClassificationWithQualifier">
    <vt:lpwstr>UNOFFICIAL</vt:lpwstr>
  </property>
  <property fmtid="{D5CDD505-2E9C-101B-9397-08002B2CF9AE}" pid="7" name="bjDocumentLabelXML">
    <vt:lpwstr>&lt;?xml version="1.0"?&gt;&lt;sisl xmlns:xsi="http://www.w3.org/2001/XMLSchema-instance" xmlns:xsd="http://www.w3.org/2001/XMLSchema" xmlns="http://www.boldonjames.com/2008/01/sie/internal/label" sislVersion="0" policy="1865c0a7-d648-4a74-80fe-fa9dc7fe13cc"&gt;&lt;elem</vt:lpwstr>
  </property>
  <property fmtid="{D5CDD505-2E9C-101B-9397-08002B2CF9AE}" pid="8" name="PM_InsertionValue">
    <vt:lpwstr>UNOFFICIAL</vt:lpwstr>
  </property>
  <property fmtid="{D5CDD505-2E9C-101B-9397-08002B2CF9AE}" pid="9" name="PM_Originator_Hash_SHA1">
    <vt:lpwstr>D2A877FB021B1F23B5F94F499200193157B57536</vt:lpwstr>
  </property>
  <property fmtid="{D5CDD505-2E9C-101B-9397-08002B2CF9AE}" pid="10" name="PM_ProtectiveMarkingValue_Footer">
    <vt:lpwstr>UNOFFICIAL</vt:lpwstr>
  </property>
  <property fmtid="{D5CDD505-2E9C-101B-9397-08002B2CF9AE}" pid="11" name="PM_Originating_FileId">
    <vt:lpwstr>E8E40C2CCF4F4BDBAD96D4F0246A7372</vt:lpwstr>
  </property>
  <property fmtid="{D5CDD505-2E9C-101B-9397-08002B2CF9AE}" pid="12" name="PM_Display">
    <vt:lpwstr>UNOFFICIAL</vt:lpwstr>
  </property>
  <property fmtid="{D5CDD505-2E9C-101B-9397-08002B2CF9AE}" pid="13" name="PM_OriginatorUserAccountName_SHA256">
    <vt:lpwstr>A5FD2317C9D8556B5143B0855F8BE111C11BE8F6BA5BCF94DC5B82C005B9C67B</vt:lpwstr>
  </property>
  <property fmtid="{D5CDD505-2E9C-101B-9397-08002B2CF9AE}" pid="14" name="PM_OriginatorDomainName_SHA256">
    <vt:lpwstr>1728E66681E435764AE865ABE664C38F2A2F6D4B1DC4AC4803028F4FC406745D</vt:lpwstr>
  </property>
  <property fmtid="{D5CDD505-2E9C-101B-9397-08002B2CF9AE}" pid="15" name="PMUuid">
    <vt:lpwstr>v=2022.2;d=gov.au;g=65417EFE-F3B9-5E66-BD91-1E689FEC2EA6</vt:lpwstr>
  </property>
  <property fmtid="{D5CDD505-2E9C-101B-9397-08002B2CF9AE}" pid="16" name="PM_Hash_Version">
    <vt:lpwstr>2022.1</vt:lpwstr>
  </property>
  <property fmtid="{D5CDD505-2E9C-101B-9397-08002B2CF9AE}" pid="17" name="PM_Hash_Salt_Prev">
    <vt:lpwstr>A8F1C67C7DC325A9EAF739A9F4A3E4A0</vt:lpwstr>
  </property>
  <property fmtid="{D5CDD505-2E9C-101B-9397-08002B2CF9AE}" pid="18" name="PM_Hash_Salt">
    <vt:lpwstr>F1299153D94FA32FA3392C14A4E6D3C0</vt:lpwstr>
  </property>
  <property fmtid="{D5CDD505-2E9C-101B-9397-08002B2CF9AE}" pid="19" name="PM_Hash_SHA1">
    <vt:lpwstr>501763BBF3AAB98E4C9F76FAB4E11C3A798515B0</vt:lpwstr>
  </property>
  <property fmtid="{D5CDD505-2E9C-101B-9397-08002B2CF9AE}" pid="20" name="PM_Namespace">
    <vt:lpwstr>gov.au</vt:lpwstr>
  </property>
  <property fmtid="{D5CDD505-2E9C-101B-9397-08002B2CF9AE}" pid="21" name="PM_Version">
    <vt:lpwstr>2018.4</vt:lpwstr>
  </property>
  <property fmtid="{D5CDD505-2E9C-101B-9397-08002B2CF9AE}" pid="22" name="PM_SecurityClassification">
    <vt:lpwstr>UNOFFICIAL</vt:lpwstr>
  </property>
  <property fmtid="{D5CDD505-2E9C-101B-9397-08002B2CF9AE}" pid="23" name="PMHMAC">
    <vt:lpwstr>v=2022.1;a=SHA256;h=FFE884198D14D26B5E4A2F82142297B9ECAA273708884BFC0369AA781FEDE7C8</vt:lpwstr>
  </property>
  <property fmtid="{D5CDD505-2E9C-101B-9397-08002B2CF9AE}" pid="24" name="PM_Qualifier">
    <vt:lpwstr/>
  </property>
  <property fmtid="{D5CDD505-2E9C-101B-9397-08002B2CF9AE}" pid="25" name="PM_Note">
    <vt:lpwstr/>
  </property>
  <property fmtid="{D5CDD505-2E9C-101B-9397-08002B2CF9AE}" pid="26" name="PM_Markers">
    <vt:lpwstr/>
  </property>
  <property fmtid="{D5CDD505-2E9C-101B-9397-08002B2CF9AE}" pid="27" name="PM_Caveats_Count">
    <vt:lpwstr>0</vt:lpwstr>
  </property>
  <property fmtid="{D5CDD505-2E9C-101B-9397-08002B2CF9AE}" pid="28" name="PM_DownTo">
    <vt:lpwstr/>
  </property>
  <property fmtid="{D5CDD505-2E9C-101B-9397-08002B2CF9AE}" pid="29" name="PM_SecurityClassification_Prev">
    <vt:lpwstr>UNOFFICIAL</vt:lpwstr>
  </property>
  <property fmtid="{D5CDD505-2E9C-101B-9397-08002B2CF9AE}" pid="30" name="PM_Qualifier_Prev">
    <vt:lpwstr/>
  </property>
</Properties>
</file>