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CF78" w14:textId="77777777" w:rsidR="00715914" w:rsidRPr="00A44045" w:rsidRDefault="00DA186E" w:rsidP="00715914">
      <w:pPr>
        <w:rPr>
          <w:sz w:val="28"/>
        </w:rPr>
      </w:pPr>
      <w:r w:rsidRPr="00A44045">
        <w:rPr>
          <w:noProof/>
          <w:lang w:eastAsia="en-AU"/>
        </w:rPr>
        <w:drawing>
          <wp:inline distT="0" distB="0" distL="0" distR="0" wp14:anchorId="560BDD2C" wp14:editId="421EFA8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8F9FDA5" w14:textId="77777777" w:rsidR="00715914" w:rsidRPr="00A44045" w:rsidRDefault="00715914" w:rsidP="00715914">
      <w:pPr>
        <w:rPr>
          <w:sz w:val="19"/>
        </w:rPr>
      </w:pPr>
    </w:p>
    <w:p w14:paraId="19846E9F" w14:textId="55470D86" w:rsidR="00554826" w:rsidRPr="00A44045" w:rsidRDefault="00C26A9B" w:rsidP="00554826">
      <w:pPr>
        <w:pStyle w:val="ShortT"/>
      </w:pPr>
      <w:r w:rsidRPr="00A44045">
        <w:rPr>
          <w:bCs/>
        </w:rPr>
        <w:t>Private Health Insurance (Risk Equalisation Policy) Rules 2025</w:t>
      </w:r>
    </w:p>
    <w:p w14:paraId="3E6FC268" w14:textId="747A9A6D" w:rsidR="00D32826" w:rsidRPr="00A44045" w:rsidRDefault="00D32826" w:rsidP="00D32826">
      <w:pPr>
        <w:pStyle w:val="SignCoverPageStart"/>
        <w:spacing w:before="240"/>
        <w:ind w:right="91"/>
      </w:pPr>
      <w:r w:rsidRPr="00A44045">
        <w:t xml:space="preserve">I, </w:t>
      </w:r>
      <w:r w:rsidR="00D1019F" w:rsidRPr="00A44045">
        <w:t>Paul McBride</w:t>
      </w:r>
      <w:r w:rsidRPr="00A44045">
        <w:t>,</w:t>
      </w:r>
      <w:r w:rsidR="00D1019F" w:rsidRPr="00A44045">
        <w:t xml:space="preserve"> </w:t>
      </w:r>
      <w:r w:rsidR="00DA40CA" w:rsidRPr="00A44045">
        <w:t>delegate of the Minister for Health and Ageing</w:t>
      </w:r>
      <w:r w:rsidRPr="00A44045">
        <w:t>, make the following rules.</w:t>
      </w:r>
    </w:p>
    <w:p w14:paraId="1B53962C" w14:textId="664A80C3" w:rsidR="00D1019F" w:rsidRPr="00A44045" w:rsidRDefault="00D32826" w:rsidP="00D32826">
      <w:pPr>
        <w:keepNext/>
        <w:spacing w:before="300" w:line="240" w:lineRule="atLeast"/>
        <w:ind w:right="397"/>
        <w:jc w:val="both"/>
        <w:rPr>
          <w:szCs w:val="22"/>
        </w:rPr>
      </w:pPr>
      <w:r w:rsidRPr="00A44045">
        <w:rPr>
          <w:szCs w:val="22"/>
        </w:rPr>
        <w:t>Dated</w:t>
      </w:r>
      <w:r w:rsidR="00E65258" w:rsidRPr="00A44045">
        <w:rPr>
          <w:szCs w:val="22"/>
        </w:rPr>
        <w:t xml:space="preserve">, </w:t>
      </w:r>
      <w:r w:rsidR="002B43E9" w:rsidRPr="00A44045">
        <w:rPr>
          <w:szCs w:val="22"/>
        </w:rPr>
        <w:t>30</w:t>
      </w:r>
      <w:r w:rsidR="00A849F1" w:rsidRPr="00A44045">
        <w:rPr>
          <w:szCs w:val="22"/>
        </w:rPr>
        <w:t xml:space="preserve"> July 2025</w:t>
      </w:r>
      <w:r w:rsidRPr="00A44045">
        <w:rPr>
          <w:szCs w:val="22"/>
        </w:rPr>
        <w:tab/>
      </w:r>
    </w:p>
    <w:p w14:paraId="2E5AE4DA" w14:textId="77777777" w:rsidR="00DA40CA" w:rsidRPr="00A44045" w:rsidRDefault="00DA40CA" w:rsidP="00D32826">
      <w:pPr>
        <w:keepNext/>
        <w:spacing w:before="300" w:line="240" w:lineRule="atLeast"/>
        <w:ind w:right="397"/>
        <w:jc w:val="both"/>
        <w:rPr>
          <w:szCs w:val="22"/>
        </w:rPr>
      </w:pPr>
    </w:p>
    <w:p w14:paraId="085D481C" w14:textId="77777777" w:rsidR="00DA40CA" w:rsidRPr="00A44045" w:rsidRDefault="00DA40CA" w:rsidP="00D32826">
      <w:pPr>
        <w:keepNext/>
        <w:spacing w:before="300" w:line="240" w:lineRule="atLeast"/>
        <w:ind w:right="397"/>
        <w:jc w:val="both"/>
        <w:rPr>
          <w:szCs w:val="22"/>
        </w:rPr>
      </w:pPr>
    </w:p>
    <w:p w14:paraId="760711DC" w14:textId="77777777" w:rsidR="00DA40CA" w:rsidRPr="00A44045" w:rsidRDefault="00DA40CA" w:rsidP="00DA40CA">
      <w:pPr>
        <w:outlineLvl w:val="0"/>
        <w:rPr>
          <w:rFonts w:eastAsia="Times New Roman" w:cs="Times New Roman"/>
          <w:szCs w:val="22"/>
          <w:lang w:eastAsia="en-AU"/>
        </w:rPr>
      </w:pPr>
      <w:r w:rsidRPr="00A44045">
        <w:rPr>
          <w:rFonts w:eastAsia="Times New Roman" w:cs="Times New Roman"/>
          <w:szCs w:val="22"/>
          <w:lang w:eastAsia="en-AU"/>
        </w:rPr>
        <w:t>Paul McBride </w:t>
      </w:r>
    </w:p>
    <w:p w14:paraId="08452CFF" w14:textId="7803BED5" w:rsidR="00DA40CA" w:rsidRPr="00A44045" w:rsidRDefault="00DA40CA" w:rsidP="00DA40CA">
      <w:pPr>
        <w:outlineLvl w:val="0"/>
        <w:rPr>
          <w:rFonts w:eastAsia="Times New Roman" w:cs="Times New Roman"/>
          <w:szCs w:val="22"/>
          <w:lang w:eastAsia="en-AU"/>
        </w:rPr>
      </w:pPr>
      <w:r w:rsidRPr="00A44045">
        <w:rPr>
          <w:rFonts w:eastAsia="Times New Roman" w:cs="Times New Roman"/>
          <w:szCs w:val="22"/>
          <w:lang w:eastAsia="en-AU"/>
        </w:rPr>
        <w:t>Assistant Secretary </w:t>
      </w:r>
      <w:r w:rsidRPr="00A44045">
        <w:rPr>
          <w:rFonts w:eastAsia="Times New Roman" w:cs="Times New Roman"/>
          <w:szCs w:val="22"/>
          <w:lang w:eastAsia="en-AU"/>
        </w:rPr>
        <w:br/>
        <w:t>Private Health Strategy Branch </w:t>
      </w:r>
      <w:r w:rsidRPr="00A44045">
        <w:rPr>
          <w:rFonts w:eastAsia="Times New Roman" w:cs="Times New Roman"/>
          <w:szCs w:val="22"/>
          <w:lang w:eastAsia="en-AU"/>
        </w:rPr>
        <w:br/>
      </w:r>
      <w:r w:rsidRPr="00A44045">
        <w:rPr>
          <w:rFonts w:eastAsia="Times New Roman" w:cs="Times New Roman"/>
          <w:szCs w:val="22"/>
          <w:lang w:val="en-US" w:eastAsia="en-AU"/>
        </w:rPr>
        <w:t xml:space="preserve">Health Systems Strategy Division </w:t>
      </w:r>
      <w:r w:rsidRPr="00A44045">
        <w:rPr>
          <w:rFonts w:eastAsia="Times New Roman" w:cs="Times New Roman"/>
          <w:szCs w:val="22"/>
          <w:lang w:eastAsia="en-AU"/>
        </w:rPr>
        <w:t> </w:t>
      </w:r>
      <w:r w:rsidRPr="00A44045">
        <w:rPr>
          <w:rFonts w:eastAsia="Times New Roman" w:cs="Times New Roman"/>
          <w:szCs w:val="22"/>
          <w:lang w:eastAsia="en-AU"/>
        </w:rPr>
        <w:br/>
      </w:r>
      <w:r w:rsidR="00A817D1" w:rsidRPr="00A44045">
        <w:rPr>
          <w:rFonts w:eastAsia="Times New Roman" w:cs="Times New Roman"/>
          <w:szCs w:val="22"/>
          <w:lang w:val="en-US" w:eastAsia="en-AU"/>
        </w:rPr>
        <w:t>Strategy and First Nations</w:t>
      </w:r>
      <w:r w:rsidRPr="00A44045">
        <w:rPr>
          <w:rFonts w:eastAsia="Times New Roman" w:cs="Times New Roman"/>
          <w:szCs w:val="22"/>
          <w:lang w:val="en-US" w:eastAsia="en-AU"/>
        </w:rPr>
        <w:t xml:space="preserve"> Group</w:t>
      </w:r>
      <w:r w:rsidRPr="00A44045">
        <w:rPr>
          <w:rFonts w:eastAsia="Times New Roman" w:cs="Times New Roman"/>
          <w:szCs w:val="22"/>
          <w:lang w:eastAsia="en-AU"/>
        </w:rPr>
        <w:t> </w:t>
      </w:r>
      <w:r w:rsidRPr="00A44045">
        <w:rPr>
          <w:rFonts w:eastAsia="Times New Roman" w:cs="Times New Roman"/>
          <w:szCs w:val="22"/>
          <w:lang w:eastAsia="en-AU"/>
        </w:rPr>
        <w:br/>
        <w:t>Department of Health</w:t>
      </w:r>
      <w:r w:rsidR="001234B5" w:rsidRPr="00A44045">
        <w:rPr>
          <w:rFonts w:eastAsia="Times New Roman" w:cs="Times New Roman"/>
          <w:szCs w:val="22"/>
          <w:lang w:eastAsia="en-AU"/>
        </w:rPr>
        <w:t>, Disability and Ageing</w:t>
      </w:r>
    </w:p>
    <w:p w14:paraId="6081E32D" w14:textId="1CB30856" w:rsidR="00D32826" w:rsidRPr="00A44045" w:rsidRDefault="00D32826" w:rsidP="00D32826">
      <w:pPr>
        <w:keepNext/>
        <w:spacing w:before="300" w:line="240" w:lineRule="atLeast"/>
        <w:ind w:right="397"/>
        <w:jc w:val="both"/>
        <w:rPr>
          <w:szCs w:val="22"/>
        </w:rPr>
      </w:pPr>
      <w:r w:rsidRPr="00A44045">
        <w:rPr>
          <w:szCs w:val="22"/>
        </w:rPr>
        <w:tab/>
      </w:r>
      <w:r w:rsidRPr="00A44045">
        <w:rPr>
          <w:szCs w:val="22"/>
        </w:rPr>
        <w:tab/>
      </w:r>
      <w:r w:rsidRPr="00A44045">
        <w:rPr>
          <w:szCs w:val="22"/>
        </w:rPr>
        <w:tab/>
      </w:r>
    </w:p>
    <w:p w14:paraId="07A01A6F" w14:textId="77777777" w:rsidR="00D1019F" w:rsidRPr="00A44045" w:rsidRDefault="00D1019F" w:rsidP="00D32826">
      <w:pPr>
        <w:pStyle w:val="SignCoverPageEnd"/>
        <w:ind w:right="91"/>
        <w:rPr>
          <w:szCs w:val="22"/>
        </w:rPr>
      </w:pPr>
    </w:p>
    <w:p w14:paraId="22175163" w14:textId="77777777" w:rsidR="00D1019F" w:rsidRPr="00A44045" w:rsidRDefault="00D1019F" w:rsidP="00D32826">
      <w:pPr>
        <w:pStyle w:val="SignCoverPageEnd"/>
        <w:ind w:right="91"/>
        <w:rPr>
          <w:szCs w:val="22"/>
        </w:rPr>
      </w:pPr>
    </w:p>
    <w:p w14:paraId="4F380C7B" w14:textId="1C4B9F5F" w:rsidR="007500C8" w:rsidRPr="00A44045" w:rsidRDefault="00795F08" w:rsidP="00715914">
      <w:pPr>
        <w:outlineLvl w:val="0"/>
        <w:rPr>
          <w:sz w:val="36"/>
        </w:rPr>
      </w:pPr>
      <w:r w:rsidRPr="00A44045">
        <w:br w:type="page"/>
      </w:r>
      <w:r w:rsidR="00715914" w:rsidRPr="00A44045">
        <w:rPr>
          <w:sz w:val="36"/>
        </w:rPr>
        <w:lastRenderedPageBreak/>
        <w:t>Contents</w:t>
      </w:r>
    </w:p>
    <w:p w14:paraId="449A9385" w14:textId="0F501156" w:rsidR="006B5011" w:rsidRPr="00A44045" w:rsidRDefault="006B5011">
      <w:pPr>
        <w:pStyle w:val="TOC6"/>
        <w:rPr>
          <w:rFonts w:asciiTheme="minorHAnsi" w:eastAsiaTheme="minorEastAsia" w:hAnsiTheme="minorHAnsi" w:cstheme="minorBidi"/>
          <w:b w:val="0"/>
          <w:noProof/>
          <w:kern w:val="2"/>
          <w:szCs w:val="24"/>
          <w14:ligatures w14:val="standardContextual"/>
        </w:rPr>
      </w:pPr>
      <w:r w:rsidRPr="00A44045">
        <w:rPr>
          <w:noProof/>
        </w:rPr>
        <w:t xml:space="preserve">Part 1 </w:t>
      </w:r>
      <w:r w:rsidRPr="00A44045">
        <w:rPr>
          <w:rFonts w:asciiTheme="minorHAnsi" w:eastAsiaTheme="minorEastAsia" w:hAnsiTheme="minorHAnsi" w:cstheme="minorBidi"/>
          <w:b w:val="0"/>
          <w:noProof/>
          <w:kern w:val="2"/>
          <w:szCs w:val="24"/>
          <w14:ligatures w14:val="standardContextual"/>
        </w:rPr>
        <w:tab/>
      </w:r>
      <w:r w:rsidRPr="00A44045">
        <w:rPr>
          <w:noProof/>
        </w:rPr>
        <w:t>Preliminary</w:t>
      </w:r>
      <w:r w:rsidRPr="00A44045">
        <w:rPr>
          <w:noProof/>
        </w:rPr>
        <w:tab/>
      </w:r>
      <w:r w:rsidR="00C14CD4" w:rsidRPr="00A44045">
        <w:rPr>
          <w:noProof/>
        </w:rPr>
        <w:t>1</w:t>
      </w:r>
    </w:p>
    <w:p w14:paraId="791A2CE8" w14:textId="184C9270"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  Name</w:t>
      </w:r>
      <w:r w:rsidRPr="00A44045">
        <w:rPr>
          <w:noProof/>
        </w:rPr>
        <w:tab/>
      </w:r>
      <w:r w:rsidR="00C14CD4" w:rsidRPr="00A44045">
        <w:rPr>
          <w:noProof/>
        </w:rPr>
        <w:t>1</w:t>
      </w:r>
    </w:p>
    <w:p w14:paraId="7C39A714" w14:textId="51988C5E"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2  Commencement</w:t>
      </w:r>
      <w:r w:rsidRPr="00A44045">
        <w:rPr>
          <w:noProof/>
        </w:rPr>
        <w:tab/>
      </w:r>
      <w:r w:rsidR="00C14CD4" w:rsidRPr="00A44045">
        <w:rPr>
          <w:noProof/>
        </w:rPr>
        <w:t>1</w:t>
      </w:r>
    </w:p>
    <w:p w14:paraId="4ACBB28F" w14:textId="58BE613D"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3  Authority</w:t>
      </w:r>
      <w:r w:rsidRPr="00A44045">
        <w:rPr>
          <w:noProof/>
        </w:rPr>
        <w:tab/>
      </w:r>
      <w:r w:rsidR="00C14CD4" w:rsidRPr="00A44045">
        <w:rPr>
          <w:noProof/>
        </w:rPr>
        <w:t>1</w:t>
      </w:r>
    </w:p>
    <w:p w14:paraId="038E0161" w14:textId="06118410"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4  Definitions</w:t>
      </w:r>
      <w:r w:rsidRPr="00A44045">
        <w:rPr>
          <w:noProof/>
        </w:rPr>
        <w:tab/>
      </w:r>
      <w:r w:rsidR="00C14CD4" w:rsidRPr="00A44045">
        <w:rPr>
          <w:noProof/>
        </w:rPr>
        <w:t>1</w:t>
      </w:r>
    </w:p>
    <w:p w14:paraId="79D78927" w14:textId="6E4C7CB6"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5  Schedules</w:t>
      </w:r>
      <w:r w:rsidRPr="00A44045">
        <w:rPr>
          <w:noProof/>
        </w:rPr>
        <w:tab/>
      </w:r>
      <w:r w:rsidR="00C14CD4" w:rsidRPr="00A44045">
        <w:rPr>
          <w:noProof/>
        </w:rPr>
        <w:t>3</w:t>
      </w:r>
    </w:p>
    <w:p w14:paraId="5CB58FBB" w14:textId="6720CE35"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6  Single equivalent unit</w:t>
      </w:r>
      <w:r w:rsidRPr="00A44045">
        <w:rPr>
          <w:noProof/>
        </w:rPr>
        <w:tab/>
      </w:r>
      <w:r w:rsidR="00C14CD4" w:rsidRPr="00A44045">
        <w:rPr>
          <w:noProof/>
        </w:rPr>
        <w:t>3</w:t>
      </w:r>
    </w:p>
    <w:p w14:paraId="3C57EECC" w14:textId="4B1EB0B7"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7  Eligible benefits</w:t>
      </w:r>
      <w:r w:rsidRPr="00A44045">
        <w:rPr>
          <w:noProof/>
        </w:rPr>
        <w:tab/>
      </w:r>
      <w:r w:rsidR="00C14CD4" w:rsidRPr="00A44045">
        <w:rPr>
          <w:noProof/>
        </w:rPr>
        <w:t>3</w:t>
      </w:r>
    </w:p>
    <w:p w14:paraId="1470D73D" w14:textId="78DCED74" w:rsidR="006B5011" w:rsidRPr="00A44045" w:rsidRDefault="006B5011">
      <w:pPr>
        <w:pStyle w:val="TOC6"/>
        <w:rPr>
          <w:rFonts w:asciiTheme="minorHAnsi" w:eastAsiaTheme="minorEastAsia" w:hAnsiTheme="minorHAnsi" w:cstheme="minorBidi"/>
          <w:b w:val="0"/>
          <w:noProof/>
          <w:kern w:val="2"/>
          <w:szCs w:val="24"/>
          <w14:ligatures w14:val="standardContextual"/>
        </w:rPr>
      </w:pPr>
      <w:r w:rsidRPr="00A44045">
        <w:rPr>
          <w:noProof/>
        </w:rPr>
        <w:t xml:space="preserve">Part 2 </w:t>
      </w:r>
      <w:r w:rsidRPr="00A44045">
        <w:rPr>
          <w:rFonts w:asciiTheme="minorHAnsi" w:eastAsiaTheme="minorEastAsia" w:hAnsiTheme="minorHAnsi" w:cstheme="minorBidi"/>
          <w:b w:val="0"/>
          <w:noProof/>
          <w:kern w:val="2"/>
          <w:szCs w:val="24"/>
          <w14:ligatures w14:val="standardContextual"/>
        </w:rPr>
        <w:tab/>
      </w:r>
      <w:r w:rsidRPr="00A44045">
        <w:rPr>
          <w:noProof/>
        </w:rPr>
        <w:t>Calculation of levy</w:t>
      </w:r>
      <w:r w:rsidRPr="00A44045">
        <w:rPr>
          <w:noProof/>
        </w:rPr>
        <w:tab/>
      </w:r>
      <w:r w:rsidR="00C14CD4" w:rsidRPr="00A44045">
        <w:rPr>
          <w:noProof/>
        </w:rPr>
        <w:t>5</w:t>
      </w:r>
    </w:p>
    <w:p w14:paraId="47FDEB71" w14:textId="2E67A904"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8  Purpose of this part</w:t>
      </w:r>
      <w:r w:rsidRPr="00A44045">
        <w:rPr>
          <w:noProof/>
        </w:rPr>
        <w:tab/>
      </w:r>
      <w:r w:rsidR="00C14CD4" w:rsidRPr="00A44045">
        <w:rPr>
          <w:noProof/>
        </w:rPr>
        <w:t>5</w:t>
      </w:r>
    </w:p>
    <w:p w14:paraId="733E354D" w14:textId="77F7F992"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9  Matters to be taken into account</w:t>
      </w:r>
      <w:r w:rsidRPr="00A44045">
        <w:rPr>
          <w:noProof/>
        </w:rPr>
        <w:tab/>
      </w:r>
      <w:r w:rsidR="00C14CD4" w:rsidRPr="00A44045">
        <w:rPr>
          <w:noProof/>
        </w:rPr>
        <w:t>5</w:t>
      </w:r>
    </w:p>
    <w:p w14:paraId="348FB05A" w14:textId="62130C8A"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10  Payments by former insurer</w:t>
      </w:r>
      <w:r w:rsidRPr="00A44045">
        <w:rPr>
          <w:noProof/>
        </w:rPr>
        <w:tab/>
      </w:r>
      <w:r w:rsidR="00C14CD4" w:rsidRPr="00A44045">
        <w:rPr>
          <w:noProof/>
        </w:rPr>
        <w:t>7</w:t>
      </w:r>
    </w:p>
    <w:p w14:paraId="076D3D66" w14:textId="07A88AA3"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11  Payments where a health benefits fund is transferred</w:t>
      </w:r>
      <w:r w:rsidRPr="00A44045">
        <w:rPr>
          <w:noProof/>
        </w:rPr>
        <w:tab/>
      </w:r>
      <w:r w:rsidR="00C14CD4" w:rsidRPr="00A44045">
        <w:rPr>
          <w:noProof/>
        </w:rPr>
        <w:t>8</w:t>
      </w:r>
    </w:p>
    <w:p w14:paraId="04D91739" w14:textId="5371A4AE"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12  Effect of unpaid premiums</w:t>
      </w:r>
      <w:r w:rsidRPr="00A44045">
        <w:rPr>
          <w:noProof/>
        </w:rPr>
        <w:tab/>
      </w:r>
      <w:r w:rsidR="00C14CD4" w:rsidRPr="00A44045">
        <w:rPr>
          <w:noProof/>
        </w:rPr>
        <w:t>8</w:t>
      </w:r>
    </w:p>
    <w:p w14:paraId="175C9CC8" w14:textId="2E7282C8"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13  Method of working out</w:t>
      </w:r>
      <w:r w:rsidRPr="00A44045">
        <w:rPr>
          <w:noProof/>
        </w:rPr>
        <w:tab/>
      </w:r>
      <w:r w:rsidR="00C14CD4" w:rsidRPr="00A44045">
        <w:rPr>
          <w:noProof/>
        </w:rPr>
        <w:t>8</w:t>
      </w:r>
    </w:p>
    <w:p w14:paraId="56F76B8A" w14:textId="22793522"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14  Working out rate of levy</w:t>
      </w:r>
      <w:r w:rsidRPr="00A44045">
        <w:rPr>
          <w:noProof/>
        </w:rPr>
        <w:tab/>
      </w:r>
      <w:r w:rsidR="00C14CD4" w:rsidRPr="00A44045">
        <w:rPr>
          <w:noProof/>
        </w:rPr>
        <w:t>9</w:t>
      </w:r>
    </w:p>
    <w:p w14:paraId="6CE56087" w14:textId="1EA5111F" w:rsidR="006B5011" w:rsidRPr="00A44045" w:rsidRDefault="006B5011">
      <w:pPr>
        <w:pStyle w:val="TOC6"/>
        <w:rPr>
          <w:rFonts w:asciiTheme="minorHAnsi" w:eastAsiaTheme="minorEastAsia" w:hAnsiTheme="minorHAnsi" w:cstheme="minorBidi"/>
          <w:b w:val="0"/>
          <w:noProof/>
          <w:kern w:val="2"/>
          <w:szCs w:val="24"/>
          <w14:ligatures w14:val="standardContextual"/>
        </w:rPr>
      </w:pPr>
      <w:r w:rsidRPr="00A44045">
        <w:rPr>
          <w:noProof/>
        </w:rPr>
        <w:t xml:space="preserve">Part 3 </w:t>
      </w:r>
      <w:r w:rsidRPr="00A44045">
        <w:rPr>
          <w:rFonts w:asciiTheme="minorHAnsi" w:eastAsiaTheme="minorEastAsia" w:hAnsiTheme="minorHAnsi" w:cstheme="minorBidi"/>
          <w:b w:val="0"/>
          <w:noProof/>
          <w:kern w:val="2"/>
          <w:szCs w:val="24"/>
          <w14:ligatures w14:val="standardContextual"/>
        </w:rPr>
        <w:tab/>
      </w:r>
      <w:r w:rsidRPr="00A44045">
        <w:rPr>
          <w:noProof/>
        </w:rPr>
        <w:t>Debits from the special account</w:t>
      </w:r>
      <w:r w:rsidRPr="00A44045">
        <w:rPr>
          <w:noProof/>
        </w:rPr>
        <w:tab/>
      </w:r>
      <w:r w:rsidR="00C14CD4" w:rsidRPr="00A44045">
        <w:rPr>
          <w:noProof/>
        </w:rPr>
        <w:t>10</w:t>
      </w:r>
    </w:p>
    <w:p w14:paraId="36B4FB40" w14:textId="41DEE7E5"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15  Purpose of this part</w:t>
      </w:r>
      <w:r w:rsidRPr="00A44045">
        <w:rPr>
          <w:noProof/>
        </w:rPr>
        <w:tab/>
      </w:r>
      <w:r w:rsidR="00C14CD4" w:rsidRPr="00A44045">
        <w:rPr>
          <w:noProof/>
        </w:rPr>
        <w:t>10</w:t>
      </w:r>
    </w:p>
    <w:p w14:paraId="5817A8C8" w14:textId="5F15E14D"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16  Matters to be taken into account in working out amounts to be paid to insurers</w:t>
      </w:r>
      <w:r w:rsidRPr="00A44045">
        <w:rPr>
          <w:noProof/>
        </w:rPr>
        <w:tab/>
      </w:r>
      <w:r w:rsidR="00C14CD4" w:rsidRPr="00A44045">
        <w:rPr>
          <w:noProof/>
        </w:rPr>
        <w:t>10</w:t>
      </w:r>
    </w:p>
    <w:p w14:paraId="1EB2D507" w14:textId="64383750"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17  Method for working out amounts to be paid to insurers</w:t>
      </w:r>
      <w:r w:rsidRPr="00A44045">
        <w:rPr>
          <w:noProof/>
        </w:rPr>
        <w:tab/>
      </w:r>
      <w:r w:rsidR="00C14CD4" w:rsidRPr="00A44045">
        <w:rPr>
          <w:noProof/>
        </w:rPr>
        <w:t>10</w:t>
      </w:r>
    </w:p>
    <w:p w14:paraId="4DA33540" w14:textId="6BEF0DFA"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18  Circumstances in which an insurer to be paid an amount and amount of payment</w:t>
      </w:r>
      <w:r w:rsidRPr="00A44045">
        <w:rPr>
          <w:noProof/>
        </w:rPr>
        <w:tab/>
      </w:r>
      <w:r w:rsidR="00C14CD4" w:rsidRPr="00A44045">
        <w:rPr>
          <w:noProof/>
        </w:rPr>
        <w:t>10</w:t>
      </w:r>
    </w:p>
    <w:p w14:paraId="093EAB93" w14:textId="48D8C3D9"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19  Manner and time of payment</w:t>
      </w:r>
      <w:r w:rsidRPr="00A44045">
        <w:rPr>
          <w:noProof/>
        </w:rPr>
        <w:tab/>
      </w:r>
      <w:r w:rsidR="00C14CD4" w:rsidRPr="00A44045">
        <w:rPr>
          <w:noProof/>
        </w:rPr>
        <w:t>10</w:t>
      </w:r>
    </w:p>
    <w:p w14:paraId="4448D947" w14:textId="51A036EB" w:rsidR="006B5011" w:rsidRPr="00A44045" w:rsidRDefault="006B5011">
      <w:pPr>
        <w:pStyle w:val="TOC6"/>
        <w:rPr>
          <w:rFonts w:asciiTheme="minorHAnsi" w:eastAsiaTheme="minorEastAsia" w:hAnsiTheme="minorHAnsi" w:cstheme="minorBidi"/>
          <w:b w:val="0"/>
          <w:noProof/>
          <w:kern w:val="2"/>
          <w:szCs w:val="24"/>
          <w14:ligatures w14:val="standardContextual"/>
        </w:rPr>
      </w:pPr>
      <w:r w:rsidRPr="00A44045">
        <w:rPr>
          <w:noProof/>
        </w:rPr>
        <w:t xml:space="preserve">Part 4 </w:t>
      </w:r>
      <w:r w:rsidRPr="00A44045">
        <w:rPr>
          <w:rFonts w:asciiTheme="minorHAnsi" w:eastAsiaTheme="minorEastAsia" w:hAnsiTheme="minorHAnsi" w:cstheme="minorBidi"/>
          <w:b w:val="0"/>
          <w:noProof/>
          <w:kern w:val="2"/>
          <w:szCs w:val="24"/>
          <w14:ligatures w14:val="standardContextual"/>
        </w:rPr>
        <w:tab/>
      </w:r>
      <w:r w:rsidRPr="00A44045">
        <w:rPr>
          <w:noProof/>
        </w:rPr>
        <w:t>Calculating adjustment amounts</w:t>
      </w:r>
      <w:r w:rsidRPr="00A44045">
        <w:rPr>
          <w:noProof/>
        </w:rPr>
        <w:tab/>
      </w:r>
      <w:r w:rsidR="00C14CD4" w:rsidRPr="00A44045">
        <w:rPr>
          <w:noProof/>
        </w:rPr>
        <w:t>12</w:t>
      </w:r>
    </w:p>
    <w:p w14:paraId="39C45F72" w14:textId="5BE99A14"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20  References to 'the Special Account'</w:t>
      </w:r>
      <w:r w:rsidRPr="00A44045">
        <w:rPr>
          <w:noProof/>
        </w:rPr>
        <w:tab/>
      </w:r>
      <w:r w:rsidR="00C14CD4" w:rsidRPr="00A44045">
        <w:rPr>
          <w:noProof/>
        </w:rPr>
        <w:t>12</w:t>
      </w:r>
    </w:p>
    <w:p w14:paraId="3D8E6C69" w14:textId="68669706"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21  Calculation where error in amount paid as levy or amount debited from the Special Account</w:t>
      </w:r>
      <w:r w:rsidRPr="00A44045">
        <w:rPr>
          <w:noProof/>
        </w:rPr>
        <w:tab/>
      </w:r>
      <w:r w:rsidR="00C14CD4" w:rsidRPr="00A44045">
        <w:rPr>
          <w:noProof/>
        </w:rPr>
        <w:t>12</w:t>
      </w:r>
    </w:p>
    <w:p w14:paraId="1BE1C360" w14:textId="0A0398BA" w:rsidR="006B5011" w:rsidRPr="00A44045" w:rsidRDefault="006B5011">
      <w:pPr>
        <w:pStyle w:val="TOC7"/>
        <w:rPr>
          <w:rFonts w:asciiTheme="minorHAnsi" w:eastAsiaTheme="minorEastAsia" w:hAnsiTheme="minorHAnsi" w:cstheme="minorBidi"/>
          <w:noProof/>
          <w:kern w:val="2"/>
          <w:szCs w:val="24"/>
          <w14:ligatures w14:val="standardContextual"/>
        </w:rPr>
      </w:pPr>
      <w:r w:rsidRPr="00A44045">
        <w:rPr>
          <w:noProof/>
        </w:rPr>
        <w:t>22  Application of new calculation to determine adjustment amount</w:t>
      </w:r>
      <w:r w:rsidRPr="00A44045">
        <w:rPr>
          <w:noProof/>
        </w:rPr>
        <w:tab/>
      </w:r>
      <w:r w:rsidR="00C14CD4" w:rsidRPr="00A44045">
        <w:rPr>
          <w:noProof/>
        </w:rPr>
        <w:t>12</w:t>
      </w:r>
    </w:p>
    <w:p w14:paraId="3F10FB70" w14:textId="0A4F3A53" w:rsidR="006B5011" w:rsidRPr="00A44045" w:rsidRDefault="006B5011">
      <w:pPr>
        <w:pStyle w:val="TOC6"/>
        <w:rPr>
          <w:rFonts w:asciiTheme="minorHAnsi" w:eastAsiaTheme="minorEastAsia" w:hAnsiTheme="minorHAnsi" w:cstheme="minorBidi"/>
          <w:b w:val="0"/>
          <w:noProof/>
          <w:kern w:val="2"/>
          <w:szCs w:val="24"/>
          <w14:ligatures w14:val="standardContextual"/>
        </w:rPr>
      </w:pPr>
      <w:r w:rsidRPr="00A44045">
        <w:rPr>
          <w:noProof/>
        </w:rPr>
        <w:t>Schedule 1—Repeals</w:t>
      </w:r>
      <w:r w:rsidRPr="00A44045">
        <w:rPr>
          <w:noProof/>
        </w:rPr>
        <w:tab/>
      </w:r>
      <w:r w:rsidR="00C14CD4" w:rsidRPr="00A44045">
        <w:rPr>
          <w:noProof/>
        </w:rPr>
        <w:t>14</w:t>
      </w:r>
    </w:p>
    <w:p w14:paraId="098ACF0F" w14:textId="4D02F69C" w:rsidR="006B5011" w:rsidRPr="00A44045" w:rsidRDefault="006B5011">
      <w:pPr>
        <w:pStyle w:val="TOC9"/>
        <w:rPr>
          <w:rFonts w:asciiTheme="minorHAnsi" w:eastAsiaTheme="minorEastAsia" w:hAnsiTheme="minorHAnsi" w:cstheme="minorBidi"/>
          <w:i w:val="0"/>
          <w:noProof/>
          <w:kern w:val="2"/>
          <w:sz w:val="24"/>
          <w:szCs w:val="24"/>
          <w14:ligatures w14:val="standardContextual"/>
        </w:rPr>
      </w:pPr>
      <w:r w:rsidRPr="00A44045">
        <w:rPr>
          <w:noProof/>
        </w:rPr>
        <w:t>Private Health Insurance (Risk Equalisation Policy) Rules 2015</w:t>
      </w:r>
      <w:r w:rsidRPr="00A44045">
        <w:rPr>
          <w:noProof/>
        </w:rPr>
        <w:tab/>
      </w:r>
      <w:r w:rsidR="00C14CD4" w:rsidRPr="00A44045">
        <w:rPr>
          <w:noProof/>
        </w:rPr>
        <w:t>14</w:t>
      </w:r>
    </w:p>
    <w:p w14:paraId="533CA079" w14:textId="289FA37F" w:rsidR="00F6696E" w:rsidRPr="00A44045" w:rsidRDefault="00F6696E" w:rsidP="00F6696E">
      <w:pPr>
        <w:outlineLvl w:val="0"/>
      </w:pPr>
    </w:p>
    <w:p w14:paraId="57E52D7B" w14:textId="3DAE5C1A" w:rsidR="00F6696E" w:rsidRPr="00A44045" w:rsidRDefault="00F6696E" w:rsidP="00D32826">
      <w:pPr>
        <w:outlineLvl w:val="3"/>
        <w:rPr>
          <w:sz w:val="20"/>
        </w:rPr>
      </w:pPr>
    </w:p>
    <w:p w14:paraId="0E0EAB44" w14:textId="65101840" w:rsidR="00F6696E" w:rsidRPr="00A44045" w:rsidRDefault="00F6696E" w:rsidP="00F6696E">
      <w:pPr>
        <w:sectPr w:rsidR="00F6696E" w:rsidRPr="00A44045" w:rsidSect="00A87A58">
          <w:headerReference w:type="even" r:id="rId12"/>
          <w:headerReference w:type="default" r:id="rId13"/>
          <w:footerReference w:type="even" r:id="rId14"/>
          <w:footerReference w:type="default" r:id="rId15"/>
          <w:headerReference w:type="first" r:id="rId16"/>
          <w:pgSz w:w="11907" w:h="16839"/>
          <w:pgMar w:top="2099" w:right="1797" w:bottom="1440" w:left="1797" w:header="720" w:footer="709" w:gutter="0"/>
          <w:pgNumType w:fmt="lowerRoman" w:start="1"/>
          <w:cols w:space="708"/>
          <w:docGrid w:linePitch="360"/>
        </w:sectPr>
      </w:pPr>
    </w:p>
    <w:p w14:paraId="041E6F94" w14:textId="52465DCD" w:rsidR="00FE1BE6" w:rsidRPr="00A44045" w:rsidRDefault="009856BB" w:rsidP="00AA7FE3">
      <w:pPr>
        <w:pStyle w:val="ActHead6"/>
        <w:outlineLvl w:val="3"/>
        <w:rPr>
          <w:sz w:val="28"/>
          <w:szCs w:val="28"/>
        </w:rPr>
      </w:pPr>
      <w:bookmarkStart w:id="0" w:name="_Toc204756706"/>
      <w:r w:rsidRPr="00A44045">
        <w:rPr>
          <w:rFonts w:ascii="Times New Roman" w:hAnsi="Times New Roman"/>
          <w:sz w:val="28"/>
          <w:szCs w:val="28"/>
        </w:rPr>
        <w:lastRenderedPageBreak/>
        <w:t xml:space="preserve">Part 1 </w:t>
      </w:r>
      <w:r w:rsidR="00873E09" w:rsidRPr="00A44045">
        <w:rPr>
          <w:rFonts w:ascii="Times New Roman" w:hAnsi="Times New Roman"/>
          <w:sz w:val="28"/>
          <w:szCs w:val="28"/>
        </w:rPr>
        <w:tab/>
      </w:r>
      <w:r w:rsidRPr="00A44045">
        <w:rPr>
          <w:rFonts w:ascii="Times New Roman" w:hAnsi="Times New Roman"/>
          <w:sz w:val="28"/>
          <w:szCs w:val="28"/>
        </w:rPr>
        <w:t>Preliminary</w:t>
      </w:r>
      <w:bookmarkEnd w:id="0"/>
    </w:p>
    <w:p w14:paraId="63CD128A" w14:textId="3E26E514" w:rsidR="00554826" w:rsidRPr="00A44045" w:rsidRDefault="00554826" w:rsidP="00AA7FE3">
      <w:pPr>
        <w:pStyle w:val="ActHead7"/>
        <w:outlineLvl w:val="4"/>
      </w:pPr>
      <w:bookmarkStart w:id="1" w:name="_Toc204756707"/>
      <w:proofErr w:type="gramStart"/>
      <w:r w:rsidRPr="00A44045">
        <w:t>1  Name</w:t>
      </w:r>
      <w:bookmarkEnd w:id="1"/>
      <w:proofErr w:type="gramEnd"/>
    </w:p>
    <w:p w14:paraId="4D4D12DF" w14:textId="3CDE7542" w:rsidR="00554826" w:rsidRPr="00A44045" w:rsidRDefault="00554826" w:rsidP="001E174E">
      <w:pPr>
        <w:pStyle w:val="subsection"/>
        <w:ind w:left="720" w:firstLine="0"/>
      </w:pPr>
      <w:r w:rsidRPr="00A44045">
        <w:t>This instrument is the</w:t>
      </w:r>
      <w:r w:rsidR="00247597" w:rsidRPr="00A44045">
        <w:t xml:space="preserve"> </w:t>
      </w:r>
      <w:r w:rsidR="00CC2E40" w:rsidRPr="00A44045">
        <w:rPr>
          <w:i/>
          <w:iCs/>
        </w:rPr>
        <w:t xml:space="preserve">Private Health Insurance (Risk </w:t>
      </w:r>
      <w:r w:rsidR="00C13D49" w:rsidRPr="00A44045">
        <w:rPr>
          <w:i/>
          <w:iCs/>
        </w:rPr>
        <w:t xml:space="preserve">Equalisation </w:t>
      </w:r>
      <w:r w:rsidR="00CC2E40" w:rsidRPr="00A44045">
        <w:rPr>
          <w:i/>
          <w:iCs/>
        </w:rPr>
        <w:t xml:space="preserve">Policy) Rules </w:t>
      </w:r>
      <w:r w:rsidR="00F8562F" w:rsidRPr="00A44045">
        <w:rPr>
          <w:i/>
          <w:iCs/>
        </w:rPr>
        <w:t>2025.</w:t>
      </w:r>
      <w:bookmarkStart w:id="2" w:name="BKCheck15B_3"/>
      <w:bookmarkEnd w:id="2"/>
    </w:p>
    <w:p w14:paraId="2073039D" w14:textId="268B5975" w:rsidR="008A4DD4" w:rsidRPr="00A44045" w:rsidRDefault="008A4DD4" w:rsidP="00AA7FE3">
      <w:pPr>
        <w:pStyle w:val="ActHead7"/>
        <w:outlineLvl w:val="4"/>
      </w:pPr>
      <w:bookmarkStart w:id="3" w:name="_Toc204756708"/>
      <w:proofErr w:type="gramStart"/>
      <w:r w:rsidRPr="00A44045">
        <w:t>2  Commencement</w:t>
      </w:r>
      <w:bookmarkEnd w:id="3"/>
      <w:proofErr w:type="gramEnd"/>
    </w:p>
    <w:p w14:paraId="488595D3" w14:textId="73D4A2F2" w:rsidR="00A225C8" w:rsidRPr="00A44045" w:rsidRDefault="00A225C8" w:rsidP="001E174E">
      <w:pPr>
        <w:pStyle w:val="subsection"/>
        <w:numPr>
          <w:ilvl w:val="0"/>
          <w:numId w:val="39"/>
        </w:numPr>
        <w:ind w:left="1134" w:hanging="357"/>
      </w:pPr>
      <w:r w:rsidRPr="00A44045">
        <w:t>Each provision of this instrument specified in column 1 of the table commences, or is taken to have commenced, in accordance with column 2 of the table. Any other statement in column 2 has effect according to its terms.</w:t>
      </w:r>
    </w:p>
    <w:p w14:paraId="47D1A362" w14:textId="77777777" w:rsidR="00A225C8" w:rsidRPr="00A44045" w:rsidRDefault="00A225C8" w:rsidP="00A225C8">
      <w:pPr>
        <w:pStyle w:val="subsection"/>
        <w:ind w:firstLine="0"/>
      </w:pPr>
    </w:p>
    <w:tbl>
      <w:tblPr>
        <w:tblW w:w="8364" w:type="dxa"/>
        <w:tblInd w:w="107" w:type="dxa"/>
        <w:tblLayout w:type="fixed"/>
        <w:tblCellMar>
          <w:left w:w="107" w:type="dxa"/>
          <w:right w:w="107" w:type="dxa"/>
        </w:tblCellMar>
        <w:tblLook w:val="04A0" w:firstRow="1" w:lastRow="0" w:firstColumn="1" w:lastColumn="0" w:noHBand="0" w:noVBand="1"/>
      </w:tblPr>
      <w:tblGrid>
        <w:gridCol w:w="2303"/>
        <w:gridCol w:w="4218"/>
        <w:gridCol w:w="1843"/>
      </w:tblGrid>
      <w:tr w:rsidR="00A225C8" w:rsidRPr="00A44045" w14:paraId="4F08B05F" w14:textId="77777777" w:rsidTr="003C0211">
        <w:trPr>
          <w:cantSplit/>
          <w:trHeight w:val="202"/>
          <w:tblHeader/>
        </w:trPr>
        <w:tc>
          <w:tcPr>
            <w:tcW w:w="8364" w:type="dxa"/>
            <w:gridSpan w:val="3"/>
            <w:tcBorders>
              <w:top w:val="single" w:sz="12" w:space="0" w:color="auto"/>
              <w:left w:val="nil"/>
              <w:bottom w:val="single" w:sz="6" w:space="0" w:color="auto"/>
              <w:right w:val="nil"/>
            </w:tcBorders>
            <w:hideMark/>
          </w:tcPr>
          <w:p w14:paraId="5075B760" w14:textId="77777777" w:rsidR="00A225C8" w:rsidRPr="00A44045" w:rsidRDefault="00A225C8" w:rsidP="003C0211">
            <w:pPr>
              <w:keepNext/>
              <w:autoSpaceDE w:val="0"/>
              <w:autoSpaceDN w:val="0"/>
              <w:spacing w:before="60" w:line="240" w:lineRule="atLeast"/>
              <w:rPr>
                <w:rFonts w:eastAsia="Times New Roman" w:cs="Times New Roman"/>
                <w:b/>
                <w:sz w:val="20"/>
                <w:szCs w:val="24"/>
                <w:lang w:eastAsia="en-AU"/>
              </w:rPr>
            </w:pPr>
            <w:r w:rsidRPr="00A44045">
              <w:rPr>
                <w:rFonts w:eastAsia="Times New Roman" w:cs="Times New Roman"/>
                <w:b/>
                <w:sz w:val="20"/>
                <w:szCs w:val="24"/>
                <w:lang w:eastAsia="en-AU"/>
              </w:rPr>
              <w:t>Commencement information</w:t>
            </w:r>
          </w:p>
        </w:tc>
      </w:tr>
      <w:tr w:rsidR="00A225C8" w:rsidRPr="00A44045" w14:paraId="192A79F1" w14:textId="77777777" w:rsidTr="003C0211">
        <w:trPr>
          <w:cantSplit/>
          <w:trHeight w:val="209"/>
          <w:tblHeader/>
        </w:trPr>
        <w:tc>
          <w:tcPr>
            <w:tcW w:w="2303" w:type="dxa"/>
            <w:tcBorders>
              <w:top w:val="single" w:sz="6" w:space="0" w:color="auto"/>
              <w:left w:val="nil"/>
              <w:bottom w:val="single" w:sz="6" w:space="0" w:color="auto"/>
              <w:right w:val="nil"/>
            </w:tcBorders>
            <w:hideMark/>
          </w:tcPr>
          <w:p w14:paraId="1B6305D4" w14:textId="77777777" w:rsidR="00A225C8" w:rsidRPr="00A44045" w:rsidRDefault="00A225C8" w:rsidP="003C0211">
            <w:pPr>
              <w:keepNext/>
              <w:autoSpaceDE w:val="0"/>
              <w:autoSpaceDN w:val="0"/>
              <w:spacing w:before="60" w:line="240" w:lineRule="atLeast"/>
              <w:rPr>
                <w:rFonts w:eastAsia="Times New Roman" w:cs="Times New Roman"/>
                <w:b/>
                <w:sz w:val="20"/>
                <w:szCs w:val="24"/>
                <w:lang w:eastAsia="en-AU"/>
              </w:rPr>
            </w:pPr>
            <w:r w:rsidRPr="00A44045">
              <w:rPr>
                <w:rFonts w:eastAsia="Times New Roman" w:cs="Times New Roman"/>
                <w:b/>
                <w:sz w:val="20"/>
                <w:szCs w:val="24"/>
                <w:lang w:eastAsia="en-AU"/>
              </w:rPr>
              <w:t>Column 1</w:t>
            </w:r>
          </w:p>
        </w:tc>
        <w:tc>
          <w:tcPr>
            <w:tcW w:w="4218" w:type="dxa"/>
            <w:tcBorders>
              <w:top w:val="single" w:sz="6" w:space="0" w:color="auto"/>
              <w:left w:val="nil"/>
              <w:bottom w:val="single" w:sz="6" w:space="0" w:color="auto"/>
              <w:right w:val="nil"/>
            </w:tcBorders>
            <w:hideMark/>
          </w:tcPr>
          <w:p w14:paraId="40E35D46" w14:textId="77777777" w:rsidR="00A225C8" w:rsidRPr="00A44045" w:rsidRDefault="00A225C8" w:rsidP="003C0211">
            <w:pPr>
              <w:keepNext/>
              <w:autoSpaceDE w:val="0"/>
              <w:autoSpaceDN w:val="0"/>
              <w:spacing w:before="60" w:line="240" w:lineRule="atLeast"/>
              <w:rPr>
                <w:rFonts w:eastAsia="Times New Roman" w:cs="Times New Roman"/>
                <w:b/>
                <w:sz w:val="20"/>
                <w:szCs w:val="24"/>
                <w:lang w:eastAsia="en-AU"/>
              </w:rPr>
            </w:pPr>
            <w:r w:rsidRPr="00A44045">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D7E164D" w14:textId="77777777" w:rsidR="00A225C8" w:rsidRPr="00A44045" w:rsidRDefault="00A225C8" w:rsidP="003C0211">
            <w:pPr>
              <w:keepNext/>
              <w:autoSpaceDE w:val="0"/>
              <w:autoSpaceDN w:val="0"/>
              <w:spacing w:before="60" w:line="240" w:lineRule="atLeast"/>
              <w:rPr>
                <w:rFonts w:eastAsia="Times New Roman" w:cs="Times New Roman"/>
                <w:b/>
                <w:sz w:val="20"/>
                <w:szCs w:val="24"/>
                <w:lang w:eastAsia="en-AU"/>
              </w:rPr>
            </w:pPr>
            <w:r w:rsidRPr="00A44045">
              <w:rPr>
                <w:rFonts w:eastAsia="Times New Roman" w:cs="Times New Roman"/>
                <w:b/>
                <w:sz w:val="20"/>
                <w:szCs w:val="24"/>
                <w:lang w:eastAsia="en-AU"/>
              </w:rPr>
              <w:t>Column 3</w:t>
            </w:r>
          </w:p>
        </w:tc>
      </w:tr>
      <w:tr w:rsidR="00A225C8" w:rsidRPr="00A44045" w14:paraId="34E40E88" w14:textId="77777777" w:rsidTr="003C0211">
        <w:trPr>
          <w:cantSplit/>
          <w:tblHeader/>
        </w:trPr>
        <w:tc>
          <w:tcPr>
            <w:tcW w:w="2303" w:type="dxa"/>
            <w:tcBorders>
              <w:top w:val="single" w:sz="6" w:space="0" w:color="auto"/>
              <w:left w:val="nil"/>
              <w:bottom w:val="single" w:sz="12" w:space="0" w:color="auto"/>
              <w:right w:val="nil"/>
            </w:tcBorders>
            <w:hideMark/>
          </w:tcPr>
          <w:p w14:paraId="0D94D0AB" w14:textId="77777777" w:rsidR="00A225C8" w:rsidRPr="00A44045" w:rsidRDefault="00A225C8" w:rsidP="003C0211">
            <w:pPr>
              <w:keepNext/>
              <w:autoSpaceDE w:val="0"/>
              <w:autoSpaceDN w:val="0"/>
              <w:spacing w:before="60" w:line="240" w:lineRule="atLeast"/>
              <w:rPr>
                <w:rFonts w:eastAsia="Times New Roman" w:cs="Times New Roman"/>
                <w:b/>
                <w:sz w:val="20"/>
                <w:szCs w:val="24"/>
                <w:lang w:eastAsia="en-AU"/>
              </w:rPr>
            </w:pPr>
            <w:r w:rsidRPr="00A44045">
              <w:rPr>
                <w:rFonts w:eastAsia="Times New Roman" w:cs="Times New Roman"/>
                <w:b/>
                <w:sz w:val="20"/>
                <w:szCs w:val="24"/>
                <w:lang w:eastAsia="en-AU"/>
              </w:rPr>
              <w:t>Provisions</w:t>
            </w:r>
          </w:p>
        </w:tc>
        <w:tc>
          <w:tcPr>
            <w:tcW w:w="4218" w:type="dxa"/>
            <w:tcBorders>
              <w:top w:val="single" w:sz="6" w:space="0" w:color="auto"/>
              <w:left w:val="nil"/>
              <w:bottom w:val="single" w:sz="12" w:space="0" w:color="auto"/>
              <w:right w:val="nil"/>
            </w:tcBorders>
            <w:hideMark/>
          </w:tcPr>
          <w:p w14:paraId="2115F9DA" w14:textId="77777777" w:rsidR="00A225C8" w:rsidRPr="00A44045" w:rsidRDefault="00A225C8" w:rsidP="003C0211">
            <w:pPr>
              <w:keepNext/>
              <w:autoSpaceDE w:val="0"/>
              <w:autoSpaceDN w:val="0"/>
              <w:spacing w:before="60" w:line="240" w:lineRule="atLeast"/>
              <w:rPr>
                <w:rFonts w:eastAsia="Times New Roman" w:cs="Times New Roman"/>
                <w:b/>
                <w:sz w:val="20"/>
                <w:szCs w:val="24"/>
                <w:lang w:eastAsia="en-AU"/>
              </w:rPr>
            </w:pPr>
            <w:r w:rsidRPr="00A44045">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631EEFD8" w14:textId="77777777" w:rsidR="00A225C8" w:rsidRPr="00A44045" w:rsidRDefault="00A225C8" w:rsidP="003C0211">
            <w:pPr>
              <w:keepNext/>
              <w:autoSpaceDE w:val="0"/>
              <w:autoSpaceDN w:val="0"/>
              <w:spacing w:before="60" w:line="240" w:lineRule="atLeast"/>
              <w:rPr>
                <w:rFonts w:eastAsia="Times New Roman" w:cs="Times New Roman"/>
                <w:b/>
                <w:sz w:val="20"/>
                <w:szCs w:val="24"/>
                <w:lang w:eastAsia="en-AU"/>
              </w:rPr>
            </w:pPr>
            <w:r w:rsidRPr="00A44045">
              <w:rPr>
                <w:rFonts w:eastAsia="Times New Roman" w:cs="Times New Roman"/>
                <w:b/>
                <w:sz w:val="20"/>
                <w:szCs w:val="24"/>
                <w:lang w:eastAsia="en-AU"/>
              </w:rPr>
              <w:t>Date/Details</w:t>
            </w:r>
          </w:p>
        </w:tc>
      </w:tr>
      <w:tr w:rsidR="00A225C8" w:rsidRPr="00A44045" w14:paraId="25728010" w14:textId="77777777" w:rsidTr="003C0211">
        <w:trPr>
          <w:cantSplit/>
        </w:trPr>
        <w:tc>
          <w:tcPr>
            <w:tcW w:w="2303" w:type="dxa"/>
            <w:tcBorders>
              <w:top w:val="single" w:sz="12" w:space="0" w:color="auto"/>
              <w:left w:val="nil"/>
              <w:bottom w:val="single" w:sz="12" w:space="0" w:color="auto"/>
              <w:right w:val="nil"/>
            </w:tcBorders>
            <w:hideMark/>
          </w:tcPr>
          <w:p w14:paraId="2C0E41D0" w14:textId="77777777" w:rsidR="00A225C8" w:rsidRPr="00A44045" w:rsidRDefault="00A225C8" w:rsidP="003C0211">
            <w:pPr>
              <w:keepNext/>
              <w:autoSpaceDE w:val="0"/>
              <w:autoSpaceDN w:val="0"/>
              <w:spacing w:before="60" w:line="240" w:lineRule="atLeast"/>
              <w:rPr>
                <w:rFonts w:eastAsia="Times New Roman" w:cs="Times New Roman"/>
                <w:sz w:val="20"/>
                <w:szCs w:val="24"/>
                <w:lang w:eastAsia="en-AU"/>
              </w:rPr>
            </w:pPr>
            <w:r w:rsidRPr="00A44045">
              <w:rPr>
                <w:rFonts w:eastAsia="Times New Roman" w:cs="Times New Roman"/>
                <w:sz w:val="20"/>
                <w:szCs w:val="24"/>
                <w:lang w:eastAsia="en-AU"/>
              </w:rPr>
              <w:t>1.  The whole of this instrument</w:t>
            </w:r>
          </w:p>
        </w:tc>
        <w:tc>
          <w:tcPr>
            <w:tcW w:w="4218" w:type="dxa"/>
            <w:tcBorders>
              <w:top w:val="single" w:sz="12" w:space="0" w:color="auto"/>
              <w:left w:val="nil"/>
              <w:bottom w:val="single" w:sz="12" w:space="0" w:color="auto"/>
              <w:right w:val="nil"/>
            </w:tcBorders>
            <w:hideMark/>
          </w:tcPr>
          <w:p w14:paraId="39FF8A33" w14:textId="261F9BA4" w:rsidR="00A225C8" w:rsidRPr="00A44045" w:rsidRDefault="0082005F" w:rsidP="003C0211">
            <w:pPr>
              <w:keepNext/>
              <w:autoSpaceDE w:val="0"/>
              <w:autoSpaceDN w:val="0"/>
              <w:spacing w:before="60" w:line="240" w:lineRule="atLeast"/>
              <w:rPr>
                <w:rFonts w:eastAsia="Times New Roman" w:cs="Times New Roman"/>
                <w:sz w:val="20"/>
                <w:lang w:eastAsia="en-AU"/>
              </w:rPr>
            </w:pPr>
            <w:r w:rsidRPr="00A44045">
              <w:rPr>
                <w:sz w:val="20"/>
              </w:rPr>
              <w:t>30 September 2025</w:t>
            </w:r>
          </w:p>
        </w:tc>
        <w:tc>
          <w:tcPr>
            <w:tcW w:w="1843" w:type="dxa"/>
            <w:tcBorders>
              <w:top w:val="single" w:sz="12" w:space="0" w:color="auto"/>
              <w:left w:val="nil"/>
              <w:bottom w:val="single" w:sz="12" w:space="0" w:color="auto"/>
              <w:right w:val="nil"/>
            </w:tcBorders>
          </w:tcPr>
          <w:p w14:paraId="1B65A4DD" w14:textId="77777777" w:rsidR="00A225C8" w:rsidRPr="00A44045" w:rsidRDefault="00A225C8" w:rsidP="003C0211">
            <w:pPr>
              <w:keepNext/>
              <w:autoSpaceDE w:val="0"/>
              <w:autoSpaceDN w:val="0"/>
              <w:spacing w:before="60" w:line="240" w:lineRule="atLeast"/>
              <w:rPr>
                <w:rFonts w:eastAsia="Times New Roman" w:cs="Times New Roman"/>
                <w:sz w:val="20"/>
                <w:szCs w:val="24"/>
                <w:lang w:eastAsia="en-AU"/>
              </w:rPr>
            </w:pPr>
          </w:p>
        </w:tc>
      </w:tr>
    </w:tbl>
    <w:p w14:paraId="34A7AE1F" w14:textId="77777777" w:rsidR="00A225C8" w:rsidRPr="00A44045" w:rsidRDefault="00A225C8" w:rsidP="00A225C8">
      <w:pPr>
        <w:spacing w:before="180" w:line="240" w:lineRule="auto"/>
        <w:ind w:left="720"/>
        <w:rPr>
          <w:sz w:val="18"/>
          <w:szCs w:val="16"/>
        </w:rPr>
      </w:pPr>
      <w:r w:rsidRPr="00A44045">
        <w:rPr>
          <w:sz w:val="18"/>
          <w:szCs w:val="16"/>
        </w:rPr>
        <w:t>Note: </w:t>
      </w:r>
      <w:r w:rsidRPr="00A44045">
        <w:rPr>
          <w:sz w:val="18"/>
          <w:szCs w:val="16"/>
        </w:rPr>
        <w:tab/>
        <w:t>This table relates only to the provisions of this instrument as originally made. It will not be amended to deal with any later amendments of this instrument.</w:t>
      </w:r>
    </w:p>
    <w:p w14:paraId="5EB07510" w14:textId="3F8BB18B" w:rsidR="00554826" w:rsidRPr="00A44045" w:rsidRDefault="00A225C8" w:rsidP="001E174E">
      <w:pPr>
        <w:pStyle w:val="subsection"/>
        <w:numPr>
          <w:ilvl w:val="0"/>
          <w:numId w:val="39"/>
        </w:numPr>
        <w:ind w:left="1276" w:hanging="425"/>
      </w:pPr>
      <w:r w:rsidRPr="00A44045">
        <w:rPr>
          <w:szCs w:val="22"/>
        </w:rPr>
        <w:t>Any information in column 3 of the table is not part of this instrument. Information may be inserted in this column, or information in it may be edited, in any published version of this instrument.</w:t>
      </w:r>
    </w:p>
    <w:p w14:paraId="3287DFE6" w14:textId="159A0969" w:rsidR="00554826" w:rsidRPr="00A44045" w:rsidRDefault="00554826" w:rsidP="00AA7FE3">
      <w:pPr>
        <w:pStyle w:val="ActHead7"/>
        <w:outlineLvl w:val="4"/>
      </w:pPr>
      <w:bookmarkStart w:id="4" w:name="_Toc204756709"/>
      <w:proofErr w:type="gramStart"/>
      <w:r w:rsidRPr="00A44045">
        <w:t>3  Authority</w:t>
      </w:r>
      <w:bookmarkEnd w:id="4"/>
      <w:proofErr w:type="gramEnd"/>
    </w:p>
    <w:p w14:paraId="21A5426A" w14:textId="10CFD3AE" w:rsidR="00554826" w:rsidRPr="00A44045" w:rsidRDefault="00554826" w:rsidP="0081685D">
      <w:pPr>
        <w:pStyle w:val="subsection"/>
        <w:ind w:left="1854"/>
      </w:pPr>
      <w:r w:rsidRPr="00A44045">
        <w:t>This instrument is made under</w:t>
      </w:r>
      <w:r w:rsidR="00DF2EEC" w:rsidRPr="00A44045">
        <w:t xml:space="preserve"> the </w:t>
      </w:r>
      <w:r w:rsidR="00DF2EEC" w:rsidRPr="00A44045">
        <w:rPr>
          <w:i/>
          <w:iCs/>
        </w:rPr>
        <w:t>Private Health insurance Act 2007</w:t>
      </w:r>
      <w:r w:rsidRPr="00A44045">
        <w:t>.</w:t>
      </w:r>
    </w:p>
    <w:p w14:paraId="38DBA62C" w14:textId="12EDBF96" w:rsidR="00865ED8" w:rsidRPr="00A44045" w:rsidRDefault="00554826" w:rsidP="00AA7FE3">
      <w:pPr>
        <w:pStyle w:val="ActHead7"/>
        <w:outlineLvl w:val="4"/>
        <w:rPr>
          <w:szCs w:val="24"/>
        </w:rPr>
      </w:pPr>
      <w:bookmarkStart w:id="5" w:name="_Toc204756710"/>
      <w:proofErr w:type="gramStart"/>
      <w:r w:rsidRPr="00A44045">
        <w:t>4  Definitions</w:t>
      </w:r>
      <w:bookmarkEnd w:id="5"/>
      <w:proofErr w:type="gramEnd"/>
    </w:p>
    <w:p w14:paraId="4311B6A1" w14:textId="322EF669" w:rsidR="009D022B" w:rsidRPr="00A44045" w:rsidRDefault="009D022B" w:rsidP="001E174E">
      <w:pPr>
        <w:pStyle w:val="notetext"/>
        <w:ind w:left="1497" w:hanging="777"/>
      </w:pPr>
      <w:bookmarkStart w:id="6" w:name="_Hlk197347654"/>
      <w:r w:rsidRPr="00A44045">
        <w:t>Note</w:t>
      </w:r>
      <w:r w:rsidR="00855FC6" w:rsidRPr="00A44045">
        <w:t xml:space="preserve"> 1</w:t>
      </w:r>
      <w:r w:rsidRPr="00A44045">
        <w:t>:</w:t>
      </w:r>
      <w:r w:rsidRPr="00A44045">
        <w:tab/>
      </w:r>
      <w:proofErr w:type="gramStart"/>
      <w:r w:rsidRPr="00A44045">
        <w:t>A number of</w:t>
      </w:r>
      <w:proofErr w:type="gramEnd"/>
      <w:r w:rsidRPr="00A44045">
        <w:t xml:space="preserve"> expressions used in this instrument are defined in the Act, including the following</w:t>
      </w:r>
      <w:bookmarkEnd w:id="6"/>
      <w:r w:rsidRPr="00A44045">
        <w:t>:</w:t>
      </w:r>
    </w:p>
    <w:p w14:paraId="19980D8A" w14:textId="77777777" w:rsidR="009D022B" w:rsidRPr="00A44045" w:rsidRDefault="009D022B" w:rsidP="001E174E">
      <w:pPr>
        <w:pStyle w:val="notepara"/>
        <w:ind w:left="1843"/>
      </w:pPr>
      <w:r w:rsidRPr="00A44045">
        <w:t>(a)</w:t>
      </w:r>
      <w:r w:rsidRPr="00A44045">
        <w:tab/>
      </w:r>
      <w:proofErr w:type="gramStart"/>
      <w:r w:rsidRPr="00A44045">
        <w:t>adult;</w:t>
      </w:r>
      <w:proofErr w:type="gramEnd"/>
    </w:p>
    <w:p w14:paraId="794C32CF" w14:textId="77777777" w:rsidR="009D022B" w:rsidRPr="00A44045" w:rsidRDefault="009D022B" w:rsidP="001E174E">
      <w:pPr>
        <w:pStyle w:val="notepara"/>
        <w:ind w:left="1843"/>
      </w:pPr>
      <w:r w:rsidRPr="00A44045">
        <w:t>(b)</w:t>
      </w:r>
      <w:r w:rsidRPr="00A44045">
        <w:tab/>
      </w:r>
      <w:r w:rsidRPr="00A44045">
        <w:rPr>
          <w:szCs w:val="18"/>
        </w:rPr>
        <w:t xml:space="preserve">complying health insurance </w:t>
      </w:r>
      <w:proofErr w:type="gramStart"/>
      <w:r w:rsidRPr="00A44045">
        <w:rPr>
          <w:szCs w:val="18"/>
        </w:rPr>
        <w:t>policy</w:t>
      </w:r>
      <w:r w:rsidRPr="00A44045">
        <w:t>;</w:t>
      </w:r>
      <w:proofErr w:type="gramEnd"/>
    </w:p>
    <w:p w14:paraId="7B461A91" w14:textId="77777777" w:rsidR="009D022B" w:rsidRPr="00A44045" w:rsidRDefault="009D022B" w:rsidP="001E174E">
      <w:pPr>
        <w:pStyle w:val="notepara"/>
        <w:ind w:left="1843"/>
      </w:pPr>
      <w:r w:rsidRPr="00A44045">
        <w:t>(c)</w:t>
      </w:r>
      <w:r w:rsidRPr="00A44045">
        <w:tab/>
      </w:r>
      <w:r w:rsidRPr="00A44045">
        <w:rPr>
          <w:szCs w:val="18"/>
        </w:rPr>
        <w:t xml:space="preserve">general </w:t>
      </w:r>
      <w:proofErr w:type="gramStart"/>
      <w:r w:rsidRPr="00A44045">
        <w:rPr>
          <w:szCs w:val="18"/>
        </w:rPr>
        <w:t>treatment;</w:t>
      </w:r>
      <w:proofErr w:type="gramEnd"/>
    </w:p>
    <w:p w14:paraId="4B76381E" w14:textId="77777777" w:rsidR="009D022B" w:rsidRPr="00A44045" w:rsidRDefault="009D022B" w:rsidP="001E174E">
      <w:pPr>
        <w:pStyle w:val="notepara"/>
        <w:ind w:left="1843"/>
      </w:pPr>
      <w:r w:rsidRPr="00A44045">
        <w:t>(d)</w:t>
      </w:r>
      <w:r w:rsidRPr="00A44045">
        <w:tab/>
      </w:r>
      <w:r w:rsidRPr="00A44045">
        <w:rPr>
          <w:szCs w:val="18"/>
        </w:rPr>
        <w:t xml:space="preserve">health benefits </w:t>
      </w:r>
      <w:proofErr w:type="gramStart"/>
      <w:r w:rsidRPr="00A44045">
        <w:rPr>
          <w:szCs w:val="18"/>
        </w:rPr>
        <w:t>fund;</w:t>
      </w:r>
      <w:proofErr w:type="gramEnd"/>
    </w:p>
    <w:p w14:paraId="1153B217" w14:textId="77777777" w:rsidR="009D022B" w:rsidRPr="00A44045" w:rsidRDefault="009D022B" w:rsidP="001E174E">
      <w:pPr>
        <w:pStyle w:val="notepara"/>
        <w:ind w:left="1843"/>
      </w:pPr>
      <w:r w:rsidRPr="00A44045">
        <w:t>(e)</w:t>
      </w:r>
      <w:r w:rsidRPr="00A44045">
        <w:tab/>
      </w:r>
      <w:r w:rsidRPr="00A44045">
        <w:rPr>
          <w:szCs w:val="18"/>
        </w:rPr>
        <w:t xml:space="preserve">hospital-substitute </w:t>
      </w:r>
      <w:proofErr w:type="gramStart"/>
      <w:r w:rsidRPr="00A44045">
        <w:rPr>
          <w:szCs w:val="18"/>
        </w:rPr>
        <w:t>treatment;</w:t>
      </w:r>
      <w:proofErr w:type="gramEnd"/>
    </w:p>
    <w:p w14:paraId="52E3D201" w14:textId="77777777" w:rsidR="009D022B" w:rsidRPr="00A44045" w:rsidRDefault="009D022B" w:rsidP="001E174E">
      <w:pPr>
        <w:pStyle w:val="notepara"/>
        <w:ind w:left="1843"/>
      </w:pPr>
      <w:r w:rsidRPr="00A44045">
        <w:t>(f)</w:t>
      </w:r>
      <w:r w:rsidRPr="00A44045">
        <w:tab/>
      </w:r>
      <w:r w:rsidRPr="00A44045">
        <w:rPr>
          <w:szCs w:val="18"/>
        </w:rPr>
        <w:t xml:space="preserve">hospital </w:t>
      </w:r>
      <w:proofErr w:type="gramStart"/>
      <w:r w:rsidRPr="00A44045">
        <w:rPr>
          <w:szCs w:val="18"/>
        </w:rPr>
        <w:t>treatment;</w:t>
      </w:r>
      <w:proofErr w:type="gramEnd"/>
    </w:p>
    <w:p w14:paraId="08FC4C4E" w14:textId="77777777" w:rsidR="009D022B" w:rsidRPr="00A44045" w:rsidRDefault="009D022B" w:rsidP="001E174E">
      <w:pPr>
        <w:pStyle w:val="notepara"/>
        <w:ind w:left="1843"/>
      </w:pPr>
      <w:r w:rsidRPr="00A44045">
        <w:t>(g)</w:t>
      </w:r>
      <w:r w:rsidRPr="00A44045">
        <w:tab/>
      </w:r>
      <w:proofErr w:type="spellStart"/>
      <w:r w:rsidRPr="00A44045">
        <w:rPr>
          <w:szCs w:val="18"/>
        </w:rPr>
        <w:t>medicare</w:t>
      </w:r>
      <w:proofErr w:type="spellEnd"/>
      <w:r w:rsidRPr="00A44045">
        <w:rPr>
          <w:szCs w:val="18"/>
        </w:rPr>
        <w:t xml:space="preserve"> </w:t>
      </w:r>
      <w:proofErr w:type="gramStart"/>
      <w:r w:rsidRPr="00A44045">
        <w:rPr>
          <w:szCs w:val="18"/>
        </w:rPr>
        <w:t>benefit;</w:t>
      </w:r>
      <w:proofErr w:type="gramEnd"/>
    </w:p>
    <w:p w14:paraId="5207FAF1" w14:textId="77777777" w:rsidR="009D022B" w:rsidRPr="00A44045" w:rsidRDefault="009D022B" w:rsidP="001E174E">
      <w:pPr>
        <w:pStyle w:val="notepara"/>
        <w:ind w:left="1843"/>
        <w:rPr>
          <w:szCs w:val="18"/>
        </w:rPr>
      </w:pPr>
      <w:r w:rsidRPr="00A44045">
        <w:t>(h)</w:t>
      </w:r>
      <w:r w:rsidRPr="00A44045">
        <w:tab/>
      </w:r>
      <w:r w:rsidRPr="00A44045">
        <w:rPr>
          <w:szCs w:val="18"/>
        </w:rPr>
        <w:t xml:space="preserve">policy </w:t>
      </w:r>
      <w:proofErr w:type="gramStart"/>
      <w:r w:rsidRPr="00A44045">
        <w:rPr>
          <w:szCs w:val="18"/>
        </w:rPr>
        <w:t>holder;</w:t>
      </w:r>
      <w:proofErr w:type="gramEnd"/>
    </w:p>
    <w:p w14:paraId="1732C8A5" w14:textId="77777777" w:rsidR="009D022B" w:rsidRPr="00A44045" w:rsidRDefault="009D022B" w:rsidP="001E174E">
      <w:pPr>
        <w:pStyle w:val="notepara"/>
        <w:ind w:left="1843"/>
        <w:rPr>
          <w:szCs w:val="18"/>
        </w:rPr>
      </w:pPr>
      <w:r w:rsidRPr="00A44045">
        <w:rPr>
          <w:szCs w:val="18"/>
        </w:rPr>
        <w:t>(</w:t>
      </w:r>
      <w:proofErr w:type="spellStart"/>
      <w:r w:rsidRPr="00A44045">
        <w:rPr>
          <w:szCs w:val="18"/>
        </w:rPr>
        <w:t>i</w:t>
      </w:r>
      <w:proofErr w:type="spellEnd"/>
      <w:r w:rsidRPr="00A44045">
        <w:rPr>
          <w:szCs w:val="18"/>
        </w:rPr>
        <w:t>)</w:t>
      </w:r>
      <w:r w:rsidRPr="00A44045">
        <w:rPr>
          <w:szCs w:val="18"/>
        </w:rPr>
        <w:tab/>
        <w:t xml:space="preserve">private health </w:t>
      </w:r>
      <w:proofErr w:type="gramStart"/>
      <w:r w:rsidRPr="00A44045">
        <w:rPr>
          <w:szCs w:val="18"/>
        </w:rPr>
        <w:t>insurer;</w:t>
      </w:r>
      <w:proofErr w:type="gramEnd"/>
    </w:p>
    <w:p w14:paraId="1248144C" w14:textId="6F415FE3" w:rsidR="009D022B" w:rsidRPr="00A44045" w:rsidRDefault="009D022B" w:rsidP="001E174E">
      <w:pPr>
        <w:pStyle w:val="notepara"/>
        <w:ind w:left="1843"/>
        <w:rPr>
          <w:szCs w:val="18"/>
        </w:rPr>
      </w:pPr>
      <w:r w:rsidRPr="00A44045">
        <w:rPr>
          <w:szCs w:val="18"/>
        </w:rPr>
        <w:t>(j)</w:t>
      </w:r>
      <w:r w:rsidRPr="00A44045">
        <w:rPr>
          <w:szCs w:val="18"/>
        </w:rPr>
        <w:tab/>
      </w:r>
      <w:r w:rsidR="001641C2" w:rsidRPr="00A44045">
        <w:rPr>
          <w:szCs w:val="18"/>
        </w:rPr>
        <w:t xml:space="preserve">risk equalisation </w:t>
      </w:r>
      <w:proofErr w:type="gramStart"/>
      <w:r w:rsidR="001641C2" w:rsidRPr="00A44045">
        <w:rPr>
          <w:szCs w:val="18"/>
        </w:rPr>
        <w:t>jurisdiction</w:t>
      </w:r>
      <w:r w:rsidRPr="00A44045">
        <w:rPr>
          <w:szCs w:val="18"/>
        </w:rPr>
        <w:t>;</w:t>
      </w:r>
      <w:proofErr w:type="gramEnd"/>
    </w:p>
    <w:p w14:paraId="723F5D7B" w14:textId="1063373F" w:rsidR="009D022B" w:rsidRPr="00A44045" w:rsidRDefault="009D022B" w:rsidP="001E174E">
      <w:pPr>
        <w:pStyle w:val="notepara"/>
        <w:ind w:left="1843"/>
        <w:rPr>
          <w:szCs w:val="18"/>
        </w:rPr>
      </w:pPr>
      <w:r w:rsidRPr="00A44045">
        <w:rPr>
          <w:szCs w:val="18"/>
        </w:rPr>
        <w:t>(k)</w:t>
      </w:r>
      <w:r w:rsidRPr="00A44045">
        <w:rPr>
          <w:szCs w:val="18"/>
        </w:rPr>
        <w:tab/>
      </w:r>
      <w:r w:rsidR="00F432EA" w:rsidRPr="00A44045">
        <w:rPr>
          <w:szCs w:val="18"/>
        </w:rPr>
        <w:t xml:space="preserve">risk equalisation </w:t>
      </w:r>
      <w:proofErr w:type="gramStart"/>
      <w:r w:rsidR="00F432EA" w:rsidRPr="00A44045">
        <w:rPr>
          <w:szCs w:val="18"/>
        </w:rPr>
        <w:t>levy</w:t>
      </w:r>
      <w:r w:rsidRPr="00A44045">
        <w:rPr>
          <w:szCs w:val="18"/>
        </w:rPr>
        <w:t>;</w:t>
      </w:r>
      <w:proofErr w:type="gramEnd"/>
    </w:p>
    <w:p w14:paraId="7D6C9B4A" w14:textId="67FD6386" w:rsidR="00641E79" w:rsidRPr="00A44045" w:rsidRDefault="009D022B" w:rsidP="001E174E">
      <w:pPr>
        <w:pStyle w:val="notepara"/>
        <w:ind w:left="1843"/>
        <w:rPr>
          <w:szCs w:val="18"/>
        </w:rPr>
      </w:pPr>
      <w:r w:rsidRPr="00A44045">
        <w:rPr>
          <w:szCs w:val="18"/>
        </w:rPr>
        <w:t>(l)</w:t>
      </w:r>
      <w:r w:rsidRPr="00A44045">
        <w:rPr>
          <w:szCs w:val="18"/>
        </w:rPr>
        <w:tab/>
      </w:r>
      <w:r w:rsidR="00F432EA" w:rsidRPr="00A44045">
        <w:rPr>
          <w:szCs w:val="18"/>
        </w:rPr>
        <w:t>R</w:t>
      </w:r>
      <w:r w:rsidRPr="00A44045">
        <w:rPr>
          <w:szCs w:val="18"/>
        </w:rPr>
        <w:t>isk Equalisation Special Account</w:t>
      </w:r>
      <w:r w:rsidR="0086706C" w:rsidRPr="00A44045">
        <w:rPr>
          <w:szCs w:val="18"/>
        </w:rPr>
        <w:t>.</w:t>
      </w:r>
    </w:p>
    <w:p w14:paraId="1544F943" w14:textId="06BCFD30" w:rsidR="009D022B" w:rsidRPr="00A44045" w:rsidRDefault="009D022B" w:rsidP="00ED03EA">
      <w:pPr>
        <w:pStyle w:val="subsection"/>
        <w:ind w:left="1854"/>
      </w:pPr>
      <w:r w:rsidRPr="00A44045">
        <w:tab/>
        <w:t>In this instrument:</w:t>
      </w:r>
    </w:p>
    <w:p w14:paraId="3A8F310A" w14:textId="121B4567" w:rsidR="00554826" w:rsidRPr="00A44045" w:rsidRDefault="009D022B" w:rsidP="000443F3">
      <w:pPr>
        <w:pStyle w:val="Definition"/>
        <w:ind w:left="720"/>
      </w:pPr>
      <w:r w:rsidRPr="00A44045">
        <w:rPr>
          <w:b/>
          <w:i/>
        </w:rPr>
        <w:t>Act</w:t>
      </w:r>
      <w:r w:rsidRPr="00A44045">
        <w:t xml:space="preserve"> means the</w:t>
      </w:r>
      <w:r w:rsidRPr="00A44045">
        <w:rPr>
          <w:i/>
          <w:szCs w:val="22"/>
        </w:rPr>
        <w:t xml:space="preserve"> </w:t>
      </w:r>
      <w:r w:rsidR="005777F6" w:rsidRPr="00A44045">
        <w:rPr>
          <w:i/>
          <w:szCs w:val="22"/>
        </w:rPr>
        <w:t>Private Health Insurance Act 2007</w:t>
      </w:r>
      <w:r w:rsidR="00554826" w:rsidRPr="00A44045">
        <w:t>.</w:t>
      </w:r>
    </w:p>
    <w:p w14:paraId="1FF2F991" w14:textId="77777777" w:rsidR="00704639" w:rsidRPr="00A44045" w:rsidRDefault="00096E0C" w:rsidP="000443F3">
      <w:pPr>
        <w:pStyle w:val="HealthLevel1"/>
        <w:ind w:left="720"/>
        <w:rPr>
          <w:color w:val="auto"/>
          <w:sz w:val="22"/>
          <w:szCs w:val="22"/>
        </w:rPr>
      </w:pPr>
      <w:r w:rsidRPr="00A44045">
        <w:rPr>
          <w:b/>
          <w:i/>
          <w:color w:val="auto"/>
          <w:sz w:val="22"/>
          <w:szCs w:val="22"/>
        </w:rPr>
        <w:t xml:space="preserve">adjustment amount </w:t>
      </w:r>
      <w:r w:rsidRPr="00A44045">
        <w:rPr>
          <w:color w:val="auto"/>
          <w:sz w:val="22"/>
          <w:szCs w:val="22"/>
        </w:rPr>
        <w:t>means</w:t>
      </w:r>
      <w:r w:rsidRPr="00A44045">
        <w:rPr>
          <w:b/>
          <w:color w:val="auto"/>
          <w:sz w:val="22"/>
          <w:szCs w:val="22"/>
        </w:rPr>
        <w:t xml:space="preserve"> </w:t>
      </w:r>
      <w:r w:rsidRPr="00A44045">
        <w:rPr>
          <w:color w:val="auto"/>
          <w:sz w:val="22"/>
          <w:szCs w:val="22"/>
        </w:rPr>
        <w:t>an amount calculated under Part 4.</w:t>
      </w:r>
    </w:p>
    <w:p w14:paraId="090A7229" w14:textId="3623716E" w:rsidR="005777F6" w:rsidRPr="00A44045" w:rsidRDefault="005777F6" w:rsidP="000443F3">
      <w:pPr>
        <w:pStyle w:val="HealthLevel1"/>
        <w:ind w:left="720"/>
        <w:rPr>
          <w:color w:val="auto"/>
          <w:sz w:val="22"/>
          <w:szCs w:val="22"/>
        </w:rPr>
      </w:pPr>
      <w:r w:rsidRPr="00A44045">
        <w:rPr>
          <w:b/>
          <w:i/>
          <w:color w:val="auto"/>
          <w:sz w:val="22"/>
          <w:szCs w:val="22"/>
        </w:rPr>
        <w:lastRenderedPageBreak/>
        <w:t>age based pool</w:t>
      </w:r>
      <w:r w:rsidRPr="00A44045">
        <w:rPr>
          <w:color w:val="auto"/>
          <w:sz w:val="22"/>
          <w:szCs w:val="22"/>
        </w:rPr>
        <w:t xml:space="preserve"> or </w:t>
      </w:r>
      <w:r w:rsidRPr="00A44045">
        <w:rPr>
          <w:b/>
          <w:i/>
          <w:color w:val="auto"/>
          <w:sz w:val="22"/>
          <w:szCs w:val="22"/>
        </w:rPr>
        <w:t>ABP</w:t>
      </w:r>
      <w:r w:rsidRPr="00A44045">
        <w:rPr>
          <w:color w:val="auto"/>
          <w:sz w:val="22"/>
          <w:szCs w:val="22"/>
        </w:rPr>
        <w:t xml:space="preserve"> </w:t>
      </w:r>
      <w:r w:rsidR="001B169A" w:rsidRPr="00A44045">
        <w:rPr>
          <w:color w:val="auto"/>
          <w:sz w:val="22"/>
          <w:szCs w:val="22"/>
        </w:rPr>
        <w:t>means the pool ref</w:t>
      </w:r>
      <w:r w:rsidR="000E3F95" w:rsidRPr="00A44045">
        <w:rPr>
          <w:color w:val="auto"/>
          <w:sz w:val="22"/>
          <w:szCs w:val="22"/>
        </w:rPr>
        <w:t xml:space="preserve">erred to in </w:t>
      </w:r>
      <w:r w:rsidRPr="00A44045">
        <w:rPr>
          <w:color w:val="auto"/>
          <w:sz w:val="22"/>
          <w:szCs w:val="22"/>
        </w:rPr>
        <w:t>paragraph</w:t>
      </w:r>
      <w:r w:rsidR="006A660D" w:rsidRPr="00A44045">
        <w:rPr>
          <w:color w:val="auto"/>
          <w:sz w:val="22"/>
          <w:szCs w:val="22"/>
        </w:rPr>
        <w:t xml:space="preserve"> 9</w:t>
      </w:r>
      <w:r w:rsidRPr="00A44045">
        <w:rPr>
          <w:color w:val="auto"/>
          <w:sz w:val="22"/>
          <w:szCs w:val="22"/>
        </w:rPr>
        <w:t> </w:t>
      </w:r>
      <w:r w:rsidRPr="00A44045">
        <w:rPr>
          <w:color w:val="auto"/>
          <w:sz w:val="22"/>
          <w:szCs w:val="22"/>
        </w:rPr>
        <w:fldChar w:fldCharType="begin"/>
      </w:r>
      <w:r w:rsidRPr="00A44045">
        <w:rPr>
          <w:color w:val="auto"/>
          <w:sz w:val="22"/>
          <w:szCs w:val="22"/>
        </w:rPr>
        <w:instrText xml:space="preserve"> REF _Ref160082772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(3)</w:t>
      </w:r>
      <w:r w:rsidRPr="00A44045">
        <w:rPr>
          <w:color w:val="auto"/>
          <w:sz w:val="22"/>
          <w:szCs w:val="22"/>
        </w:rPr>
        <w:fldChar w:fldCharType="end"/>
      </w:r>
      <w:r w:rsidRPr="00A44045">
        <w:rPr>
          <w:color w:val="auto"/>
          <w:sz w:val="22"/>
          <w:szCs w:val="22"/>
        </w:rPr>
        <w:t> </w:t>
      </w:r>
      <w:r w:rsidRPr="00A44045">
        <w:rPr>
          <w:color w:val="auto"/>
          <w:sz w:val="22"/>
          <w:szCs w:val="22"/>
        </w:rPr>
        <w:fldChar w:fldCharType="begin"/>
      </w:r>
      <w:r w:rsidRPr="00A44045">
        <w:rPr>
          <w:color w:val="auto"/>
          <w:sz w:val="22"/>
          <w:szCs w:val="22"/>
        </w:rPr>
        <w:instrText xml:space="preserve"> REF _Ref160082766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(a)</w:t>
      </w:r>
      <w:r w:rsidRPr="00A44045">
        <w:rPr>
          <w:color w:val="auto"/>
          <w:sz w:val="22"/>
          <w:szCs w:val="22"/>
        </w:rPr>
        <w:fldChar w:fldCharType="end"/>
      </w:r>
      <w:r w:rsidRPr="00A44045">
        <w:rPr>
          <w:color w:val="auto"/>
          <w:sz w:val="22"/>
          <w:szCs w:val="22"/>
        </w:rPr>
        <w:t>.</w:t>
      </w:r>
    </w:p>
    <w:p w14:paraId="1B4CBD95" w14:textId="77777777" w:rsidR="005777F6" w:rsidRPr="00A44045" w:rsidRDefault="005777F6" w:rsidP="000443F3">
      <w:pPr>
        <w:pStyle w:val="HealthLevel1"/>
        <w:ind w:left="720"/>
        <w:rPr>
          <w:color w:val="auto"/>
          <w:sz w:val="22"/>
          <w:szCs w:val="22"/>
        </w:rPr>
      </w:pPr>
      <w:r w:rsidRPr="00A44045">
        <w:rPr>
          <w:b/>
          <w:i/>
          <w:color w:val="auto"/>
          <w:sz w:val="22"/>
          <w:szCs w:val="22"/>
        </w:rPr>
        <w:t>APRA</w:t>
      </w:r>
      <w:r w:rsidRPr="00A44045">
        <w:rPr>
          <w:color w:val="auto"/>
          <w:sz w:val="22"/>
          <w:szCs w:val="22"/>
        </w:rPr>
        <w:t xml:space="preserve"> means the Australian Prudential Regulation Authority. </w:t>
      </w:r>
    </w:p>
    <w:p w14:paraId="6A11B77F" w14:textId="77777777" w:rsidR="005777F6" w:rsidRPr="00A44045" w:rsidRDefault="005777F6" w:rsidP="000443F3">
      <w:pPr>
        <w:pStyle w:val="HealthLevel1"/>
        <w:ind w:left="720"/>
        <w:rPr>
          <w:color w:val="auto"/>
          <w:sz w:val="22"/>
          <w:szCs w:val="22"/>
        </w:rPr>
      </w:pPr>
      <w:r w:rsidRPr="00A44045">
        <w:rPr>
          <w:b/>
          <w:i/>
          <w:color w:val="auto"/>
          <w:sz w:val="22"/>
          <w:szCs w:val="22"/>
        </w:rPr>
        <w:t>benefit paid</w:t>
      </w:r>
      <w:r w:rsidRPr="00A44045">
        <w:rPr>
          <w:color w:val="auto"/>
          <w:sz w:val="22"/>
          <w:szCs w:val="22"/>
        </w:rPr>
        <w:t xml:space="preserve"> means a benefit paid by an insurer, in accordance with a policy, to or on behalf of an insured person covered by that policy.</w:t>
      </w:r>
    </w:p>
    <w:p w14:paraId="44B97015" w14:textId="468F078B" w:rsidR="005777F6" w:rsidRPr="00A44045" w:rsidRDefault="005777F6" w:rsidP="000443F3">
      <w:pPr>
        <w:pStyle w:val="HealthLevel1"/>
        <w:ind w:left="720"/>
        <w:rPr>
          <w:color w:val="auto"/>
          <w:sz w:val="22"/>
          <w:szCs w:val="22"/>
        </w:rPr>
      </w:pPr>
      <w:r w:rsidRPr="00A44045">
        <w:rPr>
          <w:b/>
          <w:i/>
          <w:color w:val="auto"/>
          <w:sz w:val="22"/>
          <w:szCs w:val="22"/>
        </w:rPr>
        <w:t>Business Rules</w:t>
      </w:r>
      <w:r w:rsidRPr="00A44045">
        <w:rPr>
          <w:b/>
          <w:color w:val="auto"/>
          <w:sz w:val="22"/>
          <w:szCs w:val="22"/>
        </w:rPr>
        <w:t xml:space="preserve"> </w:t>
      </w:r>
      <w:r w:rsidRPr="00A44045">
        <w:rPr>
          <w:color w:val="auto"/>
          <w:sz w:val="22"/>
          <w:szCs w:val="22"/>
        </w:rPr>
        <w:t xml:space="preserve">means </w:t>
      </w:r>
      <w:r w:rsidRPr="00A44045">
        <w:rPr>
          <w:i/>
          <w:iCs/>
          <w:color w:val="auto"/>
          <w:sz w:val="22"/>
          <w:szCs w:val="22"/>
        </w:rPr>
        <w:t>Private Health Insurance (Health Insurance Business) Rules</w:t>
      </w:r>
      <w:r w:rsidRPr="00A44045">
        <w:rPr>
          <w:i/>
          <w:color w:val="auto"/>
          <w:sz w:val="22"/>
          <w:szCs w:val="22"/>
        </w:rPr>
        <w:t xml:space="preserve"> </w:t>
      </w:r>
      <w:r w:rsidR="001718E2" w:rsidRPr="00A44045">
        <w:rPr>
          <w:i/>
          <w:color w:val="auto"/>
          <w:sz w:val="22"/>
          <w:szCs w:val="22"/>
        </w:rPr>
        <w:t>2018</w:t>
      </w:r>
      <w:r w:rsidRPr="00A44045">
        <w:rPr>
          <w:color w:val="auto"/>
          <w:sz w:val="22"/>
          <w:szCs w:val="22"/>
        </w:rPr>
        <w:t xml:space="preserve">. </w:t>
      </w:r>
    </w:p>
    <w:p w14:paraId="3DAC9948" w14:textId="3AAB670B" w:rsidR="005777F6" w:rsidRPr="00A44045" w:rsidRDefault="005777F6" w:rsidP="000443F3">
      <w:pPr>
        <w:pStyle w:val="HealthLevel1"/>
        <w:ind w:left="720"/>
        <w:rPr>
          <w:color w:val="auto"/>
          <w:sz w:val="22"/>
          <w:szCs w:val="22"/>
        </w:rPr>
      </w:pPr>
      <w:r w:rsidRPr="00A44045">
        <w:rPr>
          <w:b/>
          <w:i/>
          <w:color w:val="auto"/>
          <w:sz w:val="22"/>
          <w:szCs w:val="22"/>
        </w:rPr>
        <w:t>designated threshold</w:t>
      </w:r>
      <w:r w:rsidR="003866BF" w:rsidRPr="00A44045">
        <w:rPr>
          <w:bCs/>
          <w:iCs/>
          <w:color w:val="auto"/>
          <w:sz w:val="22"/>
          <w:szCs w:val="22"/>
        </w:rPr>
        <w:t xml:space="preserve">, for an insured </w:t>
      </w:r>
      <w:r w:rsidR="002B21E0" w:rsidRPr="00A44045">
        <w:rPr>
          <w:bCs/>
          <w:iCs/>
          <w:color w:val="auto"/>
          <w:sz w:val="22"/>
          <w:szCs w:val="22"/>
        </w:rPr>
        <w:t>person,</w:t>
      </w:r>
      <w:r w:rsidRPr="00A44045">
        <w:rPr>
          <w:b/>
          <w:i/>
          <w:color w:val="auto"/>
          <w:sz w:val="22"/>
          <w:szCs w:val="22"/>
        </w:rPr>
        <w:t xml:space="preserve"> </w:t>
      </w:r>
      <w:r w:rsidRPr="00A44045">
        <w:rPr>
          <w:color w:val="auto"/>
          <w:sz w:val="22"/>
          <w:szCs w:val="22"/>
        </w:rPr>
        <w:t>means the threshold specified in subrule</w:t>
      </w:r>
      <w:r w:rsidR="003363B9" w:rsidRPr="00A44045">
        <w:rPr>
          <w:color w:val="auto"/>
          <w:sz w:val="22"/>
          <w:szCs w:val="22"/>
        </w:rPr>
        <w:t xml:space="preserve"> 9</w:t>
      </w:r>
      <w:r w:rsidRPr="00A44045">
        <w:rPr>
          <w:color w:val="auto"/>
          <w:sz w:val="22"/>
          <w:szCs w:val="22"/>
        </w:rPr>
        <w:t> </w:t>
      </w:r>
      <w:r w:rsidRPr="00A44045">
        <w:rPr>
          <w:color w:val="auto"/>
          <w:sz w:val="22"/>
          <w:szCs w:val="22"/>
        </w:rPr>
        <w:fldChar w:fldCharType="begin"/>
      </w:r>
      <w:r w:rsidRPr="00A44045">
        <w:rPr>
          <w:color w:val="auto"/>
          <w:sz w:val="22"/>
          <w:szCs w:val="22"/>
        </w:rPr>
        <w:instrText xml:space="preserve"> REF _Ref153768995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(10)</w:t>
      </w:r>
      <w:r w:rsidRPr="00A44045">
        <w:rPr>
          <w:color w:val="auto"/>
          <w:sz w:val="22"/>
          <w:szCs w:val="22"/>
        </w:rPr>
        <w:fldChar w:fldCharType="end"/>
      </w:r>
      <w:r w:rsidRPr="00A44045">
        <w:rPr>
          <w:color w:val="auto"/>
          <w:sz w:val="22"/>
          <w:szCs w:val="22"/>
        </w:rPr>
        <w:t>.</w:t>
      </w:r>
    </w:p>
    <w:p w14:paraId="21814031" w14:textId="07914BF5" w:rsidR="005777F6" w:rsidRPr="00A44045" w:rsidRDefault="005777F6" w:rsidP="000443F3">
      <w:pPr>
        <w:pStyle w:val="HealthLevel1"/>
        <w:ind w:left="720"/>
        <w:rPr>
          <w:b/>
          <w:color w:val="auto"/>
          <w:sz w:val="22"/>
          <w:szCs w:val="22"/>
        </w:rPr>
      </w:pPr>
      <w:r w:rsidRPr="00A44045">
        <w:rPr>
          <w:b/>
          <w:i/>
          <w:color w:val="auto"/>
          <w:sz w:val="22"/>
          <w:szCs w:val="22"/>
        </w:rPr>
        <w:t>eligible benefit</w:t>
      </w:r>
      <w:r w:rsidRPr="00A44045">
        <w:rPr>
          <w:color w:val="auto"/>
          <w:sz w:val="22"/>
          <w:szCs w:val="22"/>
        </w:rPr>
        <w:t xml:space="preserve"> has the meaning given by subrule </w:t>
      </w:r>
      <w:r w:rsidR="00CA01B7" w:rsidRPr="00A44045">
        <w:rPr>
          <w:color w:val="auto"/>
          <w:sz w:val="22"/>
          <w:szCs w:val="22"/>
        </w:rPr>
        <w:t>7</w:t>
      </w:r>
      <w:r w:rsidRPr="00A44045">
        <w:rPr>
          <w:color w:val="auto"/>
          <w:sz w:val="22"/>
          <w:szCs w:val="22"/>
        </w:rPr>
        <w:t> </w:t>
      </w:r>
      <w:r w:rsidRPr="00A44045">
        <w:rPr>
          <w:color w:val="auto"/>
          <w:sz w:val="22"/>
          <w:szCs w:val="22"/>
        </w:rPr>
        <w:fldChar w:fldCharType="begin"/>
      </w:r>
      <w:r w:rsidRPr="00A44045">
        <w:rPr>
          <w:color w:val="auto"/>
          <w:sz w:val="22"/>
          <w:szCs w:val="22"/>
        </w:rPr>
        <w:instrText xml:space="preserve"> REF _Ref154126844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(1)</w:t>
      </w:r>
      <w:r w:rsidRPr="00A44045">
        <w:rPr>
          <w:color w:val="auto"/>
          <w:sz w:val="22"/>
          <w:szCs w:val="22"/>
        </w:rPr>
        <w:fldChar w:fldCharType="end"/>
      </w:r>
      <w:r w:rsidRPr="00A44045">
        <w:rPr>
          <w:i/>
          <w:color w:val="auto"/>
          <w:sz w:val="22"/>
          <w:szCs w:val="22"/>
        </w:rPr>
        <w:t>.</w:t>
      </w:r>
    </w:p>
    <w:p w14:paraId="768853E4" w14:textId="7C41A55A" w:rsidR="005777F6" w:rsidRPr="00A44045" w:rsidRDefault="005777F6" w:rsidP="000443F3">
      <w:pPr>
        <w:pStyle w:val="HealthLevel1"/>
        <w:ind w:left="720"/>
        <w:rPr>
          <w:color w:val="auto"/>
          <w:sz w:val="22"/>
          <w:szCs w:val="22"/>
        </w:rPr>
      </w:pPr>
      <w:r w:rsidRPr="00A44045">
        <w:rPr>
          <w:b/>
          <w:i/>
          <w:color w:val="auto"/>
          <w:sz w:val="22"/>
          <w:szCs w:val="22"/>
        </w:rPr>
        <w:t xml:space="preserve">gross benefit </w:t>
      </w:r>
      <w:r w:rsidRPr="00A44045">
        <w:rPr>
          <w:color w:val="auto"/>
          <w:sz w:val="22"/>
          <w:szCs w:val="22"/>
        </w:rPr>
        <w:t xml:space="preserve">means the total eligible benefits paid by </w:t>
      </w:r>
      <w:r w:rsidR="001838E9" w:rsidRPr="00A44045">
        <w:rPr>
          <w:color w:val="auto"/>
          <w:sz w:val="22"/>
          <w:szCs w:val="22"/>
        </w:rPr>
        <w:t xml:space="preserve">an </w:t>
      </w:r>
      <w:r w:rsidRPr="00A44045">
        <w:rPr>
          <w:color w:val="auto"/>
          <w:sz w:val="22"/>
          <w:szCs w:val="22"/>
        </w:rPr>
        <w:t>insurer in respect of an insured person</w:t>
      </w:r>
      <w:r w:rsidR="004D2FC4" w:rsidRPr="00A44045">
        <w:rPr>
          <w:color w:val="auto"/>
          <w:sz w:val="22"/>
          <w:szCs w:val="22"/>
        </w:rPr>
        <w:t xml:space="preserve">, </w:t>
      </w:r>
      <w:r w:rsidR="002B0C71" w:rsidRPr="00A44045">
        <w:rPr>
          <w:color w:val="auto"/>
          <w:sz w:val="22"/>
          <w:szCs w:val="22"/>
        </w:rPr>
        <w:t xml:space="preserve">in respect of </w:t>
      </w:r>
      <w:r w:rsidR="00790EEC" w:rsidRPr="00A44045">
        <w:rPr>
          <w:color w:val="auto"/>
          <w:sz w:val="22"/>
          <w:szCs w:val="22"/>
        </w:rPr>
        <w:t xml:space="preserve">treatment provided to the </w:t>
      </w:r>
      <w:r w:rsidR="004D2FC4" w:rsidRPr="00A44045">
        <w:rPr>
          <w:color w:val="auto"/>
          <w:sz w:val="22"/>
          <w:szCs w:val="22"/>
        </w:rPr>
        <w:t>insured person</w:t>
      </w:r>
      <w:r w:rsidRPr="00A44045">
        <w:rPr>
          <w:color w:val="auto"/>
          <w:sz w:val="22"/>
          <w:szCs w:val="22"/>
        </w:rPr>
        <w:t xml:space="preserve"> </w:t>
      </w:r>
      <w:r w:rsidR="00790EEC" w:rsidRPr="00A44045">
        <w:rPr>
          <w:color w:val="auto"/>
          <w:sz w:val="22"/>
          <w:szCs w:val="22"/>
        </w:rPr>
        <w:t xml:space="preserve">while they </w:t>
      </w:r>
      <w:r w:rsidRPr="00A44045">
        <w:rPr>
          <w:color w:val="auto"/>
          <w:sz w:val="22"/>
          <w:szCs w:val="22"/>
        </w:rPr>
        <w:t>fall within a</w:t>
      </w:r>
      <w:r w:rsidR="005A332B" w:rsidRPr="00A44045">
        <w:rPr>
          <w:color w:val="auto"/>
          <w:sz w:val="22"/>
          <w:szCs w:val="22"/>
        </w:rPr>
        <w:t xml:space="preserve"> particular</w:t>
      </w:r>
      <w:r w:rsidRPr="00A44045">
        <w:rPr>
          <w:color w:val="auto"/>
          <w:sz w:val="22"/>
          <w:szCs w:val="22"/>
        </w:rPr>
        <w:t xml:space="preserve"> age cohort set out in the table in subrule</w:t>
      </w:r>
      <w:r w:rsidR="006C64A5" w:rsidRPr="00A44045">
        <w:rPr>
          <w:color w:val="auto"/>
          <w:sz w:val="22"/>
          <w:szCs w:val="22"/>
        </w:rPr>
        <w:t xml:space="preserve"> 9</w:t>
      </w:r>
      <w:r w:rsidRPr="00A44045">
        <w:rPr>
          <w:color w:val="auto"/>
          <w:sz w:val="22"/>
          <w:szCs w:val="22"/>
        </w:rPr>
        <w:t> </w:t>
      </w:r>
      <w:r w:rsidRPr="00A44045">
        <w:rPr>
          <w:color w:val="auto"/>
          <w:sz w:val="22"/>
          <w:szCs w:val="22"/>
        </w:rPr>
        <w:fldChar w:fldCharType="begin"/>
      </w:r>
      <w:r w:rsidRPr="00A44045">
        <w:rPr>
          <w:color w:val="auto"/>
          <w:sz w:val="22"/>
          <w:szCs w:val="22"/>
        </w:rPr>
        <w:instrText xml:space="preserve"> REF _Ref154142642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(5)</w:t>
      </w:r>
      <w:r w:rsidRPr="00A44045">
        <w:rPr>
          <w:color w:val="auto"/>
          <w:sz w:val="22"/>
          <w:szCs w:val="22"/>
        </w:rPr>
        <w:fldChar w:fldCharType="end"/>
      </w:r>
      <w:r w:rsidRPr="00A44045">
        <w:rPr>
          <w:color w:val="auto"/>
          <w:sz w:val="22"/>
          <w:szCs w:val="22"/>
        </w:rPr>
        <w:t>.</w:t>
      </w:r>
    </w:p>
    <w:p w14:paraId="67074597" w14:textId="699D338D" w:rsidR="005777F6" w:rsidRPr="00A44045" w:rsidRDefault="005777F6" w:rsidP="000443F3">
      <w:pPr>
        <w:pStyle w:val="HealthLevel1"/>
        <w:ind w:left="720"/>
        <w:rPr>
          <w:color w:val="auto"/>
          <w:sz w:val="22"/>
          <w:szCs w:val="22"/>
        </w:rPr>
      </w:pPr>
      <w:r w:rsidRPr="00A44045">
        <w:rPr>
          <w:b/>
          <w:i/>
          <w:color w:val="auto"/>
          <w:sz w:val="22"/>
          <w:szCs w:val="22"/>
        </w:rPr>
        <w:t xml:space="preserve">hospital policy </w:t>
      </w:r>
      <w:r w:rsidRPr="00A44045">
        <w:rPr>
          <w:color w:val="auto"/>
          <w:sz w:val="22"/>
          <w:szCs w:val="22"/>
        </w:rPr>
        <w:t>means a policy which covers hospital treatment.</w:t>
      </w:r>
    </w:p>
    <w:p w14:paraId="1D05A420" w14:textId="77777777" w:rsidR="005777F6" w:rsidRPr="00A44045" w:rsidRDefault="005777F6" w:rsidP="000443F3">
      <w:pPr>
        <w:pStyle w:val="HealthLevel1"/>
        <w:ind w:left="720"/>
        <w:rPr>
          <w:color w:val="auto"/>
          <w:sz w:val="22"/>
          <w:szCs w:val="22"/>
        </w:rPr>
      </w:pPr>
      <w:r w:rsidRPr="00A44045">
        <w:rPr>
          <w:b/>
          <w:i/>
          <w:color w:val="auto"/>
          <w:sz w:val="22"/>
          <w:szCs w:val="22"/>
        </w:rPr>
        <w:t xml:space="preserve">insured person </w:t>
      </w:r>
      <w:r w:rsidRPr="00A44045">
        <w:rPr>
          <w:color w:val="auto"/>
          <w:sz w:val="22"/>
          <w:szCs w:val="22"/>
        </w:rPr>
        <w:t>means a person who receives the treatment to which the eligible benefit paid by the insurer to a policy holder relates.</w:t>
      </w:r>
      <w:r w:rsidRPr="00A44045">
        <w:rPr>
          <w:b/>
          <w:i/>
          <w:color w:val="auto"/>
          <w:sz w:val="22"/>
          <w:szCs w:val="22"/>
        </w:rPr>
        <w:t xml:space="preserve"> </w:t>
      </w:r>
    </w:p>
    <w:p w14:paraId="7C76132C" w14:textId="77777777" w:rsidR="005777F6" w:rsidRPr="00A44045" w:rsidRDefault="005777F6" w:rsidP="000443F3">
      <w:pPr>
        <w:pStyle w:val="HealthLevel1"/>
        <w:ind w:left="720"/>
        <w:rPr>
          <w:color w:val="auto"/>
          <w:sz w:val="22"/>
          <w:szCs w:val="22"/>
        </w:rPr>
      </w:pPr>
      <w:r w:rsidRPr="00A44045">
        <w:rPr>
          <w:b/>
          <w:i/>
          <w:color w:val="auto"/>
          <w:sz w:val="22"/>
          <w:szCs w:val="22"/>
        </w:rPr>
        <w:t>insurer</w:t>
      </w:r>
      <w:r w:rsidRPr="00A44045">
        <w:rPr>
          <w:b/>
          <w:color w:val="auto"/>
          <w:sz w:val="22"/>
          <w:szCs w:val="22"/>
        </w:rPr>
        <w:t xml:space="preserve"> </w:t>
      </w:r>
      <w:r w:rsidRPr="00A44045">
        <w:rPr>
          <w:color w:val="auto"/>
          <w:sz w:val="22"/>
          <w:szCs w:val="22"/>
        </w:rPr>
        <w:t>means</w:t>
      </w:r>
      <w:r w:rsidRPr="00A44045">
        <w:rPr>
          <w:b/>
          <w:color w:val="auto"/>
          <w:sz w:val="22"/>
          <w:szCs w:val="22"/>
        </w:rPr>
        <w:t xml:space="preserve"> </w:t>
      </w:r>
      <w:r w:rsidRPr="00A44045">
        <w:rPr>
          <w:color w:val="auto"/>
          <w:sz w:val="22"/>
          <w:szCs w:val="22"/>
        </w:rPr>
        <w:t>a</w:t>
      </w:r>
      <w:r w:rsidRPr="00A44045">
        <w:rPr>
          <w:b/>
          <w:i/>
          <w:color w:val="auto"/>
          <w:sz w:val="22"/>
          <w:szCs w:val="22"/>
        </w:rPr>
        <w:t xml:space="preserve"> </w:t>
      </w:r>
      <w:r w:rsidRPr="00A44045">
        <w:rPr>
          <w:color w:val="auto"/>
          <w:sz w:val="22"/>
          <w:szCs w:val="22"/>
        </w:rPr>
        <w:t>private health insurer.</w:t>
      </w:r>
    </w:p>
    <w:p w14:paraId="58CA7DFD" w14:textId="77777777" w:rsidR="005777F6" w:rsidRPr="00A44045" w:rsidRDefault="005777F6" w:rsidP="000443F3">
      <w:pPr>
        <w:pStyle w:val="HealthLevel1"/>
        <w:ind w:left="720"/>
        <w:rPr>
          <w:color w:val="auto"/>
          <w:sz w:val="22"/>
          <w:szCs w:val="22"/>
        </w:rPr>
      </w:pPr>
      <w:r w:rsidRPr="00A44045">
        <w:rPr>
          <w:b/>
          <w:i/>
          <w:color w:val="auto"/>
          <w:sz w:val="22"/>
          <w:szCs w:val="22"/>
        </w:rPr>
        <w:t xml:space="preserve">levy </w:t>
      </w:r>
      <w:r w:rsidRPr="00A44045">
        <w:rPr>
          <w:color w:val="auto"/>
          <w:sz w:val="22"/>
          <w:szCs w:val="22"/>
        </w:rPr>
        <w:t>means risk equalisation levy.</w:t>
      </w:r>
    </w:p>
    <w:p w14:paraId="6B502840" w14:textId="77777777" w:rsidR="005777F6" w:rsidRPr="00A44045" w:rsidRDefault="005777F6" w:rsidP="000443F3">
      <w:pPr>
        <w:pStyle w:val="HealthLevel1"/>
        <w:ind w:left="720"/>
        <w:rPr>
          <w:color w:val="auto"/>
          <w:sz w:val="22"/>
          <w:szCs w:val="22"/>
        </w:rPr>
      </w:pPr>
      <w:r w:rsidRPr="00A44045">
        <w:rPr>
          <w:b/>
          <w:i/>
          <w:color w:val="auto"/>
          <w:sz w:val="22"/>
          <w:szCs w:val="22"/>
        </w:rPr>
        <w:t xml:space="preserve">Levy Act </w:t>
      </w:r>
      <w:r w:rsidRPr="00A44045">
        <w:rPr>
          <w:color w:val="auto"/>
          <w:sz w:val="22"/>
          <w:szCs w:val="22"/>
        </w:rPr>
        <w:t xml:space="preserve">means the </w:t>
      </w:r>
      <w:r w:rsidRPr="00A44045">
        <w:rPr>
          <w:i/>
          <w:color w:val="auto"/>
          <w:sz w:val="22"/>
          <w:szCs w:val="22"/>
        </w:rPr>
        <w:t>Private Health Insurance (Risk Equalisation Levy) Act 2003</w:t>
      </w:r>
      <w:r w:rsidRPr="00A44045">
        <w:rPr>
          <w:color w:val="auto"/>
          <w:sz w:val="22"/>
          <w:szCs w:val="22"/>
        </w:rPr>
        <w:t>.</w:t>
      </w:r>
    </w:p>
    <w:p w14:paraId="422C3910" w14:textId="1C1179A8" w:rsidR="0081733D" w:rsidRPr="00A44045" w:rsidRDefault="00BD54EF" w:rsidP="000443F3">
      <w:pPr>
        <w:pStyle w:val="HealthLevel1"/>
        <w:ind w:left="720"/>
        <w:rPr>
          <w:bCs/>
          <w:iCs/>
          <w:color w:val="auto"/>
          <w:sz w:val="22"/>
          <w:szCs w:val="22"/>
        </w:rPr>
      </w:pPr>
      <w:r w:rsidRPr="00A44045">
        <w:rPr>
          <w:b/>
          <w:i/>
          <w:color w:val="auto"/>
          <w:sz w:val="22"/>
          <w:szCs w:val="22"/>
        </w:rPr>
        <w:t xml:space="preserve">old rules </w:t>
      </w:r>
      <w:proofErr w:type="gramStart"/>
      <w:r w:rsidRPr="00A44045">
        <w:rPr>
          <w:bCs/>
          <w:iCs/>
          <w:color w:val="auto"/>
          <w:sz w:val="22"/>
          <w:szCs w:val="22"/>
        </w:rPr>
        <w:t>means</w:t>
      </w:r>
      <w:proofErr w:type="gramEnd"/>
      <w:r w:rsidRPr="00A44045">
        <w:rPr>
          <w:bCs/>
          <w:iCs/>
          <w:color w:val="auto"/>
          <w:sz w:val="22"/>
          <w:szCs w:val="22"/>
        </w:rPr>
        <w:t xml:space="preserve"> the </w:t>
      </w:r>
      <w:r w:rsidRPr="00A44045">
        <w:rPr>
          <w:bCs/>
          <w:i/>
          <w:color w:val="auto"/>
          <w:sz w:val="22"/>
          <w:szCs w:val="22"/>
        </w:rPr>
        <w:t>Private Health Insurance (</w:t>
      </w:r>
      <w:r w:rsidR="00DF5839" w:rsidRPr="00A44045">
        <w:rPr>
          <w:bCs/>
          <w:i/>
          <w:color w:val="auto"/>
          <w:sz w:val="22"/>
          <w:szCs w:val="22"/>
        </w:rPr>
        <w:t xml:space="preserve">Risk Equalisation </w:t>
      </w:r>
      <w:r w:rsidRPr="00A44045">
        <w:rPr>
          <w:bCs/>
          <w:i/>
          <w:color w:val="auto"/>
          <w:sz w:val="22"/>
          <w:szCs w:val="22"/>
        </w:rPr>
        <w:t>Policy) Rules 2015</w:t>
      </w:r>
      <w:r w:rsidRPr="00A44045">
        <w:rPr>
          <w:bCs/>
          <w:iCs/>
          <w:color w:val="auto"/>
          <w:sz w:val="22"/>
          <w:szCs w:val="22"/>
        </w:rPr>
        <w:t xml:space="preserve">, as in force immediately before the commencement of this instrument. </w:t>
      </w:r>
    </w:p>
    <w:p w14:paraId="7D251B2E" w14:textId="77777777" w:rsidR="005777F6" w:rsidRPr="00A44045" w:rsidRDefault="005777F6" w:rsidP="000443F3">
      <w:pPr>
        <w:pStyle w:val="HealthLevel1"/>
        <w:ind w:left="720"/>
        <w:rPr>
          <w:color w:val="auto"/>
          <w:sz w:val="22"/>
          <w:szCs w:val="22"/>
        </w:rPr>
      </w:pPr>
      <w:r w:rsidRPr="00A44045">
        <w:rPr>
          <w:b/>
          <w:i/>
          <w:color w:val="auto"/>
          <w:sz w:val="22"/>
          <w:szCs w:val="22"/>
        </w:rPr>
        <w:t xml:space="preserve">policy </w:t>
      </w:r>
      <w:r w:rsidRPr="00A44045">
        <w:rPr>
          <w:color w:val="auto"/>
          <w:sz w:val="22"/>
          <w:szCs w:val="22"/>
        </w:rPr>
        <w:t>means a complying health insurance policy.</w:t>
      </w:r>
    </w:p>
    <w:p w14:paraId="13909E56" w14:textId="197C788F" w:rsidR="005777F6" w:rsidRPr="00A44045" w:rsidRDefault="005777F6" w:rsidP="000443F3">
      <w:pPr>
        <w:pStyle w:val="HealthLevel1"/>
        <w:ind w:left="720"/>
        <w:rPr>
          <w:color w:val="auto"/>
          <w:sz w:val="22"/>
          <w:szCs w:val="22"/>
        </w:rPr>
      </w:pPr>
      <w:r w:rsidRPr="00A44045">
        <w:rPr>
          <w:b/>
          <w:i/>
          <w:color w:val="auto"/>
          <w:sz w:val="22"/>
          <w:szCs w:val="22"/>
        </w:rPr>
        <w:t>quarter</w:t>
      </w:r>
      <w:r w:rsidRPr="00A44045">
        <w:rPr>
          <w:color w:val="auto"/>
          <w:sz w:val="22"/>
          <w:szCs w:val="22"/>
        </w:rPr>
        <w:t xml:space="preserve"> means a period of 3 months ending on 31 March, 30 June, 30 September or 31 December in a year and, in respect of calculation of amounts under</w:t>
      </w:r>
      <w:r w:rsidR="005B1590" w:rsidRPr="00A44045">
        <w:rPr>
          <w:color w:val="auto"/>
          <w:sz w:val="22"/>
          <w:szCs w:val="22"/>
        </w:rPr>
        <w:t xml:space="preserve"> this instrument</w:t>
      </w:r>
      <w:r w:rsidRPr="00A44045">
        <w:rPr>
          <w:color w:val="auto"/>
          <w:sz w:val="22"/>
          <w:szCs w:val="22"/>
        </w:rPr>
        <w:t>, means the quarter to which the calculation relates.</w:t>
      </w:r>
    </w:p>
    <w:p w14:paraId="2E170F00" w14:textId="77777777" w:rsidR="005777F6" w:rsidRPr="00A44045" w:rsidRDefault="005777F6" w:rsidP="000443F3">
      <w:pPr>
        <w:pStyle w:val="HealthLevel1"/>
        <w:ind w:left="720"/>
        <w:rPr>
          <w:color w:val="auto"/>
          <w:sz w:val="22"/>
          <w:szCs w:val="22"/>
        </w:rPr>
      </w:pPr>
      <w:r w:rsidRPr="00A44045">
        <w:rPr>
          <w:b/>
          <w:i/>
          <w:color w:val="auto"/>
          <w:sz w:val="22"/>
          <w:szCs w:val="22"/>
        </w:rPr>
        <w:t xml:space="preserve">quarterly return </w:t>
      </w:r>
      <w:r w:rsidRPr="00A44045">
        <w:rPr>
          <w:color w:val="auto"/>
          <w:sz w:val="22"/>
          <w:szCs w:val="22"/>
        </w:rPr>
        <w:t>has the same meaning as in the Risk Equalisation Administration Rules.</w:t>
      </w:r>
    </w:p>
    <w:p w14:paraId="45A750F6" w14:textId="3672E20C" w:rsidR="005777F6" w:rsidRPr="00A44045" w:rsidRDefault="005777F6" w:rsidP="000443F3">
      <w:pPr>
        <w:pStyle w:val="HealthLevel1"/>
        <w:ind w:left="720"/>
        <w:rPr>
          <w:color w:val="auto"/>
          <w:sz w:val="22"/>
          <w:szCs w:val="22"/>
        </w:rPr>
      </w:pPr>
      <w:r w:rsidRPr="00A44045">
        <w:rPr>
          <w:b/>
          <w:i/>
          <w:color w:val="auto"/>
          <w:sz w:val="22"/>
          <w:szCs w:val="22"/>
        </w:rPr>
        <w:t>Risk Equalisation Administration Rules</w:t>
      </w:r>
      <w:r w:rsidRPr="00A44045">
        <w:rPr>
          <w:color w:val="auto"/>
          <w:sz w:val="22"/>
          <w:szCs w:val="22"/>
        </w:rPr>
        <w:t xml:space="preserve"> means the </w:t>
      </w:r>
      <w:r w:rsidRPr="00A44045">
        <w:rPr>
          <w:i/>
          <w:color w:val="auto"/>
          <w:sz w:val="22"/>
          <w:szCs w:val="22"/>
        </w:rPr>
        <w:t>Private Health Insurance (Risk Equalisation Administration) Rules 20</w:t>
      </w:r>
      <w:r w:rsidR="002C56C5" w:rsidRPr="00A44045">
        <w:rPr>
          <w:i/>
          <w:color w:val="auto"/>
          <w:sz w:val="22"/>
          <w:szCs w:val="22"/>
        </w:rPr>
        <w:t>2</w:t>
      </w:r>
      <w:r w:rsidRPr="00A44045">
        <w:rPr>
          <w:i/>
          <w:color w:val="auto"/>
          <w:sz w:val="22"/>
          <w:szCs w:val="22"/>
        </w:rPr>
        <w:t>5</w:t>
      </w:r>
      <w:r w:rsidRPr="00A44045">
        <w:rPr>
          <w:color w:val="auto"/>
          <w:sz w:val="22"/>
          <w:szCs w:val="22"/>
        </w:rPr>
        <w:t>.</w:t>
      </w:r>
    </w:p>
    <w:p w14:paraId="3ED9BEAA" w14:textId="77777777" w:rsidR="005777F6" w:rsidRPr="00A44045" w:rsidRDefault="005777F6" w:rsidP="000443F3">
      <w:pPr>
        <w:pStyle w:val="HealthLevel1"/>
        <w:ind w:left="720"/>
        <w:rPr>
          <w:color w:val="auto"/>
          <w:sz w:val="22"/>
          <w:szCs w:val="22"/>
        </w:rPr>
      </w:pPr>
      <w:r w:rsidRPr="00A44045">
        <w:rPr>
          <w:b/>
          <w:i/>
          <w:color w:val="auto"/>
          <w:sz w:val="22"/>
          <w:szCs w:val="22"/>
        </w:rPr>
        <w:t>risk equalisation levy day</w:t>
      </w:r>
      <w:r w:rsidRPr="00A44045">
        <w:rPr>
          <w:color w:val="auto"/>
          <w:sz w:val="22"/>
          <w:szCs w:val="22"/>
        </w:rPr>
        <w:t xml:space="preserve"> has the same meaning as in the </w:t>
      </w:r>
      <w:r w:rsidRPr="00A44045">
        <w:rPr>
          <w:i/>
          <w:color w:val="auto"/>
          <w:sz w:val="22"/>
          <w:szCs w:val="22"/>
        </w:rPr>
        <w:t>Private Health Insurance (Risk Equalisation Levy) Act 2003</w:t>
      </w:r>
      <w:r w:rsidRPr="00A44045">
        <w:rPr>
          <w:color w:val="auto"/>
          <w:sz w:val="22"/>
          <w:szCs w:val="22"/>
        </w:rPr>
        <w:t>.</w:t>
      </w:r>
    </w:p>
    <w:p w14:paraId="42745CAB" w14:textId="7D7A07D0" w:rsidR="005777F6" w:rsidRPr="00A44045" w:rsidRDefault="005777F6" w:rsidP="000443F3">
      <w:pPr>
        <w:pStyle w:val="HealthLevel1"/>
        <w:ind w:left="720"/>
        <w:rPr>
          <w:color w:val="auto"/>
          <w:sz w:val="22"/>
          <w:szCs w:val="22"/>
        </w:rPr>
      </w:pPr>
      <w:r w:rsidRPr="00A44045">
        <w:rPr>
          <w:b/>
          <w:i/>
          <w:color w:val="auto"/>
          <w:sz w:val="22"/>
          <w:szCs w:val="22"/>
        </w:rPr>
        <w:t>single equivalent unit</w:t>
      </w:r>
      <w:r w:rsidR="00D320C2" w:rsidRPr="00A44045">
        <w:rPr>
          <w:bCs/>
          <w:iCs/>
          <w:color w:val="auto"/>
          <w:sz w:val="22"/>
          <w:szCs w:val="22"/>
        </w:rPr>
        <w:t>,</w:t>
      </w:r>
      <w:r w:rsidRPr="00A44045">
        <w:rPr>
          <w:color w:val="auto"/>
          <w:sz w:val="22"/>
          <w:szCs w:val="22"/>
        </w:rPr>
        <w:t xml:space="preserve"> for a policy</w:t>
      </w:r>
      <w:r w:rsidR="00D320C2" w:rsidRPr="00A44045">
        <w:rPr>
          <w:color w:val="auto"/>
          <w:sz w:val="22"/>
          <w:szCs w:val="22"/>
        </w:rPr>
        <w:t>,</w:t>
      </w:r>
      <w:r w:rsidRPr="00A44045">
        <w:rPr>
          <w:color w:val="auto"/>
          <w:sz w:val="22"/>
          <w:szCs w:val="22"/>
        </w:rPr>
        <w:t xml:space="preserve"> means the number </w:t>
      </w:r>
      <w:r w:rsidR="00236B0A" w:rsidRPr="00A44045">
        <w:rPr>
          <w:color w:val="auto"/>
          <w:sz w:val="22"/>
          <w:szCs w:val="22"/>
        </w:rPr>
        <w:t xml:space="preserve">that </w:t>
      </w:r>
      <w:r w:rsidR="00300405" w:rsidRPr="00A44045">
        <w:rPr>
          <w:color w:val="auto"/>
          <w:sz w:val="22"/>
          <w:szCs w:val="22"/>
        </w:rPr>
        <w:t xml:space="preserve">applies under </w:t>
      </w:r>
      <w:r w:rsidRPr="00A44045">
        <w:rPr>
          <w:color w:val="auto"/>
          <w:sz w:val="22"/>
          <w:szCs w:val="22"/>
        </w:rPr>
        <w:t xml:space="preserve">rule </w:t>
      </w:r>
      <w:r w:rsidR="000311A1" w:rsidRPr="00A44045">
        <w:rPr>
          <w:color w:val="auto"/>
          <w:sz w:val="22"/>
          <w:szCs w:val="22"/>
        </w:rPr>
        <w:t>6</w:t>
      </w:r>
      <w:r w:rsidR="00300405" w:rsidRPr="00A44045">
        <w:rPr>
          <w:color w:val="auto"/>
          <w:sz w:val="22"/>
          <w:szCs w:val="22"/>
        </w:rPr>
        <w:t xml:space="preserve"> </w:t>
      </w:r>
      <w:r w:rsidR="00FF6892" w:rsidRPr="00A44045">
        <w:rPr>
          <w:color w:val="auto"/>
          <w:sz w:val="22"/>
          <w:szCs w:val="22"/>
        </w:rPr>
        <w:t xml:space="preserve">to the </w:t>
      </w:r>
      <w:r w:rsidR="00802814" w:rsidRPr="00A44045">
        <w:rPr>
          <w:color w:val="auto"/>
          <w:sz w:val="22"/>
          <w:szCs w:val="22"/>
        </w:rPr>
        <w:t>category</w:t>
      </w:r>
      <w:r w:rsidR="004A2283" w:rsidRPr="00A44045">
        <w:rPr>
          <w:color w:val="auto"/>
          <w:sz w:val="22"/>
          <w:szCs w:val="22"/>
        </w:rPr>
        <w:t xml:space="preserve"> of polic</w:t>
      </w:r>
      <w:r w:rsidR="00AD665A" w:rsidRPr="00A44045">
        <w:rPr>
          <w:color w:val="auto"/>
          <w:sz w:val="22"/>
          <w:szCs w:val="22"/>
        </w:rPr>
        <w:t>y</w:t>
      </w:r>
      <w:r w:rsidR="004A2283" w:rsidRPr="00A44045">
        <w:rPr>
          <w:color w:val="auto"/>
          <w:sz w:val="22"/>
          <w:szCs w:val="22"/>
        </w:rPr>
        <w:t xml:space="preserve"> that the policy falls into</w:t>
      </w:r>
      <w:r w:rsidRPr="00A44045">
        <w:rPr>
          <w:color w:val="auto"/>
          <w:sz w:val="22"/>
          <w:szCs w:val="22"/>
        </w:rPr>
        <w:t>.</w:t>
      </w:r>
    </w:p>
    <w:p w14:paraId="0513EEF5" w14:textId="77777777" w:rsidR="005777F6" w:rsidRPr="00A44045" w:rsidRDefault="005777F6" w:rsidP="000443F3">
      <w:pPr>
        <w:pStyle w:val="HealthLevel1"/>
        <w:ind w:left="720"/>
        <w:rPr>
          <w:bCs/>
          <w:iCs/>
          <w:color w:val="auto"/>
          <w:sz w:val="22"/>
          <w:szCs w:val="22"/>
        </w:rPr>
      </w:pPr>
      <w:r w:rsidRPr="00A44045">
        <w:rPr>
          <w:b/>
          <w:bCs/>
          <w:i/>
          <w:iCs/>
          <w:color w:val="auto"/>
          <w:sz w:val="22"/>
          <w:szCs w:val="22"/>
        </w:rPr>
        <w:t>Special Account</w:t>
      </w:r>
      <w:r w:rsidRPr="00A44045">
        <w:rPr>
          <w:bCs/>
          <w:iCs/>
          <w:color w:val="auto"/>
          <w:sz w:val="22"/>
          <w:szCs w:val="22"/>
        </w:rPr>
        <w:t xml:space="preserve"> means the Risk Equalisation Special Account.</w:t>
      </w:r>
    </w:p>
    <w:p w14:paraId="68C2D085" w14:textId="40BBB2D9" w:rsidR="005777F6" w:rsidRPr="00A44045" w:rsidRDefault="005777F6" w:rsidP="000443F3">
      <w:pPr>
        <w:pStyle w:val="HealthLevel1"/>
        <w:ind w:left="720"/>
        <w:rPr>
          <w:bCs/>
          <w:iCs/>
          <w:color w:val="auto"/>
          <w:sz w:val="22"/>
          <w:szCs w:val="22"/>
        </w:rPr>
      </w:pPr>
      <w:r w:rsidRPr="00A44045">
        <w:rPr>
          <w:b/>
          <w:bCs/>
          <w:i/>
          <w:iCs/>
          <w:color w:val="auto"/>
          <w:sz w:val="22"/>
          <w:szCs w:val="22"/>
        </w:rPr>
        <w:t xml:space="preserve">State </w:t>
      </w:r>
      <w:r w:rsidRPr="00A44045">
        <w:rPr>
          <w:bCs/>
          <w:iCs/>
          <w:color w:val="auto"/>
          <w:sz w:val="22"/>
          <w:szCs w:val="22"/>
        </w:rPr>
        <w:t>mean</w:t>
      </w:r>
      <w:r w:rsidR="00922189" w:rsidRPr="00A44045">
        <w:rPr>
          <w:bCs/>
          <w:iCs/>
          <w:color w:val="auto"/>
          <w:sz w:val="22"/>
          <w:szCs w:val="22"/>
        </w:rPr>
        <w:t>s</w:t>
      </w:r>
      <w:r w:rsidRPr="00A44045">
        <w:rPr>
          <w:bCs/>
          <w:iCs/>
          <w:color w:val="auto"/>
          <w:sz w:val="22"/>
          <w:szCs w:val="22"/>
        </w:rPr>
        <w:t xml:space="preserve"> an area specified as a risk equalisation jurisdiction in Private Health Insurance (Health Benefits Fund Policy) Rules made under the Act, as made and in force from time to time.</w:t>
      </w:r>
    </w:p>
    <w:p w14:paraId="4080EF60" w14:textId="77777777" w:rsidR="00C34648" w:rsidRPr="00A44045" w:rsidRDefault="00360F6F" w:rsidP="001E174E">
      <w:pPr>
        <w:pStyle w:val="notepara"/>
        <w:ind w:left="1985" w:hanging="851"/>
        <w:rPr>
          <w:szCs w:val="18"/>
        </w:rPr>
      </w:pPr>
      <w:r w:rsidRPr="00A44045">
        <w:rPr>
          <w:szCs w:val="18"/>
        </w:rPr>
        <w:t>Note 2:</w:t>
      </w:r>
      <w:r w:rsidRPr="00A44045">
        <w:rPr>
          <w:szCs w:val="18"/>
        </w:rPr>
        <w:tab/>
        <w:t>The risk equalisation jurisdictions are</w:t>
      </w:r>
      <w:r w:rsidR="00C34648" w:rsidRPr="00A44045">
        <w:rPr>
          <w:szCs w:val="18"/>
        </w:rPr>
        <w:t>:</w:t>
      </w:r>
    </w:p>
    <w:p w14:paraId="2BC25AA4" w14:textId="60008613" w:rsidR="00C34648" w:rsidRPr="00A44045" w:rsidRDefault="00360F6F" w:rsidP="001E174E">
      <w:pPr>
        <w:pStyle w:val="notepara"/>
        <w:numPr>
          <w:ilvl w:val="0"/>
          <w:numId w:val="38"/>
        </w:numPr>
        <w:ind w:left="2398" w:hanging="357"/>
        <w:rPr>
          <w:szCs w:val="18"/>
        </w:rPr>
      </w:pPr>
      <w:r w:rsidRPr="00A44045">
        <w:rPr>
          <w:szCs w:val="18"/>
        </w:rPr>
        <w:t xml:space="preserve">the Northern </w:t>
      </w:r>
      <w:proofErr w:type="gramStart"/>
      <w:r w:rsidRPr="00A44045">
        <w:rPr>
          <w:szCs w:val="18"/>
        </w:rPr>
        <w:t>Territory</w:t>
      </w:r>
      <w:r w:rsidR="00C34648" w:rsidRPr="00A44045">
        <w:rPr>
          <w:szCs w:val="18"/>
        </w:rPr>
        <w:t>;</w:t>
      </w:r>
      <w:proofErr w:type="gramEnd"/>
      <w:r w:rsidR="00C34648" w:rsidRPr="00A44045">
        <w:rPr>
          <w:szCs w:val="18"/>
        </w:rPr>
        <w:t xml:space="preserve">  </w:t>
      </w:r>
    </w:p>
    <w:p w14:paraId="45ED9F3F" w14:textId="2081E7BD" w:rsidR="00C34648" w:rsidRPr="00A44045" w:rsidRDefault="00360F6F" w:rsidP="001E174E">
      <w:pPr>
        <w:pStyle w:val="notepara"/>
        <w:numPr>
          <w:ilvl w:val="0"/>
          <w:numId w:val="38"/>
        </w:numPr>
        <w:ind w:left="2398" w:hanging="357"/>
        <w:rPr>
          <w:szCs w:val="18"/>
        </w:rPr>
      </w:pPr>
      <w:r w:rsidRPr="00A44045">
        <w:rPr>
          <w:szCs w:val="18"/>
        </w:rPr>
        <w:t xml:space="preserve">New South Wales, Norfolk Island and the Australian Capital </w:t>
      </w:r>
      <w:proofErr w:type="gramStart"/>
      <w:r w:rsidRPr="00A44045">
        <w:rPr>
          <w:szCs w:val="18"/>
        </w:rPr>
        <w:t>Territory;</w:t>
      </w:r>
      <w:proofErr w:type="gramEnd"/>
      <w:r w:rsidRPr="00A44045">
        <w:rPr>
          <w:szCs w:val="18"/>
        </w:rPr>
        <w:t xml:space="preserve"> </w:t>
      </w:r>
    </w:p>
    <w:p w14:paraId="48CE57D6" w14:textId="77777777" w:rsidR="00C34648" w:rsidRPr="00A44045" w:rsidRDefault="00360F6F" w:rsidP="001E174E">
      <w:pPr>
        <w:pStyle w:val="notepara"/>
        <w:numPr>
          <w:ilvl w:val="0"/>
          <w:numId w:val="38"/>
        </w:numPr>
        <w:ind w:left="2398" w:hanging="357"/>
        <w:rPr>
          <w:szCs w:val="18"/>
        </w:rPr>
      </w:pPr>
      <w:r w:rsidRPr="00A44045">
        <w:rPr>
          <w:szCs w:val="18"/>
        </w:rPr>
        <w:lastRenderedPageBreak/>
        <w:t xml:space="preserve">Western Australia including the Territory of Christmas Island and the Territory of Cocos (Keeling) Islands; and </w:t>
      </w:r>
    </w:p>
    <w:p w14:paraId="46DEA543" w14:textId="506B8B5D" w:rsidR="00360F6F" w:rsidRPr="00A44045" w:rsidRDefault="00360F6F" w:rsidP="001E174E">
      <w:pPr>
        <w:pStyle w:val="notepara"/>
        <w:numPr>
          <w:ilvl w:val="0"/>
          <w:numId w:val="38"/>
        </w:numPr>
        <w:ind w:left="2398" w:hanging="357"/>
        <w:rPr>
          <w:szCs w:val="18"/>
        </w:rPr>
      </w:pPr>
      <w:r w:rsidRPr="00A44045">
        <w:rPr>
          <w:szCs w:val="18"/>
        </w:rPr>
        <w:t>each of the other States.</w:t>
      </w:r>
    </w:p>
    <w:p w14:paraId="6343306C" w14:textId="47FF1B4A" w:rsidR="00A838BE" w:rsidRPr="00A44045" w:rsidRDefault="00A838BE" w:rsidP="00AA7FE3">
      <w:pPr>
        <w:pStyle w:val="ActHead7"/>
        <w:outlineLvl w:val="4"/>
      </w:pPr>
      <w:bookmarkStart w:id="7" w:name="_Toc454781205"/>
      <w:bookmarkStart w:id="8" w:name="_Toc204756711"/>
      <w:proofErr w:type="gramStart"/>
      <w:r w:rsidRPr="00A44045">
        <w:t>5  Schedules</w:t>
      </w:r>
      <w:bookmarkEnd w:id="7"/>
      <w:bookmarkEnd w:id="8"/>
      <w:proofErr w:type="gramEnd"/>
    </w:p>
    <w:p w14:paraId="23A57A80" w14:textId="46C2BE02" w:rsidR="00A838BE" w:rsidRPr="00A44045" w:rsidRDefault="00A838BE" w:rsidP="000443F3">
      <w:pPr>
        <w:pStyle w:val="subsection"/>
        <w:ind w:left="720" w:firstLine="0"/>
      </w:pPr>
      <w:r w:rsidRPr="00A44045">
        <w:tab/>
      </w:r>
      <w:r w:rsidR="00F42F3B" w:rsidRPr="00A44045">
        <w:t>Each instrument that is specified in a Schedule to this instrument is amended or repealed as set out in the applicable items in the Schedule concerned, and any other item in a Schedule to this instrument has effect according to its terms.</w:t>
      </w:r>
    </w:p>
    <w:p w14:paraId="28DEF8CE" w14:textId="563955A7" w:rsidR="00554826" w:rsidRPr="00A44045" w:rsidRDefault="00554826" w:rsidP="00AA7FE3">
      <w:pPr>
        <w:pStyle w:val="ActHead7"/>
        <w:outlineLvl w:val="4"/>
      </w:pPr>
      <w:bookmarkStart w:id="9" w:name="_Toc204756712"/>
      <w:proofErr w:type="gramStart"/>
      <w:r w:rsidRPr="00A44045">
        <w:t xml:space="preserve">6  </w:t>
      </w:r>
      <w:bookmarkStart w:id="10" w:name="_Ref160983632"/>
      <w:bookmarkStart w:id="11" w:name="_Ref160986772"/>
      <w:bookmarkStart w:id="12" w:name="_Toc422756122"/>
      <w:bookmarkStart w:id="13" w:name="_Toc472327260"/>
      <w:r w:rsidR="00D6592F" w:rsidRPr="00A44045">
        <w:t>Single</w:t>
      </w:r>
      <w:proofErr w:type="gramEnd"/>
      <w:r w:rsidR="00D6592F" w:rsidRPr="00A44045">
        <w:t xml:space="preserve"> equivalent unit</w:t>
      </w:r>
      <w:bookmarkEnd w:id="9"/>
      <w:bookmarkEnd w:id="10"/>
      <w:bookmarkEnd w:id="11"/>
      <w:bookmarkEnd w:id="12"/>
      <w:bookmarkEnd w:id="13"/>
    </w:p>
    <w:p w14:paraId="1BCEFA12" w14:textId="3D4AB51C" w:rsidR="00EE053F" w:rsidRPr="00A44045" w:rsidRDefault="00FD32E2" w:rsidP="00EE053F">
      <w:pPr>
        <w:pStyle w:val="HealthnumLevel5"/>
        <w:numPr>
          <w:ilvl w:val="0"/>
          <w:numId w:val="15"/>
        </w:numPr>
        <w:rPr>
          <w:sz w:val="22"/>
          <w:szCs w:val="22"/>
        </w:rPr>
      </w:pPr>
      <w:r w:rsidRPr="00A44045">
        <w:rPr>
          <w:sz w:val="22"/>
          <w:szCs w:val="22"/>
        </w:rPr>
        <w:t>T</w:t>
      </w:r>
      <w:r w:rsidR="00EE053F" w:rsidRPr="00A44045">
        <w:rPr>
          <w:sz w:val="22"/>
          <w:szCs w:val="22"/>
        </w:rPr>
        <w:t xml:space="preserve">he single equivalent unit for </w:t>
      </w:r>
      <w:r w:rsidRPr="00A44045">
        <w:rPr>
          <w:sz w:val="22"/>
          <w:szCs w:val="22"/>
        </w:rPr>
        <w:t>a</w:t>
      </w:r>
      <w:r w:rsidR="00EE053F" w:rsidRPr="00A44045">
        <w:rPr>
          <w:sz w:val="22"/>
          <w:szCs w:val="22"/>
        </w:rPr>
        <w:t xml:space="preserve"> policy is the number </w:t>
      </w:r>
      <w:r w:rsidR="00634A75" w:rsidRPr="00A44045">
        <w:rPr>
          <w:sz w:val="22"/>
          <w:szCs w:val="22"/>
        </w:rPr>
        <w:t xml:space="preserve">in column 2 of the table </w:t>
      </w:r>
      <w:r w:rsidR="002A6A4C" w:rsidRPr="00A44045">
        <w:rPr>
          <w:sz w:val="22"/>
          <w:szCs w:val="22"/>
        </w:rPr>
        <w:t xml:space="preserve">for the category </w:t>
      </w:r>
      <w:r w:rsidR="00EC7FAB" w:rsidRPr="00A44045">
        <w:rPr>
          <w:sz w:val="22"/>
          <w:szCs w:val="22"/>
        </w:rPr>
        <w:t>of policy described in column</w:t>
      </w:r>
      <w:r w:rsidR="0035526D" w:rsidRPr="00A44045">
        <w:rPr>
          <w:sz w:val="22"/>
          <w:szCs w:val="22"/>
        </w:rPr>
        <w:t xml:space="preserve"> 1 that applies to the policy</w:t>
      </w:r>
      <w:r w:rsidR="00EE053F" w:rsidRPr="00A44045">
        <w:rPr>
          <w:sz w:val="22"/>
          <w:szCs w:val="22"/>
        </w:rPr>
        <w:t>.</w:t>
      </w:r>
    </w:p>
    <w:p w14:paraId="008EEE1F" w14:textId="77777777" w:rsidR="00421581" w:rsidRPr="00A44045" w:rsidRDefault="00421581" w:rsidP="001E174E">
      <w:pPr>
        <w:pStyle w:val="HealthnumLevel5"/>
        <w:tabs>
          <w:tab w:val="clear" w:pos="850"/>
        </w:tabs>
        <w:spacing w:before="0"/>
        <w:ind w:left="1077" w:firstLine="0"/>
        <w:rPr>
          <w:sz w:val="22"/>
          <w:szCs w:val="22"/>
        </w:rPr>
      </w:pPr>
    </w:p>
    <w:tbl>
      <w:tblPr>
        <w:tblW w:w="4945" w:type="pct"/>
        <w:tblBorders>
          <w:top w:val="single" w:sz="4" w:space="0" w:color="auto"/>
          <w:bottom w:val="single" w:sz="2" w:space="0" w:color="auto"/>
          <w:insideH w:val="single" w:sz="2" w:space="0" w:color="auto"/>
        </w:tblBorders>
        <w:tblLook w:val="04A0" w:firstRow="1" w:lastRow="0" w:firstColumn="1" w:lastColumn="0" w:noHBand="0" w:noVBand="1"/>
      </w:tblPr>
      <w:tblGrid>
        <w:gridCol w:w="852"/>
        <w:gridCol w:w="5668"/>
        <w:gridCol w:w="143"/>
        <w:gridCol w:w="1559"/>
      </w:tblGrid>
      <w:tr w:rsidR="00EE54C8" w:rsidRPr="00A44045" w14:paraId="34CABD8A" w14:textId="77777777" w:rsidTr="001E174E">
        <w:trPr>
          <w:trHeight w:val="1294"/>
          <w:tblHeader/>
        </w:trPr>
        <w:tc>
          <w:tcPr>
            <w:tcW w:w="518" w:type="pct"/>
            <w:tcBorders>
              <w:top w:val="single" w:sz="6" w:space="0" w:color="auto"/>
              <w:bottom w:val="single" w:sz="12" w:space="0" w:color="auto"/>
            </w:tcBorders>
            <w:hideMark/>
          </w:tcPr>
          <w:p w14:paraId="72566234" w14:textId="77777777" w:rsidR="00EE54C8" w:rsidRPr="00A44045" w:rsidRDefault="00EE54C8" w:rsidP="00F338C7">
            <w:pPr>
              <w:pStyle w:val="TableHeading"/>
            </w:pPr>
            <w:r w:rsidRPr="00A44045">
              <w:t>Item</w:t>
            </w:r>
          </w:p>
        </w:tc>
        <w:tc>
          <w:tcPr>
            <w:tcW w:w="3447" w:type="pct"/>
            <w:tcBorders>
              <w:top w:val="single" w:sz="6" w:space="0" w:color="auto"/>
              <w:bottom w:val="single" w:sz="12" w:space="0" w:color="auto"/>
            </w:tcBorders>
            <w:hideMark/>
          </w:tcPr>
          <w:p w14:paraId="77025BB9" w14:textId="77777777" w:rsidR="00EE54C8" w:rsidRPr="00A44045" w:rsidRDefault="00EE54C8" w:rsidP="00F338C7">
            <w:pPr>
              <w:pStyle w:val="TableHeading"/>
            </w:pPr>
            <w:r w:rsidRPr="00A44045">
              <w:t>Column 1</w:t>
            </w:r>
          </w:p>
          <w:p w14:paraId="3085CBB5" w14:textId="347EA225" w:rsidR="00EE54C8" w:rsidRPr="00A44045" w:rsidRDefault="00EE54C8" w:rsidP="00F338C7">
            <w:pPr>
              <w:pStyle w:val="TableHeading"/>
            </w:pPr>
            <w:r w:rsidRPr="00A44045">
              <w:t>Categor</w:t>
            </w:r>
            <w:r w:rsidR="00C73D0B" w:rsidRPr="00A44045">
              <w:t>y of policy</w:t>
            </w:r>
          </w:p>
        </w:tc>
        <w:tc>
          <w:tcPr>
            <w:tcW w:w="1035" w:type="pct"/>
            <w:gridSpan w:val="2"/>
            <w:tcBorders>
              <w:top w:val="single" w:sz="6" w:space="0" w:color="auto"/>
              <w:bottom w:val="single" w:sz="12" w:space="0" w:color="auto"/>
            </w:tcBorders>
            <w:hideMark/>
          </w:tcPr>
          <w:p w14:paraId="17E4B034" w14:textId="77777777" w:rsidR="00EE54C8" w:rsidRPr="00A44045" w:rsidRDefault="00EE54C8" w:rsidP="00F338C7">
            <w:pPr>
              <w:pStyle w:val="TableHeading"/>
            </w:pPr>
            <w:r w:rsidRPr="00A44045">
              <w:t>Column 2</w:t>
            </w:r>
          </w:p>
          <w:p w14:paraId="3B487F60" w14:textId="44DE16A1" w:rsidR="00EE54C8" w:rsidRPr="00A44045" w:rsidRDefault="00C73D0B" w:rsidP="00F338C7">
            <w:pPr>
              <w:pStyle w:val="TableHeading"/>
            </w:pPr>
            <w:r w:rsidRPr="00A44045">
              <w:t>Single equivalent unit</w:t>
            </w:r>
          </w:p>
        </w:tc>
      </w:tr>
      <w:tr w:rsidR="00672371" w:rsidRPr="00A44045" w14:paraId="048EA0B4" w14:textId="77777777" w:rsidTr="00672371">
        <w:trPr>
          <w:trHeight w:val="293"/>
        </w:trPr>
        <w:tc>
          <w:tcPr>
            <w:tcW w:w="518" w:type="pct"/>
            <w:tcBorders>
              <w:top w:val="single" w:sz="12" w:space="0" w:color="auto"/>
            </w:tcBorders>
            <w:hideMark/>
          </w:tcPr>
          <w:p w14:paraId="31CE927D" w14:textId="77777777" w:rsidR="00EE54C8" w:rsidRPr="00A44045" w:rsidRDefault="00EE54C8" w:rsidP="00F338C7">
            <w:pPr>
              <w:pStyle w:val="Tabletext"/>
            </w:pPr>
            <w:r w:rsidRPr="00A44045">
              <w:t>1</w:t>
            </w:r>
          </w:p>
        </w:tc>
        <w:tc>
          <w:tcPr>
            <w:tcW w:w="3534" w:type="pct"/>
            <w:gridSpan w:val="2"/>
            <w:tcBorders>
              <w:top w:val="single" w:sz="12" w:space="0" w:color="auto"/>
            </w:tcBorders>
            <w:hideMark/>
          </w:tcPr>
          <w:p w14:paraId="5CD692A9" w14:textId="0C164F15" w:rsidR="00EE54C8" w:rsidRPr="00A44045" w:rsidRDefault="00C73D0B" w:rsidP="00F338C7">
            <w:pPr>
              <w:pStyle w:val="Tabletext"/>
            </w:pPr>
            <w:r w:rsidRPr="00A44045">
              <w:rPr>
                <w:sz w:val="22"/>
                <w:szCs w:val="22"/>
              </w:rPr>
              <w:t>A hospital policy under which only one person is insured</w:t>
            </w:r>
          </w:p>
        </w:tc>
        <w:tc>
          <w:tcPr>
            <w:tcW w:w="948" w:type="pct"/>
            <w:tcBorders>
              <w:top w:val="single" w:sz="12" w:space="0" w:color="auto"/>
            </w:tcBorders>
            <w:hideMark/>
          </w:tcPr>
          <w:p w14:paraId="2EC541A6" w14:textId="1291D6BE" w:rsidR="00EE54C8" w:rsidRPr="00A44045" w:rsidRDefault="00C73D0B" w:rsidP="00F338C7">
            <w:pPr>
              <w:pStyle w:val="Tabletext"/>
            </w:pPr>
            <w:r w:rsidRPr="00A44045">
              <w:t>1</w:t>
            </w:r>
          </w:p>
        </w:tc>
      </w:tr>
      <w:tr w:rsidR="00EE54C8" w:rsidRPr="00A44045" w14:paraId="4EDABEFB" w14:textId="77777777" w:rsidTr="001E174E">
        <w:trPr>
          <w:trHeight w:val="293"/>
        </w:trPr>
        <w:tc>
          <w:tcPr>
            <w:tcW w:w="518" w:type="pct"/>
            <w:hideMark/>
          </w:tcPr>
          <w:p w14:paraId="67647AF8" w14:textId="77777777" w:rsidR="00EE54C8" w:rsidRPr="00A44045" w:rsidRDefault="00EE54C8" w:rsidP="00F338C7">
            <w:pPr>
              <w:pStyle w:val="Tabletext"/>
            </w:pPr>
            <w:r w:rsidRPr="00A44045">
              <w:t>2</w:t>
            </w:r>
          </w:p>
        </w:tc>
        <w:tc>
          <w:tcPr>
            <w:tcW w:w="3534" w:type="pct"/>
            <w:gridSpan w:val="2"/>
            <w:hideMark/>
          </w:tcPr>
          <w:p w14:paraId="14CE7BB3" w14:textId="7C0CB722" w:rsidR="00EE54C8" w:rsidRPr="00A44045" w:rsidRDefault="00C73D0B" w:rsidP="00F338C7">
            <w:pPr>
              <w:pStyle w:val="Tabletext"/>
            </w:pPr>
            <w:r w:rsidRPr="00A44045">
              <w:rPr>
                <w:sz w:val="22"/>
                <w:szCs w:val="22"/>
              </w:rPr>
              <w:t>A hospital policy under which 2 adults are insured (and no-one else)</w:t>
            </w:r>
          </w:p>
        </w:tc>
        <w:tc>
          <w:tcPr>
            <w:tcW w:w="948" w:type="pct"/>
            <w:hideMark/>
          </w:tcPr>
          <w:p w14:paraId="506C4251" w14:textId="30C05321" w:rsidR="00EE54C8" w:rsidRPr="00A44045" w:rsidRDefault="00C73D0B" w:rsidP="00F338C7">
            <w:pPr>
              <w:pStyle w:val="Tabletext"/>
            </w:pPr>
            <w:r w:rsidRPr="00A44045">
              <w:t>2</w:t>
            </w:r>
          </w:p>
        </w:tc>
      </w:tr>
      <w:tr w:rsidR="00EE54C8" w:rsidRPr="00A44045" w14:paraId="04E45FF7" w14:textId="77777777" w:rsidTr="001E174E">
        <w:trPr>
          <w:trHeight w:val="278"/>
        </w:trPr>
        <w:tc>
          <w:tcPr>
            <w:tcW w:w="518" w:type="pct"/>
            <w:hideMark/>
          </w:tcPr>
          <w:p w14:paraId="4842C030" w14:textId="77777777" w:rsidR="00EE54C8" w:rsidRPr="00A44045" w:rsidRDefault="00EE54C8" w:rsidP="00F338C7">
            <w:pPr>
              <w:pStyle w:val="Tabletext"/>
            </w:pPr>
            <w:r w:rsidRPr="00A44045">
              <w:t>3</w:t>
            </w:r>
          </w:p>
        </w:tc>
        <w:tc>
          <w:tcPr>
            <w:tcW w:w="3534" w:type="pct"/>
            <w:gridSpan w:val="2"/>
            <w:hideMark/>
          </w:tcPr>
          <w:p w14:paraId="43D3CA4D" w14:textId="0CBF45A1" w:rsidR="00EE54C8" w:rsidRPr="00A44045" w:rsidRDefault="00C73D0B" w:rsidP="00F338C7">
            <w:pPr>
              <w:pStyle w:val="Tabletext"/>
            </w:pPr>
            <w:r w:rsidRPr="00A44045">
              <w:rPr>
                <w:sz w:val="22"/>
                <w:szCs w:val="22"/>
              </w:rPr>
              <w:t>A hospital policy under which 2 or more people are insured, none of whom is an adult</w:t>
            </w:r>
          </w:p>
        </w:tc>
        <w:tc>
          <w:tcPr>
            <w:tcW w:w="948" w:type="pct"/>
            <w:hideMark/>
          </w:tcPr>
          <w:p w14:paraId="2F04D626" w14:textId="42484929" w:rsidR="00EE54C8" w:rsidRPr="00A44045" w:rsidRDefault="00C73D0B" w:rsidP="00F338C7">
            <w:pPr>
              <w:pStyle w:val="Tabletext"/>
            </w:pPr>
            <w:r w:rsidRPr="00A44045">
              <w:t>1</w:t>
            </w:r>
          </w:p>
        </w:tc>
      </w:tr>
      <w:tr w:rsidR="00EE54C8" w:rsidRPr="00A44045" w14:paraId="07AB17AC" w14:textId="77777777" w:rsidTr="001E174E">
        <w:trPr>
          <w:trHeight w:val="293"/>
        </w:trPr>
        <w:tc>
          <w:tcPr>
            <w:tcW w:w="518" w:type="pct"/>
            <w:hideMark/>
          </w:tcPr>
          <w:p w14:paraId="35C7E3F4" w14:textId="77777777" w:rsidR="00EE54C8" w:rsidRPr="00A44045" w:rsidRDefault="00EE54C8" w:rsidP="00F338C7">
            <w:pPr>
              <w:pStyle w:val="Tabletext"/>
            </w:pPr>
            <w:r w:rsidRPr="00A44045">
              <w:t>4</w:t>
            </w:r>
          </w:p>
        </w:tc>
        <w:tc>
          <w:tcPr>
            <w:tcW w:w="3534" w:type="pct"/>
            <w:gridSpan w:val="2"/>
            <w:hideMark/>
          </w:tcPr>
          <w:p w14:paraId="5080D02C" w14:textId="7924171F" w:rsidR="00EE54C8" w:rsidRPr="00A44045" w:rsidRDefault="00C73D0B" w:rsidP="00F338C7">
            <w:pPr>
              <w:pStyle w:val="Tabletext"/>
            </w:pPr>
            <w:r w:rsidRPr="00A44045">
              <w:rPr>
                <w:sz w:val="22"/>
                <w:szCs w:val="22"/>
              </w:rPr>
              <w:t>A hospital policy under which 2 or more people are insured, only one of whom is an adult</w:t>
            </w:r>
          </w:p>
        </w:tc>
        <w:tc>
          <w:tcPr>
            <w:tcW w:w="948" w:type="pct"/>
            <w:hideMark/>
          </w:tcPr>
          <w:p w14:paraId="78BEFB3A" w14:textId="749464DB" w:rsidR="00EE54C8" w:rsidRPr="00A44045" w:rsidRDefault="00C73D0B" w:rsidP="00F338C7">
            <w:pPr>
              <w:pStyle w:val="Tabletext"/>
            </w:pPr>
            <w:r w:rsidRPr="00A44045">
              <w:t>1</w:t>
            </w:r>
          </w:p>
        </w:tc>
      </w:tr>
      <w:tr w:rsidR="00672371" w:rsidRPr="00A44045" w14:paraId="6F030084" w14:textId="77777777" w:rsidTr="00672371">
        <w:trPr>
          <w:trHeight w:val="293"/>
        </w:trPr>
        <w:tc>
          <w:tcPr>
            <w:tcW w:w="518" w:type="pct"/>
            <w:tcBorders>
              <w:top w:val="single" w:sz="2" w:space="0" w:color="auto"/>
              <w:bottom w:val="single" w:sz="12" w:space="0" w:color="auto"/>
            </w:tcBorders>
          </w:tcPr>
          <w:p w14:paraId="0F237C46" w14:textId="77777777" w:rsidR="00EE54C8" w:rsidRPr="00A44045" w:rsidRDefault="00EE54C8" w:rsidP="00F338C7">
            <w:pPr>
              <w:pStyle w:val="Tabletext"/>
            </w:pPr>
            <w:r w:rsidRPr="00A44045">
              <w:t>5</w:t>
            </w:r>
          </w:p>
        </w:tc>
        <w:tc>
          <w:tcPr>
            <w:tcW w:w="3534" w:type="pct"/>
            <w:gridSpan w:val="2"/>
            <w:tcBorders>
              <w:top w:val="single" w:sz="2" w:space="0" w:color="auto"/>
              <w:bottom w:val="single" w:sz="12" w:space="0" w:color="auto"/>
            </w:tcBorders>
          </w:tcPr>
          <w:p w14:paraId="5F6339FB" w14:textId="005C28B5" w:rsidR="00EE54C8" w:rsidRPr="00A44045" w:rsidRDefault="00C73D0B" w:rsidP="00F338C7">
            <w:pPr>
              <w:pStyle w:val="Tabletext"/>
            </w:pPr>
            <w:r w:rsidRPr="00A44045">
              <w:rPr>
                <w:sz w:val="22"/>
                <w:szCs w:val="22"/>
              </w:rPr>
              <w:t>A hospital policy under which 3 or more people are insured, only 2 of whom are adults</w:t>
            </w:r>
          </w:p>
        </w:tc>
        <w:tc>
          <w:tcPr>
            <w:tcW w:w="948" w:type="pct"/>
            <w:tcBorders>
              <w:top w:val="single" w:sz="2" w:space="0" w:color="auto"/>
              <w:bottom w:val="single" w:sz="12" w:space="0" w:color="auto"/>
            </w:tcBorders>
          </w:tcPr>
          <w:p w14:paraId="7CB446FE" w14:textId="39D804D4" w:rsidR="00EE54C8" w:rsidRPr="00A44045" w:rsidRDefault="00C73D0B" w:rsidP="00F338C7">
            <w:pPr>
              <w:pStyle w:val="Tabletext"/>
            </w:pPr>
            <w:r w:rsidRPr="00A44045">
              <w:t>2</w:t>
            </w:r>
          </w:p>
        </w:tc>
      </w:tr>
    </w:tbl>
    <w:p w14:paraId="7C1D55F1" w14:textId="23DD640E" w:rsidR="00057012" w:rsidRPr="00A44045" w:rsidRDefault="00EE053F" w:rsidP="001E174E">
      <w:pPr>
        <w:pStyle w:val="subsection"/>
        <w:ind w:left="1985" w:hanging="851"/>
        <w:rPr>
          <w:sz w:val="18"/>
          <w:szCs w:val="18"/>
        </w:rPr>
      </w:pPr>
      <w:r w:rsidRPr="00A44045">
        <w:rPr>
          <w:sz w:val="18"/>
          <w:szCs w:val="18"/>
        </w:rPr>
        <w:t>Note:</w:t>
      </w:r>
      <w:r w:rsidR="007A7664" w:rsidRPr="00A44045">
        <w:rPr>
          <w:sz w:val="18"/>
          <w:szCs w:val="18"/>
        </w:rPr>
        <w:tab/>
      </w:r>
      <w:r w:rsidRPr="00A44045">
        <w:rPr>
          <w:sz w:val="18"/>
          <w:szCs w:val="18"/>
        </w:rPr>
        <w:t>Hospital policy means a policy which covers any hospital treatment―see rule</w:t>
      </w:r>
      <w:r w:rsidR="0035526D" w:rsidRPr="00A44045">
        <w:rPr>
          <w:sz w:val="18"/>
          <w:szCs w:val="18"/>
        </w:rPr>
        <w:t xml:space="preserve"> </w:t>
      </w:r>
      <w:r w:rsidR="00C15A33" w:rsidRPr="00A44045">
        <w:rPr>
          <w:sz w:val="18"/>
          <w:szCs w:val="18"/>
        </w:rPr>
        <w:t>4</w:t>
      </w:r>
      <w:r w:rsidRPr="00A44045">
        <w:rPr>
          <w:sz w:val="18"/>
          <w:szCs w:val="18"/>
        </w:rPr>
        <w:t>.</w:t>
      </w:r>
    </w:p>
    <w:p w14:paraId="29B89F44" w14:textId="689015C2" w:rsidR="00057012" w:rsidRPr="00A44045" w:rsidRDefault="00057012" w:rsidP="00AA7FE3">
      <w:pPr>
        <w:pStyle w:val="ActHead7"/>
        <w:outlineLvl w:val="4"/>
      </w:pPr>
      <w:bookmarkStart w:id="14" w:name="_Toc204756713"/>
      <w:proofErr w:type="gramStart"/>
      <w:r w:rsidRPr="00A44045">
        <w:t xml:space="preserve">7 </w:t>
      </w:r>
      <w:r w:rsidR="000F503C" w:rsidRPr="00A44045">
        <w:t xml:space="preserve"> </w:t>
      </w:r>
      <w:r w:rsidR="00CB646D" w:rsidRPr="00A44045">
        <w:t>Eligible</w:t>
      </w:r>
      <w:proofErr w:type="gramEnd"/>
      <w:r w:rsidR="00CB646D" w:rsidRPr="00A44045">
        <w:t xml:space="preserve"> benefits</w:t>
      </w:r>
      <w:bookmarkEnd w:id="14"/>
    </w:p>
    <w:p w14:paraId="4A9B0A32" w14:textId="4C220B3A" w:rsidR="00C44EA3" w:rsidRPr="00A44045" w:rsidRDefault="00C44EA3" w:rsidP="001E174E">
      <w:pPr>
        <w:pStyle w:val="HealthnumLevel5"/>
        <w:numPr>
          <w:ilvl w:val="0"/>
          <w:numId w:val="16"/>
        </w:numPr>
        <w:ind w:left="1077" w:hanging="357"/>
        <w:rPr>
          <w:sz w:val="22"/>
          <w:szCs w:val="22"/>
        </w:rPr>
      </w:pPr>
      <w:bookmarkStart w:id="15" w:name="_Ref154126844"/>
      <w:r w:rsidRPr="00A44045">
        <w:rPr>
          <w:b/>
          <w:i/>
          <w:sz w:val="22"/>
          <w:szCs w:val="22"/>
        </w:rPr>
        <w:t>Eligible benefit</w:t>
      </w:r>
      <w:r w:rsidRPr="00A44045">
        <w:rPr>
          <w:sz w:val="22"/>
          <w:szCs w:val="22"/>
        </w:rPr>
        <w:t xml:space="preserve"> means a benefit paid by an insurer under a policy for any of the following:</w:t>
      </w:r>
      <w:bookmarkEnd w:id="15"/>
    </w:p>
    <w:p w14:paraId="38E2F369" w14:textId="74A2708D" w:rsidR="00C44EA3" w:rsidRPr="00A44045" w:rsidRDefault="00C44EA3" w:rsidP="001E174E">
      <w:pPr>
        <w:pStyle w:val="Healthnumlevel2"/>
        <w:numPr>
          <w:ilvl w:val="1"/>
          <w:numId w:val="16"/>
        </w:numPr>
        <w:ind w:left="1434" w:hanging="357"/>
        <w:rPr>
          <w:color w:val="auto"/>
          <w:sz w:val="22"/>
          <w:szCs w:val="22"/>
        </w:rPr>
      </w:pPr>
      <w:bookmarkStart w:id="16" w:name="_Ref154126847"/>
      <w:bookmarkStart w:id="17" w:name="_Ref156634934"/>
      <w:r w:rsidRPr="00A44045">
        <w:rPr>
          <w:color w:val="auto"/>
          <w:sz w:val="22"/>
          <w:szCs w:val="22"/>
        </w:rPr>
        <w:t>the following general treatment</w:t>
      </w:r>
      <w:r w:rsidR="0004507C" w:rsidRPr="00A44045">
        <w:rPr>
          <w:color w:val="auto"/>
          <w:sz w:val="22"/>
          <w:szCs w:val="22"/>
        </w:rPr>
        <w:t>, where</w:t>
      </w:r>
      <w:r w:rsidR="002B3E4D" w:rsidRPr="00A44045">
        <w:rPr>
          <w:color w:val="auto"/>
          <w:sz w:val="22"/>
          <w:szCs w:val="22"/>
        </w:rPr>
        <w:t xml:space="preserve"> </w:t>
      </w:r>
      <w:r w:rsidRPr="00A44045">
        <w:rPr>
          <w:color w:val="auto"/>
          <w:sz w:val="22"/>
          <w:szCs w:val="22"/>
        </w:rPr>
        <w:t>provided as part of a chronic disease management program</w:t>
      </w:r>
      <w:bookmarkEnd w:id="16"/>
      <w:r w:rsidRPr="00A44045">
        <w:rPr>
          <w:color w:val="auto"/>
          <w:sz w:val="22"/>
          <w:szCs w:val="22"/>
        </w:rPr>
        <w:t>:</w:t>
      </w:r>
      <w:bookmarkEnd w:id="17"/>
    </w:p>
    <w:p w14:paraId="75A0D56A" w14:textId="27E1A569" w:rsidR="00C44EA3" w:rsidRPr="00A44045" w:rsidRDefault="00C44EA3" w:rsidP="001E174E">
      <w:pPr>
        <w:pStyle w:val="HealthnumLevel3"/>
        <w:numPr>
          <w:ilvl w:val="2"/>
          <w:numId w:val="16"/>
        </w:numPr>
        <w:ind w:left="1882" w:hanging="181"/>
        <w:jc w:val="left"/>
        <w:rPr>
          <w:color w:val="auto"/>
          <w:sz w:val="22"/>
          <w:szCs w:val="22"/>
        </w:rPr>
      </w:pPr>
      <w:bookmarkStart w:id="18" w:name="_Ref156915162"/>
      <w:r w:rsidRPr="00A44045">
        <w:rPr>
          <w:color w:val="auto"/>
          <w:sz w:val="22"/>
          <w:szCs w:val="22"/>
        </w:rPr>
        <w:t>the planning and coordination services described in paragraphs (b) and (c) of the definition of chronic disease management program in the Business Rules; and</w:t>
      </w:r>
      <w:bookmarkEnd w:id="18"/>
    </w:p>
    <w:p w14:paraId="36282E48" w14:textId="7EA6582F" w:rsidR="00C44EA3" w:rsidRPr="00A44045" w:rsidRDefault="0041392F" w:rsidP="001E174E">
      <w:pPr>
        <w:pStyle w:val="HealthnumLevel3"/>
        <w:numPr>
          <w:ilvl w:val="2"/>
          <w:numId w:val="16"/>
        </w:numPr>
        <w:ind w:left="1882" w:hanging="181"/>
        <w:jc w:val="left"/>
        <w:rPr>
          <w:color w:val="auto"/>
          <w:sz w:val="22"/>
          <w:szCs w:val="22"/>
        </w:rPr>
      </w:pPr>
      <w:bookmarkStart w:id="19" w:name="_Ref156915164"/>
      <w:r w:rsidRPr="00A44045">
        <w:rPr>
          <w:color w:val="auto"/>
          <w:sz w:val="22"/>
          <w:szCs w:val="22"/>
        </w:rPr>
        <w:t xml:space="preserve">an </w:t>
      </w:r>
      <w:r w:rsidR="00C44EA3" w:rsidRPr="00A44045">
        <w:rPr>
          <w:color w:val="auto"/>
          <w:sz w:val="22"/>
          <w:szCs w:val="22"/>
        </w:rPr>
        <w:t xml:space="preserve">allied health </w:t>
      </w:r>
      <w:proofErr w:type="gramStart"/>
      <w:r w:rsidR="00C44EA3" w:rsidRPr="00A44045">
        <w:rPr>
          <w:color w:val="auto"/>
          <w:sz w:val="22"/>
          <w:szCs w:val="22"/>
        </w:rPr>
        <w:t>service;</w:t>
      </w:r>
      <w:bookmarkEnd w:id="19"/>
      <w:proofErr w:type="gramEnd"/>
    </w:p>
    <w:p w14:paraId="3E8453DA" w14:textId="77777777" w:rsidR="00C44EA3" w:rsidRPr="00A44045" w:rsidRDefault="00C44EA3" w:rsidP="001E174E">
      <w:pPr>
        <w:pStyle w:val="Healthnumlevel2"/>
        <w:numPr>
          <w:ilvl w:val="1"/>
          <w:numId w:val="16"/>
        </w:numPr>
        <w:ind w:left="1434" w:hanging="357"/>
        <w:rPr>
          <w:color w:val="auto"/>
          <w:sz w:val="22"/>
          <w:szCs w:val="22"/>
        </w:rPr>
      </w:pPr>
      <w:r w:rsidRPr="00A44045">
        <w:rPr>
          <w:color w:val="auto"/>
          <w:sz w:val="22"/>
          <w:szCs w:val="22"/>
        </w:rPr>
        <w:t xml:space="preserve">hospital-substitute </w:t>
      </w:r>
      <w:proofErr w:type="gramStart"/>
      <w:r w:rsidRPr="00A44045">
        <w:rPr>
          <w:color w:val="auto"/>
          <w:sz w:val="22"/>
          <w:szCs w:val="22"/>
        </w:rPr>
        <w:t>treatment;</w:t>
      </w:r>
      <w:proofErr w:type="gramEnd"/>
    </w:p>
    <w:p w14:paraId="7591A7E9" w14:textId="038662D3" w:rsidR="00C44EA3" w:rsidRPr="00A44045" w:rsidRDefault="00C44EA3" w:rsidP="001E174E">
      <w:pPr>
        <w:pStyle w:val="Healthnumlevel2"/>
        <w:numPr>
          <w:ilvl w:val="1"/>
          <w:numId w:val="16"/>
        </w:numPr>
        <w:ind w:left="1434" w:hanging="357"/>
        <w:rPr>
          <w:color w:val="auto"/>
          <w:sz w:val="22"/>
          <w:szCs w:val="22"/>
        </w:rPr>
      </w:pPr>
      <w:bookmarkStart w:id="20" w:name="_Ref156918548"/>
      <w:r w:rsidRPr="00A44045">
        <w:rPr>
          <w:color w:val="auto"/>
          <w:sz w:val="22"/>
          <w:szCs w:val="22"/>
        </w:rPr>
        <w:t>hospital treatment</w:t>
      </w:r>
      <w:bookmarkEnd w:id="20"/>
      <w:r w:rsidRPr="00A44045">
        <w:rPr>
          <w:color w:val="auto"/>
          <w:sz w:val="22"/>
          <w:szCs w:val="22"/>
        </w:rPr>
        <w:t xml:space="preserve">, other than treatment provided as part of a </w:t>
      </w:r>
      <w:bookmarkStart w:id="21" w:name="_Ref156911002"/>
      <w:r w:rsidRPr="00A44045">
        <w:rPr>
          <w:color w:val="auto"/>
          <w:sz w:val="22"/>
          <w:szCs w:val="22"/>
        </w:rPr>
        <w:t xml:space="preserve">chronic disease management program, or a program of a similar type in respect of a person with a chronic disease, except as mentioned in paragraph </w:t>
      </w:r>
      <w:r w:rsidRPr="00A44045">
        <w:rPr>
          <w:color w:val="auto"/>
          <w:sz w:val="22"/>
          <w:szCs w:val="22"/>
        </w:rPr>
        <w:fldChar w:fldCharType="begin"/>
      </w:r>
      <w:r w:rsidRPr="00A44045">
        <w:rPr>
          <w:color w:val="auto"/>
          <w:sz w:val="22"/>
          <w:szCs w:val="22"/>
        </w:rPr>
        <w:instrText xml:space="preserve"> REF _Ref162432864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(d)</w:t>
      </w:r>
      <w:r w:rsidRPr="00A44045">
        <w:rPr>
          <w:color w:val="auto"/>
          <w:sz w:val="22"/>
          <w:szCs w:val="22"/>
        </w:rPr>
        <w:fldChar w:fldCharType="end"/>
      </w:r>
      <w:r w:rsidRPr="00A44045">
        <w:rPr>
          <w:color w:val="auto"/>
          <w:sz w:val="22"/>
          <w:szCs w:val="22"/>
        </w:rPr>
        <w:t>; and</w:t>
      </w:r>
    </w:p>
    <w:p w14:paraId="6FE38E0D" w14:textId="25FEAE94" w:rsidR="00C44EA3" w:rsidRPr="00A44045" w:rsidRDefault="00C44EA3" w:rsidP="001E174E">
      <w:pPr>
        <w:pStyle w:val="Healthnumlevel2"/>
        <w:numPr>
          <w:ilvl w:val="1"/>
          <w:numId w:val="16"/>
        </w:numPr>
        <w:ind w:left="1434" w:hanging="357"/>
        <w:rPr>
          <w:color w:val="auto"/>
          <w:sz w:val="22"/>
          <w:szCs w:val="22"/>
        </w:rPr>
      </w:pPr>
      <w:bookmarkStart w:id="22" w:name="_Ref162670624"/>
      <w:bookmarkStart w:id="23" w:name="_Ref162432864"/>
      <w:r w:rsidRPr="00A44045">
        <w:rPr>
          <w:color w:val="auto"/>
          <w:sz w:val="22"/>
          <w:szCs w:val="22"/>
        </w:rPr>
        <w:lastRenderedPageBreak/>
        <w:t>the following hospital treatment</w:t>
      </w:r>
      <w:r w:rsidR="00FD5E44" w:rsidRPr="00A44045">
        <w:rPr>
          <w:color w:val="auto"/>
          <w:sz w:val="22"/>
          <w:szCs w:val="22"/>
        </w:rPr>
        <w:t>, where provided as</w:t>
      </w:r>
      <w:r w:rsidRPr="00A44045">
        <w:rPr>
          <w:color w:val="auto"/>
          <w:sz w:val="22"/>
          <w:szCs w:val="22"/>
        </w:rPr>
        <w:t xml:space="preserve"> part of a chronic disease management program that is intended to reduce complications in a person with a diagnosed chronic disease:</w:t>
      </w:r>
      <w:bookmarkEnd w:id="22"/>
    </w:p>
    <w:p w14:paraId="07CD8508" w14:textId="77777777" w:rsidR="00C44EA3" w:rsidRPr="00A44045" w:rsidRDefault="00C44EA3" w:rsidP="001E174E">
      <w:pPr>
        <w:pStyle w:val="HealthnumLevel3"/>
        <w:numPr>
          <w:ilvl w:val="2"/>
          <w:numId w:val="16"/>
        </w:numPr>
        <w:ind w:left="1882" w:hanging="181"/>
        <w:rPr>
          <w:color w:val="auto"/>
          <w:sz w:val="22"/>
          <w:szCs w:val="22"/>
        </w:rPr>
      </w:pPr>
      <w:r w:rsidRPr="00A44045">
        <w:rPr>
          <w:color w:val="auto"/>
          <w:sz w:val="22"/>
          <w:szCs w:val="22"/>
        </w:rPr>
        <w:t>the planning and coordination services described in paragraphs (b) and (c) of the definition of chronic disease management program in the Business Rules; and</w:t>
      </w:r>
    </w:p>
    <w:p w14:paraId="72754491" w14:textId="6F0644A0" w:rsidR="00C44EA3" w:rsidRPr="00A44045" w:rsidRDefault="008A116E" w:rsidP="001E174E">
      <w:pPr>
        <w:pStyle w:val="HealthnumLevel3"/>
        <w:numPr>
          <w:ilvl w:val="2"/>
          <w:numId w:val="16"/>
        </w:numPr>
        <w:ind w:left="1882" w:hanging="181"/>
        <w:rPr>
          <w:color w:val="auto"/>
          <w:sz w:val="22"/>
          <w:szCs w:val="22"/>
        </w:rPr>
      </w:pPr>
      <w:r w:rsidRPr="00A44045">
        <w:rPr>
          <w:color w:val="auto"/>
          <w:sz w:val="22"/>
          <w:szCs w:val="22"/>
        </w:rPr>
        <w:t xml:space="preserve">an </w:t>
      </w:r>
      <w:r w:rsidR="00C44EA3" w:rsidRPr="00A44045">
        <w:rPr>
          <w:color w:val="auto"/>
          <w:sz w:val="22"/>
          <w:szCs w:val="22"/>
        </w:rPr>
        <w:t>allied health service.</w:t>
      </w:r>
    </w:p>
    <w:p w14:paraId="17D46584" w14:textId="7A8AD421" w:rsidR="00C44EA3" w:rsidRPr="00A44045" w:rsidRDefault="00C44EA3" w:rsidP="001E174E">
      <w:pPr>
        <w:pStyle w:val="Healthnote"/>
        <w:tabs>
          <w:tab w:val="left" w:pos="1021"/>
          <w:tab w:val="left" w:pos="1560"/>
        </w:tabs>
        <w:ind w:left="1985" w:hanging="851"/>
        <w:rPr>
          <w:color w:val="auto"/>
          <w:sz w:val="18"/>
          <w:szCs w:val="18"/>
        </w:rPr>
      </w:pPr>
      <w:r w:rsidRPr="00A44045">
        <w:rPr>
          <w:color w:val="auto"/>
          <w:sz w:val="18"/>
          <w:szCs w:val="18"/>
        </w:rPr>
        <w:t>Note:</w:t>
      </w:r>
      <w:r w:rsidRPr="00A44045">
        <w:rPr>
          <w:color w:val="auto"/>
          <w:sz w:val="18"/>
          <w:szCs w:val="18"/>
        </w:rPr>
        <w:tab/>
      </w:r>
      <w:r w:rsidR="000E3872" w:rsidRPr="00A44045">
        <w:rPr>
          <w:color w:val="auto"/>
          <w:sz w:val="18"/>
          <w:szCs w:val="18"/>
        </w:rPr>
        <w:tab/>
      </w:r>
      <w:r w:rsidRPr="00A44045">
        <w:rPr>
          <w:color w:val="auto"/>
          <w:sz w:val="18"/>
          <w:szCs w:val="18"/>
        </w:rPr>
        <w:t xml:space="preserve">Policy means a complying health insurance policy―see rule </w:t>
      </w:r>
      <w:r w:rsidR="00C94AC0" w:rsidRPr="00A44045">
        <w:rPr>
          <w:color w:val="auto"/>
          <w:sz w:val="18"/>
          <w:szCs w:val="18"/>
        </w:rPr>
        <w:t>4</w:t>
      </w:r>
      <w:r w:rsidRPr="00A44045">
        <w:rPr>
          <w:color w:val="auto"/>
          <w:sz w:val="18"/>
          <w:szCs w:val="18"/>
        </w:rPr>
        <w:t>.</w:t>
      </w:r>
    </w:p>
    <w:bookmarkEnd w:id="23"/>
    <w:p w14:paraId="4A472FBA" w14:textId="77777777" w:rsidR="00C44EA3" w:rsidRPr="00A44045" w:rsidRDefault="00C44EA3" w:rsidP="000F7353">
      <w:pPr>
        <w:pStyle w:val="HealthnumLevel5"/>
        <w:numPr>
          <w:ilvl w:val="0"/>
          <w:numId w:val="16"/>
        </w:numPr>
        <w:rPr>
          <w:sz w:val="22"/>
          <w:szCs w:val="22"/>
        </w:rPr>
      </w:pPr>
      <w:r w:rsidRPr="00A44045">
        <w:rPr>
          <w:sz w:val="22"/>
          <w:szCs w:val="22"/>
        </w:rPr>
        <w:t>In this rule, the following terms have the same meaning as in the Business Rules:</w:t>
      </w:r>
    </w:p>
    <w:p w14:paraId="2C9A66C7" w14:textId="11D4750E" w:rsidR="0041392F" w:rsidRPr="00A44045" w:rsidRDefault="005E3B7B" w:rsidP="001E174E">
      <w:pPr>
        <w:pStyle w:val="HealthLevel1"/>
        <w:ind w:left="1434" w:hanging="357"/>
        <w:rPr>
          <w:bCs/>
          <w:iCs/>
          <w:color w:val="auto"/>
          <w:sz w:val="22"/>
          <w:szCs w:val="22"/>
        </w:rPr>
      </w:pPr>
      <w:r w:rsidRPr="00A44045">
        <w:rPr>
          <w:bCs/>
          <w:iCs/>
          <w:color w:val="auto"/>
          <w:sz w:val="22"/>
          <w:szCs w:val="22"/>
        </w:rPr>
        <w:t>(a)</w:t>
      </w:r>
      <w:r w:rsidRPr="00A44045">
        <w:rPr>
          <w:bCs/>
          <w:iCs/>
          <w:color w:val="auto"/>
          <w:sz w:val="22"/>
          <w:szCs w:val="22"/>
        </w:rPr>
        <w:tab/>
      </w:r>
      <w:r w:rsidR="0041392F" w:rsidRPr="00A44045">
        <w:rPr>
          <w:b/>
          <w:i/>
          <w:color w:val="auto"/>
          <w:sz w:val="22"/>
          <w:szCs w:val="22"/>
        </w:rPr>
        <w:t xml:space="preserve">allied health </w:t>
      </w:r>
      <w:proofErr w:type="gramStart"/>
      <w:r w:rsidR="0041392F" w:rsidRPr="00A44045">
        <w:rPr>
          <w:b/>
          <w:i/>
          <w:color w:val="auto"/>
          <w:sz w:val="22"/>
          <w:szCs w:val="22"/>
        </w:rPr>
        <w:t>service</w:t>
      </w:r>
      <w:r w:rsidR="00E44929" w:rsidRPr="00A44045">
        <w:rPr>
          <w:bCs/>
          <w:iCs/>
          <w:color w:val="auto"/>
          <w:sz w:val="22"/>
          <w:szCs w:val="22"/>
        </w:rPr>
        <w:t>;</w:t>
      </w:r>
      <w:proofErr w:type="gramEnd"/>
    </w:p>
    <w:p w14:paraId="73AFD86D" w14:textId="74BE6592" w:rsidR="00C44EA3" w:rsidRPr="00A44045" w:rsidRDefault="005E3B7B" w:rsidP="001E174E">
      <w:pPr>
        <w:pStyle w:val="HealthLevel1"/>
        <w:ind w:left="1434" w:hanging="357"/>
        <w:rPr>
          <w:bCs/>
          <w:iCs/>
          <w:color w:val="auto"/>
          <w:sz w:val="22"/>
          <w:szCs w:val="22"/>
        </w:rPr>
      </w:pPr>
      <w:r w:rsidRPr="00A44045">
        <w:rPr>
          <w:bCs/>
          <w:iCs/>
          <w:color w:val="auto"/>
          <w:sz w:val="22"/>
          <w:szCs w:val="22"/>
        </w:rPr>
        <w:t>(b)</w:t>
      </w:r>
      <w:r w:rsidR="00A33212" w:rsidRPr="00A44045">
        <w:rPr>
          <w:bCs/>
          <w:iCs/>
          <w:color w:val="auto"/>
          <w:sz w:val="22"/>
          <w:szCs w:val="22"/>
        </w:rPr>
        <w:t xml:space="preserve">  </w:t>
      </w:r>
      <w:r w:rsidR="00C44EA3" w:rsidRPr="00A44045">
        <w:rPr>
          <w:b/>
          <w:i/>
          <w:color w:val="auto"/>
          <w:sz w:val="22"/>
          <w:szCs w:val="22"/>
        </w:rPr>
        <w:t xml:space="preserve">chronic </w:t>
      </w:r>
      <w:proofErr w:type="gramStart"/>
      <w:r w:rsidR="00C44EA3" w:rsidRPr="00A44045">
        <w:rPr>
          <w:b/>
          <w:i/>
          <w:color w:val="auto"/>
          <w:sz w:val="22"/>
          <w:szCs w:val="22"/>
        </w:rPr>
        <w:t>disease</w:t>
      </w:r>
      <w:r w:rsidR="00E44929" w:rsidRPr="00A44045">
        <w:rPr>
          <w:bCs/>
          <w:iCs/>
          <w:color w:val="auto"/>
          <w:sz w:val="22"/>
          <w:szCs w:val="22"/>
        </w:rPr>
        <w:t>;</w:t>
      </w:r>
      <w:proofErr w:type="gramEnd"/>
    </w:p>
    <w:p w14:paraId="36F23B4F" w14:textId="5F4438BE" w:rsidR="009B3248" w:rsidRPr="00A44045" w:rsidRDefault="00E44929" w:rsidP="001E174E">
      <w:pPr>
        <w:pStyle w:val="HealthLevel1"/>
        <w:ind w:left="1434" w:hanging="357"/>
        <w:rPr>
          <w:bCs/>
          <w:iCs/>
          <w:color w:val="auto"/>
          <w:sz w:val="22"/>
          <w:szCs w:val="22"/>
        </w:rPr>
      </w:pPr>
      <w:r w:rsidRPr="00A44045">
        <w:rPr>
          <w:bCs/>
          <w:iCs/>
          <w:color w:val="auto"/>
          <w:sz w:val="22"/>
          <w:szCs w:val="22"/>
        </w:rPr>
        <w:t>(c)</w:t>
      </w:r>
      <w:r w:rsidR="00A33212" w:rsidRPr="00A44045">
        <w:rPr>
          <w:bCs/>
          <w:iCs/>
          <w:color w:val="auto"/>
          <w:sz w:val="22"/>
          <w:szCs w:val="22"/>
        </w:rPr>
        <w:tab/>
      </w:r>
      <w:r w:rsidR="009B3248" w:rsidRPr="00A44045">
        <w:rPr>
          <w:b/>
          <w:i/>
          <w:color w:val="auto"/>
          <w:sz w:val="22"/>
          <w:szCs w:val="22"/>
        </w:rPr>
        <w:t xml:space="preserve">chronic disease management </w:t>
      </w:r>
      <w:proofErr w:type="gramStart"/>
      <w:r w:rsidR="009B3248" w:rsidRPr="00A44045">
        <w:rPr>
          <w:b/>
          <w:i/>
          <w:color w:val="auto"/>
          <w:sz w:val="22"/>
          <w:szCs w:val="22"/>
        </w:rPr>
        <w:t>program</w:t>
      </w:r>
      <w:r w:rsidR="00A36354" w:rsidRPr="00A44045">
        <w:rPr>
          <w:bCs/>
          <w:iCs/>
          <w:color w:val="auto"/>
          <w:sz w:val="22"/>
          <w:szCs w:val="22"/>
        </w:rPr>
        <w:t>;</w:t>
      </w:r>
      <w:proofErr w:type="gramEnd"/>
    </w:p>
    <w:p w14:paraId="3C0ED2AC" w14:textId="76E9EB17" w:rsidR="00C44EA3" w:rsidRPr="00A44045" w:rsidRDefault="00A33212" w:rsidP="001E174E">
      <w:pPr>
        <w:pStyle w:val="HealthLevel1"/>
        <w:ind w:left="1434" w:hanging="357"/>
        <w:rPr>
          <w:bCs/>
          <w:iCs/>
          <w:color w:val="auto"/>
          <w:sz w:val="22"/>
          <w:szCs w:val="22"/>
        </w:rPr>
      </w:pPr>
      <w:r w:rsidRPr="00A44045">
        <w:rPr>
          <w:bCs/>
          <w:iCs/>
          <w:color w:val="auto"/>
          <w:sz w:val="22"/>
          <w:szCs w:val="22"/>
        </w:rPr>
        <w:t>(d)</w:t>
      </w:r>
      <w:r w:rsidRPr="00A44045">
        <w:rPr>
          <w:bCs/>
          <w:iCs/>
          <w:color w:val="auto"/>
          <w:sz w:val="22"/>
          <w:szCs w:val="22"/>
        </w:rPr>
        <w:tab/>
      </w:r>
      <w:r w:rsidR="00C44EA3" w:rsidRPr="00A44045">
        <w:rPr>
          <w:b/>
          <w:i/>
          <w:color w:val="auto"/>
          <w:sz w:val="22"/>
          <w:szCs w:val="22"/>
        </w:rPr>
        <w:t>risk factors for chronic disease</w:t>
      </w:r>
      <w:r w:rsidR="00A36354" w:rsidRPr="00A44045">
        <w:rPr>
          <w:bCs/>
          <w:iCs/>
          <w:color w:val="auto"/>
          <w:sz w:val="22"/>
          <w:szCs w:val="22"/>
        </w:rPr>
        <w:t>.</w:t>
      </w:r>
    </w:p>
    <w:bookmarkEnd w:id="21"/>
    <w:p w14:paraId="1FB4DABE" w14:textId="34D93546" w:rsidR="00C44EA3" w:rsidRPr="00A44045" w:rsidRDefault="00C44EA3" w:rsidP="001E174E">
      <w:pPr>
        <w:pStyle w:val="Healthnote"/>
        <w:tabs>
          <w:tab w:val="left" w:pos="1021"/>
        </w:tabs>
        <w:ind w:left="1985" w:hanging="851"/>
        <w:rPr>
          <w:color w:val="auto"/>
          <w:sz w:val="18"/>
          <w:szCs w:val="18"/>
        </w:rPr>
      </w:pPr>
      <w:r w:rsidRPr="00A44045">
        <w:rPr>
          <w:color w:val="auto"/>
          <w:sz w:val="18"/>
          <w:szCs w:val="18"/>
        </w:rPr>
        <w:t>Note</w:t>
      </w:r>
      <w:r w:rsidR="009B3248" w:rsidRPr="00A44045">
        <w:rPr>
          <w:color w:val="auto"/>
          <w:sz w:val="18"/>
          <w:szCs w:val="18"/>
        </w:rPr>
        <w:t xml:space="preserve"> </w:t>
      </w:r>
      <w:proofErr w:type="gramStart"/>
      <w:r w:rsidRPr="00A44045">
        <w:rPr>
          <w:color w:val="auto"/>
          <w:sz w:val="18"/>
          <w:szCs w:val="18"/>
        </w:rPr>
        <w:t>1 :</w:t>
      </w:r>
      <w:proofErr w:type="gramEnd"/>
      <w:r w:rsidRPr="00A44045">
        <w:rPr>
          <w:color w:val="auto"/>
          <w:sz w:val="18"/>
          <w:szCs w:val="18"/>
        </w:rPr>
        <w:tab/>
        <w:t>The Business Rules exclude some classes of treatment from the definition of hospital treatment.</w:t>
      </w:r>
    </w:p>
    <w:p w14:paraId="78385EB9" w14:textId="2E11FC1D" w:rsidR="00C44EA3" w:rsidRPr="00A44045" w:rsidRDefault="00C44EA3" w:rsidP="001E174E">
      <w:pPr>
        <w:pStyle w:val="Healthnote"/>
        <w:tabs>
          <w:tab w:val="left" w:pos="1021"/>
        </w:tabs>
        <w:ind w:left="1985" w:hanging="851"/>
        <w:rPr>
          <w:color w:val="auto"/>
          <w:sz w:val="18"/>
          <w:szCs w:val="18"/>
        </w:rPr>
      </w:pPr>
      <w:r w:rsidRPr="00A44045">
        <w:rPr>
          <w:color w:val="auto"/>
          <w:sz w:val="18"/>
          <w:szCs w:val="18"/>
        </w:rPr>
        <w:t>Note 2:</w:t>
      </w:r>
      <w:r w:rsidRPr="00A44045">
        <w:rPr>
          <w:color w:val="auto"/>
          <w:sz w:val="18"/>
          <w:szCs w:val="18"/>
        </w:rPr>
        <w:tab/>
      </w:r>
      <w:r w:rsidR="00222288" w:rsidRPr="00A44045">
        <w:rPr>
          <w:color w:val="auto"/>
          <w:sz w:val="18"/>
          <w:szCs w:val="18"/>
        </w:rPr>
        <w:t>B</w:t>
      </w:r>
      <w:r w:rsidRPr="00A44045">
        <w:rPr>
          <w:color w:val="auto"/>
          <w:sz w:val="18"/>
          <w:szCs w:val="18"/>
        </w:rPr>
        <w:t xml:space="preserve">enefits are not payable for any treatment for chronic disease management for which a </w:t>
      </w:r>
      <w:proofErr w:type="spellStart"/>
      <w:r w:rsidRPr="00A44045">
        <w:rPr>
          <w:color w:val="auto"/>
          <w:sz w:val="18"/>
          <w:szCs w:val="18"/>
        </w:rPr>
        <w:t>medicare</w:t>
      </w:r>
      <w:proofErr w:type="spellEnd"/>
      <w:r w:rsidRPr="00A44045">
        <w:rPr>
          <w:color w:val="auto"/>
          <w:sz w:val="18"/>
          <w:szCs w:val="18"/>
        </w:rPr>
        <w:t xml:space="preserve"> benefit is payable―see section 121-10 of the Act.</w:t>
      </w:r>
    </w:p>
    <w:p w14:paraId="2596C5C9" w14:textId="7720EECC" w:rsidR="00C44EA3" w:rsidRPr="00A44045" w:rsidRDefault="00C44EA3" w:rsidP="00631062">
      <w:pPr>
        <w:pStyle w:val="HealthnumLevel5"/>
        <w:numPr>
          <w:ilvl w:val="0"/>
          <w:numId w:val="16"/>
        </w:numPr>
        <w:rPr>
          <w:sz w:val="22"/>
          <w:szCs w:val="22"/>
        </w:rPr>
      </w:pPr>
      <w:r w:rsidRPr="00A44045">
        <w:rPr>
          <w:sz w:val="22"/>
          <w:szCs w:val="22"/>
        </w:rPr>
        <w:t xml:space="preserve">For the avoidance of doubt, benefits not covered by paragraphs </w:t>
      </w:r>
      <w:r w:rsidRPr="00A44045">
        <w:rPr>
          <w:sz w:val="22"/>
          <w:szCs w:val="22"/>
        </w:rPr>
        <w:fldChar w:fldCharType="begin"/>
      </w:r>
      <w:r w:rsidRPr="00A44045">
        <w:rPr>
          <w:sz w:val="22"/>
          <w:szCs w:val="22"/>
        </w:rPr>
        <w:instrText xml:space="preserve"> REF _Ref154126844 \n \h  \* MERGEFORMAT </w:instrText>
      </w:r>
      <w:r w:rsidRPr="00A44045">
        <w:rPr>
          <w:sz w:val="22"/>
          <w:szCs w:val="22"/>
        </w:rPr>
      </w:r>
      <w:r w:rsidRPr="00A44045">
        <w:rPr>
          <w:sz w:val="22"/>
          <w:szCs w:val="22"/>
        </w:rPr>
        <w:fldChar w:fldCharType="separate"/>
      </w:r>
      <w:r w:rsidR="00C14CD4" w:rsidRPr="00A44045">
        <w:rPr>
          <w:sz w:val="22"/>
          <w:szCs w:val="22"/>
        </w:rPr>
        <w:t>(1)</w:t>
      </w:r>
      <w:r w:rsidRPr="00A44045">
        <w:rPr>
          <w:sz w:val="22"/>
          <w:szCs w:val="22"/>
        </w:rPr>
        <w:fldChar w:fldCharType="end"/>
      </w:r>
      <w:r w:rsidRPr="00A44045">
        <w:rPr>
          <w:sz w:val="22"/>
          <w:szCs w:val="22"/>
        </w:rPr>
        <w:t> </w:t>
      </w:r>
      <w:r w:rsidRPr="00A44045">
        <w:rPr>
          <w:sz w:val="22"/>
          <w:szCs w:val="22"/>
        </w:rPr>
        <w:fldChar w:fldCharType="begin"/>
      </w:r>
      <w:r w:rsidRPr="00A44045">
        <w:rPr>
          <w:sz w:val="22"/>
          <w:szCs w:val="22"/>
        </w:rPr>
        <w:instrText xml:space="preserve"> REF _Ref154126847 \n \h  \* MERGEFORMAT </w:instrText>
      </w:r>
      <w:r w:rsidRPr="00A44045">
        <w:rPr>
          <w:sz w:val="22"/>
          <w:szCs w:val="22"/>
        </w:rPr>
      </w:r>
      <w:r w:rsidRPr="00A44045">
        <w:rPr>
          <w:sz w:val="22"/>
          <w:szCs w:val="22"/>
        </w:rPr>
        <w:fldChar w:fldCharType="separate"/>
      </w:r>
      <w:r w:rsidR="00C14CD4" w:rsidRPr="00A44045">
        <w:rPr>
          <w:sz w:val="22"/>
          <w:szCs w:val="22"/>
        </w:rPr>
        <w:t>(a)</w:t>
      </w:r>
      <w:r w:rsidRPr="00A44045">
        <w:rPr>
          <w:sz w:val="22"/>
          <w:szCs w:val="22"/>
        </w:rPr>
        <w:fldChar w:fldCharType="end"/>
      </w:r>
      <w:r w:rsidRPr="00A44045">
        <w:rPr>
          <w:sz w:val="22"/>
          <w:szCs w:val="22"/>
        </w:rPr>
        <w:t xml:space="preserve"> and </w:t>
      </w:r>
      <w:r w:rsidRPr="00A44045">
        <w:rPr>
          <w:sz w:val="22"/>
          <w:szCs w:val="22"/>
        </w:rPr>
        <w:fldChar w:fldCharType="begin"/>
      </w:r>
      <w:r w:rsidRPr="00A44045">
        <w:rPr>
          <w:sz w:val="22"/>
          <w:szCs w:val="22"/>
        </w:rPr>
        <w:instrText xml:space="preserve"> REF _Ref154126844 \n \h  \* MERGEFORMAT </w:instrText>
      </w:r>
      <w:r w:rsidRPr="00A44045">
        <w:rPr>
          <w:sz w:val="22"/>
          <w:szCs w:val="22"/>
        </w:rPr>
      </w:r>
      <w:r w:rsidRPr="00A44045">
        <w:rPr>
          <w:sz w:val="22"/>
          <w:szCs w:val="22"/>
        </w:rPr>
        <w:fldChar w:fldCharType="separate"/>
      </w:r>
      <w:r w:rsidR="00C14CD4" w:rsidRPr="00A44045">
        <w:rPr>
          <w:sz w:val="22"/>
          <w:szCs w:val="22"/>
        </w:rPr>
        <w:t>(1)</w:t>
      </w:r>
      <w:r w:rsidRPr="00A44045">
        <w:rPr>
          <w:sz w:val="22"/>
          <w:szCs w:val="22"/>
        </w:rPr>
        <w:fldChar w:fldCharType="end"/>
      </w:r>
      <w:r w:rsidRPr="00A44045">
        <w:rPr>
          <w:sz w:val="22"/>
          <w:szCs w:val="22"/>
        </w:rPr>
        <w:t> </w:t>
      </w:r>
      <w:r w:rsidRPr="00A44045">
        <w:rPr>
          <w:sz w:val="22"/>
          <w:szCs w:val="22"/>
        </w:rPr>
        <w:fldChar w:fldCharType="begin"/>
      </w:r>
      <w:r w:rsidRPr="00A44045">
        <w:rPr>
          <w:sz w:val="22"/>
          <w:szCs w:val="22"/>
        </w:rPr>
        <w:instrText xml:space="preserve"> REF _Ref162670624 \n \h  \* MERGEFORMAT </w:instrText>
      </w:r>
      <w:r w:rsidRPr="00A44045">
        <w:rPr>
          <w:sz w:val="22"/>
          <w:szCs w:val="22"/>
        </w:rPr>
      </w:r>
      <w:r w:rsidRPr="00A44045">
        <w:rPr>
          <w:sz w:val="22"/>
          <w:szCs w:val="22"/>
        </w:rPr>
        <w:fldChar w:fldCharType="separate"/>
      </w:r>
      <w:r w:rsidR="00C14CD4" w:rsidRPr="00A44045">
        <w:rPr>
          <w:sz w:val="22"/>
          <w:szCs w:val="22"/>
        </w:rPr>
        <w:t>(d)</w:t>
      </w:r>
      <w:r w:rsidRPr="00A44045">
        <w:rPr>
          <w:sz w:val="22"/>
          <w:szCs w:val="22"/>
        </w:rPr>
        <w:fldChar w:fldCharType="end"/>
      </w:r>
      <w:r w:rsidRPr="00A44045">
        <w:rPr>
          <w:sz w:val="22"/>
          <w:szCs w:val="22"/>
        </w:rPr>
        <w:t xml:space="preserve"> include benefits paid for any other treatment as part of a chronic disease management program including, but not limited, to:</w:t>
      </w:r>
    </w:p>
    <w:p w14:paraId="242E7D1F" w14:textId="77777777" w:rsidR="00C44EA3" w:rsidRPr="00A44045" w:rsidRDefault="00C44EA3" w:rsidP="001E174E">
      <w:pPr>
        <w:pStyle w:val="Healthnumlevel2"/>
        <w:numPr>
          <w:ilvl w:val="1"/>
          <w:numId w:val="16"/>
        </w:numPr>
        <w:ind w:left="1434" w:hanging="357"/>
        <w:rPr>
          <w:color w:val="auto"/>
          <w:sz w:val="22"/>
          <w:szCs w:val="22"/>
        </w:rPr>
      </w:pPr>
      <w:r w:rsidRPr="00A44045">
        <w:rPr>
          <w:color w:val="auto"/>
          <w:sz w:val="22"/>
          <w:szCs w:val="22"/>
        </w:rPr>
        <w:t xml:space="preserve">diagnosis of chronic </w:t>
      </w:r>
      <w:proofErr w:type="gramStart"/>
      <w:r w:rsidRPr="00A44045">
        <w:rPr>
          <w:color w:val="auto"/>
          <w:sz w:val="22"/>
          <w:szCs w:val="22"/>
        </w:rPr>
        <w:t>disease;</w:t>
      </w:r>
      <w:proofErr w:type="gramEnd"/>
    </w:p>
    <w:p w14:paraId="2682E495" w14:textId="77777777" w:rsidR="00C44EA3" w:rsidRPr="00A44045" w:rsidRDefault="00C44EA3" w:rsidP="001E174E">
      <w:pPr>
        <w:pStyle w:val="Healthnumlevel2"/>
        <w:numPr>
          <w:ilvl w:val="1"/>
          <w:numId w:val="16"/>
        </w:numPr>
        <w:ind w:left="1434" w:hanging="357"/>
        <w:rPr>
          <w:color w:val="auto"/>
          <w:sz w:val="22"/>
          <w:szCs w:val="22"/>
        </w:rPr>
      </w:pPr>
      <w:r w:rsidRPr="00A44045">
        <w:rPr>
          <w:color w:val="auto"/>
          <w:sz w:val="22"/>
          <w:szCs w:val="22"/>
        </w:rPr>
        <w:t>the identification of risk factors.</w:t>
      </w:r>
    </w:p>
    <w:p w14:paraId="31189118" w14:textId="76A9280E" w:rsidR="009F7B98" w:rsidRPr="00A44045" w:rsidRDefault="009F7B98">
      <w:pPr>
        <w:spacing w:line="240" w:lineRule="auto"/>
        <w:rPr>
          <w:rFonts w:eastAsia="Times New Roman" w:cs="Times New Roman"/>
          <w:lang w:eastAsia="en-AU"/>
        </w:rPr>
      </w:pPr>
      <w:r w:rsidRPr="00A44045">
        <w:br w:type="page"/>
      </w:r>
    </w:p>
    <w:p w14:paraId="1A8A40B3" w14:textId="5EC36B2C" w:rsidR="003633CC" w:rsidRPr="00A44045" w:rsidRDefault="003633CC">
      <w:pPr>
        <w:pStyle w:val="ActHead6"/>
        <w:outlineLvl w:val="3"/>
        <w:rPr>
          <w:rFonts w:ascii="Times New Roman" w:hAnsi="Times New Roman"/>
          <w:sz w:val="28"/>
          <w:szCs w:val="28"/>
        </w:rPr>
      </w:pPr>
      <w:bookmarkStart w:id="24" w:name="_Toc204756714"/>
      <w:r w:rsidRPr="00A44045">
        <w:rPr>
          <w:rFonts w:ascii="Times New Roman" w:hAnsi="Times New Roman"/>
          <w:sz w:val="28"/>
          <w:szCs w:val="28"/>
        </w:rPr>
        <w:lastRenderedPageBreak/>
        <w:t>Part 2</w:t>
      </w:r>
      <w:r w:rsidR="00EB4473" w:rsidRPr="00A44045">
        <w:rPr>
          <w:rFonts w:ascii="Times New Roman" w:hAnsi="Times New Roman"/>
          <w:sz w:val="28"/>
          <w:szCs w:val="28"/>
        </w:rPr>
        <w:t xml:space="preserve"> </w:t>
      </w:r>
      <w:r w:rsidR="00873E09" w:rsidRPr="00A44045">
        <w:rPr>
          <w:rFonts w:ascii="Times New Roman" w:hAnsi="Times New Roman"/>
          <w:sz w:val="28"/>
          <w:szCs w:val="28"/>
        </w:rPr>
        <w:tab/>
      </w:r>
      <w:r w:rsidR="00EB4473" w:rsidRPr="00A44045">
        <w:rPr>
          <w:rFonts w:ascii="Times New Roman" w:hAnsi="Times New Roman"/>
          <w:sz w:val="28"/>
          <w:szCs w:val="28"/>
        </w:rPr>
        <w:t>Calculation of levy</w:t>
      </w:r>
      <w:bookmarkEnd w:id="24"/>
    </w:p>
    <w:p w14:paraId="23B0B8A4" w14:textId="4F9C2222" w:rsidR="00465980" w:rsidRPr="00A44045" w:rsidRDefault="007D6F53" w:rsidP="00104D3D">
      <w:pPr>
        <w:pStyle w:val="ActHead7"/>
        <w:outlineLvl w:val="4"/>
        <w:rPr>
          <w:szCs w:val="24"/>
        </w:rPr>
      </w:pPr>
      <w:bookmarkStart w:id="25" w:name="_Toc204756715"/>
      <w:proofErr w:type="gramStart"/>
      <w:r w:rsidRPr="00A44045">
        <w:rPr>
          <w:szCs w:val="24"/>
        </w:rPr>
        <w:t xml:space="preserve">8 </w:t>
      </w:r>
      <w:r w:rsidR="000F503C" w:rsidRPr="00A44045">
        <w:rPr>
          <w:szCs w:val="24"/>
        </w:rPr>
        <w:t xml:space="preserve"> </w:t>
      </w:r>
      <w:r w:rsidRPr="00A44045">
        <w:rPr>
          <w:szCs w:val="24"/>
        </w:rPr>
        <w:t>Purpose</w:t>
      </w:r>
      <w:proofErr w:type="gramEnd"/>
      <w:r w:rsidRPr="00A44045">
        <w:rPr>
          <w:szCs w:val="24"/>
        </w:rPr>
        <w:t xml:space="preserve"> of this part</w:t>
      </w:r>
      <w:bookmarkEnd w:id="25"/>
    </w:p>
    <w:p w14:paraId="7226B5D4" w14:textId="7DA3910A" w:rsidR="00BD252C" w:rsidRPr="00A44045" w:rsidRDefault="00BD252C" w:rsidP="00751B08">
      <w:pPr>
        <w:pStyle w:val="HealthLevel1"/>
        <w:ind w:left="720"/>
        <w:rPr>
          <w:color w:val="auto"/>
          <w:sz w:val="22"/>
          <w:szCs w:val="22"/>
        </w:rPr>
      </w:pPr>
      <w:r w:rsidRPr="00A44045">
        <w:rPr>
          <w:color w:val="auto"/>
          <w:sz w:val="22"/>
          <w:szCs w:val="22"/>
        </w:rPr>
        <w:t>For paragraph 318-10 (2) (c) of the Act, this Part specifies the method for working out the amount to be paid, for crediting to the Special Account, by insurers as risk equalisation levy.</w:t>
      </w:r>
    </w:p>
    <w:p w14:paraId="279B5562" w14:textId="11E0D2C4" w:rsidR="00C82B6E" w:rsidRPr="00A44045" w:rsidRDefault="00C82B6E" w:rsidP="00612B5D">
      <w:pPr>
        <w:pStyle w:val="ActHead7"/>
        <w:keepNext w:val="0"/>
        <w:keepLines w:val="0"/>
        <w:outlineLvl w:val="4"/>
        <w:rPr>
          <w:szCs w:val="24"/>
        </w:rPr>
      </w:pPr>
      <w:bookmarkStart w:id="26" w:name="_Toc204756716"/>
      <w:bookmarkStart w:id="27" w:name="_Hlk197352313"/>
      <w:proofErr w:type="gramStart"/>
      <w:r w:rsidRPr="00A44045">
        <w:rPr>
          <w:szCs w:val="24"/>
        </w:rPr>
        <w:t xml:space="preserve">9 </w:t>
      </w:r>
      <w:r w:rsidR="000F503C" w:rsidRPr="00A44045">
        <w:rPr>
          <w:szCs w:val="24"/>
        </w:rPr>
        <w:t xml:space="preserve"> </w:t>
      </w:r>
      <w:r w:rsidRPr="00A44045">
        <w:rPr>
          <w:szCs w:val="24"/>
        </w:rPr>
        <w:t>Matters</w:t>
      </w:r>
      <w:proofErr w:type="gramEnd"/>
      <w:r w:rsidRPr="00A44045">
        <w:rPr>
          <w:szCs w:val="24"/>
        </w:rPr>
        <w:t xml:space="preserve"> to be </w:t>
      </w:r>
      <w:proofErr w:type="gramStart"/>
      <w:r w:rsidRPr="00A44045">
        <w:rPr>
          <w:szCs w:val="24"/>
        </w:rPr>
        <w:t>taken into account</w:t>
      </w:r>
      <w:bookmarkEnd w:id="26"/>
      <w:proofErr w:type="gramEnd"/>
    </w:p>
    <w:p w14:paraId="30AC5F64" w14:textId="77777777" w:rsidR="00CD2206" w:rsidRPr="00A44045" w:rsidRDefault="00CD2206" w:rsidP="001E174E">
      <w:pPr>
        <w:pStyle w:val="HealthnumLevel5"/>
        <w:numPr>
          <w:ilvl w:val="0"/>
          <w:numId w:val="17"/>
        </w:numPr>
        <w:ind w:left="1077" w:hanging="357"/>
        <w:rPr>
          <w:sz w:val="22"/>
          <w:szCs w:val="22"/>
        </w:rPr>
      </w:pPr>
      <w:bookmarkStart w:id="28" w:name="_Ref153768022"/>
      <w:r w:rsidRPr="00A44045">
        <w:rPr>
          <w:sz w:val="22"/>
          <w:szCs w:val="22"/>
        </w:rPr>
        <w:t xml:space="preserve">The matters mentioned in this rule are to be </w:t>
      </w:r>
      <w:proofErr w:type="gramStart"/>
      <w:r w:rsidRPr="00A44045">
        <w:rPr>
          <w:sz w:val="22"/>
          <w:szCs w:val="22"/>
        </w:rPr>
        <w:t>taken into account</w:t>
      </w:r>
      <w:proofErr w:type="gramEnd"/>
      <w:r w:rsidRPr="00A44045">
        <w:rPr>
          <w:sz w:val="22"/>
          <w:szCs w:val="22"/>
        </w:rPr>
        <w:t xml:space="preserve"> on a State-by-State basis consistently with the information provided by the insurer in its quarterly return for a health benefits fund for a State.</w:t>
      </w:r>
    </w:p>
    <w:p w14:paraId="5FD45545" w14:textId="77777777" w:rsidR="00CD2206" w:rsidRPr="00A44045" w:rsidRDefault="00CD2206" w:rsidP="001E174E">
      <w:pPr>
        <w:pStyle w:val="HealthnumLevel5"/>
        <w:numPr>
          <w:ilvl w:val="0"/>
          <w:numId w:val="17"/>
        </w:numPr>
        <w:ind w:left="1077" w:hanging="357"/>
        <w:rPr>
          <w:sz w:val="22"/>
          <w:szCs w:val="22"/>
        </w:rPr>
      </w:pPr>
      <w:bookmarkStart w:id="29" w:name="_Ref156733293"/>
      <w:r w:rsidRPr="00A44045">
        <w:rPr>
          <w:sz w:val="22"/>
          <w:szCs w:val="22"/>
        </w:rPr>
        <w:t xml:space="preserve">The amount of levy for a quarter for an insurer, </w:t>
      </w:r>
      <w:bookmarkEnd w:id="28"/>
      <w:r w:rsidRPr="00A44045">
        <w:rPr>
          <w:sz w:val="22"/>
          <w:szCs w:val="22"/>
        </w:rPr>
        <w:t>for each health benefits fund of that insurer, is to be worked out having regard to:</w:t>
      </w:r>
      <w:bookmarkEnd w:id="29"/>
    </w:p>
    <w:p w14:paraId="6FD81F04" w14:textId="77777777" w:rsidR="00CD2206" w:rsidRPr="00A44045" w:rsidRDefault="00CD2206" w:rsidP="001E174E">
      <w:pPr>
        <w:pStyle w:val="Healthnumlevel2"/>
        <w:numPr>
          <w:ilvl w:val="1"/>
          <w:numId w:val="17"/>
        </w:numPr>
        <w:ind w:left="1434" w:hanging="357"/>
        <w:rPr>
          <w:color w:val="auto"/>
          <w:sz w:val="22"/>
          <w:szCs w:val="22"/>
        </w:rPr>
      </w:pPr>
      <w:r w:rsidRPr="00A44045">
        <w:rPr>
          <w:color w:val="auto"/>
          <w:sz w:val="22"/>
          <w:szCs w:val="22"/>
        </w:rPr>
        <w:t>the age of each insured person in respect of whom an eligible benefit is paid in that quarter; and</w:t>
      </w:r>
    </w:p>
    <w:p w14:paraId="512ACC52" w14:textId="77777777" w:rsidR="00CD2206" w:rsidRPr="00A44045" w:rsidRDefault="00CD2206" w:rsidP="001E174E">
      <w:pPr>
        <w:pStyle w:val="Healthnumlevel2"/>
        <w:numPr>
          <w:ilvl w:val="1"/>
          <w:numId w:val="17"/>
        </w:numPr>
        <w:ind w:left="1434" w:hanging="357"/>
        <w:rPr>
          <w:color w:val="auto"/>
          <w:sz w:val="22"/>
          <w:szCs w:val="22"/>
        </w:rPr>
      </w:pPr>
      <w:bookmarkStart w:id="30" w:name="_Ref153768033"/>
      <w:bookmarkStart w:id="31" w:name="_Ref156733295"/>
      <w:r w:rsidRPr="00A44045">
        <w:rPr>
          <w:color w:val="auto"/>
          <w:sz w:val="22"/>
          <w:szCs w:val="22"/>
        </w:rPr>
        <w:t>the mean number for that quarter of single equivalent units for that fund, being the number determined by adding the number of such units on the last day of the previous quarter and the number of such units on the last day of the quarter for which the levy is being calculated, and halving the result</w:t>
      </w:r>
      <w:bookmarkEnd w:id="30"/>
      <w:r w:rsidRPr="00A44045">
        <w:rPr>
          <w:color w:val="auto"/>
          <w:sz w:val="22"/>
          <w:szCs w:val="22"/>
        </w:rPr>
        <w:t>; and</w:t>
      </w:r>
      <w:bookmarkEnd w:id="31"/>
    </w:p>
    <w:p w14:paraId="71ED46F8" w14:textId="77777777" w:rsidR="00CD2206" w:rsidRPr="00A44045" w:rsidRDefault="00CD2206" w:rsidP="001E174E">
      <w:pPr>
        <w:pStyle w:val="Healthnumlevel2"/>
        <w:numPr>
          <w:ilvl w:val="1"/>
          <w:numId w:val="17"/>
        </w:numPr>
        <w:ind w:left="1434" w:hanging="357"/>
        <w:rPr>
          <w:color w:val="auto"/>
          <w:sz w:val="22"/>
          <w:szCs w:val="22"/>
        </w:rPr>
      </w:pPr>
      <w:r w:rsidRPr="00A44045">
        <w:rPr>
          <w:color w:val="auto"/>
          <w:sz w:val="22"/>
          <w:szCs w:val="22"/>
        </w:rPr>
        <w:t>the amount of eligible benefit paid in that quarter and in the preceding 3 quarters; and</w:t>
      </w:r>
    </w:p>
    <w:p w14:paraId="36C8887D" w14:textId="77777777" w:rsidR="00CD2206" w:rsidRPr="00A44045" w:rsidRDefault="00CD2206" w:rsidP="001E174E">
      <w:pPr>
        <w:pStyle w:val="Healthnumlevel2"/>
        <w:numPr>
          <w:ilvl w:val="1"/>
          <w:numId w:val="17"/>
        </w:numPr>
        <w:ind w:left="1434" w:hanging="357"/>
        <w:rPr>
          <w:color w:val="auto"/>
          <w:sz w:val="22"/>
          <w:szCs w:val="22"/>
        </w:rPr>
      </w:pPr>
      <w:r w:rsidRPr="00A44045">
        <w:rPr>
          <w:color w:val="auto"/>
          <w:sz w:val="22"/>
          <w:szCs w:val="22"/>
        </w:rPr>
        <w:t>any adjustment amount.</w:t>
      </w:r>
    </w:p>
    <w:p w14:paraId="4628E892" w14:textId="77777777" w:rsidR="00CD2206" w:rsidRPr="00A44045" w:rsidRDefault="00CD2206" w:rsidP="001E174E">
      <w:pPr>
        <w:pStyle w:val="HealthnumLevel5"/>
        <w:numPr>
          <w:ilvl w:val="0"/>
          <w:numId w:val="17"/>
        </w:numPr>
        <w:ind w:left="1077" w:hanging="357"/>
        <w:rPr>
          <w:sz w:val="22"/>
          <w:szCs w:val="22"/>
        </w:rPr>
      </w:pPr>
      <w:bookmarkStart w:id="32" w:name="_Ref160082772"/>
      <w:r w:rsidRPr="00A44045">
        <w:rPr>
          <w:sz w:val="22"/>
          <w:szCs w:val="22"/>
        </w:rPr>
        <w:t>To work out the amount of levy in respect of a current quarter:</w:t>
      </w:r>
      <w:bookmarkEnd w:id="32"/>
    </w:p>
    <w:p w14:paraId="2A6EF59E" w14:textId="55AE456C" w:rsidR="00CD2206" w:rsidRPr="00A44045" w:rsidRDefault="00CD2206" w:rsidP="00751B08">
      <w:pPr>
        <w:pStyle w:val="Healthnumlevel2"/>
        <w:numPr>
          <w:ilvl w:val="1"/>
          <w:numId w:val="17"/>
        </w:numPr>
        <w:ind w:left="1428"/>
        <w:rPr>
          <w:color w:val="auto"/>
          <w:sz w:val="22"/>
          <w:szCs w:val="22"/>
        </w:rPr>
      </w:pPr>
      <w:bookmarkStart w:id="33" w:name="_Ref160082766"/>
      <w:r w:rsidRPr="00A44045">
        <w:rPr>
          <w:color w:val="auto"/>
          <w:sz w:val="22"/>
          <w:szCs w:val="22"/>
        </w:rPr>
        <w:t xml:space="preserve">an amount calculated in accordance with subrule </w:t>
      </w:r>
      <w:r w:rsidRPr="00A44045">
        <w:rPr>
          <w:color w:val="auto"/>
          <w:sz w:val="22"/>
          <w:szCs w:val="22"/>
        </w:rPr>
        <w:fldChar w:fldCharType="begin"/>
      </w:r>
      <w:r w:rsidRPr="00A44045">
        <w:rPr>
          <w:color w:val="auto"/>
          <w:sz w:val="22"/>
          <w:szCs w:val="22"/>
        </w:rPr>
        <w:instrText xml:space="preserve"> REF _Ref153768260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(4)</w:t>
      </w:r>
      <w:r w:rsidRPr="00A44045">
        <w:rPr>
          <w:color w:val="auto"/>
          <w:sz w:val="22"/>
          <w:szCs w:val="22"/>
        </w:rPr>
        <w:fldChar w:fldCharType="end"/>
      </w:r>
      <w:r w:rsidRPr="00A44045">
        <w:rPr>
          <w:color w:val="auto"/>
          <w:sz w:val="22"/>
          <w:szCs w:val="22"/>
        </w:rPr>
        <w:t xml:space="preserve"> is first to be notionally allocated to a pool called the </w:t>
      </w:r>
      <w:proofErr w:type="gramStart"/>
      <w:r w:rsidRPr="00A44045">
        <w:rPr>
          <w:color w:val="auto"/>
          <w:sz w:val="22"/>
          <w:szCs w:val="22"/>
        </w:rPr>
        <w:t>age based</w:t>
      </w:r>
      <w:proofErr w:type="gramEnd"/>
      <w:r w:rsidRPr="00A44045">
        <w:rPr>
          <w:color w:val="auto"/>
          <w:sz w:val="22"/>
          <w:szCs w:val="22"/>
        </w:rPr>
        <w:t xml:space="preserve"> pool (</w:t>
      </w:r>
      <w:r w:rsidRPr="00A44045">
        <w:rPr>
          <w:b/>
          <w:i/>
          <w:color w:val="auto"/>
          <w:sz w:val="22"/>
          <w:szCs w:val="22"/>
        </w:rPr>
        <w:t>ABP</w:t>
      </w:r>
      <w:r w:rsidRPr="00A44045">
        <w:rPr>
          <w:color w:val="auto"/>
          <w:sz w:val="22"/>
          <w:szCs w:val="22"/>
        </w:rPr>
        <w:t>); and</w:t>
      </w:r>
      <w:bookmarkEnd w:id="33"/>
    </w:p>
    <w:p w14:paraId="7DD17A4C" w14:textId="6C699A72" w:rsidR="00CD2206" w:rsidRPr="00A44045" w:rsidRDefault="00CD2206" w:rsidP="00751B08">
      <w:pPr>
        <w:pStyle w:val="Healthnumlevel2"/>
        <w:numPr>
          <w:ilvl w:val="1"/>
          <w:numId w:val="17"/>
        </w:numPr>
        <w:ind w:left="1428"/>
        <w:rPr>
          <w:color w:val="auto"/>
          <w:sz w:val="22"/>
          <w:szCs w:val="22"/>
        </w:rPr>
      </w:pPr>
      <w:r w:rsidRPr="00A44045">
        <w:rPr>
          <w:color w:val="auto"/>
          <w:sz w:val="22"/>
          <w:szCs w:val="22"/>
        </w:rPr>
        <w:t xml:space="preserve">if the amount of gross benefit not notionally allocated to the ABP in accordance with subrule (4), or subrule 7(4) of the old rules, as appropriate, in the current and preceding 3 quarters is greater than the </w:t>
      </w:r>
      <w:r w:rsidRPr="00A44045">
        <w:rPr>
          <w:b/>
          <w:bCs/>
          <w:i/>
          <w:iCs/>
          <w:color w:val="auto"/>
          <w:sz w:val="22"/>
          <w:szCs w:val="22"/>
        </w:rPr>
        <w:t>designated threshold</w:t>
      </w:r>
      <w:r w:rsidRPr="00A44045">
        <w:rPr>
          <w:color w:val="auto"/>
          <w:sz w:val="22"/>
          <w:szCs w:val="22"/>
        </w:rPr>
        <w:t xml:space="preserve">, a second amount is to be notionally allocated to a pool called the </w:t>
      </w:r>
      <w:proofErr w:type="gramStart"/>
      <w:r w:rsidRPr="00A44045">
        <w:rPr>
          <w:color w:val="auto"/>
          <w:sz w:val="22"/>
          <w:szCs w:val="22"/>
        </w:rPr>
        <w:t>high cost</w:t>
      </w:r>
      <w:proofErr w:type="gramEnd"/>
      <w:r w:rsidRPr="00A44045">
        <w:rPr>
          <w:color w:val="auto"/>
          <w:sz w:val="22"/>
          <w:szCs w:val="22"/>
        </w:rPr>
        <w:t xml:space="preserve"> claimants pool (</w:t>
      </w:r>
      <w:r w:rsidRPr="00A44045">
        <w:rPr>
          <w:b/>
          <w:i/>
          <w:color w:val="auto"/>
          <w:sz w:val="22"/>
          <w:szCs w:val="22"/>
        </w:rPr>
        <w:t>HCCP</w:t>
      </w:r>
      <w:r w:rsidRPr="00A44045">
        <w:rPr>
          <w:color w:val="auto"/>
          <w:sz w:val="22"/>
          <w:szCs w:val="22"/>
        </w:rPr>
        <w:t xml:space="preserve">). </w:t>
      </w:r>
    </w:p>
    <w:p w14:paraId="684DB5E2" w14:textId="18CBBAB0" w:rsidR="00CD2206" w:rsidRPr="00A44045" w:rsidRDefault="00CD2206" w:rsidP="001E174E">
      <w:pPr>
        <w:pStyle w:val="HealthnumLevel5"/>
        <w:numPr>
          <w:ilvl w:val="0"/>
          <w:numId w:val="17"/>
        </w:numPr>
        <w:ind w:left="1077" w:hanging="357"/>
        <w:rPr>
          <w:sz w:val="22"/>
          <w:szCs w:val="22"/>
        </w:rPr>
      </w:pPr>
      <w:bookmarkStart w:id="34" w:name="_Ref153768260"/>
      <w:r w:rsidRPr="00A44045">
        <w:rPr>
          <w:sz w:val="22"/>
          <w:szCs w:val="22"/>
        </w:rPr>
        <w:t>The amount to be notionally allocated to the ABP in a quarter</w:t>
      </w:r>
      <w:r w:rsidR="00DE361B" w:rsidRPr="00A44045">
        <w:rPr>
          <w:sz w:val="22"/>
          <w:szCs w:val="22"/>
        </w:rPr>
        <w:t xml:space="preserve"> </w:t>
      </w:r>
      <w:r w:rsidRPr="00A44045">
        <w:rPr>
          <w:sz w:val="22"/>
          <w:szCs w:val="22"/>
        </w:rPr>
        <w:t xml:space="preserve">is to be calculated in accordance with the formula </w:t>
      </w:r>
      <w:proofErr w:type="spellStart"/>
      <w:r w:rsidRPr="00A44045">
        <w:rPr>
          <w:sz w:val="22"/>
          <w:szCs w:val="22"/>
        </w:rPr>
        <w:t>pC</w:t>
      </w:r>
      <w:proofErr w:type="spellEnd"/>
      <w:r w:rsidRPr="00A44045">
        <w:rPr>
          <w:sz w:val="22"/>
          <w:szCs w:val="22"/>
        </w:rPr>
        <w:t>, where:</w:t>
      </w:r>
      <w:bookmarkEnd w:id="34"/>
    </w:p>
    <w:p w14:paraId="08479E1C" w14:textId="02059EA9"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p</w:t>
      </w:r>
      <w:r w:rsidRPr="00A44045">
        <w:rPr>
          <w:color w:val="auto"/>
          <w:sz w:val="22"/>
          <w:szCs w:val="22"/>
        </w:rPr>
        <w:t xml:space="preserve"> is the percentage of the eligible benefit paid having regard to the age cohort, as specified in the table in subrule </w:t>
      </w:r>
      <w:r w:rsidRPr="00A44045">
        <w:rPr>
          <w:color w:val="auto"/>
          <w:sz w:val="22"/>
          <w:szCs w:val="22"/>
        </w:rPr>
        <w:fldChar w:fldCharType="begin"/>
      </w:r>
      <w:r w:rsidRPr="00A44045">
        <w:rPr>
          <w:color w:val="auto"/>
          <w:sz w:val="22"/>
          <w:szCs w:val="22"/>
        </w:rPr>
        <w:instrText xml:space="preserve"> REF _Ref154141894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(5)</w:t>
      </w:r>
      <w:r w:rsidRPr="00A44045">
        <w:rPr>
          <w:color w:val="auto"/>
          <w:sz w:val="22"/>
          <w:szCs w:val="22"/>
        </w:rPr>
        <w:fldChar w:fldCharType="end"/>
      </w:r>
      <w:r w:rsidRPr="00A44045">
        <w:rPr>
          <w:color w:val="auto"/>
          <w:sz w:val="22"/>
          <w:szCs w:val="22"/>
        </w:rPr>
        <w:t>, into which the insured person falls on the day or days on which the insured person receives the treatment to which the eligible benefit relates; and</w:t>
      </w:r>
    </w:p>
    <w:p w14:paraId="3E894714" w14:textId="77777777"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C</w:t>
      </w:r>
      <w:r w:rsidRPr="00A44045">
        <w:rPr>
          <w:color w:val="auto"/>
          <w:sz w:val="22"/>
          <w:szCs w:val="22"/>
        </w:rPr>
        <w:t xml:space="preserve"> is the gross benefit in the current quarter.</w:t>
      </w:r>
    </w:p>
    <w:p w14:paraId="337898DE" w14:textId="77777777" w:rsidR="00CD2206" w:rsidRPr="00A44045" w:rsidRDefault="00CD2206" w:rsidP="001E174E">
      <w:pPr>
        <w:pStyle w:val="HealthnumLevel5"/>
        <w:keepNext/>
        <w:pageBreakBefore/>
        <w:numPr>
          <w:ilvl w:val="0"/>
          <w:numId w:val="17"/>
        </w:numPr>
        <w:ind w:left="1077" w:hanging="357"/>
        <w:rPr>
          <w:sz w:val="22"/>
          <w:szCs w:val="22"/>
        </w:rPr>
      </w:pPr>
      <w:bookmarkStart w:id="35" w:name="_Ref154142642"/>
      <w:bookmarkStart w:id="36" w:name="_Ref154141894"/>
      <w:r w:rsidRPr="00A44045">
        <w:rPr>
          <w:sz w:val="22"/>
          <w:szCs w:val="22"/>
        </w:rPr>
        <w:lastRenderedPageBreak/>
        <w:t>The age cohorts are as specified in the following table</w:t>
      </w:r>
      <w:bookmarkEnd w:id="35"/>
      <w:r w:rsidRPr="00A44045">
        <w:rPr>
          <w:sz w:val="22"/>
          <w:szCs w:val="22"/>
        </w:rPr>
        <w:t>:</w:t>
      </w:r>
    </w:p>
    <w:p w14:paraId="348D44E1" w14:textId="77777777" w:rsidR="00CD2206" w:rsidRPr="00A44045" w:rsidRDefault="00CD2206" w:rsidP="00751B08">
      <w:pPr>
        <w:rPr>
          <w:sz w:val="20"/>
          <w:szCs w:val="18"/>
        </w:rPr>
      </w:pPr>
    </w:p>
    <w:tbl>
      <w:tblPr>
        <w:tblW w:w="6120" w:type="dxa"/>
        <w:tblInd w:w="1242" w:type="dxa"/>
        <w:tblLayout w:type="fixed"/>
        <w:tblLook w:val="0000" w:firstRow="0" w:lastRow="0" w:firstColumn="0" w:lastColumn="0" w:noHBand="0" w:noVBand="0"/>
      </w:tblPr>
      <w:tblGrid>
        <w:gridCol w:w="2160"/>
        <w:gridCol w:w="3960"/>
      </w:tblGrid>
      <w:tr w:rsidR="00CD2206" w:rsidRPr="00A44045" w14:paraId="2F4789B7" w14:textId="77777777" w:rsidTr="00751B08">
        <w:trPr>
          <w:cantSplit/>
          <w:tblHeader/>
        </w:trPr>
        <w:tc>
          <w:tcPr>
            <w:tcW w:w="6120" w:type="dxa"/>
            <w:gridSpan w:val="2"/>
            <w:tcBorders>
              <w:top w:val="single" w:sz="12" w:space="0" w:color="auto"/>
              <w:bottom w:val="single" w:sz="12" w:space="0" w:color="auto"/>
              <w:right w:val="nil"/>
            </w:tcBorders>
          </w:tcPr>
          <w:bookmarkEnd w:id="36"/>
          <w:p w14:paraId="2A98497A" w14:textId="77777777" w:rsidR="00CD2206" w:rsidRPr="00A44045" w:rsidRDefault="00CD2206" w:rsidP="00711B44">
            <w:pPr>
              <w:pStyle w:val="Tabletext"/>
              <w:keepNext/>
              <w:rPr>
                <w:b/>
                <w:sz w:val="18"/>
                <w:szCs w:val="18"/>
              </w:rPr>
            </w:pPr>
            <w:r w:rsidRPr="00A44045">
              <w:rPr>
                <w:b/>
                <w:sz w:val="18"/>
                <w:szCs w:val="18"/>
              </w:rPr>
              <w:t>Age cohorts</w:t>
            </w:r>
          </w:p>
        </w:tc>
      </w:tr>
      <w:tr w:rsidR="00CD2206" w:rsidRPr="00A44045" w14:paraId="5FCF67B6" w14:textId="77777777" w:rsidTr="00751B08">
        <w:trPr>
          <w:cantSplit/>
          <w:tblHeader/>
        </w:trPr>
        <w:tc>
          <w:tcPr>
            <w:tcW w:w="2160" w:type="dxa"/>
            <w:tcBorders>
              <w:top w:val="single" w:sz="6" w:space="0" w:color="auto"/>
              <w:bottom w:val="single" w:sz="12" w:space="0" w:color="auto"/>
              <w:right w:val="nil"/>
            </w:tcBorders>
          </w:tcPr>
          <w:p w14:paraId="667AF464" w14:textId="77777777" w:rsidR="00CD2206" w:rsidRPr="00A44045" w:rsidRDefault="00CD2206" w:rsidP="0077388D">
            <w:pPr>
              <w:pStyle w:val="Tabletext"/>
              <w:rPr>
                <w:b/>
                <w:sz w:val="18"/>
                <w:szCs w:val="18"/>
              </w:rPr>
            </w:pPr>
            <w:r w:rsidRPr="00A44045">
              <w:rPr>
                <w:b/>
                <w:sz w:val="18"/>
                <w:szCs w:val="18"/>
              </w:rPr>
              <w:t>Age</w:t>
            </w:r>
          </w:p>
        </w:tc>
        <w:tc>
          <w:tcPr>
            <w:tcW w:w="3960" w:type="dxa"/>
            <w:tcBorders>
              <w:top w:val="single" w:sz="6" w:space="0" w:color="auto"/>
              <w:left w:val="nil"/>
              <w:bottom w:val="single" w:sz="12" w:space="0" w:color="auto"/>
              <w:right w:val="nil"/>
            </w:tcBorders>
          </w:tcPr>
          <w:p w14:paraId="15FE820A" w14:textId="77777777" w:rsidR="00CD2206" w:rsidRPr="00A44045" w:rsidRDefault="00CD2206" w:rsidP="0077388D">
            <w:pPr>
              <w:pStyle w:val="Tabletext"/>
              <w:rPr>
                <w:b/>
                <w:sz w:val="18"/>
                <w:szCs w:val="18"/>
              </w:rPr>
            </w:pPr>
            <w:r w:rsidRPr="00A44045">
              <w:rPr>
                <w:b/>
                <w:sz w:val="18"/>
                <w:szCs w:val="18"/>
              </w:rPr>
              <w:t>% of eligible benefits included in pool</w:t>
            </w:r>
          </w:p>
        </w:tc>
      </w:tr>
      <w:tr w:rsidR="00CD2206" w:rsidRPr="00A44045" w14:paraId="1315AE8D" w14:textId="77777777" w:rsidTr="00751B08">
        <w:trPr>
          <w:cantSplit/>
        </w:trPr>
        <w:tc>
          <w:tcPr>
            <w:tcW w:w="2160" w:type="dxa"/>
            <w:tcBorders>
              <w:top w:val="single" w:sz="12" w:space="0" w:color="auto"/>
              <w:bottom w:val="single" w:sz="2" w:space="0" w:color="auto"/>
              <w:right w:val="nil"/>
            </w:tcBorders>
          </w:tcPr>
          <w:p w14:paraId="32CAA628" w14:textId="77777777" w:rsidR="00CD2206" w:rsidRPr="00A44045" w:rsidRDefault="00CD2206" w:rsidP="0077388D">
            <w:pPr>
              <w:pStyle w:val="Tabletext"/>
              <w:rPr>
                <w:sz w:val="18"/>
                <w:szCs w:val="18"/>
              </w:rPr>
            </w:pPr>
            <w:r w:rsidRPr="00A44045">
              <w:rPr>
                <w:sz w:val="18"/>
                <w:szCs w:val="18"/>
              </w:rPr>
              <w:t>0-54</w:t>
            </w:r>
          </w:p>
        </w:tc>
        <w:tc>
          <w:tcPr>
            <w:tcW w:w="3960" w:type="dxa"/>
            <w:tcBorders>
              <w:top w:val="single" w:sz="12" w:space="0" w:color="auto"/>
              <w:left w:val="nil"/>
              <w:bottom w:val="single" w:sz="2" w:space="0" w:color="auto"/>
              <w:right w:val="nil"/>
            </w:tcBorders>
          </w:tcPr>
          <w:p w14:paraId="23551BBC" w14:textId="1717C3A8" w:rsidR="00CD2206" w:rsidRPr="00A44045" w:rsidRDefault="00CD2206" w:rsidP="0077388D">
            <w:pPr>
              <w:pStyle w:val="Tabletext"/>
              <w:rPr>
                <w:sz w:val="18"/>
                <w:szCs w:val="18"/>
              </w:rPr>
            </w:pPr>
            <w:r w:rsidRPr="00A44045">
              <w:rPr>
                <w:sz w:val="18"/>
                <w:szCs w:val="18"/>
              </w:rPr>
              <w:t>0.0%</w:t>
            </w:r>
          </w:p>
        </w:tc>
      </w:tr>
      <w:tr w:rsidR="00CD2206" w:rsidRPr="00A44045" w14:paraId="717164DB" w14:textId="77777777" w:rsidTr="00751B08">
        <w:trPr>
          <w:cantSplit/>
        </w:trPr>
        <w:tc>
          <w:tcPr>
            <w:tcW w:w="2160" w:type="dxa"/>
            <w:tcBorders>
              <w:top w:val="single" w:sz="2" w:space="0" w:color="auto"/>
              <w:bottom w:val="single" w:sz="2" w:space="0" w:color="auto"/>
              <w:right w:val="nil"/>
            </w:tcBorders>
          </w:tcPr>
          <w:p w14:paraId="41D613FD" w14:textId="77777777" w:rsidR="00CD2206" w:rsidRPr="00A44045" w:rsidRDefault="00CD2206" w:rsidP="0077388D">
            <w:pPr>
              <w:pStyle w:val="Tabletext"/>
              <w:rPr>
                <w:sz w:val="18"/>
                <w:szCs w:val="18"/>
              </w:rPr>
            </w:pPr>
            <w:r w:rsidRPr="00A44045">
              <w:rPr>
                <w:sz w:val="18"/>
                <w:szCs w:val="18"/>
              </w:rPr>
              <w:t>55-59</w:t>
            </w:r>
          </w:p>
        </w:tc>
        <w:tc>
          <w:tcPr>
            <w:tcW w:w="3960" w:type="dxa"/>
            <w:tcBorders>
              <w:top w:val="single" w:sz="2" w:space="0" w:color="auto"/>
              <w:left w:val="nil"/>
              <w:bottom w:val="single" w:sz="2" w:space="0" w:color="auto"/>
              <w:right w:val="nil"/>
            </w:tcBorders>
          </w:tcPr>
          <w:p w14:paraId="4CC9B6AA" w14:textId="05B9BBDC" w:rsidR="00CD2206" w:rsidRPr="00A44045" w:rsidRDefault="00CD2206" w:rsidP="0077388D">
            <w:pPr>
              <w:pStyle w:val="Tabletext"/>
              <w:rPr>
                <w:sz w:val="18"/>
                <w:szCs w:val="18"/>
              </w:rPr>
            </w:pPr>
            <w:r w:rsidRPr="00A44045">
              <w:rPr>
                <w:sz w:val="18"/>
                <w:szCs w:val="18"/>
              </w:rPr>
              <w:t>15%</w:t>
            </w:r>
          </w:p>
        </w:tc>
      </w:tr>
      <w:tr w:rsidR="00CD2206" w:rsidRPr="00A44045" w14:paraId="4A91B91E" w14:textId="77777777" w:rsidTr="00751B08">
        <w:trPr>
          <w:cantSplit/>
        </w:trPr>
        <w:tc>
          <w:tcPr>
            <w:tcW w:w="2160" w:type="dxa"/>
            <w:tcBorders>
              <w:top w:val="single" w:sz="2" w:space="0" w:color="auto"/>
              <w:bottom w:val="single" w:sz="2" w:space="0" w:color="auto"/>
              <w:right w:val="nil"/>
            </w:tcBorders>
          </w:tcPr>
          <w:p w14:paraId="2637223E" w14:textId="77777777" w:rsidR="00CD2206" w:rsidRPr="00A44045" w:rsidRDefault="00CD2206" w:rsidP="0077388D">
            <w:pPr>
              <w:pStyle w:val="Tabletext"/>
              <w:rPr>
                <w:sz w:val="18"/>
                <w:szCs w:val="18"/>
              </w:rPr>
            </w:pPr>
            <w:r w:rsidRPr="00A44045">
              <w:rPr>
                <w:sz w:val="18"/>
                <w:szCs w:val="18"/>
              </w:rPr>
              <w:t>60-64</w:t>
            </w:r>
          </w:p>
        </w:tc>
        <w:tc>
          <w:tcPr>
            <w:tcW w:w="3960" w:type="dxa"/>
            <w:tcBorders>
              <w:top w:val="single" w:sz="2" w:space="0" w:color="auto"/>
              <w:left w:val="nil"/>
              <w:bottom w:val="single" w:sz="2" w:space="0" w:color="auto"/>
              <w:right w:val="nil"/>
            </w:tcBorders>
          </w:tcPr>
          <w:p w14:paraId="2C296197" w14:textId="41689767" w:rsidR="00CD2206" w:rsidRPr="00A44045" w:rsidRDefault="00CD2206" w:rsidP="0077388D">
            <w:pPr>
              <w:pStyle w:val="Tabletext"/>
              <w:rPr>
                <w:sz w:val="18"/>
                <w:szCs w:val="18"/>
              </w:rPr>
            </w:pPr>
            <w:r w:rsidRPr="00A44045">
              <w:rPr>
                <w:sz w:val="18"/>
                <w:szCs w:val="18"/>
              </w:rPr>
              <w:t>42.5%</w:t>
            </w:r>
          </w:p>
        </w:tc>
      </w:tr>
      <w:tr w:rsidR="00CD2206" w:rsidRPr="00A44045" w14:paraId="20E8D5EE" w14:textId="77777777" w:rsidTr="00751B08">
        <w:trPr>
          <w:cantSplit/>
        </w:trPr>
        <w:tc>
          <w:tcPr>
            <w:tcW w:w="2160" w:type="dxa"/>
            <w:tcBorders>
              <w:top w:val="single" w:sz="2" w:space="0" w:color="auto"/>
              <w:bottom w:val="single" w:sz="2" w:space="0" w:color="auto"/>
              <w:right w:val="nil"/>
            </w:tcBorders>
          </w:tcPr>
          <w:p w14:paraId="537796E1" w14:textId="77777777" w:rsidR="00CD2206" w:rsidRPr="00A44045" w:rsidRDefault="00CD2206" w:rsidP="0077388D">
            <w:pPr>
              <w:pStyle w:val="Tabletext"/>
              <w:rPr>
                <w:sz w:val="18"/>
                <w:szCs w:val="18"/>
              </w:rPr>
            </w:pPr>
            <w:r w:rsidRPr="00A44045">
              <w:rPr>
                <w:sz w:val="18"/>
                <w:szCs w:val="18"/>
              </w:rPr>
              <w:t>65-69</w:t>
            </w:r>
          </w:p>
        </w:tc>
        <w:tc>
          <w:tcPr>
            <w:tcW w:w="3960" w:type="dxa"/>
            <w:tcBorders>
              <w:top w:val="single" w:sz="2" w:space="0" w:color="auto"/>
              <w:left w:val="nil"/>
              <w:bottom w:val="single" w:sz="2" w:space="0" w:color="auto"/>
              <w:right w:val="nil"/>
            </w:tcBorders>
          </w:tcPr>
          <w:p w14:paraId="2DE40D8E" w14:textId="648511E6" w:rsidR="00CD2206" w:rsidRPr="00A44045" w:rsidRDefault="00CD2206" w:rsidP="0077388D">
            <w:pPr>
              <w:pStyle w:val="Tabletext"/>
              <w:rPr>
                <w:sz w:val="18"/>
                <w:szCs w:val="18"/>
              </w:rPr>
            </w:pPr>
            <w:r w:rsidRPr="00A44045">
              <w:rPr>
                <w:sz w:val="18"/>
                <w:szCs w:val="18"/>
              </w:rPr>
              <w:t>60%</w:t>
            </w:r>
          </w:p>
        </w:tc>
      </w:tr>
      <w:tr w:rsidR="00CD2206" w:rsidRPr="00A44045" w14:paraId="4352DB90" w14:textId="77777777" w:rsidTr="00751B08">
        <w:trPr>
          <w:cantSplit/>
        </w:trPr>
        <w:tc>
          <w:tcPr>
            <w:tcW w:w="2160" w:type="dxa"/>
            <w:tcBorders>
              <w:top w:val="single" w:sz="2" w:space="0" w:color="auto"/>
              <w:bottom w:val="single" w:sz="2" w:space="0" w:color="auto"/>
              <w:right w:val="nil"/>
            </w:tcBorders>
          </w:tcPr>
          <w:p w14:paraId="1F63E108" w14:textId="77777777" w:rsidR="00CD2206" w:rsidRPr="00A44045" w:rsidRDefault="00CD2206" w:rsidP="0077388D">
            <w:pPr>
              <w:pStyle w:val="Tabletext"/>
              <w:rPr>
                <w:sz w:val="18"/>
                <w:szCs w:val="18"/>
              </w:rPr>
            </w:pPr>
            <w:r w:rsidRPr="00A44045">
              <w:rPr>
                <w:sz w:val="18"/>
                <w:szCs w:val="18"/>
              </w:rPr>
              <w:t>70-74</w:t>
            </w:r>
          </w:p>
        </w:tc>
        <w:tc>
          <w:tcPr>
            <w:tcW w:w="3960" w:type="dxa"/>
            <w:tcBorders>
              <w:top w:val="single" w:sz="2" w:space="0" w:color="auto"/>
              <w:left w:val="nil"/>
              <w:bottom w:val="single" w:sz="2" w:space="0" w:color="auto"/>
              <w:right w:val="nil"/>
            </w:tcBorders>
          </w:tcPr>
          <w:p w14:paraId="55BCB404" w14:textId="600C8955" w:rsidR="00CD2206" w:rsidRPr="00A44045" w:rsidRDefault="00CD2206" w:rsidP="0077388D">
            <w:pPr>
              <w:pStyle w:val="Tabletext"/>
              <w:rPr>
                <w:sz w:val="18"/>
                <w:szCs w:val="18"/>
              </w:rPr>
            </w:pPr>
            <w:r w:rsidRPr="00A44045">
              <w:rPr>
                <w:sz w:val="18"/>
                <w:szCs w:val="18"/>
              </w:rPr>
              <w:t>70%</w:t>
            </w:r>
          </w:p>
        </w:tc>
      </w:tr>
      <w:tr w:rsidR="00CD2206" w:rsidRPr="00A44045" w14:paraId="11CCE3A0" w14:textId="77777777" w:rsidTr="00751B08">
        <w:trPr>
          <w:cantSplit/>
        </w:trPr>
        <w:tc>
          <w:tcPr>
            <w:tcW w:w="2160" w:type="dxa"/>
            <w:tcBorders>
              <w:top w:val="single" w:sz="2" w:space="0" w:color="auto"/>
              <w:bottom w:val="single" w:sz="2" w:space="0" w:color="auto"/>
              <w:right w:val="nil"/>
            </w:tcBorders>
          </w:tcPr>
          <w:p w14:paraId="5CBE028C" w14:textId="77777777" w:rsidR="00CD2206" w:rsidRPr="00A44045" w:rsidRDefault="00CD2206" w:rsidP="0077388D">
            <w:pPr>
              <w:pStyle w:val="Tabletext"/>
              <w:rPr>
                <w:sz w:val="18"/>
                <w:szCs w:val="18"/>
              </w:rPr>
            </w:pPr>
            <w:r w:rsidRPr="00A44045">
              <w:rPr>
                <w:sz w:val="18"/>
                <w:szCs w:val="18"/>
              </w:rPr>
              <w:t>75-79</w:t>
            </w:r>
          </w:p>
        </w:tc>
        <w:tc>
          <w:tcPr>
            <w:tcW w:w="3960" w:type="dxa"/>
            <w:tcBorders>
              <w:top w:val="single" w:sz="2" w:space="0" w:color="auto"/>
              <w:left w:val="nil"/>
              <w:bottom w:val="single" w:sz="2" w:space="0" w:color="auto"/>
              <w:right w:val="nil"/>
            </w:tcBorders>
          </w:tcPr>
          <w:p w14:paraId="00748988" w14:textId="5BFD677B" w:rsidR="00CD2206" w:rsidRPr="00A44045" w:rsidRDefault="00CD2206" w:rsidP="0077388D">
            <w:pPr>
              <w:pStyle w:val="Tabletext"/>
              <w:rPr>
                <w:sz w:val="18"/>
                <w:szCs w:val="18"/>
              </w:rPr>
            </w:pPr>
            <w:r w:rsidRPr="00A44045">
              <w:rPr>
                <w:sz w:val="18"/>
                <w:szCs w:val="18"/>
              </w:rPr>
              <w:t>76%</w:t>
            </w:r>
          </w:p>
        </w:tc>
      </w:tr>
      <w:tr w:rsidR="00CD2206" w:rsidRPr="00A44045" w14:paraId="152603A3" w14:textId="77777777" w:rsidTr="00751B08">
        <w:trPr>
          <w:cantSplit/>
        </w:trPr>
        <w:tc>
          <w:tcPr>
            <w:tcW w:w="2160" w:type="dxa"/>
            <w:tcBorders>
              <w:top w:val="single" w:sz="2" w:space="0" w:color="auto"/>
              <w:bottom w:val="single" w:sz="2" w:space="0" w:color="auto"/>
              <w:right w:val="nil"/>
            </w:tcBorders>
          </w:tcPr>
          <w:p w14:paraId="7C4533F5" w14:textId="77777777" w:rsidR="00CD2206" w:rsidRPr="00A44045" w:rsidRDefault="00CD2206" w:rsidP="0077388D">
            <w:pPr>
              <w:pStyle w:val="Tabletext"/>
              <w:rPr>
                <w:sz w:val="18"/>
                <w:szCs w:val="18"/>
              </w:rPr>
            </w:pPr>
            <w:r w:rsidRPr="00A44045">
              <w:rPr>
                <w:sz w:val="18"/>
                <w:szCs w:val="18"/>
              </w:rPr>
              <w:t>80-84</w:t>
            </w:r>
          </w:p>
        </w:tc>
        <w:tc>
          <w:tcPr>
            <w:tcW w:w="3960" w:type="dxa"/>
            <w:tcBorders>
              <w:top w:val="single" w:sz="2" w:space="0" w:color="auto"/>
              <w:left w:val="nil"/>
              <w:bottom w:val="single" w:sz="2" w:space="0" w:color="auto"/>
              <w:right w:val="nil"/>
            </w:tcBorders>
          </w:tcPr>
          <w:p w14:paraId="05E74A9C" w14:textId="2377BF37" w:rsidR="00CD2206" w:rsidRPr="00A44045" w:rsidRDefault="00CD2206" w:rsidP="0077388D">
            <w:pPr>
              <w:pStyle w:val="Tabletext"/>
              <w:rPr>
                <w:sz w:val="18"/>
                <w:szCs w:val="18"/>
              </w:rPr>
            </w:pPr>
            <w:r w:rsidRPr="00A44045">
              <w:rPr>
                <w:sz w:val="18"/>
                <w:szCs w:val="18"/>
              </w:rPr>
              <w:t>78%</w:t>
            </w:r>
          </w:p>
        </w:tc>
      </w:tr>
      <w:tr w:rsidR="00CD2206" w:rsidRPr="00A44045" w14:paraId="63331EEA" w14:textId="77777777" w:rsidTr="00751B08">
        <w:trPr>
          <w:cantSplit/>
        </w:trPr>
        <w:tc>
          <w:tcPr>
            <w:tcW w:w="2160" w:type="dxa"/>
            <w:tcBorders>
              <w:top w:val="single" w:sz="2" w:space="0" w:color="auto"/>
              <w:bottom w:val="single" w:sz="12" w:space="0" w:color="auto"/>
              <w:right w:val="nil"/>
            </w:tcBorders>
          </w:tcPr>
          <w:p w14:paraId="6E664A32" w14:textId="77777777" w:rsidR="00CD2206" w:rsidRPr="00A44045" w:rsidRDefault="00CD2206" w:rsidP="0077388D">
            <w:pPr>
              <w:pStyle w:val="Tabletext"/>
              <w:rPr>
                <w:sz w:val="18"/>
                <w:szCs w:val="18"/>
              </w:rPr>
            </w:pPr>
            <w:r w:rsidRPr="00A44045">
              <w:rPr>
                <w:sz w:val="18"/>
                <w:szCs w:val="18"/>
              </w:rPr>
              <w:t>85+</w:t>
            </w:r>
          </w:p>
        </w:tc>
        <w:tc>
          <w:tcPr>
            <w:tcW w:w="3960" w:type="dxa"/>
            <w:tcBorders>
              <w:top w:val="single" w:sz="2" w:space="0" w:color="auto"/>
              <w:left w:val="nil"/>
              <w:bottom w:val="single" w:sz="12" w:space="0" w:color="auto"/>
              <w:right w:val="nil"/>
            </w:tcBorders>
          </w:tcPr>
          <w:p w14:paraId="65395307" w14:textId="43EF592D" w:rsidR="00CD2206" w:rsidRPr="00A44045" w:rsidRDefault="00CD2206" w:rsidP="0077388D">
            <w:pPr>
              <w:pStyle w:val="Tabletext"/>
              <w:rPr>
                <w:sz w:val="18"/>
                <w:szCs w:val="18"/>
              </w:rPr>
            </w:pPr>
            <w:r w:rsidRPr="00A44045">
              <w:rPr>
                <w:sz w:val="18"/>
                <w:szCs w:val="18"/>
              </w:rPr>
              <w:t>82%</w:t>
            </w:r>
          </w:p>
        </w:tc>
      </w:tr>
    </w:tbl>
    <w:p w14:paraId="3B35DC03" w14:textId="77777777" w:rsidR="00CD2206" w:rsidRPr="00A44045" w:rsidRDefault="00CD2206" w:rsidP="001E174E">
      <w:pPr>
        <w:pStyle w:val="HealthnumLevel5"/>
        <w:numPr>
          <w:ilvl w:val="0"/>
          <w:numId w:val="17"/>
        </w:numPr>
        <w:ind w:left="1077" w:hanging="357"/>
        <w:rPr>
          <w:sz w:val="22"/>
          <w:szCs w:val="22"/>
        </w:rPr>
      </w:pPr>
      <w:r w:rsidRPr="00A44045">
        <w:rPr>
          <w:sz w:val="22"/>
          <w:szCs w:val="22"/>
        </w:rPr>
        <w:t>Where an insured person receives treatment over a number of days such that the age of the insured person on the day or days on which that person receives the treatment falls within more than one age cohort, the amount to be notionally allocated to the ABP must be allocated proportionately in accordance with the number of days during which the insured person was in each age cohort.</w:t>
      </w:r>
    </w:p>
    <w:p w14:paraId="1C46333D" w14:textId="6C13013D" w:rsidR="00CD2206" w:rsidRPr="00A44045" w:rsidRDefault="00E70EFE" w:rsidP="001E174E">
      <w:pPr>
        <w:pStyle w:val="Healthnote"/>
        <w:spacing w:line="264" w:lineRule="auto"/>
        <w:ind w:left="1985" w:hanging="851"/>
        <w:rPr>
          <w:color w:val="auto"/>
          <w:sz w:val="18"/>
          <w:szCs w:val="18"/>
        </w:rPr>
      </w:pPr>
      <w:r w:rsidRPr="00A44045">
        <w:rPr>
          <w:color w:val="auto"/>
          <w:sz w:val="18"/>
          <w:szCs w:val="18"/>
        </w:rPr>
        <w:t>Example:</w:t>
      </w:r>
      <w:r w:rsidRPr="00A44045">
        <w:rPr>
          <w:color w:val="auto"/>
          <w:sz w:val="18"/>
          <w:szCs w:val="18"/>
        </w:rPr>
        <w:tab/>
      </w:r>
      <w:r w:rsidR="00CD2206" w:rsidRPr="00A44045">
        <w:rPr>
          <w:color w:val="auto"/>
          <w:sz w:val="18"/>
          <w:szCs w:val="18"/>
        </w:rPr>
        <w:t xml:space="preserve">Mr X, a 59-year-old insured person whose birthday is on 24 January is admitted to hospital on January 19.  Mr X is discharged from the hospital on 29 January.  Mr X's gross benefit is $10,000.  In this case, as half the time in which Mr X was receiving treatment was spent while he was 59 years old and the other half while he was 60 years old, the amount to be notionally allocated to the ABP will use the rates in both the 55-59 and the 60-64 age cohorts.  Therefore, the amount notionally allocated to the ABP will be:  0.5*$10,000*15%+0.5*$10,000*42.5% which equals $2,875.  </w:t>
      </w:r>
    </w:p>
    <w:p w14:paraId="4C285DF6" w14:textId="77777777" w:rsidR="00CD2206" w:rsidRPr="00A44045" w:rsidRDefault="00CD2206" w:rsidP="001E174E">
      <w:pPr>
        <w:pStyle w:val="HealthnumLevel5"/>
        <w:numPr>
          <w:ilvl w:val="0"/>
          <w:numId w:val="17"/>
        </w:numPr>
        <w:ind w:left="1077" w:hanging="357"/>
        <w:rPr>
          <w:sz w:val="22"/>
          <w:szCs w:val="22"/>
        </w:rPr>
      </w:pPr>
      <w:bookmarkStart w:id="37" w:name="_Ref153768842"/>
      <w:bookmarkStart w:id="38" w:name="_Ref153768571"/>
      <w:bookmarkStart w:id="39" w:name="_Ref154144045"/>
      <w:r w:rsidRPr="00A44045">
        <w:rPr>
          <w:sz w:val="22"/>
          <w:szCs w:val="22"/>
        </w:rPr>
        <w:t>An amount is to be notionally allocated to the HCCP for a current quarter in respect of an insured person if:</w:t>
      </w:r>
      <w:bookmarkEnd w:id="37"/>
    </w:p>
    <w:p w14:paraId="43A9860D" w14:textId="3B7B727B" w:rsidR="00CD2206" w:rsidRPr="00A44045" w:rsidRDefault="00CD2206" w:rsidP="00751B08">
      <w:pPr>
        <w:pStyle w:val="Healthnumlevel2"/>
        <w:numPr>
          <w:ilvl w:val="1"/>
          <w:numId w:val="17"/>
        </w:numPr>
        <w:ind w:left="1428"/>
        <w:rPr>
          <w:color w:val="auto"/>
          <w:sz w:val="22"/>
          <w:szCs w:val="22"/>
        </w:rPr>
      </w:pPr>
      <w:r w:rsidRPr="00A44045">
        <w:rPr>
          <w:color w:val="auto"/>
          <w:sz w:val="22"/>
          <w:szCs w:val="22"/>
        </w:rPr>
        <w:t xml:space="preserve">an amount has been notionally allocated to the ABP pursuant to subrule </w:t>
      </w:r>
      <w:r w:rsidRPr="00A44045">
        <w:rPr>
          <w:color w:val="auto"/>
          <w:sz w:val="22"/>
          <w:szCs w:val="22"/>
        </w:rPr>
        <w:fldChar w:fldCharType="begin"/>
      </w:r>
      <w:r w:rsidRPr="00A44045">
        <w:rPr>
          <w:color w:val="auto"/>
          <w:sz w:val="22"/>
          <w:szCs w:val="22"/>
        </w:rPr>
        <w:instrText xml:space="preserve"> REF _Ref153768260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(4)</w:t>
      </w:r>
      <w:r w:rsidRPr="00A44045">
        <w:rPr>
          <w:color w:val="auto"/>
          <w:sz w:val="22"/>
          <w:szCs w:val="22"/>
        </w:rPr>
        <w:fldChar w:fldCharType="end"/>
      </w:r>
      <w:r w:rsidRPr="00A44045">
        <w:rPr>
          <w:color w:val="auto"/>
          <w:sz w:val="22"/>
          <w:szCs w:val="22"/>
        </w:rPr>
        <w:t>; and</w:t>
      </w:r>
    </w:p>
    <w:p w14:paraId="598878D6" w14:textId="7C0015FB" w:rsidR="00CD2206" w:rsidRPr="00A44045" w:rsidRDefault="00CD2206" w:rsidP="00751B08">
      <w:pPr>
        <w:pStyle w:val="Healthnumlevel2"/>
        <w:numPr>
          <w:ilvl w:val="1"/>
          <w:numId w:val="17"/>
        </w:numPr>
        <w:ind w:left="1428"/>
        <w:rPr>
          <w:color w:val="auto"/>
          <w:sz w:val="22"/>
          <w:szCs w:val="22"/>
        </w:rPr>
      </w:pPr>
      <w:bookmarkStart w:id="40" w:name="_Ref153768635"/>
      <w:r w:rsidRPr="00A44045">
        <w:rPr>
          <w:color w:val="auto"/>
          <w:sz w:val="22"/>
          <w:szCs w:val="22"/>
        </w:rPr>
        <w:t xml:space="preserve">the total gross benefit for the current and the immediately preceding 3 quarters less the amount notionally allocated to the ABP under subrule </w:t>
      </w:r>
      <w:r w:rsidRPr="00A44045">
        <w:rPr>
          <w:color w:val="auto"/>
          <w:sz w:val="22"/>
          <w:szCs w:val="22"/>
        </w:rPr>
        <w:fldChar w:fldCharType="begin"/>
      </w:r>
      <w:r w:rsidRPr="00A44045">
        <w:rPr>
          <w:color w:val="auto"/>
          <w:sz w:val="22"/>
          <w:szCs w:val="22"/>
        </w:rPr>
        <w:instrText xml:space="preserve"> REF _Ref153768260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(4)</w:t>
      </w:r>
      <w:r w:rsidRPr="00A44045">
        <w:rPr>
          <w:color w:val="auto"/>
          <w:sz w:val="22"/>
          <w:szCs w:val="22"/>
        </w:rPr>
        <w:fldChar w:fldCharType="end"/>
      </w:r>
      <w:r w:rsidRPr="00A44045">
        <w:rPr>
          <w:color w:val="auto"/>
          <w:sz w:val="22"/>
          <w:szCs w:val="22"/>
        </w:rPr>
        <w:t>, or subrule 7(4) of the old rules, as appropriate, in the current and preceding 3 quarters exceeds the designated threshold.</w:t>
      </w:r>
      <w:bookmarkEnd w:id="40"/>
    </w:p>
    <w:p w14:paraId="63909AF5" w14:textId="77777777" w:rsidR="00CD2206" w:rsidRPr="00A44045" w:rsidRDefault="00CD2206" w:rsidP="001E174E">
      <w:pPr>
        <w:pStyle w:val="HealthnumLevel5"/>
        <w:numPr>
          <w:ilvl w:val="0"/>
          <w:numId w:val="17"/>
        </w:numPr>
        <w:ind w:left="1077" w:hanging="357"/>
        <w:rPr>
          <w:sz w:val="22"/>
          <w:szCs w:val="22"/>
        </w:rPr>
      </w:pPr>
      <w:r w:rsidRPr="00A44045">
        <w:rPr>
          <w:sz w:val="22"/>
          <w:szCs w:val="22"/>
        </w:rPr>
        <w:t>The amount to be notionally allocated to the HCCP is to be calculated in accordance with the formula m(R-T) - H, where</w:t>
      </w:r>
      <w:bookmarkEnd w:id="38"/>
      <w:r w:rsidRPr="00A44045">
        <w:rPr>
          <w:sz w:val="22"/>
          <w:szCs w:val="22"/>
        </w:rPr>
        <w:t>:</w:t>
      </w:r>
      <w:bookmarkEnd w:id="39"/>
    </w:p>
    <w:p w14:paraId="3D959474" w14:textId="77777777"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m</w:t>
      </w:r>
      <w:r w:rsidRPr="00A44045">
        <w:rPr>
          <w:color w:val="auto"/>
          <w:sz w:val="22"/>
          <w:szCs w:val="22"/>
        </w:rPr>
        <w:t xml:space="preserve"> is </w:t>
      </w:r>
      <w:proofErr w:type="gramStart"/>
      <w:r w:rsidRPr="00A44045">
        <w:rPr>
          <w:color w:val="auto"/>
          <w:sz w:val="22"/>
          <w:szCs w:val="22"/>
        </w:rPr>
        <w:t>82%;</w:t>
      </w:r>
      <w:proofErr w:type="gramEnd"/>
    </w:p>
    <w:p w14:paraId="2E6CEBC0" w14:textId="61282A62"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R</w:t>
      </w:r>
      <w:r w:rsidRPr="00A44045">
        <w:rPr>
          <w:color w:val="auto"/>
          <w:sz w:val="22"/>
          <w:szCs w:val="22"/>
        </w:rPr>
        <w:t xml:space="preserve"> is the total gross benefit for the current and the preceding 3 quarters less the amount notionally allocated to the ABP under subrule </w:t>
      </w:r>
      <w:r w:rsidRPr="00A44045">
        <w:rPr>
          <w:color w:val="auto"/>
          <w:sz w:val="22"/>
          <w:szCs w:val="22"/>
        </w:rPr>
        <w:fldChar w:fldCharType="begin"/>
      </w:r>
      <w:r w:rsidRPr="00A44045">
        <w:rPr>
          <w:color w:val="auto"/>
          <w:sz w:val="22"/>
          <w:szCs w:val="22"/>
        </w:rPr>
        <w:instrText xml:space="preserve"> REF _Ref153768260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(4)</w:t>
      </w:r>
      <w:r w:rsidRPr="00A44045">
        <w:rPr>
          <w:color w:val="auto"/>
          <w:sz w:val="22"/>
          <w:szCs w:val="22"/>
        </w:rPr>
        <w:fldChar w:fldCharType="end"/>
      </w:r>
      <w:r w:rsidRPr="00A44045">
        <w:rPr>
          <w:color w:val="auto"/>
          <w:sz w:val="22"/>
          <w:szCs w:val="22"/>
        </w:rPr>
        <w:t xml:space="preserve">, or subrule 7(4) of the old rules, as appropriate, in the current and preceding 3 quarters; </w:t>
      </w:r>
    </w:p>
    <w:p w14:paraId="239CF4C7" w14:textId="77777777"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T</w:t>
      </w:r>
      <w:r w:rsidRPr="00A44045">
        <w:rPr>
          <w:color w:val="auto"/>
          <w:sz w:val="22"/>
          <w:szCs w:val="22"/>
        </w:rPr>
        <w:t xml:space="preserve"> is the designated </w:t>
      </w:r>
      <w:proofErr w:type="gramStart"/>
      <w:r w:rsidRPr="00A44045">
        <w:rPr>
          <w:color w:val="auto"/>
          <w:sz w:val="22"/>
          <w:szCs w:val="22"/>
        </w:rPr>
        <w:t>threshold;</w:t>
      </w:r>
      <w:proofErr w:type="gramEnd"/>
    </w:p>
    <w:p w14:paraId="57672978" w14:textId="77777777"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H</w:t>
      </w:r>
      <w:r w:rsidRPr="00A44045">
        <w:rPr>
          <w:color w:val="auto"/>
          <w:sz w:val="22"/>
          <w:szCs w:val="22"/>
        </w:rPr>
        <w:t xml:space="preserve"> is the sum of the amounts notionally allocated to the HCCP under this rule, or rule 7 of the old rules, as appropriate, in the preceding 3 quarters.</w:t>
      </w:r>
    </w:p>
    <w:p w14:paraId="2BAEBCC2" w14:textId="5FF76175" w:rsidR="00CD2206" w:rsidRPr="00A44045" w:rsidRDefault="005E39AE" w:rsidP="001E174E">
      <w:pPr>
        <w:pStyle w:val="Healthnote"/>
        <w:spacing w:line="264" w:lineRule="auto"/>
        <w:ind w:left="1985" w:hanging="851"/>
        <w:rPr>
          <w:color w:val="auto"/>
          <w:sz w:val="18"/>
          <w:szCs w:val="18"/>
        </w:rPr>
      </w:pPr>
      <w:r w:rsidRPr="00A44045">
        <w:rPr>
          <w:color w:val="auto"/>
          <w:sz w:val="18"/>
          <w:szCs w:val="18"/>
        </w:rPr>
        <w:t>Example</w:t>
      </w:r>
      <w:r w:rsidR="003F59A9" w:rsidRPr="00A44045">
        <w:rPr>
          <w:color w:val="auto"/>
          <w:sz w:val="18"/>
          <w:szCs w:val="18"/>
        </w:rPr>
        <w:t xml:space="preserve"> 1</w:t>
      </w:r>
      <w:r w:rsidR="00CD2206" w:rsidRPr="00A44045">
        <w:rPr>
          <w:color w:val="auto"/>
          <w:sz w:val="18"/>
          <w:szCs w:val="18"/>
        </w:rPr>
        <w:t>:</w:t>
      </w:r>
      <w:r w:rsidR="00CD2206" w:rsidRPr="00A44045">
        <w:rPr>
          <w:i/>
          <w:color w:val="auto"/>
        </w:rPr>
        <w:tab/>
      </w:r>
      <w:r w:rsidR="00C642FD" w:rsidRPr="00A44045">
        <w:rPr>
          <w:color w:val="auto"/>
          <w:sz w:val="18"/>
          <w:szCs w:val="18"/>
        </w:rPr>
        <w:t xml:space="preserve">Mr X is 63 and has a gross benefit of $100,000.  In this case, the amount that will be notionally allocated to the ABP is $42,500 (42.5% * $100,000).  </w:t>
      </w:r>
      <w:proofErr w:type="gramStart"/>
      <w:r w:rsidR="00C642FD" w:rsidRPr="00A44045">
        <w:rPr>
          <w:color w:val="auto"/>
          <w:sz w:val="18"/>
          <w:szCs w:val="18"/>
        </w:rPr>
        <w:t>Assuming that</w:t>
      </w:r>
      <w:proofErr w:type="gramEnd"/>
      <w:r w:rsidR="00C642FD" w:rsidRPr="00A44045">
        <w:rPr>
          <w:color w:val="auto"/>
          <w:sz w:val="18"/>
          <w:szCs w:val="18"/>
        </w:rPr>
        <w:t xml:space="preserve"> Mr X has not made a previous claim in the preceding 3 quarters, Mr X will be above the </w:t>
      </w:r>
      <w:r w:rsidR="00C642FD" w:rsidRPr="00A44045">
        <w:rPr>
          <w:color w:val="auto"/>
          <w:sz w:val="18"/>
          <w:szCs w:val="18"/>
        </w:rPr>
        <w:lastRenderedPageBreak/>
        <w:t>$50,000 threshold.  That is, $57,500 (the amount not notionally allocated to ABP in the current quarter with no other claims in the preceding 3 quarters) exceeds the designated threshold of $50,000.  Here, the amount that will be notionally allocated to the HCCP is $6,150 (82% * ($57,500 - $50,000) - 0).  As there are no gross benefits in the preceding 3 quarters, the only amount that was not allocated to the ABP is the amount in the current quarter (</w:t>
      </w:r>
      <w:proofErr w:type="spellStart"/>
      <w:r w:rsidR="00C642FD" w:rsidRPr="00A44045">
        <w:rPr>
          <w:color w:val="auto"/>
          <w:sz w:val="18"/>
          <w:szCs w:val="18"/>
        </w:rPr>
        <w:t>ie</w:t>
      </w:r>
      <w:proofErr w:type="spellEnd"/>
      <w:r w:rsidR="00C642FD" w:rsidRPr="00A44045">
        <w:rPr>
          <w:color w:val="auto"/>
          <w:sz w:val="18"/>
          <w:szCs w:val="18"/>
        </w:rPr>
        <w:t>, $100,000 - 42,500 = $57,500) and the amount notionally allocated to the HCCP in the preceding 3 quarters is zero.</w:t>
      </w:r>
    </w:p>
    <w:p w14:paraId="5AFF653B" w14:textId="512A7246" w:rsidR="009343D7" w:rsidRPr="00A44045" w:rsidRDefault="009343D7" w:rsidP="001E174E">
      <w:pPr>
        <w:pStyle w:val="Healthnote"/>
        <w:spacing w:line="264" w:lineRule="auto"/>
        <w:ind w:left="1985" w:hanging="851"/>
        <w:rPr>
          <w:color w:val="auto"/>
          <w:sz w:val="18"/>
          <w:szCs w:val="18"/>
        </w:rPr>
      </w:pPr>
      <w:bookmarkStart w:id="41" w:name="_Ref153768222"/>
      <w:r w:rsidRPr="00A44045">
        <w:rPr>
          <w:color w:val="auto"/>
          <w:sz w:val="18"/>
          <w:szCs w:val="18"/>
        </w:rPr>
        <w:t>Example 2:</w:t>
      </w:r>
      <w:r w:rsidR="00B94C05" w:rsidRPr="00A44045">
        <w:rPr>
          <w:color w:val="auto"/>
          <w:sz w:val="18"/>
          <w:szCs w:val="18"/>
        </w:rPr>
        <w:tab/>
      </w:r>
      <w:r w:rsidRPr="00A44045">
        <w:rPr>
          <w:color w:val="auto"/>
          <w:sz w:val="18"/>
          <w:szCs w:val="18"/>
        </w:rPr>
        <w:t xml:space="preserve">Assuming that, in the next quarter, Mr X has another gross benefit of $100,000 and is still 63, the amount to be notionally allocated to the ABP will be the same as in the previous example.  That is, the amount allocated to the ABP will be $42,500.  The calculation of the total amount not notionally allocated to the ABP will need to account for the previous claim amount in Example 1 for the purposes of calculating whether the total amount not allocated to the ABP exceeds the designated threshold.  In this case, the total residual amount will be $115,000 ($57,500 (amount not allocated in the ABP in the previous quarter) + $57,500 (amount not allocated in the ABP in the current quarter).  The result is that the total amount not allocated to the ABP in the current quarter and in the preceding 3 quarters of $115,000 exceeds the designated threshold of $50,000.  Subject to the limit in subrule </w:t>
      </w:r>
      <w:r w:rsidRPr="00A44045">
        <w:rPr>
          <w:color w:val="auto"/>
          <w:sz w:val="18"/>
          <w:szCs w:val="18"/>
        </w:rPr>
        <w:fldChar w:fldCharType="begin"/>
      </w:r>
      <w:r w:rsidRPr="00A44045">
        <w:rPr>
          <w:color w:val="auto"/>
          <w:sz w:val="18"/>
          <w:szCs w:val="18"/>
        </w:rPr>
        <w:instrText xml:space="preserve"> REF _Ref153768222 \r \h  \* MERGEFORMAT </w:instrText>
      </w:r>
      <w:r w:rsidRPr="00A44045">
        <w:rPr>
          <w:color w:val="auto"/>
          <w:sz w:val="18"/>
          <w:szCs w:val="18"/>
        </w:rPr>
      </w:r>
      <w:r w:rsidRPr="00A44045">
        <w:rPr>
          <w:color w:val="auto"/>
          <w:sz w:val="18"/>
          <w:szCs w:val="18"/>
        </w:rPr>
        <w:fldChar w:fldCharType="separate"/>
      </w:r>
      <w:r w:rsidR="00C14CD4" w:rsidRPr="00A44045">
        <w:rPr>
          <w:color w:val="auto"/>
          <w:sz w:val="18"/>
          <w:szCs w:val="18"/>
        </w:rPr>
        <w:t>0</w:t>
      </w:r>
      <w:r w:rsidRPr="00A44045">
        <w:rPr>
          <w:color w:val="auto"/>
          <w:sz w:val="18"/>
          <w:szCs w:val="18"/>
        </w:rPr>
        <w:fldChar w:fldCharType="end"/>
      </w:r>
      <w:r w:rsidRPr="00A44045">
        <w:rPr>
          <w:color w:val="auto"/>
          <w:sz w:val="18"/>
          <w:szCs w:val="18"/>
        </w:rPr>
        <w:t>, the amount to be notionally allocated to the HCCP in this case will be $47,150, which represents 82% of the difference between the sum of the total amount not allocated to the ABP in the current and in the preceding 3 quarters ($57,500 + $57,500) and the threshold ($50,000), minus the sum of the amount notionally allocated to the HCCP in the preceding 3 quarters (in this case, as there was only one amount in the previous quarter, the sum is $6,150).</w:t>
      </w:r>
    </w:p>
    <w:p w14:paraId="442F0E4F" w14:textId="06EB11E6" w:rsidR="00AE4D0D" w:rsidRPr="00A44045" w:rsidRDefault="00CD2206" w:rsidP="001E174E">
      <w:pPr>
        <w:pStyle w:val="HealthnumLevel5"/>
        <w:numPr>
          <w:ilvl w:val="0"/>
          <w:numId w:val="17"/>
        </w:numPr>
        <w:tabs>
          <w:tab w:val="left" w:pos="567"/>
        </w:tabs>
        <w:ind w:left="1077" w:hanging="357"/>
        <w:rPr>
          <w:sz w:val="22"/>
          <w:szCs w:val="22"/>
        </w:rPr>
      </w:pPr>
      <w:r w:rsidRPr="00A44045">
        <w:rPr>
          <w:sz w:val="22"/>
          <w:szCs w:val="22"/>
        </w:rPr>
        <w:t xml:space="preserve">Where the amount notionally allocated to the HCCP under subrule </w:t>
      </w:r>
      <w:r w:rsidRPr="00A44045">
        <w:rPr>
          <w:sz w:val="22"/>
          <w:szCs w:val="22"/>
        </w:rPr>
        <w:fldChar w:fldCharType="begin"/>
      </w:r>
      <w:r w:rsidRPr="00A44045">
        <w:rPr>
          <w:sz w:val="22"/>
          <w:szCs w:val="22"/>
        </w:rPr>
        <w:instrText xml:space="preserve"> REF _Ref153768571 \n \h  \* MERGEFORMAT </w:instrText>
      </w:r>
      <w:r w:rsidRPr="00A44045">
        <w:rPr>
          <w:sz w:val="22"/>
          <w:szCs w:val="22"/>
        </w:rPr>
      </w:r>
      <w:r w:rsidRPr="00A44045">
        <w:rPr>
          <w:sz w:val="22"/>
          <w:szCs w:val="22"/>
        </w:rPr>
        <w:fldChar w:fldCharType="separate"/>
      </w:r>
      <w:r w:rsidR="00C14CD4" w:rsidRPr="00A44045">
        <w:rPr>
          <w:sz w:val="22"/>
          <w:szCs w:val="22"/>
        </w:rPr>
        <w:t>(7)</w:t>
      </w:r>
      <w:r w:rsidRPr="00A44045">
        <w:rPr>
          <w:sz w:val="22"/>
          <w:szCs w:val="22"/>
        </w:rPr>
        <w:fldChar w:fldCharType="end"/>
      </w:r>
      <w:r w:rsidRPr="00A44045">
        <w:rPr>
          <w:sz w:val="22"/>
          <w:szCs w:val="22"/>
        </w:rPr>
        <w:t xml:space="preserve"> exceeds (m-</w:t>
      </w:r>
      <w:proofErr w:type="gramStart"/>
      <w:r w:rsidRPr="00A44045">
        <w:rPr>
          <w:sz w:val="22"/>
          <w:szCs w:val="22"/>
        </w:rPr>
        <w:t>p)C</w:t>
      </w:r>
      <w:proofErr w:type="gramEnd"/>
      <w:r w:rsidRPr="00A44045">
        <w:rPr>
          <w:sz w:val="22"/>
          <w:szCs w:val="22"/>
        </w:rPr>
        <w:t xml:space="preserve"> where:</w:t>
      </w:r>
      <w:bookmarkEnd w:id="41"/>
    </w:p>
    <w:p w14:paraId="75F84E0D" w14:textId="77777777"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m</w:t>
      </w:r>
      <w:r w:rsidRPr="00A44045">
        <w:rPr>
          <w:color w:val="auto"/>
          <w:sz w:val="22"/>
          <w:szCs w:val="22"/>
        </w:rPr>
        <w:t xml:space="preserve"> is </w:t>
      </w:r>
      <w:proofErr w:type="gramStart"/>
      <w:r w:rsidRPr="00A44045">
        <w:rPr>
          <w:color w:val="auto"/>
          <w:sz w:val="22"/>
          <w:szCs w:val="22"/>
        </w:rPr>
        <w:t>82%;</w:t>
      </w:r>
      <w:proofErr w:type="gramEnd"/>
    </w:p>
    <w:p w14:paraId="51D740C2" w14:textId="22D9E7CF"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p</w:t>
      </w:r>
      <w:r w:rsidRPr="00A44045">
        <w:rPr>
          <w:color w:val="auto"/>
          <w:sz w:val="22"/>
          <w:szCs w:val="22"/>
        </w:rPr>
        <w:t xml:space="preserve"> is the percentage of the eligible benefit paid having regard to the age cohort set out in the table in subrule </w:t>
      </w:r>
      <w:r w:rsidRPr="00A44045">
        <w:rPr>
          <w:color w:val="auto"/>
          <w:sz w:val="22"/>
          <w:szCs w:val="22"/>
        </w:rPr>
        <w:fldChar w:fldCharType="begin"/>
      </w:r>
      <w:r w:rsidRPr="00A44045">
        <w:rPr>
          <w:color w:val="auto"/>
          <w:sz w:val="22"/>
          <w:szCs w:val="22"/>
        </w:rPr>
        <w:instrText xml:space="preserve"> REF _Ref154142642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(5)</w:t>
      </w:r>
      <w:r w:rsidRPr="00A44045">
        <w:rPr>
          <w:color w:val="auto"/>
          <w:sz w:val="22"/>
          <w:szCs w:val="22"/>
        </w:rPr>
        <w:fldChar w:fldCharType="end"/>
      </w:r>
      <w:r w:rsidRPr="00A44045">
        <w:rPr>
          <w:color w:val="auto"/>
          <w:sz w:val="22"/>
          <w:szCs w:val="22"/>
        </w:rPr>
        <w:t xml:space="preserve"> into which the insured person falls on the day or days on which the insured person receives the treatment to which the eligible benefit relates;</w:t>
      </w:r>
    </w:p>
    <w:p w14:paraId="49DC2C04" w14:textId="77777777" w:rsidR="00CD2206" w:rsidRPr="00A44045" w:rsidRDefault="00CD2206" w:rsidP="00751B08">
      <w:pPr>
        <w:pStyle w:val="Healthnumlevel2"/>
        <w:numPr>
          <w:ilvl w:val="1"/>
          <w:numId w:val="17"/>
        </w:numPr>
        <w:ind w:left="1428"/>
        <w:rPr>
          <w:color w:val="auto"/>
          <w:sz w:val="22"/>
          <w:szCs w:val="22"/>
        </w:rPr>
      </w:pPr>
      <w:r w:rsidRPr="00A44045">
        <w:rPr>
          <w:b/>
          <w:color w:val="auto"/>
          <w:sz w:val="22"/>
          <w:szCs w:val="22"/>
        </w:rPr>
        <w:t>C</w:t>
      </w:r>
      <w:r w:rsidRPr="00A44045">
        <w:rPr>
          <w:color w:val="auto"/>
          <w:sz w:val="22"/>
          <w:szCs w:val="22"/>
        </w:rPr>
        <w:t xml:space="preserve"> is the gross benefit in the current quarter,</w:t>
      </w:r>
    </w:p>
    <w:p w14:paraId="1E91719E" w14:textId="77777777" w:rsidR="00CD2206" w:rsidRPr="00A44045" w:rsidRDefault="00CD2206" w:rsidP="001E174E">
      <w:pPr>
        <w:pStyle w:val="HealthLevel1"/>
        <w:ind w:left="1068"/>
        <w:rPr>
          <w:color w:val="auto"/>
          <w:sz w:val="22"/>
          <w:szCs w:val="22"/>
        </w:rPr>
      </w:pPr>
      <w:r w:rsidRPr="00A44045">
        <w:rPr>
          <w:color w:val="auto"/>
          <w:sz w:val="22"/>
          <w:szCs w:val="22"/>
        </w:rPr>
        <w:t>then the amount notionally allocated to the HCCP will be the amount calculated using the formula (m-</w:t>
      </w:r>
      <w:proofErr w:type="gramStart"/>
      <w:r w:rsidRPr="00A44045">
        <w:rPr>
          <w:color w:val="auto"/>
          <w:sz w:val="22"/>
          <w:szCs w:val="22"/>
        </w:rPr>
        <w:t>p)C.</w:t>
      </w:r>
      <w:proofErr w:type="gramEnd"/>
    </w:p>
    <w:p w14:paraId="4CC07DE9" w14:textId="29C4C292" w:rsidR="00CD2206" w:rsidRPr="00A44045" w:rsidRDefault="00275EA7" w:rsidP="001E174E">
      <w:pPr>
        <w:pStyle w:val="Healthnote"/>
        <w:ind w:left="1985" w:hanging="851"/>
        <w:rPr>
          <w:color w:val="auto"/>
          <w:sz w:val="18"/>
          <w:szCs w:val="18"/>
        </w:rPr>
      </w:pPr>
      <w:r w:rsidRPr="00A44045">
        <w:rPr>
          <w:color w:val="auto"/>
          <w:sz w:val="18"/>
          <w:szCs w:val="18"/>
        </w:rPr>
        <w:t>Example:</w:t>
      </w:r>
      <w:r w:rsidR="00CD2206" w:rsidRPr="00A44045">
        <w:rPr>
          <w:color w:val="auto"/>
          <w:sz w:val="18"/>
          <w:szCs w:val="18"/>
        </w:rPr>
        <w:tab/>
        <w:t xml:space="preserve">In the case of </w:t>
      </w:r>
      <w:r w:rsidR="002B4323" w:rsidRPr="00A44045">
        <w:rPr>
          <w:color w:val="auto"/>
          <w:sz w:val="18"/>
          <w:szCs w:val="18"/>
        </w:rPr>
        <w:t>E</w:t>
      </w:r>
      <w:r w:rsidR="00CD2206" w:rsidRPr="00A44045">
        <w:rPr>
          <w:color w:val="auto"/>
          <w:sz w:val="18"/>
          <w:szCs w:val="18"/>
        </w:rPr>
        <w:t xml:space="preserve">xample 2 under subrule </w:t>
      </w:r>
      <w:r w:rsidR="00CD2206" w:rsidRPr="00A44045">
        <w:rPr>
          <w:color w:val="auto"/>
          <w:sz w:val="18"/>
          <w:szCs w:val="18"/>
        </w:rPr>
        <w:fldChar w:fldCharType="begin"/>
      </w:r>
      <w:r w:rsidR="00CD2206" w:rsidRPr="00A44045">
        <w:rPr>
          <w:color w:val="auto"/>
          <w:sz w:val="18"/>
          <w:szCs w:val="18"/>
        </w:rPr>
        <w:instrText xml:space="preserve"> REF _Ref153768571 \n \h  \* MERGEFORMAT </w:instrText>
      </w:r>
      <w:r w:rsidR="00CD2206" w:rsidRPr="00A44045">
        <w:rPr>
          <w:color w:val="auto"/>
          <w:sz w:val="18"/>
          <w:szCs w:val="18"/>
        </w:rPr>
      </w:r>
      <w:r w:rsidR="00CD2206" w:rsidRPr="00A44045">
        <w:rPr>
          <w:color w:val="auto"/>
          <w:sz w:val="18"/>
          <w:szCs w:val="18"/>
        </w:rPr>
        <w:fldChar w:fldCharType="separate"/>
      </w:r>
      <w:r w:rsidR="00C14CD4" w:rsidRPr="00A44045">
        <w:rPr>
          <w:color w:val="auto"/>
          <w:sz w:val="18"/>
          <w:szCs w:val="18"/>
        </w:rPr>
        <w:t>(7)</w:t>
      </w:r>
      <w:r w:rsidR="00CD2206" w:rsidRPr="00A44045">
        <w:rPr>
          <w:color w:val="auto"/>
          <w:sz w:val="18"/>
          <w:szCs w:val="18"/>
        </w:rPr>
        <w:fldChar w:fldCharType="end"/>
      </w:r>
      <w:r w:rsidR="00CD2206" w:rsidRPr="00A44045">
        <w:rPr>
          <w:color w:val="auto"/>
          <w:sz w:val="18"/>
          <w:szCs w:val="18"/>
        </w:rPr>
        <w:t xml:space="preserve"> above, the amount allocated to the HCCP is $47,150.  The maximum under subrule </w:t>
      </w:r>
      <w:r w:rsidR="00CD2206" w:rsidRPr="00A44045">
        <w:rPr>
          <w:color w:val="auto"/>
          <w:sz w:val="18"/>
          <w:szCs w:val="18"/>
        </w:rPr>
        <w:fldChar w:fldCharType="begin"/>
      </w:r>
      <w:r w:rsidR="00CD2206" w:rsidRPr="00A44045">
        <w:rPr>
          <w:color w:val="auto"/>
          <w:sz w:val="18"/>
          <w:szCs w:val="18"/>
        </w:rPr>
        <w:instrText xml:space="preserve"> REF _Ref153768222 \n \h  \* MERGEFORMAT </w:instrText>
      </w:r>
      <w:r w:rsidR="00CD2206" w:rsidRPr="00A44045">
        <w:rPr>
          <w:color w:val="auto"/>
          <w:sz w:val="18"/>
          <w:szCs w:val="18"/>
        </w:rPr>
      </w:r>
      <w:r w:rsidR="00CD2206" w:rsidRPr="00A44045">
        <w:rPr>
          <w:color w:val="auto"/>
          <w:sz w:val="18"/>
          <w:szCs w:val="18"/>
        </w:rPr>
        <w:fldChar w:fldCharType="separate"/>
      </w:r>
      <w:r w:rsidR="00C14CD4" w:rsidRPr="00A44045">
        <w:rPr>
          <w:color w:val="auto"/>
          <w:sz w:val="18"/>
          <w:szCs w:val="18"/>
        </w:rPr>
        <w:t>0</w:t>
      </w:r>
      <w:r w:rsidR="00CD2206" w:rsidRPr="00A44045">
        <w:rPr>
          <w:color w:val="auto"/>
          <w:sz w:val="18"/>
          <w:szCs w:val="18"/>
        </w:rPr>
        <w:fldChar w:fldCharType="end"/>
      </w:r>
      <w:r w:rsidR="00CD2206" w:rsidRPr="00A44045">
        <w:rPr>
          <w:color w:val="auto"/>
          <w:sz w:val="18"/>
          <w:szCs w:val="18"/>
        </w:rPr>
        <w:t xml:space="preserve"> that can be notionally allocated is $39,500 ($100,000 (the gross benefit) multiplied by 0.82 (the HCCP percentage) minus 0.425 (the ABP cohort percentage)).  As the maximum calculated using (m-</w:t>
      </w:r>
      <w:proofErr w:type="gramStart"/>
      <w:r w:rsidR="00CD2206" w:rsidRPr="00A44045">
        <w:rPr>
          <w:color w:val="auto"/>
          <w:sz w:val="18"/>
          <w:szCs w:val="18"/>
        </w:rPr>
        <w:t>p)C</w:t>
      </w:r>
      <w:proofErr w:type="gramEnd"/>
      <w:r w:rsidR="00CD2206" w:rsidRPr="00A44045">
        <w:rPr>
          <w:color w:val="auto"/>
          <w:sz w:val="18"/>
          <w:szCs w:val="18"/>
        </w:rPr>
        <w:t xml:space="preserve"> of $39,500 is less than $47,150, the amount to be notionally allocated to the HCCP will be $39,500.</w:t>
      </w:r>
    </w:p>
    <w:p w14:paraId="0D274AF9" w14:textId="6CA80F79" w:rsidR="00C82B6E" w:rsidRPr="00A44045" w:rsidRDefault="004D3434" w:rsidP="001E174E">
      <w:pPr>
        <w:pStyle w:val="ItemHead"/>
        <w:keepNext w:val="0"/>
        <w:keepLines w:val="0"/>
        <w:numPr>
          <w:ilvl w:val="0"/>
          <w:numId w:val="17"/>
        </w:numPr>
        <w:tabs>
          <w:tab w:val="left" w:pos="567"/>
        </w:tabs>
        <w:ind w:left="1060" w:hanging="340"/>
        <w:rPr>
          <w:rFonts w:ascii="Times New Roman" w:hAnsi="Times New Roman"/>
          <w:b w:val="0"/>
          <w:bCs/>
          <w:sz w:val="22"/>
          <w:szCs w:val="22"/>
        </w:rPr>
      </w:pPr>
      <w:bookmarkStart w:id="42" w:name="_Ref153768995"/>
      <w:r w:rsidRPr="00A44045">
        <w:rPr>
          <w:rFonts w:ascii="Times New Roman" w:hAnsi="Times New Roman"/>
          <w:b w:val="0"/>
          <w:bCs/>
          <w:sz w:val="22"/>
          <w:szCs w:val="22"/>
        </w:rPr>
        <w:t>T</w:t>
      </w:r>
      <w:r w:rsidR="00CD2206" w:rsidRPr="00A44045">
        <w:rPr>
          <w:rFonts w:ascii="Times New Roman" w:hAnsi="Times New Roman"/>
          <w:b w:val="0"/>
          <w:bCs/>
          <w:sz w:val="22"/>
          <w:szCs w:val="22"/>
        </w:rPr>
        <w:t>he designated threshold for an insured person is $50,000.</w:t>
      </w:r>
      <w:bookmarkEnd w:id="42"/>
    </w:p>
    <w:p w14:paraId="2A12E2D2" w14:textId="6116456F" w:rsidR="000867F6" w:rsidRPr="00A44045" w:rsidRDefault="000867F6" w:rsidP="00612B5D">
      <w:pPr>
        <w:pStyle w:val="ActHead7"/>
        <w:keepNext w:val="0"/>
        <w:keepLines w:val="0"/>
        <w:outlineLvl w:val="4"/>
        <w:rPr>
          <w:szCs w:val="24"/>
        </w:rPr>
      </w:pPr>
      <w:bookmarkStart w:id="43" w:name="_Toc204756717"/>
      <w:bookmarkEnd w:id="27"/>
      <w:proofErr w:type="gramStart"/>
      <w:r w:rsidRPr="00A44045">
        <w:rPr>
          <w:szCs w:val="24"/>
        </w:rPr>
        <w:t>10</w:t>
      </w:r>
      <w:r w:rsidR="000F503C" w:rsidRPr="00A44045">
        <w:rPr>
          <w:szCs w:val="24"/>
        </w:rPr>
        <w:t xml:space="preserve"> </w:t>
      </w:r>
      <w:r w:rsidRPr="00A44045">
        <w:rPr>
          <w:szCs w:val="24"/>
        </w:rPr>
        <w:t xml:space="preserve"> Payments</w:t>
      </w:r>
      <w:proofErr w:type="gramEnd"/>
      <w:r w:rsidRPr="00A44045">
        <w:rPr>
          <w:szCs w:val="24"/>
        </w:rPr>
        <w:t xml:space="preserve"> by former insurer</w:t>
      </w:r>
      <w:bookmarkEnd w:id="43"/>
    </w:p>
    <w:p w14:paraId="512931D7" w14:textId="77777777" w:rsidR="00D2319D" w:rsidRPr="00A44045" w:rsidRDefault="00D2319D" w:rsidP="001E174E">
      <w:pPr>
        <w:pStyle w:val="HealthLevel1"/>
        <w:numPr>
          <w:ilvl w:val="0"/>
          <w:numId w:val="19"/>
        </w:numPr>
        <w:ind w:left="1077" w:hanging="357"/>
        <w:rPr>
          <w:color w:val="auto"/>
          <w:sz w:val="22"/>
          <w:szCs w:val="22"/>
        </w:rPr>
      </w:pPr>
      <w:r w:rsidRPr="00A44045">
        <w:rPr>
          <w:color w:val="auto"/>
          <w:sz w:val="22"/>
          <w:szCs w:val="22"/>
        </w:rPr>
        <w:t>Where:</w:t>
      </w:r>
    </w:p>
    <w:p w14:paraId="3469D7C1" w14:textId="77777777" w:rsidR="00D2319D" w:rsidRPr="00A44045" w:rsidRDefault="00D2319D" w:rsidP="001E174E">
      <w:pPr>
        <w:pStyle w:val="Healthnumlevel2"/>
        <w:numPr>
          <w:ilvl w:val="1"/>
          <w:numId w:val="19"/>
        </w:numPr>
        <w:ind w:left="1434" w:hanging="357"/>
        <w:rPr>
          <w:color w:val="auto"/>
          <w:sz w:val="22"/>
          <w:szCs w:val="22"/>
        </w:rPr>
      </w:pPr>
      <w:r w:rsidRPr="00A44045">
        <w:rPr>
          <w:color w:val="auto"/>
          <w:sz w:val="22"/>
          <w:szCs w:val="22"/>
        </w:rPr>
        <w:t>an insurer (</w:t>
      </w:r>
      <w:r w:rsidRPr="00A44045">
        <w:rPr>
          <w:b/>
          <w:i/>
          <w:color w:val="auto"/>
          <w:sz w:val="22"/>
          <w:szCs w:val="22"/>
        </w:rPr>
        <w:t>former insurer</w:t>
      </w:r>
      <w:r w:rsidRPr="00A44045">
        <w:rPr>
          <w:color w:val="auto"/>
          <w:sz w:val="22"/>
          <w:szCs w:val="22"/>
        </w:rPr>
        <w:t>) has paid an amount of eligible benefit in respect of an insured person; and</w:t>
      </w:r>
    </w:p>
    <w:p w14:paraId="5B86C800" w14:textId="77777777" w:rsidR="00D2319D" w:rsidRPr="00A44045" w:rsidRDefault="00D2319D" w:rsidP="001E174E">
      <w:pPr>
        <w:pStyle w:val="Healthnumlevel2"/>
        <w:numPr>
          <w:ilvl w:val="1"/>
          <w:numId w:val="19"/>
        </w:numPr>
        <w:ind w:left="1434" w:hanging="357"/>
        <w:rPr>
          <w:color w:val="auto"/>
          <w:sz w:val="22"/>
          <w:szCs w:val="22"/>
        </w:rPr>
      </w:pPr>
      <w:r w:rsidRPr="00A44045">
        <w:rPr>
          <w:color w:val="auto"/>
          <w:sz w:val="22"/>
          <w:szCs w:val="22"/>
        </w:rPr>
        <w:t>the insured person ceases to be covered by a policy of the former insurer and becomes covered by another insurer,</w:t>
      </w:r>
    </w:p>
    <w:p w14:paraId="31946BD4" w14:textId="0D2A9B72" w:rsidR="000867F6" w:rsidRPr="00A44045" w:rsidRDefault="00D2319D" w:rsidP="003E737A">
      <w:pPr>
        <w:pStyle w:val="HealthLevel1"/>
        <w:rPr>
          <w:color w:val="auto"/>
          <w:sz w:val="22"/>
          <w:szCs w:val="22"/>
        </w:rPr>
      </w:pPr>
      <w:r w:rsidRPr="00A44045">
        <w:rPr>
          <w:color w:val="auto"/>
          <w:sz w:val="22"/>
          <w:szCs w:val="22"/>
        </w:rPr>
        <w:t>the amount of eligible benefit paid is to continue to be treated as a payment by the former insurer.</w:t>
      </w:r>
    </w:p>
    <w:p w14:paraId="6F07091A" w14:textId="1C4AF8C7" w:rsidR="00681587" w:rsidRPr="00A44045" w:rsidRDefault="00BE7397" w:rsidP="00612B5D">
      <w:pPr>
        <w:pStyle w:val="ActHead7"/>
        <w:keepNext w:val="0"/>
        <w:keepLines w:val="0"/>
        <w:outlineLvl w:val="4"/>
        <w:rPr>
          <w:szCs w:val="24"/>
        </w:rPr>
      </w:pPr>
      <w:bookmarkStart w:id="44" w:name="_Toc204756718"/>
      <w:proofErr w:type="gramStart"/>
      <w:r w:rsidRPr="00A44045">
        <w:rPr>
          <w:szCs w:val="24"/>
        </w:rPr>
        <w:lastRenderedPageBreak/>
        <w:t xml:space="preserve">11 </w:t>
      </w:r>
      <w:r w:rsidR="00A113BE" w:rsidRPr="00A44045">
        <w:rPr>
          <w:szCs w:val="24"/>
        </w:rPr>
        <w:t xml:space="preserve"> </w:t>
      </w:r>
      <w:r w:rsidRPr="00A44045">
        <w:rPr>
          <w:szCs w:val="24"/>
        </w:rPr>
        <w:t>Payments</w:t>
      </w:r>
      <w:proofErr w:type="gramEnd"/>
      <w:r w:rsidRPr="00A44045">
        <w:rPr>
          <w:szCs w:val="24"/>
        </w:rPr>
        <w:t xml:space="preserve"> where a health benefits fund is transferred</w:t>
      </w:r>
      <w:bookmarkEnd w:id="44"/>
    </w:p>
    <w:p w14:paraId="2AF6CC24" w14:textId="77777777" w:rsidR="001E37FE" w:rsidRPr="00A44045" w:rsidRDefault="001E37FE" w:rsidP="001E174E">
      <w:pPr>
        <w:pStyle w:val="HealthnumLevel5"/>
        <w:numPr>
          <w:ilvl w:val="0"/>
          <w:numId w:val="21"/>
        </w:numPr>
        <w:ind w:left="1077" w:hanging="357"/>
        <w:rPr>
          <w:sz w:val="22"/>
          <w:szCs w:val="22"/>
        </w:rPr>
      </w:pPr>
      <w:r w:rsidRPr="00A44045">
        <w:rPr>
          <w:sz w:val="22"/>
          <w:szCs w:val="22"/>
        </w:rPr>
        <w:t>Where:</w:t>
      </w:r>
    </w:p>
    <w:p w14:paraId="5902397F" w14:textId="77777777" w:rsidR="001E37FE" w:rsidRPr="00A44045" w:rsidRDefault="001E37FE" w:rsidP="00F41B7A">
      <w:pPr>
        <w:pStyle w:val="Healthnumlevel2"/>
        <w:numPr>
          <w:ilvl w:val="1"/>
          <w:numId w:val="21"/>
        </w:numPr>
        <w:rPr>
          <w:color w:val="auto"/>
          <w:sz w:val="22"/>
          <w:szCs w:val="22"/>
        </w:rPr>
      </w:pPr>
      <w:r w:rsidRPr="00A44045">
        <w:rPr>
          <w:color w:val="auto"/>
          <w:sz w:val="22"/>
          <w:szCs w:val="22"/>
        </w:rPr>
        <w:t>an insurer has paid an eligible benefit; and</w:t>
      </w:r>
    </w:p>
    <w:p w14:paraId="4564B4B9" w14:textId="77777777" w:rsidR="001E37FE" w:rsidRPr="00A44045" w:rsidRDefault="001E37FE" w:rsidP="00F41B7A">
      <w:pPr>
        <w:pStyle w:val="Healthnumlevel2"/>
        <w:numPr>
          <w:ilvl w:val="1"/>
          <w:numId w:val="21"/>
        </w:numPr>
        <w:rPr>
          <w:color w:val="auto"/>
          <w:sz w:val="22"/>
          <w:szCs w:val="22"/>
        </w:rPr>
      </w:pPr>
      <w:r w:rsidRPr="00A44045">
        <w:rPr>
          <w:color w:val="auto"/>
          <w:sz w:val="22"/>
          <w:szCs w:val="22"/>
        </w:rPr>
        <w:t>the health benefits fund of that insurer is transferred to another fund, whether of that insurer or another insurer (</w:t>
      </w:r>
      <w:r w:rsidRPr="00A44045">
        <w:rPr>
          <w:b/>
          <w:i/>
          <w:color w:val="auto"/>
          <w:sz w:val="22"/>
          <w:szCs w:val="22"/>
        </w:rPr>
        <w:t>receiving fund</w:t>
      </w:r>
      <w:r w:rsidRPr="00A44045">
        <w:rPr>
          <w:color w:val="auto"/>
          <w:sz w:val="22"/>
          <w:szCs w:val="22"/>
        </w:rPr>
        <w:t>), resulting in the policy under which the benefit was paid becoming referable to another fund,</w:t>
      </w:r>
    </w:p>
    <w:p w14:paraId="1E4B7754" w14:textId="77777777" w:rsidR="000C12A0" w:rsidRPr="00A44045" w:rsidRDefault="001E37FE" w:rsidP="000C12A0">
      <w:pPr>
        <w:pStyle w:val="HealthLevel1"/>
        <w:rPr>
          <w:color w:val="auto"/>
          <w:sz w:val="22"/>
          <w:szCs w:val="22"/>
        </w:rPr>
      </w:pPr>
      <w:r w:rsidRPr="00A44045">
        <w:rPr>
          <w:color w:val="auto"/>
          <w:sz w:val="22"/>
          <w:szCs w:val="22"/>
        </w:rPr>
        <w:t>the eligible benefit paid is to be treated as a benefit paid in respect of the receiving fund.</w:t>
      </w:r>
    </w:p>
    <w:p w14:paraId="3D403E98" w14:textId="6836EDBE" w:rsidR="000C12A0" w:rsidRPr="00A44045" w:rsidRDefault="000C12A0" w:rsidP="001E174E">
      <w:pPr>
        <w:pStyle w:val="HealthLevel1"/>
        <w:numPr>
          <w:ilvl w:val="0"/>
          <w:numId w:val="21"/>
        </w:numPr>
        <w:ind w:left="1077" w:hanging="357"/>
        <w:rPr>
          <w:color w:val="auto"/>
          <w:sz w:val="22"/>
          <w:szCs w:val="22"/>
        </w:rPr>
      </w:pPr>
      <w:r w:rsidRPr="00A44045">
        <w:rPr>
          <w:sz w:val="22"/>
          <w:szCs w:val="22"/>
        </w:rPr>
        <w:t>Where:</w:t>
      </w:r>
    </w:p>
    <w:p w14:paraId="64AE2854" w14:textId="77777777" w:rsidR="000C12A0" w:rsidRPr="00A44045" w:rsidRDefault="000C12A0" w:rsidP="000C12A0">
      <w:pPr>
        <w:pStyle w:val="Healthnumlevel2"/>
        <w:numPr>
          <w:ilvl w:val="1"/>
          <w:numId w:val="22"/>
        </w:numPr>
        <w:rPr>
          <w:color w:val="auto"/>
          <w:sz w:val="22"/>
          <w:szCs w:val="22"/>
        </w:rPr>
      </w:pPr>
      <w:r w:rsidRPr="00A44045">
        <w:rPr>
          <w:color w:val="auto"/>
          <w:sz w:val="22"/>
          <w:szCs w:val="22"/>
        </w:rPr>
        <w:t xml:space="preserve">an insurer has paid an amount of levy </w:t>
      </w:r>
      <w:proofErr w:type="gramStart"/>
      <w:r w:rsidRPr="00A44045">
        <w:rPr>
          <w:color w:val="auto"/>
          <w:sz w:val="22"/>
          <w:szCs w:val="22"/>
        </w:rPr>
        <w:t>on the basis of</w:t>
      </w:r>
      <w:proofErr w:type="gramEnd"/>
      <w:r w:rsidRPr="00A44045">
        <w:rPr>
          <w:color w:val="auto"/>
          <w:sz w:val="22"/>
          <w:szCs w:val="22"/>
        </w:rPr>
        <w:t xml:space="preserve"> the eligible benefit paid by a health benefits fund of that insurer; and</w:t>
      </w:r>
    </w:p>
    <w:p w14:paraId="084E19ED" w14:textId="77777777" w:rsidR="000C12A0" w:rsidRPr="00A44045" w:rsidRDefault="000C12A0" w:rsidP="000C12A0">
      <w:pPr>
        <w:pStyle w:val="Healthnumlevel2"/>
        <w:numPr>
          <w:ilvl w:val="1"/>
          <w:numId w:val="22"/>
        </w:numPr>
        <w:rPr>
          <w:color w:val="auto"/>
          <w:sz w:val="22"/>
          <w:szCs w:val="22"/>
        </w:rPr>
      </w:pPr>
      <w:r w:rsidRPr="00A44045">
        <w:rPr>
          <w:color w:val="auto"/>
          <w:sz w:val="22"/>
          <w:szCs w:val="22"/>
        </w:rPr>
        <w:t>that health benefits fund is transferred to another fund, whether of that insurer or another insurer (</w:t>
      </w:r>
      <w:r w:rsidRPr="00A44045">
        <w:rPr>
          <w:b/>
          <w:i/>
          <w:color w:val="auto"/>
          <w:sz w:val="22"/>
          <w:szCs w:val="22"/>
        </w:rPr>
        <w:t>receiving fund</w:t>
      </w:r>
      <w:r w:rsidRPr="00A44045">
        <w:rPr>
          <w:color w:val="auto"/>
          <w:sz w:val="22"/>
          <w:szCs w:val="22"/>
        </w:rPr>
        <w:t>), resulting in the policy under which the benefit was paid becoming referable to another fund,</w:t>
      </w:r>
    </w:p>
    <w:p w14:paraId="2FD9E769" w14:textId="0D059006" w:rsidR="000C12A0" w:rsidRPr="00A44045" w:rsidRDefault="000C12A0" w:rsidP="00255925">
      <w:pPr>
        <w:pStyle w:val="HealthLevel1"/>
        <w:rPr>
          <w:color w:val="auto"/>
          <w:sz w:val="22"/>
          <w:szCs w:val="22"/>
        </w:rPr>
      </w:pPr>
      <w:r w:rsidRPr="00A44045">
        <w:rPr>
          <w:color w:val="auto"/>
          <w:sz w:val="22"/>
          <w:szCs w:val="22"/>
        </w:rPr>
        <w:t>the levy paid is to be treated as a levy in respect of the receiving fund.</w:t>
      </w:r>
    </w:p>
    <w:p w14:paraId="4E132E59" w14:textId="321AC554" w:rsidR="00B80DA4" w:rsidRPr="00A44045" w:rsidRDefault="00B80DA4" w:rsidP="00612B5D">
      <w:pPr>
        <w:pStyle w:val="ActHead7"/>
        <w:keepNext w:val="0"/>
        <w:keepLines w:val="0"/>
        <w:outlineLvl w:val="4"/>
        <w:rPr>
          <w:szCs w:val="24"/>
        </w:rPr>
      </w:pPr>
      <w:bookmarkStart w:id="45" w:name="_Toc204756719"/>
      <w:proofErr w:type="gramStart"/>
      <w:r w:rsidRPr="00A44045">
        <w:rPr>
          <w:szCs w:val="24"/>
        </w:rPr>
        <w:t xml:space="preserve">12 </w:t>
      </w:r>
      <w:r w:rsidR="00A113BE" w:rsidRPr="00A44045">
        <w:rPr>
          <w:szCs w:val="24"/>
        </w:rPr>
        <w:t xml:space="preserve"> </w:t>
      </w:r>
      <w:r w:rsidRPr="00A44045">
        <w:rPr>
          <w:szCs w:val="24"/>
        </w:rPr>
        <w:t>Effect</w:t>
      </w:r>
      <w:proofErr w:type="gramEnd"/>
      <w:r w:rsidRPr="00A44045">
        <w:rPr>
          <w:szCs w:val="24"/>
        </w:rPr>
        <w:t xml:space="preserve"> of unpaid premiums</w:t>
      </w:r>
      <w:bookmarkEnd w:id="45"/>
    </w:p>
    <w:p w14:paraId="5AC0E5BD" w14:textId="77777777" w:rsidR="00694BBA" w:rsidRPr="00A44045" w:rsidRDefault="00694BBA" w:rsidP="001E174E">
      <w:pPr>
        <w:pStyle w:val="HealthnumLevel5"/>
        <w:numPr>
          <w:ilvl w:val="0"/>
          <w:numId w:val="23"/>
        </w:numPr>
        <w:ind w:left="1077" w:hanging="357"/>
        <w:rPr>
          <w:sz w:val="22"/>
          <w:szCs w:val="22"/>
        </w:rPr>
      </w:pPr>
      <w:r w:rsidRPr="00A44045">
        <w:rPr>
          <w:sz w:val="22"/>
          <w:szCs w:val="22"/>
        </w:rPr>
        <w:t>If the premiums for a policy have not been paid for a period longer than:</w:t>
      </w:r>
    </w:p>
    <w:p w14:paraId="353A7ADF" w14:textId="77777777" w:rsidR="00694BBA" w:rsidRPr="00A44045" w:rsidRDefault="00694BBA" w:rsidP="00694BBA">
      <w:pPr>
        <w:pStyle w:val="Healthnumlevel2"/>
        <w:numPr>
          <w:ilvl w:val="1"/>
          <w:numId w:val="24"/>
        </w:numPr>
        <w:rPr>
          <w:color w:val="auto"/>
          <w:sz w:val="22"/>
          <w:szCs w:val="22"/>
        </w:rPr>
      </w:pPr>
      <w:r w:rsidRPr="00A44045">
        <w:rPr>
          <w:color w:val="auto"/>
          <w:sz w:val="22"/>
          <w:szCs w:val="22"/>
        </w:rPr>
        <w:t>2 months after the end of the period for which premiums were last paid or, if the rules of the insurer allow a longer period—that longer period; and</w:t>
      </w:r>
    </w:p>
    <w:p w14:paraId="1F88967A" w14:textId="77777777" w:rsidR="00694BBA" w:rsidRPr="00A44045" w:rsidRDefault="00694BBA" w:rsidP="00694BBA">
      <w:pPr>
        <w:pStyle w:val="Healthnumlevel2"/>
        <w:numPr>
          <w:ilvl w:val="1"/>
          <w:numId w:val="24"/>
        </w:numPr>
        <w:rPr>
          <w:color w:val="auto"/>
          <w:sz w:val="22"/>
          <w:szCs w:val="22"/>
        </w:rPr>
      </w:pPr>
      <w:r w:rsidRPr="00A44045">
        <w:rPr>
          <w:color w:val="auto"/>
          <w:sz w:val="22"/>
          <w:szCs w:val="22"/>
        </w:rPr>
        <w:t>the insurer has given written notice to the person in whose name the policy is held that the policy is no longer in operation (</w:t>
      </w:r>
      <w:r w:rsidRPr="00A44045">
        <w:rPr>
          <w:b/>
          <w:i/>
          <w:color w:val="auto"/>
          <w:sz w:val="22"/>
          <w:szCs w:val="22"/>
        </w:rPr>
        <w:t>terminated policy</w:t>
      </w:r>
      <w:r w:rsidRPr="00A44045">
        <w:rPr>
          <w:color w:val="auto"/>
          <w:sz w:val="22"/>
          <w:szCs w:val="22"/>
        </w:rPr>
        <w:t>),</w:t>
      </w:r>
    </w:p>
    <w:p w14:paraId="25517D20" w14:textId="290CCF13" w:rsidR="00B80DA4" w:rsidRPr="00A44045" w:rsidRDefault="00694BBA" w:rsidP="00694BBA">
      <w:pPr>
        <w:pStyle w:val="HealthLevel1"/>
        <w:rPr>
          <w:color w:val="auto"/>
          <w:sz w:val="22"/>
          <w:szCs w:val="22"/>
        </w:rPr>
      </w:pPr>
      <w:r w:rsidRPr="00A44045">
        <w:rPr>
          <w:color w:val="auto"/>
          <w:sz w:val="22"/>
          <w:szCs w:val="22"/>
        </w:rPr>
        <w:t>a single equivalent unit is not to be taken into account for that terminated policy in determining the mean number referred to in paragraph</w:t>
      </w:r>
      <w:r w:rsidR="002C1913" w:rsidRPr="00A44045">
        <w:rPr>
          <w:color w:val="auto"/>
          <w:sz w:val="22"/>
          <w:szCs w:val="22"/>
        </w:rPr>
        <w:t xml:space="preserve"> </w:t>
      </w:r>
      <w:r w:rsidR="00843BB6" w:rsidRPr="00A44045">
        <w:rPr>
          <w:color w:val="auto"/>
          <w:sz w:val="22"/>
          <w:szCs w:val="22"/>
        </w:rPr>
        <w:t>9</w:t>
      </w:r>
      <w:r w:rsidRPr="00A44045">
        <w:rPr>
          <w:color w:val="auto"/>
          <w:sz w:val="22"/>
          <w:szCs w:val="22"/>
        </w:rPr>
        <w:t> </w:t>
      </w:r>
      <w:r w:rsidRPr="00A44045">
        <w:rPr>
          <w:color w:val="auto"/>
          <w:sz w:val="22"/>
          <w:szCs w:val="22"/>
        </w:rPr>
        <w:fldChar w:fldCharType="begin"/>
      </w:r>
      <w:r w:rsidRPr="00A44045">
        <w:rPr>
          <w:color w:val="auto"/>
          <w:sz w:val="22"/>
          <w:szCs w:val="22"/>
        </w:rPr>
        <w:instrText xml:space="preserve"> REF _Ref156733293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(2)</w:t>
      </w:r>
      <w:r w:rsidRPr="00A44045">
        <w:rPr>
          <w:color w:val="auto"/>
          <w:sz w:val="22"/>
          <w:szCs w:val="22"/>
        </w:rPr>
        <w:fldChar w:fldCharType="end"/>
      </w:r>
      <w:r w:rsidRPr="00A44045">
        <w:rPr>
          <w:color w:val="auto"/>
          <w:sz w:val="22"/>
          <w:szCs w:val="22"/>
        </w:rPr>
        <w:t> </w:t>
      </w:r>
      <w:r w:rsidRPr="00A44045">
        <w:rPr>
          <w:color w:val="auto"/>
          <w:sz w:val="22"/>
          <w:szCs w:val="22"/>
        </w:rPr>
        <w:fldChar w:fldCharType="begin"/>
      </w:r>
      <w:r w:rsidRPr="00A44045">
        <w:rPr>
          <w:color w:val="auto"/>
          <w:sz w:val="22"/>
          <w:szCs w:val="22"/>
        </w:rPr>
        <w:instrText xml:space="preserve"> REF _Ref156733295 \n \h  \* MERGEFORMAT </w:instrText>
      </w:r>
      <w:r w:rsidRPr="00A44045">
        <w:rPr>
          <w:color w:val="auto"/>
          <w:sz w:val="22"/>
          <w:szCs w:val="22"/>
        </w:rPr>
      </w:r>
      <w:r w:rsidRPr="00A44045">
        <w:rPr>
          <w:color w:val="auto"/>
          <w:sz w:val="22"/>
          <w:szCs w:val="22"/>
        </w:rPr>
        <w:fldChar w:fldCharType="separate"/>
      </w:r>
      <w:r w:rsidR="00C14CD4" w:rsidRPr="00A44045">
        <w:rPr>
          <w:color w:val="auto"/>
          <w:sz w:val="22"/>
          <w:szCs w:val="22"/>
        </w:rPr>
        <w:t>(b)</w:t>
      </w:r>
      <w:r w:rsidRPr="00A44045">
        <w:rPr>
          <w:color w:val="auto"/>
          <w:sz w:val="22"/>
          <w:szCs w:val="22"/>
        </w:rPr>
        <w:fldChar w:fldCharType="end"/>
      </w:r>
      <w:r w:rsidRPr="00A44045">
        <w:rPr>
          <w:color w:val="auto"/>
          <w:sz w:val="22"/>
          <w:szCs w:val="22"/>
        </w:rPr>
        <w:t xml:space="preserve"> for the insurer's health benefits fund.</w:t>
      </w:r>
    </w:p>
    <w:p w14:paraId="0E053803" w14:textId="3E563FCD" w:rsidR="00B80DA4" w:rsidRPr="00A44045" w:rsidRDefault="00B80DA4" w:rsidP="00612B5D">
      <w:pPr>
        <w:pStyle w:val="ActHead7"/>
        <w:keepNext w:val="0"/>
        <w:keepLines w:val="0"/>
        <w:outlineLvl w:val="4"/>
        <w:rPr>
          <w:szCs w:val="24"/>
        </w:rPr>
      </w:pPr>
      <w:bookmarkStart w:id="46" w:name="_Toc204756720"/>
      <w:proofErr w:type="gramStart"/>
      <w:r w:rsidRPr="00A44045">
        <w:rPr>
          <w:szCs w:val="24"/>
        </w:rPr>
        <w:t xml:space="preserve">13 </w:t>
      </w:r>
      <w:r w:rsidR="00A113BE" w:rsidRPr="00A44045">
        <w:rPr>
          <w:szCs w:val="24"/>
        </w:rPr>
        <w:t xml:space="preserve"> </w:t>
      </w:r>
      <w:r w:rsidRPr="00A44045">
        <w:rPr>
          <w:szCs w:val="24"/>
        </w:rPr>
        <w:t>Method</w:t>
      </w:r>
      <w:proofErr w:type="gramEnd"/>
      <w:r w:rsidRPr="00A44045">
        <w:rPr>
          <w:szCs w:val="24"/>
        </w:rPr>
        <w:t xml:space="preserve"> of working out</w:t>
      </w:r>
      <w:bookmarkEnd w:id="46"/>
    </w:p>
    <w:p w14:paraId="2E4ACD5F" w14:textId="77777777" w:rsidR="00C44B41" w:rsidRPr="00A44045" w:rsidRDefault="00C44B41" w:rsidP="001E174E">
      <w:pPr>
        <w:pStyle w:val="ListParagraph"/>
        <w:numPr>
          <w:ilvl w:val="0"/>
          <w:numId w:val="26"/>
        </w:numPr>
        <w:tabs>
          <w:tab w:val="num" w:pos="850"/>
        </w:tabs>
        <w:autoSpaceDE w:val="0"/>
        <w:autoSpaceDN w:val="0"/>
        <w:spacing w:before="60" w:line="260" w:lineRule="exact"/>
        <w:ind w:left="1077" w:hanging="357"/>
        <w:contextualSpacing w:val="0"/>
        <w:rPr>
          <w:rFonts w:eastAsia="Times New Roman" w:cs="Times New Roman"/>
          <w:szCs w:val="22"/>
        </w:rPr>
      </w:pPr>
      <w:bookmarkStart w:id="47" w:name="_Ref156733546"/>
      <w:r w:rsidRPr="00A44045">
        <w:rPr>
          <w:rFonts w:eastAsia="Times New Roman" w:cs="Times New Roman"/>
          <w:szCs w:val="22"/>
        </w:rPr>
        <w:t>The following method is to be applied in working out the amount (if any) of levy for each health benefits fund of an insurer (</w:t>
      </w:r>
      <w:r w:rsidRPr="00A44045">
        <w:rPr>
          <w:rFonts w:eastAsia="Times New Roman" w:cs="Times New Roman"/>
          <w:b/>
          <w:i/>
          <w:szCs w:val="22"/>
        </w:rPr>
        <w:t>Insurer Z</w:t>
      </w:r>
      <w:r w:rsidRPr="00A44045">
        <w:rPr>
          <w:rFonts w:eastAsia="Times New Roman" w:cs="Times New Roman"/>
          <w:szCs w:val="22"/>
        </w:rPr>
        <w:t>) for a particular quarter in respect of a State:</w:t>
      </w:r>
      <w:bookmarkEnd w:id="47"/>
    </w:p>
    <w:p w14:paraId="06B58A7C" w14:textId="77777777" w:rsidR="00C44B41" w:rsidRPr="00A44045" w:rsidRDefault="00C44B41" w:rsidP="001E174E">
      <w:pPr>
        <w:pStyle w:val="ListParagraph"/>
        <w:numPr>
          <w:ilvl w:val="1"/>
          <w:numId w:val="26"/>
        </w:numPr>
        <w:tabs>
          <w:tab w:val="num" w:pos="1701"/>
        </w:tabs>
        <w:autoSpaceDE w:val="0"/>
        <w:autoSpaceDN w:val="0"/>
        <w:spacing w:before="60" w:line="240" w:lineRule="auto"/>
        <w:ind w:left="1434" w:hanging="357"/>
        <w:contextualSpacing w:val="0"/>
        <w:rPr>
          <w:rFonts w:eastAsia="Times New Roman" w:cs="Times New Roman"/>
          <w:szCs w:val="22"/>
        </w:rPr>
      </w:pPr>
      <w:bookmarkStart w:id="48" w:name="_Ref153767968"/>
      <w:r w:rsidRPr="00A44045">
        <w:rPr>
          <w:rFonts w:eastAsia="Times New Roman" w:cs="Times New Roman"/>
          <w:szCs w:val="22"/>
        </w:rPr>
        <w:t>calculate, for each fund, the amount that is the sum of:</w:t>
      </w:r>
      <w:bookmarkEnd w:id="48"/>
    </w:p>
    <w:p w14:paraId="7D8E69C5" w14:textId="601FD5C3" w:rsidR="00C44B41" w:rsidRPr="00A44045" w:rsidRDefault="00C44B41" w:rsidP="001E174E">
      <w:pPr>
        <w:pStyle w:val="ListParagraph"/>
        <w:numPr>
          <w:ilvl w:val="2"/>
          <w:numId w:val="27"/>
        </w:numPr>
        <w:tabs>
          <w:tab w:val="num" w:pos="2551"/>
        </w:tabs>
        <w:autoSpaceDE w:val="0"/>
        <w:autoSpaceDN w:val="0"/>
        <w:spacing w:before="60" w:line="260" w:lineRule="exact"/>
        <w:ind w:left="2058" w:hanging="357"/>
        <w:contextualSpacing w:val="0"/>
        <w:jc w:val="both"/>
        <w:rPr>
          <w:rFonts w:eastAsia="Times New Roman" w:cs="Times New Roman"/>
          <w:szCs w:val="22"/>
        </w:rPr>
      </w:pPr>
      <w:r w:rsidRPr="00A44045">
        <w:rPr>
          <w:rFonts w:eastAsia="Times New Roman" w:cs="Times New Roman"/>
          <w:szCs w:val="22"/>
        </w:rPr>
        <w:t>the total amount of the eligible benefits notionally allocated for the quarter in that State to the ABP, as mentioned in subrule</w:t>
      </w:r>
      <w:r w:rsidR="00843AAD" w:rsidRPr="00A44045">
        <w:rPr>
          <w:rFonts w:eastAsia="Times New Roman" w:cs="Times New Roman"/>
          <w:szCs w:val="22"/>
        </w:rPr>
        <w:t xml:space="preserve"> </w:t>
      </w:r>
      <w:r w:rsidR="000F3457" w:rsidRPr="00A44045">
        <w:rPr>
          <w:rFonts w:eastAsia="Times New Roman" w:cs="Times New Roman"/>
          <w:szCs w:val="22"/>
        </w:rPr>
        <w:t>9</w:t>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_Ref153768260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(4)</w:t>
      </w:r>
      <w:r w:rsidRPr="00A44045">
        <w:rPr>
          <w:rFonts w:eastAsia="Times New Roman" w:cs="Times New Roman"/>
          <w:szCs w:val="22"/>
        </w:rPr>
        <w:fldChar w:fldCharType="end"/>
      </w:r>
      <w:r w:rsidRPr="00A44045">
        <w:rPr>
          <w:rFonts w:eastAsia="Times New Roman" w:cs="Times New Roman"/>
          <w:szCs w:val="22"/>
        </w:rPr>
        <w:t>; and</w:t>
      </w:r>
    </w:p>
    <w:p w14:paraId="5B7CA9A5" w14:textId="1DA25D24" w:rsidR="00C44B41" w:rsidRPr="00A44045" w:rsidRDefault="00C44B41" w:rsidP="001E174E">
      <w:pPr>
        <w:pStyle w:val="ListParagraph"/>
        <w:numPr>
          <w:ilvl w:val="2"/>
          <w:numId w:val="27"/>
        </w:numPr>
        <w:tabs>
          <w:tab w:val="num" w:pos="2551"/>
        </w:tabs>
        <w:autoSpaceDE w:val="0"/>
        <w:autoSpaceDN w:val="0"/>
        <w:spacing w:before="60" w:line="260" w:lineRule="exact"/>
        <w:ind w:left="2058" w:hanging="357"/>
        <w:contextualSpacing w:val="0"/>
        <w:jc w:val="both"/>
        <w:rPr>
          <w:rFonts w:eastAsia="Times New Roman" w:cs="Times New Roman"/>
          <w:szCs w:val="22"/>
        </w:rPr>
      </w:pPr>
      <w:r w:rsidRPr="00A44045">
        <w:rPr>
          <w:rFonts w:eastAsia="Times New Roman" w:cs="Times New Roman"/>
          <w:szCs w:val="22"/>
        </w:rPr>
        <w:t>the total amount of the eligible benefits notionally allocated for the quarter in that State to the HCCP, in accordance with subrule</w:t>
      </w:r>
      <w:r w:rsidR="00843AAD" w:rsidRPr="00A44045">
        <w:rPr>
          <w:rFonts w:eastAsia="Times New Roman" w:cs="Times New Roman"/>
          <w:szCs w:val="22"/>
        </w:rPr>
        <w:t xml:space="preserve"> </w:t>
      </w:r>
      <w:r w:rsidR="006E53CC" w:rsidRPr="00A44045">
        <w:rPr>
          <w:rFonts w:eastAsia="Times New Roman" w:cs="Times New Roman"/>
          <w:szCs w:val="22"/>
        </w:rPr>
        <w:t>9</w:t>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_Ref154144045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(7)</w:t>
      </w:r>
      <w:r w:rsidRPr="00A44045">
        <w:rPr>
          <w:rFonts w:eastAsia="Times New Roman" w:cs="Times New Roman"/>
          <w:szCs w:val="22"/>
        </w:rPr>
        <w:fldChar w:fldCharType="end"/>
      </w:r>
      <w:r w:rsidRPr="00A44045">
        <w:rPr>
          <w:rFonts w:eastAsia="Times New Roman" w:cs="Times New Roman"/>
          <w:szCs w:val="22"/>
        </w:rPr>
        <w:t xml:space="preserve"> or, if applicable, subrule</w:t>
      </w:r>
      <w:r w:rsidR="00843AAD" w:rsidRPr="00A44045">
        <w:rPr>
          <w:rFonts w:eastAsia="Times New Roman" w:cs="Times New Roman"/>
          <w:szCs w:val="22"/>
        </w:rPr>
        <w:t xml:space="preserve"> </w:t>
      </w:r>
      <w:r w:rsidR="006E53CC" w:rsidRPr="00A44045">
        <w:rPr>
          <w:rFonts w:eastAsia="Times New Roman" w:cs="Times New Roman"/>
          <w:szCs w:val="22"/>
        </w:rPr>
        <w:t>9</w:t>
      </w:r>
      <w:r w:rsidRPr="00A44045">
        <w:rPr>
          <w:rFonts w:eastAsia="Times New Roman" w:cs="Times New Roman"/>
          <w:szCs w:val="22"/>
        </w:rPr>
        <w:t> </w:t>
      </w:r>
      <w:r w:rsidR="00391EA0" w:rsidRPr="00A44045">
        <w:rPr>
          <w:rFonts w:eastAsia="Times New Roman" w:cs="Times New Roman"/>
          <w:szCs w:val="22"/>
        </w:rPr>
        <w:t>(9)</w:t>
      </w:r>
      <w:r w:rsidRPr="00A44045">
        <w:rPr>
          <w:rFonts w:eastAsia="Times New Roman" w:cs="Times New Roman"/>
          <w:szCs w:val="22"/>
        </w:rPr>
        <w:t xml:space="preserve">; </w:t>
      </w:r>
    </w:p>
    <w:p w14:paraId="5884FB2D" w14:textId="2AAD251E" w:rsidR="00C44B41" w:rsidRPr="00A44045" w:rsidRDefault="00C44B41" w:rsidP="001E174E">
      <w:pPr>
        <w:pStyle w:val="ListParagraph"/>
        <w:numPr>
          <w:ilvl w:val="1"/>
          <w:numId w:val="26"/>
        </w:numPr>
        <w:tabs>
          <w:tab w:val="num" w:pos="1701"/>
        </w:tabs>
        <w:autoSpaceDE w:val="0"/>
        <w:autoSpaceDN w:val="0"/>
        <w:spacing w:before="60" w:line="240" w:lineRule="auto"/>
        <w:ind w:left="1434" w:hanging="357"/>
        <w:contextualSpacing w:val="0"/>
        <w:rPr>
          <w:rFonts w:eastAsia="Times New Roman" w:cs="Times New Roman"/>
          <w:szCs w:val="22"/>
        </w:rPr>
      </w:pPr>
      <w:bookmarkStart w:id="49" w:name="_Ref153768126"/>
      <w:r w:rsidRPr="00A44045">
        <w:rPr>
          <w:rFonts w:eastAsia="Times New Roman" w:cs="Times New Roman"/>
          <w:szCs w:val="22"/>
        </w:rPr>
        <w:t xml:space="preserve">add the amounts calculated under paragraph </w:t>
      </w:r>
      <w:r w:rsidRPr="00A44045">
        <w:rPr>
          <w:rFonts w:eastAsia="Times New Roman" w:cs="Times New Roman"/>
          <w:szCs w:val="22"/>
        </w:rPr>
        <w:fldChar w:fldCharType="begin"/>
      </w:r>
      <w:r w:rsidRPr="00A44045">
        <w:rPr>
          <w:rFonts w:eastAsia="Times New Roman" w:cs="Times New Roman"/>
          <w:szCs w:val="22"/>
        </w:rPr>
        <w:instrText xml:space="preserve"> REF _Ref153767968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(a)</w:t>
      </w:r>
      <w:r w:rsidRPr="00A44045">
        <w:rPr>
          <w:rFonts w:eastAsia="Times New Roman" w:cs="Times New Roman"/>
          <w:szCs w:val="22"/>
        </w:rPr>
        <w:fldChar w:fldCharType="end"/>
      </w:r>
      <w:r w:rsidRPr="00A44045">
        <w:rPr>
          <w:rFonts w:eastAsia="Times New Roman" w:cs="Times New Roman"/>
          <w:szCs w:val="22"/>
        </w:rPr>
        <w:t xml:space="preserve"> for each fund to obtain a total for the </w:t>
      </w:r>
      <w:proofErr w:type="gramStart"/>
      <w:r w:rsidRPr="00A44045">
        <w:rPr>
          <w:rFonts w:eastAsia="Times New Roman" w:cs="Times New Roman"/>
          <w:szCs w:val="22"/>
        </w:rPr>
        <w:t>State;</w:t>
      </w:r>
      <w:bookmarkEnd w:id="49"/>
      <w:proofErr w:type="gramEnd"/>
    </w:p>
    <w:p w14:paraId="00A4DE32" w14:textId="77777777" w:rsidR="00C44B41" w:rsidRPr="00A44045" w:rsidRDefault="00C44B41" w:rsidP="001E174E">
      <w:pPr>
        <w:pStyle w:val="ListParagraph"/>
        <w:numPr>
          <w:ilvl w:val="1"/>
          <w:numId w:val="26"/>
        </w:numPr>
        <w:tabs>
          <w:tab w:val="num" w:pos="1701"/>
        </w:tabs>
        <w:autoSpaceDE w:val="0"/>
        <w:autoSpaceDN w:val="0"/>
        <w:spacing w:before="60" w:line="240" w:lineRule="auto"/>
        <w:ind w:left="1434" w:hanging="357"/>
        <w:contextualSpacing w:val="0"/>
        <w:rPr>
          <w:rFonts w:eastAsia="Times New Roman" w:cs="Times New Roman"/>
          <w:szCs w:val="22"/>
        </w:rPr>
      </w:pPr>
      <w:bookmarkStart w:id="50" w:name="_Ref153768114"/>
      <w:r w:rsidRPr="00A44045">
        <w:rPr>
          <w:rFonts w:eastAsia="Times New Roman" w:cs="Times New Roman"/>
          <w:szCs w:val="22"/>
        </w:rPr>
        <w:t>ascertain the number that is the total of the average number of single equivalent units in that State for the quarter for all funds by:</w:t>
      </w:r>
      <w:bookmarkEnd w:id="50"/>
    </w:p>
    <w:p w14:paraId="4FECC668" w14:textId="10057CE3" w:rsidR="00C44B41" w:rsidRPr="00A44045" w:rsidRDefault="00C44B41" w:rsidP="001E174E">
      <w:pPr>
        <w:pStyle w:val="ListParagraph"/>
        <w:numPr>
          <w:ilvl w:val="2"/>
          <w:numId w:val="26"/>
        </w:numPr>
        <w:tabs>
          <w:tab w:val="num" w:pos="2551"/>
        </w:tabs>
        <w:autoSpaceDE w:val="0"/>
        <w:autoSpaceDN w:val="0"/>
        <w:spacing w:before="60" w:line="260" w:lineRule="exact"/>
        <w:ind w:left="2058" w:hanging="357"/>
        <w:contextualSpacing w:val="0"/>
        <w:rPr>
          <w:rFonts w:eastAsia="Times New Roman" w:cs="Times New Roman"/>
          <w:szCs w:val="22"/>
        </w:rPr>
      </w:pPr>
      <w:bookmarkStart w:id="51" w:name="_Ref153768143"/>
      <w:r w:rsidRPr="00A44045">
        <w:rPr>
          <w:rFonts w:eastAsia="Times New Roman" w:cs="Times New Roman"/>
          <w:szCs w:val="22"/>
        </w:rPr>
        <w:t>determining, under paragraph</w:t>
      </w:r>
      <w:r w:rsidR="009A15EF" w:rsidRPr="00A44045">
        <w:rPr>
          <w:rFonts w:eastAsia="Times New Roman" w:cs="Times New Roman"/>
          <w:szCs w:val="22"/>
        </w:rPr>
        <w:t xml:space="preserve"> </w:t>
      </w:r>
      <w:r w:rsidR="005077E9" w:rsidRPr="00A44045">
        <w:rPr>
          <w:rFonts w:eastAsia="Times New Roman" w:cs="Times New Roman"/>
          <w:szCs w:val="22"/>
        </w:rPr>
        <w:t>9</w:t>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_Ref156733293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(2)</w:t>
      </w:r>
      <w:r w:rsidRPr="00A44045">
        <w:rPr>
          <w:rFonts w:eastAsia="Times New Roman" w:cs="Times New Roman"/>
          <w:szCs w:val="22"/>
        </w:rPr>
        <w:fldChar w:fldCharType="end"/>
      </w:r>
      <w:r w:rsidRPr="00A44045">
        <w:rPr>
          <w:rFonts w:eastAsia="Times New Roman" w:cs="Times New Roman"/>
          <w:szCs w:val="22"/>
        </w:rPr>
        <w:t xml:space="preserve"> </w:t>
      </w:r>
      <w:r w:rsidRPr="00A44045">
        <w:rPr>
          <w:rFonts w:eastAsia="Times New Roman" w:cs="Times New Roman"/>
          <w:szCs w:val="22"/>
        </w:rPr>
        <w:fldChar w:fldCharType="begin"/>
      </w:r>
      <w:r w:rsidRPr="00A44045">
        <w:rPr>
          <w:rFonts w:eastAsia="Times New Roman" w:cs="Times New Roman"/>
          <w:szCs w:val="22"/>
        </w:rPr>
        <w:instrText xml:space="preserve"> REF _Ref156733295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(b)</w:t>
      </w:r>
      <w:r w:rsidRPr="00A44045">
        <w:rPr>
          <w:rFonts w:eastAsia="Times New Roman" w:cs="Times New Roman"/>
          <w:szCs w:val="22"/>
        </w:rPr>
        <w:fldChar w:fldCharType="end"/>
      </w:r>
      <w:r w:rsidRPr="00A44045">
        <w:rPr>
          <w:rFonts w:eastAsia="Times New Roman" w:cs="Times New Roman"/>
          <w:szCs w:val="22"/>
        </w:rPr>
        <w:t>, the mean number of single equivalent units for each fund in the State; and</w:t>
      </w:r>
      <w:bookmarkEnd w:id="51"/>
    </w:p>
    <w:p w14:paraId="49845DFF" w14:textId="2BF9BCE7" w:rsidR="00C44B41" w:rsidRPr="00A44045" w:rsidRDefault="00C44B41" w:rsidP="001E174E">
      <w:pPr>
        <w:pStyle w:val="ListParagraph"/>
        <w:numPr>
          <w:ilvl w:val="2"/>
          <w:numId w:val="26"/>
        </w:numPr>
        <w:tabs>
          <w:tab w:val="num" w:pos="2551"/>
        </w:tabs>
        <w:autoSpaceDE w:val="0"/>
        <w:autoSpaceDN w:val="0"/>
        <w:spacing w:before="60" w:line="260" w:lineRule="exact"/>
        <w:ind w:left="2058" w:hanging="357"/>
        <w:contextualSpacing w:val="0"/>
        <w:jc w:val="both"/>
        <w:rPr>
          <w:rFonts w:eastAsia="Times New Roman" w:cs="Times New Roman"/>
          <w:szCs w:val="22"/>
        </w:rPr>
      </w:pPr>
      <w:r w:rsidRPr="00A44045">
        <w:rPr>
          <w:rFonts w:eastAsia="Times New Roman" w:cs="Times New Roman"/>
          <w:szCs w:val="22"/>
        </w:rPr>
        <w:t xml:space="preserve">adding the number determined under subparagraph </w:t>
      </w:r>
      <w:r w:rsidRPr="00A44045">
        <w:rPr>
          <w:rFonts w:eastAsia="Times New Roman" w:cs="Times New Roman"/>
          <w:szCs w:val="22"/>
        </w:rPr>
        <w:fldChar w:fldCharType="begin"/>
      </w:r>
      <w:r w:rsidRPr="00A44045">
        <w:rPr>
          <w:rFonts w:eastAsia="Times New Roman" w:cs="Times New Roman"/>
          <w:szCs w:val="22"/>
        </w:rPr>
        <w:instrText xml:space="preserve"> REF _Ref153768143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w:t>
      </w:r>
      <w:proofErr w:type="spellStart"/>
      <w:r w:rsidR="00C14CD4" w:rsidRPr="00A44045">
        <w:rPr>
          <w:rFonts w:eastAsia="Times New Roman" w:cs="Times New Roman"/>
          <w:szCs w:val="22"/>
        </w:rPr>
        <w:t>i</w:t>
      </w:r>
      <w:proofErr w:type="spellEnd"/>
      <w:r w:rsidR="00C14CD4" w:rsidRPr="00A44045">
        <w:rPr>
          <w:rFonts w:eastAsia="Times New Roman" w:cs="Times New Roman"/>
          <w:szCs w:val="22"/>
        </w:rPr>
        <w:t>)</w:t>
      </w:r>
      <w:r w:rsidRPr="00A44045">
        <w:rPr>
          <w:rFonts w:eastAsia="Times New Roman" w:cs="Times New Roman"/>
          <w:szCs w:val="22"/>
        </w:rPr>
        <w:fldChar w:fldCharType="end"/>
      </w:r>
      <w:r w:rsidRPr="00A44045">
        <w:rPr>
          <w:rFonts w:eastAsia="Times New Roman" w:cs="Times New Roman"/>
          <w:szCs w:val="22"/>
        </w:rPr>
        <w:t>;</w:t>
      </w:r>
    </w:p>
    <w:p w14:paraId="7616D93F" w14:textId="6F5D7B88" w:rsidR="00C44B41" w:rsidRPr="00A44045" w:rsidRDefault="00C44B41" w:rsidP="001E174E">
      <w:pPr>
        <w:pStyle w:val="ListParagraph"/>
        <w:numPr>
          <w:ilvl w:val="1"/>
          <w:numId w:val="26"/>
        </w:numPr>
        <w:tabs>
          <w:tab w:val="num" w:pos="1701"/>
        </w:tabs>
        <w:autoSpaceDE w:val="0"/>
        <w:autoSpaceDN w:val="0"/>
        <w:spacing w:before="60" w:line="240" w:lineRule="auto"/>
        <w:ind w:left="1434" w:hanging="357"/>
        <w:contextualSpacing w:val="0"/>
        <w:rPr>
          <w:rFonts w:eastAsia="Times New Roman" w:cs="Times New Roman"/>
          <w:szCs w:val="22"/>
        </w:rPr>
      </w:pPr>
      <w:bookmarkStart w:id="52" w:name="_Ref153768057"/>
      <w:r w:rsidRPr="00A44045">
        <w:rPr>
          <w:rFonts w:eastAsia="Times New Roman" w:cs="Times New Roman"/>
          <w:szCs w:val="22"/>
        </w:rPr>
        <w:lastRenderedPageBreak/>
        <w:t xml:space="preserve">calculate the average amount payable for each single equivalent unit by dividing the total amount determined under paragraph </w:t>
      </w:r>
      <w:r w:rsidRPr="00A44045">
        <w:rPr>
          <w:rFonts w:eastAsia="Times New Roman" w:cs="Times New Roman"/>
          <w:szCs w:val="22"/>
        </w:rPr>
        <w:fldChar w:fldCharType="begin"/>
      </w:r>
      <w:r w:rsidRPr="00A44045">
        <w:rPr>
          <w:rFonts w:eastAsia="Times New Roman" w:cs="Times New Roman"/>
          <w:szCs w:val="22"/>
        </w:rPr>
        <w:instrText xml:space="preserve"> REF _Ref153768126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(b)</w:t>
      </w:r>
      <w:r w:rsidRPr="00A44045">
        <w:rPr>
          <w:rFonts w:eastAsia="Times New Roman" w:cs="Times New Roman"/>
          <w:szCs w:val="22"/>
        </w:rPr>
        <w:fldChar w:fldCharType="end"/>
      </w:r>
      <w:r w:rsidRPr="00A44045">
        <w:rPr>
          <w:rFonts w:eastAsia="Times New Roman" w:cs="Times New Roman"/>
          <w:szCs w:val="22"/>
        </w:rPr>
        <w:t xml:space="preserve"> by the total number ascertained under paragraph </w:t>
      </w:r>
      <w:r w:rsidRPr="00A44045">
        <w:rPr>
          <w:rFonts w:eastAsia="Times New Roman" w:cs="Times New Roman"/>
          <w:szCs w:val="22"/>
        </w:rPr>
        <w:fldChar w:fldCharType="begin"/>
      </w:r>
      <w:r w:rsidRPr="00A44045">
        <w:rPr>
          <w:rFonts w:eastAsia="Times New Roman" w:cs="Times New Roman"/>
          <w:szCs w:val="22"/>
        </w:rPr>
        <w:instrText xml:space="preserve"> REF _Ref153768114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(c)</w:t>
      </w:r>
      <w:r w:rsidRPr="00A44045">
        <w:rPr>
          <w:rFonts w:eastAsia="Times New Roman" w:cs="Times New Roman"/>
          <w:szCs w:val="22"/>
        </w:rPr>
        <w:fldChar w:fldCharType="end"/>
      </w:r>
      <w:r w:rsidRPr="00A44045">
        <w:rPr>
          <w:rFonts w:eastAsia="Times New Roman" w:cs="Times New Roman"/>
          <w:szCs w:val="22"/>
        </w:rPr>
        <w:t>;</w:t>
      </w:r>
      <w:bookmarkEnd w:id="52"/>
    </w:p>
    <w:p w14:paraId="65994F61" w14:textId="7F74040F" w:rsidR="00C44B41" w:rsidRPr="00A44045" w:rsidRDefault="00C44B41" w:rsidP="001E174E">
      <w:pPr>
        <w:pStyle w:val="ListParagraph"/>
        <w:numPr>
          <w:ilvl w:val="1"/>
          <w:numId w:val="26"/>
        </w:numPr>
        <w:tabs>
          <w:tab w:val="num" w:pos="1701"/>
        </w:tabs>
        <w:autoSpaceDE w:val="0"/>
        <w:autoSpaceDN w:val="0"/>
        <w:spacing w:before="60" w:line="240" w:lineRule="auto"/>
        <w:ind w:left="1434" w:hanging="357"/>
        <w:contextualSpacing w:val="0"/>
        <w:rPr>
          <w:rFonts w:eastAsia="Times New Roman" w:cs="Times New Roman"/>
          <w:szCs w:val="22"/>
        </w:rPr>
      </w:pPr>
      <w:bookmarkStart w:id="53" w:name="_Ref153767989"/>
      <w:bookmarkStart w:id="54" w:name="_Ref159299375"/>
      <w:bookmarkStart w:id="55" w:name="_Ref154294515"/>
      <w:r w:rsidRPr="00A44045">
        <w:rPr>
          <w:rFonts w:eastAsia="Times New Roman" w:cs="Times New Roman"/>
          <w:szCs w:val="22"/>
        </w:rPr>
        <w:t>calculate the total amount that would have been payable by Insurer Z in respect of the fund if the single equivalent units determined under paragraph </w:t>
      </w:r>
      <w:r w:rsidR="005077E9" w:rsidRPr="00A44045">
        <w:rPr>
          <w:rFonts w:eastAsia="Times New Roman" w:cs="Times New Roman"/>
          <w:szCs w:val="22"/>
        </w:rPr>
        <w:t>9</w:t>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_Ref156733293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(2)</w:t>
      </w:r>
      <w:r w:rsidRPr="00A44045">
        <w:rPr>
          <w:rFonts w:eastAsia="Times New Roman" w:cs="Times New Roman"/>
          <w:szCs w:val="22"/>
        </w:rPr>
        <w:fldChar w:fldCharType="end"/>
      </w:r>
      <w:r w:rsidRPr="00A44045">
        <w:rPr>
          <w:rFonts w:eastAsia="Times New Roman" w:cs="Times New Roman"/>
          <w:szCs w:val="22"/>
        </w:rPr>
        <w:t xml:space="preserve"> </w:t>
      </w:r>
      <w:r w:rsidRPr="00A44045">
        <w:rPr>
          <w:rFonts w:eastAsia="Times New Roman" w:cs="Times New Roman"/>
          <w:szCs w:val="22"/>
        </w:rPr>
        <w:fldChar w:fldCharType="begin"/>
      </w:r>
      <w:r w:rsidRPr="00A44045">
        <w:rPr>
          <w:rFonts w:eastAsia="Times New Roman" w:cs="Times New Roman"/>
          <w:szCs w:val="22"/>
        </w:rPr>
        <w:instrText xml:space="preserve"> REF _Ref156733295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(b)</w:t>
      </w:r>
      <w:r w:rsidRPr="00A44045">
        <w:rPr>
          <w:rFonts w:eastAsia="Times New Roman" w:cs="Times New Roman"/>
          <w:szCs w:val="22"/>
        </w:rPr>
        <w:fldChar w:fldCharType="end"/>
      </w:r>
      <w:r w:rsidRPr="00A44045">
        <w:rPr>
          <w:rFonts w:eastAsia="Times New Roman" w:cs="Times New Roman"/>
          <w:szCs w:val="22"/>
        </w:rPr>
        <w:t xml:space="preserve"> to be the mean number of single equivalent units in that State for the fund had each been entitled to the amount calculated under paragraph </w:t>
      </w:r>
      <w:r w:rsidRPr="00A44045">
        <w:rPr>
          <w:rFonts w:eastAsia="Times New Roman" w:cs="Times New Roman"/>
          <w:szCs w:val="22"/>
        </w:rPr>
        <w:fldChar w:fldCharType="begin"/>
      </w:r>
      <w:r w:rsidRPr="00A44045">
        <w:rPr>
          <w:rFonts w:eastAsia="Times New Roman" w:cs="Times New Roman"/>
          <w:szCs w:val="22"/>
        </w:rPr>
        <w:instrText xml:space="preserve"> REF _Ref153768057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(d)</w:t>
      </w:r>
      <w:r w:rsidRPr="00A44045">
        <w:rPr>
          <w:rFonts w:eastAsia="Times New Roman" w:cs="Times New Roman"/>
          <w:szCs w:val="22"/>
        </w:rPr>
        <w:fldChar w:fldCharType="end"/>
      </w:r>
      <w:bookmarkEnd w:id="53"/>
      <w:r w:rsidRPr="00A44045">
        <w:rPr>
          <w:rFonts w:eastAsia="Times New Roman" w:cs="Times New Roman"/>
          <w:szCs w:val="22"/>
        </w:rPr>
        <w:t xml:space="preserve"> by multiplying the amount calculated in</w:t>
      </w:r>
      <w:r w:rsidR="000E1322" w:rsidRPr="00A44045">
        <w:rPr>
          <w:rFonts w:eastAsia="Times New Roman" w:cs="Times New Roman"/>
          <w:szCs w:val="22"/>
        </w:rPr>
        <w:t xml:space="preserve"> paragraph</w:t>
      </w:r>
      <w:r w:rsidRPr="00A44045">
        <w:rPr>
          <w:rFonts w:eastAsia="Times New Roman" w:cs="Times New Roman"/>
          <w:szCs w:val="22"/>
        </w:rPr>
        <w:t xml:space="preserve"> </w:t>
      </w:r>
      <w:r w:rsidRPr="00A44045">
        <w:rPr>
          <w:rFonts w:eastAsia="Times New Roman" w:cs="Times New Roman"/>
          <w:szCs w:val="22"/>
        </w:rPr>
        <w:fldChar w:fldCharType="begin"/>
      </w:r>
      <w:r w:rsidRPr="00A44045">
        <w:rPr>
          <w:rFonts w:eastAsia="Times New Roman" w:cs="Times New Roman"/>
          <w:szCs w:val="22"/>
        </w:rPr>
        <w:instrText xml:space="preserve"> REF _Ref153768057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(d)</w:t>
      </w:r>
      <w:r w:rsidRPr="00A44045">
        <w:rPr>
          <w:rFonts w:eastAsia="Times New Roman" w:cs="Times New Roman"/>
          <w:szCs w:val="22"/>
        </w:rPr>
        <w:fldChar w:fldCharType="end"/>
      </w:r>
      <w:r w:rsidRPr="00A44045">
        <w:rPr>
          <w:rFonts w:eastAsia="Times New Roman" w:cs="Times New Roman"/>
          <w:szCs w:val="22"/>
        </w:rPr>
        <w:t xml:space="preserve"> by the mean number of single equivalent units for Insurer Z as calculated in</w:t>
      </w:r>
      <w:r w:rsidR="00517FB7" w:rsidRPr="00A44045">
        <w:rPr>
          <w:rFonts w:eastAsia="Times New Roman" w:cs="Times New Roman"/>
          <w:szCs w:val="22"/>
        </w:rPr>
        <w:t xml:space="preserve"> subpar</w:t>
      </w:r>
      <w:r w:rsidR="000E1322" w:rsidRPr="00A44045">
        <w:rPr>
          <w:rFonts w:eastAsia="Times New Roman" w:cs="Times New Roman"/>
          <w:szCs w:val="22"/>
        </w:rPr>
        <w:t>agraph</w:t>
      </w:r>
      <w:r w:rsidRPr="00A44045">
        <w:rPr>
          <w:rFonts w:eastAsia="Times New Roman" w:cs="Times New Roman"/>
          <w:szCs w:val="22"/>
        </w:rPr>
        <w:t xml:space="preserve"> </w:t>
      </w:r>
      <w:r w:rsidRPr="00A44045">
        <w:rPr>
          <w:rFonts w:eastAsia="Times New Roman" w:cs="Times New Roman"/>
          <w:szCs w:val="22"/>
        </w:rPr>
        <w:fldChar w:fldCharType="begin"/>
      </w:r>
      <w:r w:rsidRPr="00A44045">
        <w:rPr>
          <w:rFonts w:eastAsia="Times New Roman" w:cs="Times New Roman"/>
          <w:szCs w:val="22"/>
        </w:rPr>
        <w:instrText xml:space="preserve"> REF _Ref153768114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(c)</w:t>
      </w:r>
      <w:r w:rsidRPr="00A44045">
        <w:rPr>
          <w:rFonts w:eastAsia="Times New Roman" w:cs="Times New Roman"/>
          <w:szCs w:val="22"/>
        </w:rPr>
        <w:fldChar w:fldCharType="end"/>
      </w:r>
      <w:r w:rsidRPr="00A44045">
        <w:rPr>
          <w:rFonts w:eastAsia="Times New Roman" w:cs="Times New Roman"/>
          <w:szCs w:val="22"/>
        </w:rPr>
        <w:t xml:space="preserve"> </w:t>
      </w:r>
      <w:r w:rsidRPr="00A44045">
        <w:rPr>
          <w:rFonts w:eastAsia="Times New Roman" w:cs="Times New Roman"/>
          <w:szCs w:val="22"/>
        </w:rPr>
        <w:fldChar w:fldCharType="begin"/>
      </w:r>
      <w:r w:rsidRPr="00A44045">
        <w:rPr>
          <w:rFonts w:eastAsia="Times New Roman" w:cs="Times New Roman"/>
          <w:szCs w:val="22"/>
        </w:rPr>
        <w:instrText xml:space="preserve"> REF _Ref153768143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w:t>
      </w:r>
      <w:proofErr w:type="spellStart"/>
      <w:r w:rsidR="00C14CD4" w:rsidRPr="00A44045">
        <w:rPr>
          <w:rFonts w:eastAsia="Times New Roman" w:cs="Times New Roman"/>
          <w:szCs w:val="22"/>
        </w:rPr>
        <w:t>i</w:t>
      </w:r>
      <w:proofErr w:type="spellEnd"/>
      <w:r w:rsidR="00C14CD4" w:rsidRPr="00A44045">
        <w:rPr>
          <w:rFonts w:eastAsia="Times New Roman" w:cs="Times New Roman"/>
          <w:szCs w:val="22"/>
        </w:rPr>
        <w:t>)</w:t>
      </w:r>
      <w:r w:rsidRPr="00A44045">
        <w:rPr>
          <w:rFonts w:eastAsia="Times New Roman" w:cs="Times New Roman"/>
          <w:szCs w:val="22"/>
        </w:rPr>
        <w:fldChar w:fldCharType="end"/>
      </w:r>
      <w:r w:rsidRPr="00A44045">
        <w:rPr>
          <w:rFonts w:eastAsia="Times New Roman" w:cs="Times New Roman"/>
          <w:szCs w:val="22"/>
        </w:rPr>
        <w:t>;</w:t>
      </w:r>
      <w:bookmarkEnd w:id="54"/>
      <w:r w:rsidRPr="00A44045">
        <w:rPr>
          <w:rFonts w:eastAsia="Times New Roman" w:cs="Times New Roman"/>
          <w:szCs w:val="22"/>
        </w:rPr>
        <w:t xml:space="preserve"> </w:t>
      </w:r>
      <w:bookmarkEnd w:id="55"/>
    </w:p>
    <w:p w14:paraId="45872211" w14:textId="465A8EBE" w:rsidR="00C44B41" w:rsidRPr="00A44045" w:rsidRDefault="00C44B41" w:rsidP="001E174E">
      <w:pPr>
        <w:pStyle w:val="ListParagraph"/>
        <w:numPr>
          <w:ilvl w:val="1"/>
          <w:numId w:val="26"/>
        </w:numPr>
        <w:tabs>
          <w:tab w:val="num" w:pos="1701"/>
        </w:tabs>
        <w:autoSpaceDE w:val="0"/>
        <w:autoSpaceDN w:val="0"/>
        <w:spacing w:before="60" w:line="240" w:lineRule="auto"/>
        <w:ind w:left="1434" w:hanging="357"/>
        <w:contextualSpacing w:val="0"/>
        <w:rPr>
          <w:rFonts w:eastAsia="Times New Roman" w:cs="Times New Roman"/>
          <w:szCs w:val="22"/>
        </w:rPr>
      </w:pPr>
      <w:bookmarkStart w:id="56" w:name="_Ref154289907"/>
      <w:r w:rsidRPr="00A44045">
        <w:rPr>
          <w:rFonts w:eastAsia="Times New Roman" w:cs="Times New Roman"/>
          <w:szCs w:val="22"/>
        </w:rPr>
        <w:t xml:space="preserve">calculate the difference between the amount calculated under paragraph </w:t>
      </w:r>
      <w:r w:rsidRPr="00A44045">
        <w:rPr>
          <w:rFonts w:eastAsia="Times New Roman" w:cs="Times New Roman"/>
          <w:szCs w:val="22"/>
        </w:rPr>
        <w:fldChar w:fldCharType="begin"/>
      </w:r>
      <w:r w:rsidRPr="00A44045">
        <w:rPr>
          <w:rFonts w:eastAsia="Times New Roman" w:cs="Times New Roman"/>
          <w:szCs w:val="22"/>
        </w:rPr>
        <w:instrText xml:space="preserve"> REF _Ref153767989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(e)</w:t>
      </w:r>
      <w:r w:rsidRPr="00A44045">
        <w:rPr>
          <w:rFonts w:eastAsia="Times New Roman" w:cs="Times New Roman"/>
          <w:szCs w:val="22"/>
        </w:rPr>
        <w:fldChar w:fldCharType="end"/>
      </w:r>
      <w:r w:rsidRPr="00A44045">
        <w:rPr>
          <w:rFonts w:eastAsia="Times New Roman" w:cs="Times New Roman"/>
          <w:szCs w:val="22"/>
        </w:rPr>
        <w:t xml:space="preserve"> and the amount calculated under paragraph </w:t>
      </w:r>
      <w:r w:rsidRPr="00A44045">
        <w:rPr>
          <w:rFonts w:eastAsia="Times New Roman" w:cs="Times New Roman"/>
          <w:szCs w:val="22"/>
        </w:rPr>
        <w:fldChar w:fldCharType="begin"/>
      </w:r>
      <w:r w:rsidRPr="00A44045">
        <w:rPr>
          <w:rFonts w:eastAsia="Times New Roman" w:cs="Times New Roman"/>
          <w:szCs w:val="22"/>
        </w:rPr>
        <w:instrText xml:space="preserve"> REF _Ref153767968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(a)</w:t>
      </w:r>
      <w:r w:rsidRPr="00A44045">
        <w:rPr>
          <w:rFonts w:eastAsia="Times New Roman" w:cs="Times New Roman"/>
          <w:szCs w:val="22"/>
        </w:rPr>
        <w:fldChar w:fldCharType="end"/>
      </w:r>
      <w:r w:rsidRPr="00A44045">
        <w:rPr>
          <w:rFonts w:eastAsia="Times New Roman" w:cs="Times New Roman"/>
          <w:szCs w:val="22"/>
        </w:rPr>
        <w:t xml:space="preserve"> for Insurer Z.</w:t>
      </w:r>
      <w:bookmarkEnd w:id="56"/>
      <w:r w:rsidRPr="00A44045">
        <w:rPr>
          <w:rFonts w:eastAsia="Times New Roman" w:cs="Times New Roman"/>
          <w:szCs w:val="22"/>
        </w:rPr>
        <w:t xml:space="preserve"> </w:t>
      </w:r>
    </w:p>
    <w:p w14:paraId="6C32BA3E" w14:textId="77777777" w:rsidR="00C44B41" w:rsidRPr="00A44045" w:rsidRDefault="00C44B41" w:rsidP="001E174E">
      <w:pPr>
        <w:pStyle w:val="ListParagraph"/>
        <w:numPr>
          <w:ilvl w:val="0"/>
          <w:numId w:val="26"/>
        </w:numPr>
        <w:tabs>
          <w:tab w:val="num" w:pos="850"/>
        </w:tabs>
        <w:autoSpaceDE w:val="0"/>
        <w:autoSpaceDN w:val="0"/>
        <w:spacing w:before="60" w:line="260" w:lineRule="exact"/>
        <w:ind w:left="1077" w:hanging="357"/>
        <w:contextualSpacing w:val="0"/>
        <w:rPr>
          <w:rFonts w:eastAsia="Times New Roman" w:cs="Times New Roman"/>
          <w:szCs w:val="22"/>
        </w:rPr>
      </w:pPr>
      <w:r w:rsidRPr="00A44045">
        <w:rPr>
          <w:rFonts w:eastAsia="Times New Roman" w:cs="Times New Roman"/>
          <w:szCs w:val="22"/>
        </w:rPr>
        <w:t xml:space="preserve">Where an adjustment amount has been determined under Part 4 to be </w:t>
      </w:r>
      <w:proofErr w:type="gramStart"/>
      <w:r w:rsidRPr="00A44045">
        <w:rPr>
          <w:rFonts w:eastAsia="Times New Roman" w:cs="Times New Roman"/>
          <w:szCs w:val="22"/>
        </w:rPr>
        <w:t>taken into account</w:t>
      </w:r>
      <w:proofErr w:type="gramEnd"/>
      <w:r w:rsidRPr="00A44045">
        <w:rPr>
          <w:rFonts w:eastAsia="Times New Roman" w:cs="Times New Roman"/>
          <w:szCs w:val="22"/>
        </w:rPr>
        <w:t xml:space="preserve"> in a particular quarter, the amount must be </w:t>
      </w:r>
      <w:proofErr w:type="gramStart"/>
      <w:r w:rsidRPr="00A44045">
        <w:rPr>
          <w:rFonts w:eastAsia="Times New Roman" w:cs="Times New Roman"/>
          <w:szCs w:val="22"/>
        </w:rPr>
        <w:t>taken into account</w:t>
      </w:r>
      <w:proofErr w:type="gramEnd"/>
      <w:r w:rsidRPr="00A44045">
        <w:rPr>
          <w:rFonts w:eastAsia="Times New Roman" w:cs="Times New Roman"/>
          <w:szCs w:val="22"/>
        </w:rPr>
        <w:t xml:space="preserve"> to increase or decrease, as the case requires, the amount that otherwise would be calculated under this rule.</w:t>
      </w:r>
    </w:p>
    <w:p w14:paraId="711FD515" w14:textId="77777777" w:rsidR="00C44B41" w:rsidRPr="00A44045" w:rsidRDefault="00C44B41" w:rsidP="001E174E">
      <w:pPr>
        <w:pStyle w:val="ListParagraph"/>
        <w:numPr>
          <w:ilvl w:val="0"/>
          <w:numId w:val="26"/>
        </w:numPr>
        <w:tabs>
          <w:tab w:val="num" w:pos="850"/>
        </w:tabs>
        <w:autoSpaceDE w:val="0"/>
        <w:autoSpaceDN w:val="0"/>
        <w:spacing w:before="60" w:line="260" w:lineRule="exact"/>
        <w:ind w:left="1077" w:hanging="357"/>
        <w:contextualSpacing w:val="0"/>
        <w:rPr>
          <w:rFonts w:eastAsia="Times New Roman" w:cs="Times New Roman"/>
          <w:szCs w:val="22"/>
        </w:rPr>
      </w:pPr>
      <w:bookmarkStart w:id="57" w:name="_Ref156587929"/>
      <w:r w:rsidRPr="00A44045">
        <w:rPr>
          <w:rFonts w:eastAsia="Times New Roman" w:cs="Times New Roman"/>
          <w:szCs w:val="22"/>
        </w:rPr>
        <w:t>Where an insurer fails to provide a quarterly return to APRA that is necessary to enable APRA to carry out the calculation referred to in this rule, APRA must carry out the calculation using the quarterly return last provided by the insurer:</w:t>
      </w:r>
    </w:p>
    <w:p w14:paraId="6D3E6A82" w14:textId="77777777" w:rsidR="00C44B41" w:rsidRPr="00A44045" w:rsidRDefault="00C44B41" w:rsidP="001E174E">
      <w:pPr>
        <w:pStyle w:val="ListParagraph"/>
        <w:numPr>
          <w:ilvl w:val="1"/>
          <w:numId w:val="26"/>
        </w:numPr>
        <w:tabs>
          <w:tab w:val="left" w:pos="1701"/>
        </w:tabs>
        <w:autoSpaceDE w:val="0"/>
        <w:autoSpaceDN w:val="0"/>
        <w:spacing w:before="60" w:line="260" w:lineRule="exact"/>
        <w:ind w:left="1434" w:hanging="357"/>
        <w:contextualSpacing w:val="0"/>
        <w:rPr>
          <w:rFonts w:eastAsia="Times New Roman" w:cs="Times New Roman"/>
          <w:szCs w:val="22"/>
        </w:rPr>
      </w:pPr>
      <w:r w:rsidRPr="00A44045">
        <w:rPr>
          <w:rFonts w:eastAsia="Times New Roman" w:cs="Times New Roman"/>
          <w:szCs w:val="22"/>
        </w:rPr>
        <w:t xml:space="preserve">to APRA for the relevant quarter and State; or </w:t>
      </w:r>
    </w:p>
    <w:p w14:paraId="7ED90C21" w14:textId="4432D63A" w:rsidR="00B80DA4" w:rsidRPr="00A44045" w:rsidRDefault="00C44B41" w:rsidP="001E174E">
      <w:pPr>
        <w:pStyle w:val="ListParagraph"/>
        <w:numPr>
          <w:ilvl w:val="1"/>
          <w:numId w:val="26"/>
        </w:numPr>
        <w:autoSpaceDE w:val="0"/>
        <w:autoSpaceDN w:val="0"/>
        <w:spacing w:before="60" w:line="260" w:lineRule="exact"/>
        <w:ind w:left="1434" w:hanging="357"/>
        <w:contextualSpacing w:val="0"/>
        <w:rPr>
          <w:rFonts w:eastAsia="Times New Roman" w:cs="Times New Roman"/>
          <w:szCs w:val="22"/>
        </w:rPr>
      </w:pPr>
      <w:r w:rsidRPr="00A44045">
        <w:rPr>
          <w:rFonts w:eastAsia="Times New Roman" w:cs="Times New Roman"/>
          <w:szCs w:val="22"/>
        </w:rPr>
        <w:t xml:space="preserve">if the insurer has not provided a quarterly return to APRA, the last return the insurer provided to the Council in accordance with rule 6 of the </w:t>
      </w:r>
      <w:r w:rsidRPr="00A44045">
        <w:rPr>
          <w:rFonts w:eastAsia="Times New Roman" w:cs="Times New Roman"/>
          <w:i/>
          <w:szCs w:val="22"/>
        </w:rPr>
        <w:t>Risk Equalisation Administration Rules 2007</w:t>
      </w:r>
      <w:r w:rsidRPr="00A44045">
        <w:rPr>
          <w:rFonts w:eastAsia="Times New Roman" w:cs="Times New Roman"/>
          <w:szCs w:val="22"/>
        </w:rPr>
        <w:t xml:space="preserve"> as in force on 30 June 2015, for the relevant quarter and State.</w:t>
      </w:r>
      <w:bookmarkEnd w:id="57"/>
      <w:r w:rsidRPr="00A44045">
        <w:rPr>
          <w:rFonts w:eastAsia="Times New Roman" w:cs="Times New Roman"/>
          <w:szCs w:val="22"/>
        </w:rPr>
        <w:t xml:space="preserve"> </w:t>
      </w:r>
    </w:p>
    <w:p w14:paraId="3E7CE8F2" w14:textId="6BF7C2BF" w:rsidR="00B80DA4" w:rsidRPr="00A44045" w:rsidRDefault="00B80DA4" w:rsidP="00612B5D">
      <w:pPr>
        <w:pStyle w:val="ActHead7"/>
        <w:keepNext w:val="0"/>
        <w:keepLines w:val="0"/>
        <w:outlineLvl w:val="4"/>
        <w:rPr>
          <w:szCs w:val="24"/>
        </w:rPr>
      </w:pPr>
      <w:bookmarkStart w:id="58" w:name="_Toc204756721"/>
      <w:proofErr w:type="gramStart"/>
      <w:r w:rsidRPr="00A44045">
        <w:rPr>
          <w:szCs w:val="24"/>
        </w:rPr>
        <w:t xml:space="preserve">14 </w:t>
      </w:r>
      <w:r w:rsidR="00A113BE" w:rsidRPr="00A44045">
        <w:rPr>
          <w:szCs w:val="24"/>
        </w:rPr>
        <w:t xml:space="preserve"> </w:t>
      </w:r>
      <w:r w:rsidRPr="00A44045">
        <w:rPr>
          <w:szCs w:val="24"/>
        </w:rPr>
        <w:t>Working</w:t>
      </w:r>
      <w:proofErr w:type="gramEnd"/>
      <w:r w:rsidRPr="00A44045">
        <w:rPr>
          <w:szCs w:val="24"/>
        </w:rPr>
        <w:t xml:space="preserve"> ou</w:t>
      </w:r>
      <w:r w:rsidR="00A113BE" w:rsidRPr="00A44045">
        <w:rPr>
          <w:szCs w:val="24"/>
        </w:rPr>
        <w:t>t</w:t>
      </w:r>
      <w:r w:rsidRPr="00A44045">
        <w:rPr>
          <w:szCs w:val="24"/>
        </w:rPr>
        <w:t xml:space="preserve"> rate of levy</w:t>
      </w:r>
      <w:bookmarkEnd w:id="58"/>
    </w:p>
    <w:p w14:paraId="5AB3E712" w14:textId="246D7DEB" w:rsidR="009F6F1D" w:rsidRPr="00A44045" w:rsidRDefault="009F6F1D" w:rsidP="009F6F1D">
      <w:pPr>
        <w:pStyle w:val="ListParagraph"/>
        <w:numPr>
          <w:ilvl w:val="0"/>
          <w:numId w:val="28"/>
        </w:numPr>
        <w:tabs>
          <w:tab w:val="num" w:pos="850"/>
        </w:tabs>
        <w:autoSpaceDE w:val="0"/>
        <w:autoSpaceDN w:val="0"/>
        <w:spacing w:before="180" w:line="260" w:lineRule="exact"/>
        <w:rPr>
          <w:rFonts w:eastAsia="Times New Roman" w:cs="Times New Roman"/>
          <w:szCs w:val="22"/>
        </w:rPr>
      </w:pPr>
      <w:r w:rsidRPr="00A44045">
        <w:rPr>
          <w:rFonts w:eastAsia="Times New Roman" w:cs="Times New Roman"/>
          <w:szCs w:val="22"/>
        </w:rPr>
        <w:t xml:space="preserve">Subject to subrule </w:t>
      </w:r>
      <w:r w:rsidRPr="00A44045">
        <w:rPr>
          <w:rFonts w:eastAsia="Times New Roman" w:cs="Times New Roman"/>
          <w:szCs w:val="22"/>
        </w:rPr>
        <w:fldChar w:fldCharType="begin"/>
      </w:r>
      <w:r w:rsidRPr="00A44045">
        <w:rPr>
          <w:rFonts w:eastAsia="Times New Roman" w:cs="Times New Roman"/>
          <w:szCs w:val="22"/>
        </w:rPr>
        <w:instrText xml:space="preserve"> REF _Ref156796069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(2)</w:t>
      </w:r>
      <w:r w:rsidRPr="00A44045">
        <w:rPr>
          <w:rFonts w:eastAsia="Times New Roman" w:cs="Times New Roman"/>
          <w:szCs w:val="22"/>
        </w:rPr>
        <w:fldChar w:fldCharType="end"/>
      </w:r>
      <w:r w:rsidRPr="00A44045">
        <w:rPr>
          <w:rFonts w:eastAsia="Times New Roman" w:cs="Times New Roman"/>
          <w:szCs w:val="22"/>
        </w:rPr>
        <w:t>, if the amount calculated under paragraph</w:t>
      </w:r>
      <w:r w:rsidR="00185632" w:rsidRPr="00A44045">
        <w:rPr>
          <w:rFonts w:eastAsia="Times New Roman" w:cs="Times New Roman"/>
          <w:szCs w:val="22"/>
        </w:rPr>
        <w:t>13</w:t>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_Ref156733546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(1)</w:t>
      </w:r>
      <w:r w:rsidRPr="00A44045">
        <w:rPr>
          <w:rFonts w:eastAsia="Times New Roman" w:cs="Times New Roman"/>
          <w:szCs w:val="22"/>
        </w:rPr>
        <w:fldChar w:fldCharType="end"/>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_Ref153767968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(a)</w:t>
      </w:r>
      <w:r w:rsidRPr="00A44045">
        <w:rPr>
          <w:rFonts w:eastAsia="Times New Roman" w:cs="Times New Roman"/>
          <w:szCs w:val="22"/>
        </w:rPr>
        <w:fldChar w:fldCharType="end"/>
      </w:r>
      <w:r w:rsidRPr="00A44045">
        <w:rPr>
          <w:rFonts w:eastAsia="Times New Roman" w:cs="Times New Roman"/>
          <w:szCs w:val="22"/>
        </w:rPr>
        <w:t xml:space="preserve"> for an insurer is less than the amount calculated under paragraph</w:t>
      </w:r>
      <w:r w:rsidR="00185632" w:rsidRPr="00A44045">
        <w:rPr>
          <w:rFonts w:eastAsia="Times New Roman" w:cs="Times New Roman"/>
          <w:szCs w:val="22"/>
        </w:rPr>
        <w:t>13</w:t>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_Ref156733546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(1)</w:t>
      </w:r>
      <w:r w:rsidRPr="00A44045">
        <w:rPr>
          <w:rFonts w:eastAsia="Times New Roman" w:cs="Times New Roman"/>
          <w:szCs w:val="22"/>
        </w:rPr>
        <w:fldChar w:fldCharType="end"/>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_Ref159299375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(e)</w:t>
      </w:r>
      <w:r w:rsidRPr="00A44045">
        <w:rPr>
          <w:rFonts w:eastAsia="Times New Roman" w:cs="Times New Roman"/>
          <w:szCs w:val="22"/>
        </w:rPr>
        <w:fldChar w:fldCharType="end"/>
      </w:r>
      <w:r w:rsidRPr="00A44045">
        <w:rPr>
          <w:rFonts w:eastAsia="Times New Roman" w:cs="Times New Roman"/>
          <w:szCs w:val="22"/>
        </w:rPr>
        <w:t>, having taken into account any adjustment amount,</w:t>
      </w:r>
      <w:r w:rsidRPr="00A44045" w:rsidDel="00A81E6C">
        <w:rPr>
          <w:rFonts w:eastAsia="Times New Roman" w:cs="Times New Roman"/>
          <w:szCs w:val="22"/>
        </w:rPr>
        <w:t xml:space="preserve"> </w:t>
      </w:r>
      <w:r w:rsidRPr="00A44045">
        <w:rPr>
          <w:rFonts w:eastAsia="Times New Roman" w:cs="Times New Roman"/>
          <w:szCs w:val="22"/>
        </w:rPr>
        <w:t>the rate of risk equalisation levy imposed on an insurer on a risk equalisation day must be determined, for the quarter concerned, by APRA under the Levy Act, to be the amount equal to the difference.</w:t>
      </w:r>
    </w:p>
    <w:p w14:paraId="44CF6B72" w14:textId="77777777" w:rsidR="00370DB0" w:rsidRPr="00A44045" w:rsidRDefault="009F6F1D" w:rsidP="009F6F1D">
      <w:pPr>
        <w:pStyle w:val="ItemHead"/>
        <w:numPr>
          <w:ilvl w:val="0"/>
          <w:numId w:val="28"/>
        </w:numPr>
      </w:pPr>
      <w:bookmarkStart w:id="59" w:name="_Ref156796069"/>
      <w:r w:rsidRPr="00A44045">
        <w:rPr>
          <w:rFonts w:ascii="Times New Roman" w:eastAsiaTheme="minorHAnsi" w:hAnsi="Times New Roman" w:cstheme="minorBidi"/>
          <w:b w:val="0"/>
          <w:kern w:val="0"/>
          <w:sz w:val="22"/>
          <w:szCs w:val="22"/>
          <w:lang w:eastAsia="en-US"/>
        </w:rPr>
        <w:t>If an insurer conducts more than one health benefits fund in one or more States, the rate of levy for that insurer is to</w:t>
      </w:r>
      <w:bookmarkEnd w:id="59"/>
      <w:r w:rsidRPr="00A44045">
        <w:rPr>
          <w:rFonts w:ascii="Times New Roman" w:eastAsiaTheme="minorHAnsi" w:hAnsi="Times New Roman" w:cstheme="minorBidi"/>
          <w:b w:val="0"/>
          <w:kern w:val="0"/>
          <w:sz w:val="22"/>
          <w:szCs w:val="22"/>
          <w:lang w:eastAsia="en-US"/>
        </w:rPr>
        <w:t xml:space="preserve"> be determined by adding the amount of levy worked out for each of those funds, less any amount that is to be debited from the Special Account for payment to the insurer in respect of a health benefits fund as determined in accordance with Part 3.</w:t>
      </w:r>
    </w:p>
    <w:p w14:paraId="3A07B59E" w14:textId="77777777" w:rsidR="000136F8" w:rsidRPr="00A44045" w:rsidRDefault="000136F8">
      <w:pPr>
        <w:spacing w:line="240" w:lineRule="auto"/>
        <w:rPr>
          <w:rFonts w:eastAsia="Times New Roman" w:cs="Times New Roman"/>
          <w:b/>
          <w:kern w:val="28"/>
          <w:sz w:val="24"/>
          <w:lang w:eastAsia="en-AU"/>
        </w:rPr>
      </w:pPr>
      <w:r w:rsidRPr="00A44045">
        <w:br w:type="page"/>
      </w:r>
    </w:p>
    <w:p w14:paraId="3BBBDD3F" w14:textId="26E7611C" w:rsidR="00E47598" w:rsidRPr="00A44045" w:rsidRDefault="00E47598" w:rsidP="00AA7FE3">
      <w:pPr>
        <w:pStyle w:val="ActHead6"/>
        <w:outlineLvl w:val="3"/>
        <w:rPr>
          <w:rFonts w:ascii="Times New Roman" w:hAnsi="Times New Roman"/>
          <w:sz w:val="28"/>
          <w:szCs w:val="28"/>
        </w:rPr>
      </w:pPr>
      <w:bookmarkStart w:id="60" w:name="_Toc204756722"/>
      <w:r w:rsidRPr="00A44045">
        <w:rPr>
          <w:rFonts w:ascii="Times New Roman" w:hAnsi="Times New Roman"/>
          <w:sz w:val="28"/>
          <w:szCs w:val="28"/>
        </w:rPr>
        <w:lastRenderedPageBreak/>
        <w:t xml:space="preserve">Part 3 </w:t>
      </w:r>
      <w:r w:rsidR="00873E09" w:rsidRPr="00A44045">
        <w:rPr>
          <w:rFonts w:ascii="Times New Roman" w:hAnsi="Times New Roman"/>
          <w:sz w:val="28"/>
          <w:szCs w:val="28"/>
        </w:rPr>
        <w:tab/>
      </w:r>
      <w:r w:rsidRPr="00A44045">
        <w:rPr>
          <w:rFonts w:ascii="Times New Roman" w:hAnsi="Times New Roman"/>
          <w:sz w:val="28"/>
          <w:szCs w:val="28"/>
        </w:rPr>
        <w:t xml:space="preserve">Debits </w:t>
      </w:r>
      <w:r w:rsidR="0082086E" w:rsidRPr="00A44045">
        <w:rPr>
          <w:rFonts w:ascii="Times New Roman" w:hAnsi="Times New Roman"/>
          <w:sz w:val="28"/>
          <w:szCs w:val="28"/>
        </w:rPr>
        <w:t>from the special account</w:t>
      </w:r>
      <w:bookmarkEnd w:id="60"/>
    </w:p>
    <w:p w14:paraId="29C6D6EA" w14:textId="2EB819B7" w:rsidR="00B80DA4" w:rsidRPr="00A44045" w:rsidRDefault="00B80DA4" w:rsidP="00612B5D">
      <w:pPr>
        <w:pStyle w:val="ActHead7"/>
        <w:keepNext w:val="0"/>
        <w:keepLines w:val="0"/>
        <w:outlineLvl w:val="4"/>
        <w:rPr>
          <w:szCs w:val="24"/>
        </w:rPr>
      </w:pPr>
      <w:bookmarkStart w:id="61" w:name="_Toc204756723"/>
      <w:proofErr w:type="gramStart"/>
      <w:r w:rsidRPr="00A44045">
        <w:rPr>
          <w:szCs w:val="24"/>
        </w:rPr>
        <w:t>1</w:t>
      </w:r>
      <w:r w:rsidR="00E47598" w:rsidRPr="00A44045">
        <w:rPr>
          <w:szCs w:val="24"/>
        </w:rPr>
        <w:t xml:space="preserve">5 </w:t>
      </w:r>
      <w:r w:rsidR="00A113BE" w:rsidRPr="00A44045">
        <w:rPr>
          <w:szCs w:val="24"/>
        </w:rPr>
        <w:t xml:space="preserve"> </w:t>
      </w:r>
      <w:r w:rsidR="00E47598" w:rsidRPr="00A44045">
        <w:rPr>
          <w:szCs w:val="24"/>
        </w:rPr>
        <w:t>Purpose</w:t>
      </w:r>
      <w:proofErr w:type="gramEnd"/>
      <w:r w:rsidR="00E47598" w:rsidRPr="00A44045">
        <w:rPr>
          <w:szCs w:val="24"/>
        </w:rPr>
        <w:t xml:space="preserve"> of this part</w:t>
      </w:r>
      <w:bookmarkEnd w:id="61"/>
    </w:p>
    <w:p w14:paraId="4EC29474" w14:textId="77777777" w:rsidR="00A6108E" w:rsidRPr="00A44045" w:rsidRDefault="00A6108E" w:rsidP="001E174E">
      <w:pPr>
        <w:pStyle w:val="ListParagraph"/>
        <w:numPr>
          <w:ilvl w:val="0"/>
          <w:numId w:val="29"/>
        </w:numPr>
        <w:tabs>
          <w:tab w:val="left" w:pos="851"/>
        </w:tabs>
        <w:autoSpaceDE w:val="0"/>
        <w:autoSpaceDN w:val="0"/>
        <w:spacing w:before="120" w:line="260" w:lineRule="exact"/>
        <w:ind w:left="1077" w:hanging="357"/>
        <w:rPr>
          <w:rFonts w:eastAsia="Times New Roman" w:cs="Times New Roman"/>
          <w:szCs w:val="22"/>
        </w:rPr>
      </w:pPr>
      <w:r w:rsidRPr="00A44045">
        <w:rPr>
          <w:rFonts w:eastAsia="Times New Roman" w:cs="Times New Roman"/>
          <w:szCs w:val="22"/>
        </w:rPr>
        <w:t>For subsection 318-10 (2) of the Act, this Part specifies:</w:t>
      </w:r>
    </w:p>
    <w:p w14:paraId="19C6012E" w14:textId="77777777" w:rsidR="00A6108E" w:rsidRPr="00A44045" w:rsidRDefault="00A6108E" w:rsidP="00A6108E">
      <w:pPr>
        <w:pStyle w:val="ListParagraph"/>
        <w:numPr>
          <w:ilvl w:val="1"/>
          <w:numId w:val="29"/>
        </w:numPr>
        <w:tabs>
          <w:tab w:val="num" w:pos="1701"/>
        </w:tabs>
        <w:autoSpaceDE w:val="0"/>
        <w:autoSpaceDN w:val="0"/>
        <w:spacing w:before="60" w:line="240" w:lineRule="auto"/>
        <w:rPr>
          <w:rFonts w:eastAsia="Times New Roman" w:cs="Times New Roman"/>
          <w:szCs w:val="22"/>
        </w:rPr>
      </w:pPr>
      <w:r w:rsidRPr="00A44045">
        <w:rPr>
          <w:rFonts w:eastAsia="Times New Roman" w:cs="Times New Roman"/>
          <w:szCs w:val="22"/>
        </w:rPr>
        <w:t>the circumstances in which an insurer is to be paid an amount debited from the Special Account; and</w:t>
      </w:r>
    </w:p>
    <w:p w14:paraId="62363349" w14:textId="35B4E01B" w:rsidR="00A6108E" w:rsidRPr="00A44045" w:rsidRDefault="00A6108E" w:rsidP="00716081">
      <w:pPr>
        <w:pStyle w:val="ListParagraph"/>
        <w:numPr>
          <w:ilvl w:val="1"/>
          <w:numId w:val="29"/>
        </w:numPr>
        <w:tabs>
          <w:tab w:val="num" w:pos="1701"/>
        </w:tabs>
        <w:autoSpaceDE w:val="0"/>
        <w:autoSpaceDN w:val="0"/>
        <w:spacing w:before="60" w:line="240" w:lineRule="auto"/>
        <w:rPr>
          <w:rFonts w:eastAsia="Times New Roman" w:cs="Times New Roman"/>
          <w:szCs w:val="22"/>
        </w:rPr>
      </w:pPr>
      <w:r w:rsidRPr="00A44045">
        <w:rPr>
          <w:rFonts w:eastAsia="Times New Roman" w:cs="Times New Roman"/>
          <w:szCs w:val="22"/>
        </w:rPr>
        <w:t>the method for working out the amount to be debited from the Special Account for payment to the insurer.</w:t>
      </w:r>
    </w:p>
    <w:p w14:paraId="08F5DC6F" w14:textId="1628CA91" w:rsidR="0082086E" w:rsidRPr="00A44045" w:rsidRDefault="0082086E" w:rsidP="00612B5D">
      <w:pPr>
        <w:pStyle w:val="ActHead7"/>
        <w:keepNext w:val="0"/>
        <w:keepLines w:val="0"/>
        <w:outlineLvl w:val="4"/>
        <w:rPr>
          <w:szCs w:val="24"/>
        </w:rPr>
      </w:pPr>
      <w:bookmarkStart w:id="62" w:name="_Toc204756724"/>
      <w:proofErr w:type="gramStart"/>
      <w:r w:rsidRPr="00A44045">
        <w:rPr>
          <w:szCs w:val="24"/>
        </w:rPr>
        <w:t>16</w:t>
      </w:r>
      <w:r w:rsidR="00550480" w:rsidRPr="00A44045">
        <w:rPr>
          <w:szCs w:val="24"/>
        </w:rPr>
        <w:t xml:space="preserve"> </w:t>
      </w:r>
      <w:r w:rsidR="00A113BE" w:rsidRPr="00A44045">
        <w:rPr>
          <w:szCs w:val="24"/>
        </w:rPr>
        <w:t xml:space="preserve"> </w:t>
      </w:r>
      <w:r w:rsidR="00550480" w:rsidRPr="00A44045">
        <w:rPr>
          <w:szCs w:val="24"/>
        </w:rPr>
        <w:t>Matters</w:t>
      </w:r>
      <w:proofErr w:type="gramEnd"/>
      <w:r w:rsidR="00550480" w:rsidRPr="00A44045">
        <w:rPr>
          <w:szCs w:val="24"/>
        </w:rPr>
        <w:t xml:space="preserve"> to be </w:t>
      </w:r>
      <w:proofErr w:type="gramStart"/>
      <w:r w:rsidR="00550480" w:rsidRPr="00A44045">
        <w:rPr>
          <w:szCs w:val="24"/>
        </w:rPr>
        <w:t>taken into account</w:t>
      </w:r>
      <w:proofErr w:type="gramEnd"/>
      <w:r w:rsidR="00550480" w:rsidRPr="00A44045">
        <w:rPr>
          <w:szCs w:val="24"/>
        </w:rPr>
        <w:t xml:space="preserve"> in working out amounts to be paid to insurers</w:t>
      </w:r>
      <w:bookmarkEnd w:id="62"/>
    </w:p>
    <w:p w14:paraId="0EBA1EE0" w14:textId="77777777" w:rsidR="00153978" w:rsidRPr="00A44045" w:rsidRDefault="00153978" w:rsidP="001E174E">
      <w:pPr>
        <w:pStyle w:val="ListParagraph"/>
        <w:numPr>
          <w:ilvl w:val="0"/>
          <w:numId w:val="30"/>
        </w:numPr>
        <w:tabs>
          <w:tab w:val="num" w:pos="850"/>
        </w:tabs>
        <w:autoSpaceDE w:val="0"/>
        <w:autoSpaceDN w:val="0"/>
        <w:spacing w:before="180" w:line="260" w:lineRule="exact"/>
        <w:ind w:left="1077" w:hanging="357"/>
        <w:rPr>
          <w:rFonts w:eastAsia="Times New Roman" w:cs="Times New Roman"/>
          <w:szCs w:val="22"/>
        </w:rPr>
      </w:pPr>
      <w:r w:rsidRPr="00A44045">
        <w:rPr>
          <w:rFonts w:eastAsia="Times New Roman" w:cs="Times New Roman"/>
          <w:szCs w:val="22"/>
        </w:rPr>
        <w:t>The same matters are to be taken into account in working out the amount to be debited from the Special Account for payment to an insurer, for a particular quarter and in respect of a particular State, as are to be taken into account under Part 2 for working out amounts to be paid by an insurer as levy, for crediting to the Special Account.</w:t>
      </w:r>
    </w:p>
    <w:p w14:paraId="49D375B6" w14:textId="33102B3C" w:rsidR="001E2872" w:rsidRPr="00A44045" w:rsidRDefault="00153978" w:rsidP="001E174E">
      <w:pPr>
        <w:pStyle w:val="ItemHead"/>
        <w:numPr>
          <w:ilvl w:val="0"/>
          <w:numId w:val="30"/>
        </w:numPr>
        <w:ind w:left="1077" w:hanging="357"/>
      </w:pPr>
      <w:r w:rsidRPr="00A44045">
        <w:rPr>
          <w:rFonts w:ascii="Times New Roman" w:eastAsiaTheme="minorHAnsi" w:hAnsi="Times New Roman" w:cstheme="minorBidi"/>
          <w:b w:val="0"/>
          <w:kern w:val="0"/>
          <w:sz w:val="22"/>
          <w:szCs w:val="22"/>
          <w:lang w:eastAsia="en-US"/>
        </w:rPr>
        <w:t xml:space="preserve">Rule </w:t>
      </w:r>
      <w:r w:rsidR="00F716BD" w:rsidRPr="00A44045">
        <w:rPr>
          <w:rFonts w:ascii="Times New Roman" w:eastAsiaTheme="minorHAnsi" w:hAnsi="Times New Roman" w:cstheme="minorBidi"/>
          <w:b w:val="0"/>
          <w:kern w:val="0"/>
          <w:sz w:val="22"/>
          <w:szCs w:val="22"/>
          <w:lang w:eastAsia="en-US"/>
        </w:rPr>
        <w:t xml:space="preserve">12 </w:t>
      </w:r>
      <w:r w:rsidRPr="00A44045">
        <w:rPr>
          <w:rFonts w:ascii="Times New Roman" w:eastAsiaTheme="minorHAnsi" w:hAnsi="Times New Roman" w:cstheme="minorBidi"/>
          <w:b w:val="0"/>
          <w:kern w:val="0"/>
          <w:sz w:val="22"/>
          <w:szCs w:val="22"/>
          <w:lang w:eastAsia="en-US"/>
        </w:rPr>
        <w:t xml:space="preserve">has the same application to this rule as it </w:t>
      </w:r>
      <w:proofErr w:type="gramStart"/>
      <w:r w:rsidRPr="00A44045">
        <w:rPr>
          <w:rFonts w:ascii="Times New Roman" w:eastAsiaTheme="minorHAnsi" w:hAnsi="Times New Roman" w:cstheme="minorBidi"/>
          <w:b w:val="0"/>
          <w:kern w:val="0"/>
          <w:sz w:val="22"/>
          <w:szCs w:val="22"/>
          <w:lang w:eastAsia="en-US"/>
        </w:rPr>
        <w:t>has to</w:t>
      </w:r>
      <w:proofErr w:type="gramEnd"/>
      <w:r w:rsidRPr="00A44045">
        <w:rPr>
          <w:rFonts w:ascii="Times New Roman" w:eastAsiaTheme="minorHAnsi" w:hAnsi="Times New Roman" w:cstheme="minorBidi"/>
          <w:b w:val="0"/>
          <w:kern w:val="0"/>
          <w:sz w:val="22"/>
          <w:szCs w:val="22"/>
          <w:lang w:eastAsia="en-US"/>
        </w:rPr>
        <w:t xml:space="preserve"> rule </w:t>
      </w:r>
      <w:r w:rsidR="00F716BD" w:rsidRPr="00A44045">
        <w:rPr>
          <w:rFonts w:ascii="Times New Roman" w:eastAsiaTheme="minorHAnsi" w:hAnsi="Times New Roman" w:cstheme="minorBidi"/>
          <w:b w:val="0"/>
          <w:kern w:val="0"/>
          <w:sz w:val="22"/>
          <w:szCs w:val="22"/>
          <w:lang w:eastAsia="en-US"/>
        </w:rPr>
        <w:t>9</w:t>
      </w:r>
      <w:r w:rsidRPr="00A44045">
        <w:rPr>
          <w:rFonts w:ascii="Times New Roman" w:eastAsiaTheme="minorHAnsi" w:hAnsi="Times New Roman" w:cstheme="minorBidi"/>
          <w:b w:val="0"/>
          <w:kern w:val="0"/>
          <w:sz w:val="22"/>
          <w:szCs w:val="22"/>
          <w:lang w:eastAsia="en-US"/>
        </w:rPr>
        <w:t>.</w:t>
      </w:r>
    </w:p>
    <w:p w14:paraId="0C395CCE" w14:textId="554BDEA8" w:rsidR="00F6337A" w:rsidRPr="00A44045" w:rsidRDefault="00F6337A" w:rsidP="00612B5D">
      <w:pPr>
        <w:pStyle w:val="ActHead7"/>
        <w:keepNext w:val="0"/>
        <w:keepLines w:val="0"/>
        <w:outlineLvl w:val="4"/>
      </w:pPr>
      <w:bookmarkStart w:id="63" w:name="_Toc204756725"/>
      <w:proofErr w:type="gramStart"/>
      <w:r w:rsidRPr="00A44045">
        <w:t xml:space="preserve">17 </w:t>
      </w:r>
      <w:r w:rsidR="00A113BE" w:rsidRPr="00A44045">
        <w:t xml:space="preserve"> </w:t>
      </w:r>
      <w:r w:rsidR="007920FD" w:rsidRPr="00A44045">
        <w:t>Method</w:t>
      </w:r>
      <w:proofErr w:type="gramEnd"/>
      <w:r w:rsidR="007920FD" w:rsidRPr="00A44045">
        <w:t xml:space="preserve"> for working out amounts to be paid to insurers</w:t>
      </w:r>
      <w:bookmarkEnd w:id="63"/>
    </w:p>
    <w:p w14:paraId="186E5C19" w14:textId="67057272" w:rsidR="00CA5EA1" w:rsidRPr="00A44045" w:rsidRDefault="00CA5EA1" w:rsidP="00CA5EA1">
      <w:pPr>
        <w:pStyle w:val="HealthLevel1"/>
        <w:rPr>
          <w:color w:val="auto"/>
          <w:sz w:val="22"/>
          <w:szCs w:val="22"/>
        </w:rPr>
      </w:pPr>
      <w:r w:rsidRPr="00A44045">
        <w:rPr>
          <w:color w:val="auto"/>
          <w:sz w:val="22"/>
          <w:szCs w:val="22"/>
        </w:rPr>
        <w:t xml:space="preserve">The same method is to be applied in working out the amount (if any) to be debited from the Special Account for payment to an insurer in respect of a particular health benefits fund and particular State as is to be applied under rule </w:t>
      </w:r>
      <w:r w:rsidR="00B02075" w:rsidRPr="00A44045">
        <w:rPr>
          <w:color w:val="auto"/>
          <w:sz w:val="22"/>
          <w:szCs w:val="22"/>
        </w:rPr>
        <w:t xml:space="preserve">13 </w:t>
      </w:r>
      <w:r w:rsidRPr="00A44045">
        <w:rPr>
          <w:color w:val="auto"/>
          <w:sz w:val="22"/>
          <w:szCs w:val="22"/>
        </w:rPr>
        <w:t>in working out the amount of levy (if any) to be determined for an insurer.</w:t>
      </w:r>
    </w:p>
    <w:p w14:paraId="69F6D45F" w14:textId="5242F9C8" w:rsidR="007920FD" w:rsidRPr="00A44045" w:rsidRDefault="00BF2B4D" w:rsidP="00612B5D">
      <w:pPr>
        <w:pStyle w:val="ActHead7"/>
        <w:keepNext w:val="0"/>
        <w:keepLines w:val="0"/>
        <w:outlineLvl w:val="4"/>
      </w:pPr>
      <w:bookmarkStart w:id="64" w:name="_Toc204756726"/>
      <w:proofErr w:type="gramStart"/>
      <w:r w:rsidRPr="00A44045">
        <w:t xml:space="preserve">18 </w:t>
      </w:r>
      <w:r w:rsidR="00A113BE" w:rsidRPr="00A44045">
        <w:t xml:space="preserve"> </w:t>
      </w:r>
      <w:r w:rsidRPr="00A44045">
        <w:t>Circumstances</w:t>
      </w:r>
      <w:proofErr w:type="gramEnd"/>
      <w:r w:rsidRPr="00A44045">
        <w:t xml:space="preserve"> in which an insurer to be paid an amount and amount of payment</w:t>
      </w:r>
      <w:bookmarkEnd w:id="64"/>
    </w:p>
    <w:p w14:paraId="0D54DEF9" w14:textId="2C457985" w:rsidR="00473D14" w:rsidRPr="00A44045" w:rsidRDefault="00473D14" w:rsidP="001E174E">
      <w:pPr>
        <w:pStyle w:val="ListParagraph"/>
        <w:numPr>
          <w:ilvl w:val="0"/>
          <w:numId w:val="31"/>
        </w:numPr>
        <w:tabs>
          <w:tab w:val="num" w:pos="850"/>
        </w:tabs>
        <w:autoSpaceDE w:val="0"/>
        <w:autoSpaceDN w:val="0"/>
        <w:spacing w:before="180" w:line="260" w:lineRule="exact"/>
        <w:ind w:left="1077" w:hanging="357"/>
        <w:rPr>
          <w:rFonts w:eastAsia="Times New Roman" w:cs="Times New Roman"/>
          <w:szCs w:val="22"/>
        </w:rPr>
      </w:pPr>
      <w:r w:rsidRPr="00A44045">
        <w:rPr>
          <w:rFonts w:eastAsia="Times New Roman" w:cs="Times New Roman"/>
          <w:szCs w:val="22"/>
        </w:rPr>
        <w:t xml:space="preserve">Subject to subrule </w:t>
      </w:r>
      <w:r w:rsidR="00916AB1" w:rsidRPr="00A44045">
        <w:rPr>
          <w:rFonts w:eastAsia="Times New Roman" w:cs="Times New Roman"/>
          <w:szCs w:val="22"/>
        </w:rPr>
        <w:t>18 (2), in</w:t>
      </w:r>
      <w:r w:rsidRPr="00A44045">
        <w:rPr>
          <w:rFonts w:eastAsia="Times New Roman" w:cs="Times New Roman"/>
          <w:szCs w:val="22"/>
        </w:rPr>
        <w:t xml:space="preserve"> circumstances where the amount calculated under paragraph</w:t>
      </w:r>
      <w:r w:rsidR="00B7689B" w:rsidRPr="00A44045">
        <w:rPr>
          <w:rFonts w:eastAsia="Times New Roman" w:cs="Times New Roman"/>
          <w:szCs w:val="22"/>
        </w:rPr>
        <w:t>13</w:t>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_Ref156733546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(1)</w:t>
      </w:r>
      <w:r w:rsidRPr="00A44045">
        <w:rPr>
          <w:rFonts w:eastAsia="Times New Roman" w:cs="Times New Roman"/>
          <w:szCs w:val="22"/>
        </w:rPr>
        <w:fldChar w:fldCharType="end"/>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_Ref153767968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(a)</w:t>
      </w:r>
      <w:r w:rsidRPr="00A44045">
        <w:rPr>
          <w:rFonts w:eastAsia="Times New Roman" w:cs="Times New Roman"/>
          <w:szCs w:val="22"/>
        </w:rPr>
        <w:fldChar w:fldCharType="end"/>
      </w:r>
      <w:r w:rsidRPr="00A44045">
        <w:rPr>
          <w:rFonts w:eastAsia="Times New Roman" w:cs="Times New Roman"/>
          <w:szCs w:val="22"/>
        </w:rPr>
        <w:t xml:space="preserve"> for an insurer is more than the amount calculated under paragraph </w:t>
      </w:r>
      <w:r w:rsidR="00B7689B" w:rsidRPr="00A44045">
        <w:rPr>
          <w:rFonts w:eastAsia="Times New Roman" w:cs="Times New Roman"/>
          <w:szCs w:val="22"/>
        </w:rPr>
        <w:t>13 </w:t>
      </w:r>
      <w:r w:rsidRPr="00A44045">
        <w:rPr>
          <w:rFonts w:eastAsia="Times New Roman" w:cs="Times New Roman"/>
          <w:szCs w:val="22"/>
        </w:rPr>
        <w:fldChar w:fldCharType="begin"/>
      </w:r>
      <w:r w:rsidRPr="00A44045">
        <w:rPr>
          <w:rFonts w:eastAsia="Times New Roman" w:cs="Times New Roman"/>
          <w:szCs w:val="22"/>
        </w:rPr>
        <w:instrText xml:space="preserve"> REF _Ref156733546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(1)</w:t>
      </w:r>
      <w:r w:rsidRPr="00A44045">
        <w:rPr>
          <w:rFonts w:eastAsia="Times New Roman" w:cs="Times New Roman"/>
          <w:szCs w:val="22"/>
        </w:rPr>
        <w:fldChar w:fldCharType="end"/>
      </w:r>
      <w:r w:rsidRPr="00A44045">
        <w:rPr>
          <w:rFonts w:eastAsia="Times New Roman" w:cs="Times New Roman"/>
          <w:szCs w:val="22"/>
        </w:rPr>
        <w:t> </w:t>
      </w:r>
      <w:r w:rsidRPr="00A44045">
        <w:rPr>
          <w:rFonts w:eastAsia="Times New Roman" w:cs="Times New Roman"/>
          <w:szCs w:val="22"/>
        </w:rPr>
        <w:fldChar w:fldCharType="begin"/>
      </w:r>
      <w:r w:rsidRPr="00A44045">
        <w:rPr>
          <w:rFonts w:eastAsia="Times New Roman" w:cs="Times New Roman"/>
          <w:szCs w:val="22"/>
        </w:rPr>
        <w:instrText xml:space="preserve"> REF _Ref159299375 \n \h  \* MERGEFORMAT </w:instrText>
      </w:r>
      <w:r w:rsidRPr="00A44045">
        <w:rPr>
          <w:rFonts w:eastAsia="Times New Roman" w:cs="Times New Roman"/>
          <w:szCs w:val="22"/>
        </w:rPr>
      </w:r>
      <w:r w:rsidRPr="00A44045">
        <w:rPr>
          <w:rFonts w:eastAsia="Times New Roman" w:cs="Times New Roman"/>
          <w:szCs w:val="22"/>
        </w:rPr>
        <w:fldChar w:fldCharType="separate"/>
      </w:r>
      <w:r w:rsidR="00C14CD4" w:rsidRPr="00A44045">
        <w:rPr>
          <w:rFonts w:eastAsia="Times New Roman" w:cs="Times New Roman"/>
          <w:szCs w:val="22"/>
        </w:rPr>
        <w:t>(e)</w:t>
      </w:r>
      <w:r w:rsidRPr="00A44045">
        <w:rPr>
          <w:rFonts w:eastAsia="Times New Roman" w:cs="Times New Roman"/>
          <w:szCs w:val="22"/>
        </w:rPr>
        <w:fldChar w:fldCharType="end"/>
      </w:r>
      <w:r w:rsidRPr="00A44045">
        <w:rPr>
          <w:rFonts w:eastAsia="Times New Roman" w:cs="Times New Roman"/>
          <w:szCs w:val="22"/>
        </w:rPr>
        <w:t>, having taken account of any adjustment amount, APRA must determine that an amount equal to the difference is the appropriate amount to be debited from the Special Account for payment to the insurer for the quarter concerned.</w:t>
      </w:r>
    </w:p>
    <w:p w14:paraId="7BF1F73E" w14:textId="0BFABC4B" w:rsidR="00473D14" w:rsidRPr="00A44045" w:rsidRDefault="00473D14" w:rsidP="001E174E">
      <w:pPr>
        <w:pStyle w:val="ItemHead"/>
        <w:numPr>
          <w:ilvl w:val="0"/>
          <w:numId w:val="31"/>
        </w:numPr>
        <w:ind w:left="1077" w:hanging="357"/>
      </w:pPr>
      <w:r w:rsidRPr="00A44045">
        <w:rPr>
          <w:rFonts w:ascii="Times New Roman" w:eastAsiaTheme="minorHAnsi" w:hAnsi="Times New Roman" w:cstheme="minorBidi"/>
          <w:b w:val="0"/>
          <w:kern w:val="0"/>
          <w:sz w:val="22"/>
          <w:szCs w:val="22"/>
          <w:lang w:eastAsia="en-US"/>
        </w:rPr>
        <w:t>If an insurer conducts more than one health benefits fund in one or more State, the amount to be debited from the Special Account for payment to that insurer is to be determined by offsetting any amount of levy worked out in respect of each of those funds as determined in accordance with Part 2.</w:t>
      </w:r>
    </w:p>
    <w:p w14:paraId="40AC23D4" w14:textId="70D1DC1F" w:rsidR="00BF2B4D" w:rsidRPr="00A44045" w:rsidRDefault="00C60F29" w:rsidP="00612B5D">
      <w:pPr>
        <w:pStyle w:val="ActHead7"/>
        <w:keepNext w:val="0"/>
        <w:keepLines w:val="0"/>
        <w:outlineLvl w:val="4"/>
      </w:pPr>
      <w:bookmarkStart w:id="65" w:name="_Toc204756727"/>
      <w:proofErr w:type="gramStart"/>
      <w:r w:rsidRPr="00A44045">
        <w:t xml:space="preserve">19 </w:t>
      </w:r>
      <w:r w:rsidR="00A113BE" w:rsidRPr="00A44045">
        <w:t xml:space="preserve"> </w:t>
      </w:r>
      <w:r w:rsidRPr="00A44045">
        <w:t>Manner</w:t>
      </w:r>
      <w:proofErr w:type="gramEnd"/>
      <w:r w:rsidRPr="00A44045">
        <w:t xml:space="preserve"> and time of payment</w:t>
      </w:r>
      <w:bookmarkEnd w:id="65"/>
      <w:r w:rsidRPr="00A44045">
        <w:t xml:space="preserve"> </w:t>
      </w:r>
    </w:p>
    <w:p w14:paraId="2E50C217" w14:textId="2641E814" w:rsidR="008A39FF" w:rsidRPr="00A44045" w:rsidRDefault="008A39FF" w:rsidP="001E174E">
      <w:pPr>
        <w:pStyle w:val="HealthnumLevel5"/>
        <w:numPr>
          <w:ilvl w:val="0"/>
          <w:numId w:val="32"/>
        </w:numPr>
        <w:ind w:left="1077" w:hanging="357"/>
        <w:rPr>
          <w:sz w:val="22"/>
          <w:szCs w:val="22"/>
        </w:rPr>
      </w:pPr>
      <w:r w:rsidRPr="00A44045">
        <w:rPr>
          <w:sz w:val="22"/>
          <w:szCs w:val="22"/>
        </w:rPr>
        <w:t>Subject to subrule </w:t>
      </w:r>
      <w:r w:rsidRPr="00A44045">
        <w:rPr>
          <w:sz w:val="22"/>
          <w:szCs w:val="22"/>
        </w:rPr>
        <w:fldChar w:fldCharType="begin"/>
      </w:r>
      <w:r w:rsidRPr="00A44045">
        <w:rPr>
          <w:sz w:val="22"/>
          <w:szCs w:val="22"/>
        </w:rPr>
        <w:instrText xml:space="preserve"> REF _Ref156586903 \n \h  \* MERGEFORMAT </w:instrText>
      </w:r>
      <w:r w:rsidRPr="00A44045">
        <w:rPr>
          <w:sz w:val="22"/>
          <w:szCs w:val="22"/>
        </w:rPr>
      </w:r>
      <w:r w:rsidRPr="00A44045">
        <w:rPr>
          <w:sz w:val="22"/>
          <w:szCs w:val="22"/>
        </w:rPr>
        <w:fldChar w:fldCharType="separate"/>
      </w:r>
      <w:r w:rsidR="00C14CD4" w:rsidRPr="00A44045">
        <w:rPr>
          <w:sz w:val="22"/>
          <w:szCs w:val="22"/>
        </w:rPr>
        <w:t>(2)</w:t>
      </w:r>
      <w:r w:rsidRPr="00A44045">
        <w:rPr>
          <w:sz w:val="22"/>
          <w:szCs w:val="22"/>
        </w:rPr>
        <w:fldChar w:fldCharType="end"/>
      </w:r>
      <w:r w:rsidRPr="00A44045">
        <w:rPr>
          <w:sz w:val="22"/>
          <w:szCs w:val="22"/>
        </w:rPr>
        <w:t xml:space="preserve">, APRA must debit from the Special Account an amount worked out in accordance </w:t>
      </w:r>
      <w:r w:rsidR="00916AB1" w:rsidRPr="00A44045">
        <w:rPr>
          <w:sz w:val="22"/>
          <w:szCs w:val="22"/>
        </w:rPr>
        <w:t>with rule 18</w:t>
      </w:r>
      <w:r w:rsidRPr="00A44045">
        <w:rPr>
          <w:sz w:val="22"/>
          <w:szCs w:val="22"/>
        </w:rPr>
        <w:t xml:space="preserve"> and pay that amount to an insurer and must do so without unnecessary delay.</w:t>
      </w:r>
    </w:p>
    <w:p w14:paraId="6B32BE66" w14:textId="77777777" w:rsidR="008A39FF" w:rsidRPr="00A44045" w:rsidRDefault="008A39FF" w:rsidP="001E174E">
      <w:pPr>
        <w:pStyle w:val="HealthnumLevel5"/>
        <w:numPr>
          <w:ilvl w:val="0"/>
          <w:numId w:val="32"/>
        </w:numPr>
        <w:ind w:left="1077" w:hanging="357"/>
        <w:rPr>
          <w:sz w:val="22"/>
          <w:szCs w:val="22"/>
        </w:rPr>
      </w:pPr>
      <w:bookmarkStart w:id="66" w:name="_Ref156586903"/>
      <w:r w:rsidRPr="00A44045">
        <w:rPr>
          <w:sz w:val="22"/>
          <w:szCs w:val="22"/>
        </w:rPr>
        <w:t>If an insurer has not paid the amount of levy (</w:t>
      </w:r>
      <w:r w:rsidRPr="00A44045">
        <w:rPr>
          <w:b/>
          <w:i/>
          <w:sz w:val="22"/>
          <w:szCs w:val="22"/>
        </w:rPr>
        <w:t>outstanding levy</w:t>
      </w:r>
      <w:r w:rsidRPr="00A44045">
        <w:rPr>
          <w:sz w:val="22"/>
          <w:szCs w:val="22"/>
        </w:rPr>
        <w:t xml:space="preserve">) imposed under the Levy Act within 14 days after the risk equalisation levy day, APRA must </w:t>
      </w:r>
      <w:r w:rsidRPr="00A44045">
        <w:rPr>
          <w:sz w:val="22"/>
          <w:szCs w:val="22"/>
        </w:rPr>
        <w:lastRenderedPageBreak/>
        <w:t>make an instalment payment to all insurers to which payment is due, by paying an amount proportional to the levies received for the quarter and the total amount due to each insurer.</w:t>
      </w:r>
      <w:bookmarkEnd w:id="66"/>
    </w:p>
    <w:p w14:paraId="14BF4B4A" w14:textId="77777777" w:rsidR="008A39FF" w:rsidRPr="00A44045" w:rsidRDefault="008A39FF" w:rsidP="001E174E">
      <w:pPr>
        <w:pStyle w:val="HealthnumLevel5"/>
        <w:numPr>
          <w:ilvl w:val="0"/>
          <w:numId w:val="32"/>
        </w:numPr>
        <w:ind w:left="1077" w:hanging="357"/>
        <w:rPr>
          <w:sz w:val="22"/>
          <w:szCs w:val="22"/>
        </w:rPr>
      </w:pPr>
      <w:r w:rsidRPr="00A44045">
        <w:rPr>
          <w:sz w:val="22"/>
          <w:szCs w:val="22"/>
        </w:rPr>
        <w:t>When any part of the outstanding levy is paid, APRA must make further instalment payments, in the next quarter after the amount is received, proportionately to the amount due to the relevant insurers.</w:t>
      </w:r>
    </w:p>
    <w:p w14:paraId="51C7937F" w14:textId="77777777" w:rsidR="008A39FF" w:rsidRPr="00A44045" w:rsidRDefault="008A39FF" w:rsidP="001E174E">
      <w:pPr>
        <w:pStyle w:val="HealthnumLevel5"/>
        <w:numPr>
          <w:ilvl w:val="0"/>
          <w:numId w:val="32"/>
        </w:numPr>
        <w:ind w:left="1077" w:hanging="357"/>
        <w:rPr>
          <w:sz w:val="22"/>
          <w:szCs w:val="22"/>
        </w:rPr>
      </w:pPr>
      <w:bookmarkStart w:id="67" w:name="_Ref156877903"/>
      <w:r w:rsidRPr="00A44045">
        <w:rPr>
          <w:sz w:val="22"/>
          <w:szCs w:val="22"/>
        </w:rPr>
        <w:t>Where non-levy is credited to the Special Account APRA may debit from the Account amounts up to that amount of non-levy for payment to insurers, but such payments must be made simultaneously to all insurers and must be determined proportionally for each insurer in accordance with the number of single equivalent units of that insurer in the quarter immediately before the payment is made.</w:t>
      </w:r>
      <w:bookmarkEnd w:id="67"/>
    </w:p>
    <w:p w14:paraId="0E2AD385" w14:textId="10473474" w:rsidR="008A39FF" w:rsidRPr="00A44045" w:rsidRDefault="008A39FF" w:rsidP="001E174E">
      <w:pPr>
        <w:pStyle w:val="HealthnumLevel5"/>
        <w:numPr>
          <w:ilvl w:val="0"/>
          <w:numId w:val="32"/>
        </w:numPr>
        <w:ind w:left="1077" w:hanging="357"/>
        <w:rPr>
          <w:sz w:val="22"/>
          <w:szCs w:val="22"/>
        </w:rPr>
      </w:pPr>
      <w:r w:rsidRPr="00A44045">
        <w:rPr>
          <w:bCs/>
          <w:sz w:val="22"/>
          <w:szCs w:val="22"/>
        </w:rPr>
        <w:t xml:space="preserve">In subrule </w:t>
      </w:r>
      <w:r w:rsidRPr="00A44045">
        <w:rPr>
          <w:bCs/>
          <w:sz w:val="22"/>
          <w:szCs w:val="22"/>
        </w:rPr>
        <w:fldChar w:fldCharType="begin"/>
      </w:r>
      <w:r w:rsidRPr="00A44045">
        <w:rPr>
          <w:bCs/>
          <w:sz w:val="22"/>
          <w:szCs w:val="22"/>
        </w:rPr>
        <w:instrText xml:space="preserve"> REF _Ref156877903 \n \h  \* MERGEFORMAT </w:instrText>
      </w:r>
      <w:r w:rsidRPr="00A44045">
        <w:rPr>
          <w:bCs/>
          <w:sz w:val="22"/>
          <w:szCs w:val="22"/>
        </w:rPr>
      </w:r>
      <w:r w:rsidRPr="00A44045">
        <w:rPr>
          <w:bCs/>
          <w:sz w:val="22"/>
          <w:szCs w:val="22"/>
        </w:rPr>
        <w:fldChar w:fldCharType="separate"/>
      </w:r>
      <w:r w:rsidR="00C14CD4" w:rsidRPr="00A44045">
        <w:rPr>
          <w:bCs/>
          <w:sz w:val="22"/>
          <w:szCs w:val="22"/>
        </w:rPr>
        <w:t>(4)</w:t>
      </w:r>
      <w:r w:rsidRPr="00A44045">
        <w:rPr>
          <w:bCs/>
          <w:sz w:val="22"/>
          <w:szCs w:val="22"/>
        </w:rPr>
        <w:fldChar w:fldCharType="end"/>
      </w:r>
      <w:r w:rsidRPr="00A44045">
        <w:rPr>
          <w:bCs/>
          <w:sz w:val="22"/>
          <w:szCs w:val="22"/>
        </w:rPr>
        <w:t xml:space="preserve">, </w:t>
      </w:r>
      <w:r w:rsidRPr="00A44045">
        <w:rPr>
          <w:bCs/>
          <w:i/>
          <w:sz w:val="22"/>
          <w:szCs w:val="22"/>
        </w:rPr>
        <w:t>non-levy</w:t>
      </w:r>
      <w:r w:rsidRPr="00A44045">
        <w:rPr>
          <w:bCs/>
          <w:sz w:val="22"/>
          <w:szCs w:val="22"/>
        </w:rPr>
        <w:t xml:space="preserve"> means an amount referred to in section 318-5 of the Act, other than </w:t>
      </w:r>
      <w:r w:rsidR="0082466A" w:rsidRPr="00A44045">
        <w:rPr>
          <w:bCs/>
          <w:sz w:val="22"/>
          <w:szCs w:val="22"/>
        </w:rPr>
        <w:t xml:space="preserve">the </w:t>
      </w:r>
      <w:r w:rsidRPr="00A44045">
        <w:rPr>
          <w:bCs/>
          <w:sz w:val="22"/>
          <w:szCs w:val="22"/>
        </w:rPr>
        <w:t>levy.</w:t>
      </w:r>
    </w:p>
    <w:p w14:paraId="591EBDE8" w14:textId="77777777" w:rsidR="008A39FF" w:rsidRPr="00A44045" w:rsidRDefault="008A39FF">
      <w:pPr>
        <w:spacing w:line="240" w:lineRule="auto"/>
        <w:rPr>
          <w:rFonts w:eastAsia="Times New Roman" w:cs="Times New Roman"/>
          <w:b/>
          <w:kern w:val="28"/>
          <w:sz w:val="24"/>
          <w:lang w:eastAsia="en-AU"/>
        </w:rPr>
      </w:pPr>
      <w:r w:rsidRPr="00A44045">
        <w:br w:type="page"/>
      </w:r>
    </w:p>
    <w:p w14:paraId="13773B25" w14:textId="24638743" w:rsidR="00C60F29" w:rsidRPr="00A44045" w:rsidRDefault="00C60F29" w:rsidP="00AA7FE3">
      <w:pPr>
        <w:pStyle w:val="ActHead6"/>
        <w:outlineLvl w:val="3"/>
        <w:rPr>
          <w:rFonts w:ascii="Times New Roman" w:hAnsi="Times New Roman"/>
          <w:sz w:val="28"/>
          <w:szCs w:val="28"/>
        </w:rPr>
      </w:pPr>
      <w:bookmarkStart w:id="68" w:name="_Toc204756728"/>
      <w:r w:rsidRPr="00A44045">
        <w:rPr>
          <w:rFonts w:ascii="Times New Roman" w:hAnsi="Times New Roman"/>
          <w:sz w:val="28"/>
          <w:szCs w:val="28"/>
        </w:rPr>
        <w:lastRenderedPageBreak/>
        <w:t xml:space="preserve">Part 4 </w:t>
      </w:r>
      <w:r w:rsidR="00873E09" w:rsidRPr="00A44045">
        <w:rPr>
          <w:rFonts w:ascii="Times New Roman" w:hAnsi="Times New Roman"/>
          <w:sz w:val="28"/>
          <w:szCs w:val="28"/>
        </w:rPr>
        <w:tab/>
      </w:r>
      <w:r w:rsidRPr="00A44045">
        <w:rPr>
          <w:rFonts w:ascii="Times New Roman" w:hAnsi="Times New Roman"/>
          <w:sz w:val="28"/>
          <w:szCs w:val="28"/>
        </w:rPr>
        <w:t>Calculating adjustment amounts</w:t>
      </w:r>
      <w:bookmarkEnd w:id="68"/>
    </w:p>
    <w:p w14:paraId="0EEA32F9" w14:textId="3D3042FA" w:rsidR="00C60F29" w:rsidRPr="00A44045" w:rsidRDefault="00C60F29" w:rsidP="00612B5D">
      <w:pPr>
        <w:pStyle w:val="ActHead7"/>
        <w:keepNext w:val="0"/>
        <w:keepLines w:val="0"/>
        <w:outlineLvl w:val="4"/>
      </w:pPr>
      <w:bookmarkStart w:id="69" w:name="_Toc204756729"/>
      <w:proofErr w:type="gramStart"/>
      <w:r w:rsidRPr="00A44045">
        <w:t xml:space="preserve">20 </w:t>
      </w:r>
      <w:r w:rsidR="0091691F" w:rsidRPr="00A44045">
        <w:t xml:space="preserve"> </w:t>
      </w:r>
      <w:r w:rsidR="00566D6D" w:rsidRPr="00A44045">
        <w:t>References</w:t>
      </w:r>
      <w:proofErr w:type="gramEnd"/>
      <w:r w:rsidR="00566D6D" w:rsidRPr="00A44045">
        <w:t xml:space="preserve"> to 'the Special Account'</w:t>
      </w:r>
      <w:bookmarkEnd w:id="69"/>
    </w:p>
    <w:p w14:paraId="2F4DFDD5" w14:textId="0CFD5DD8" w:rsidR="008A39FF" w:rsidRPr="00A44045" w:rsidRDefault="002A3AF6" w:rsidP="002A3AF6">
      <w:pPr>
        <w:pStyle w:val="HealthLevel1"/>
      </w:pPr>
      <w:r w:rsidRPr="00A44045">
        <w:rPr>
          <w:rStyle w:val="CharChar"/>
          <w:rFonts w:ascii="Times New Roman" w:hAnsi="Times New Roman" w:cs="Times New Roman"/>
          <w:b w:val="0"/>
          <w:bCs w:val="0"/>
          <w:color w:val="auto"/>
          <w:sz w:val="22"/>
          <w:szCs w:val="22"/>
        </w:rPr>
        <w:t xml:space="preserve">In this Part, references to 'the Special Account' mean the Risk Equalisation Special </w:t>
      </w:r>
      <w:proofErr w:type="gramStart"/>
      <w:r w:rsidRPr="00A44045">
        <w:rPr>
          <w:rStyle w:val="CharChar"/>
          <w:rFonts w:ascii="Times New Roman" w:hAnsi="Times New Roman" w:cs="Times New Roman"/>
          <w:b w:val="0"/>
          <w:bCs w:val="0"/>
          <w:color w:val="auto"/>
          <w:sz w:val="22"/>
          <w:szCs w:val="22"/>
        </w:rPr>
        <w:t>Account</w:t>
      </w:r>
      <w:proofErr w:type="gramEnd"/>
      <w:r w:rsidRPr="00A44045">
        <w:rPr>
          <w:rStyle w:val="CharChar"/>
          <w:rFonts w:ascii="Times New Roman" w:hAnsi="Times New Roman" w:cs="Times New Roman"/>
          <w:b w:val="0"/>
          <w:bCs w:val="0"/>
          <w:color w:val="auto"/>
          <w:sz w:val="22"/>
          <w:szCs w:val="22"/>
        </w:rPr>
        <w:t xml:space="preserve"> or the Risk Equalisation Trust Fund established by section 318-1 of the Act as in force immediately before the commencement of </w:t>
      </w:r>
      <w:r w:rsidRPr="00A44045">
        <w:rPr>
          <w:rStyle w:val="HealthLevel1Char"/>
          <w:sz w:val="22"/>
          <w:szCs w:val="22"/>
        </w:rPr>
        <w:t xml:space="preserve">Schedule 1, Part 1, Division 1 of the </w:t>
      </w:r>
      <w:r w:rsidRPr="00A44045">
        <w:rPr>
          <w:rStyle w:val="HealthLevel1Char"/>
          <w:i/>
          <w:sz w:val="22"/>
          <w:szCs w:val="22"/>
        </w:rPr>
        <w:t>Private Health Insurance (Prudential Supervision) (Consequential Amendments and Transitional Provisions) Act 2015</w:t>
      </w:r>
      <w:r w:rsidRPr="00A44045">
        <w:rPr>
          <w:rStyle w:val="CharChar"/>
          <w:rFonts w:ascii="Times New Roman" w:hAnsi="Times New Roman" w:cs="Times New Roman"/>
          <w:b w:val="0"/>
          <w:bCs w:val="0"/>
          <w:color w:val="auto"/>
          <w:sz w:val="22"/>
          <w:szCs w:val="22"/>
        </w:rPr>
        <w:t>, as the case requires.</w:t>
      </w:r>
    </w:p>
    <w:p w14:paraId="226940A3" w14:textId="360CBA3B" w:rsidR="00566D6D" w:rsidRPr="00A44045" w:rsidRDefault="00395D8F" w:rsidP="00612B5D">
      <w:pPr>
        <w:pStyle w:val="ActHead7"/>
        <w:keepNext w:val="0"/>
        <w:keepLines w:val="0"/>
        <w:outlineLvl w:val="4"/>
      </w:pPr>
      <w:bookmarkStart w:id="70" w:name="_Toc204756730"/>
      <w:proofErr w:type="gramStart"/>
      <w:r w:rsidRPr="00A44045">
        <w:t xml:space="preserve">21 </w:t>
      </w:r>
      <w:r w:rsidR="0091691F" w:rsidRPr="00A44045">
        <w:t xml:space="preserve"> </w:t>
      </w:r>
      <w:r w:rsidRPr="00A44045">
        <w:t>Calculation</w:t>
      </w:r>
      <w:proofErr w:type="gramEnd"/>
      <w:r w:rsidRPr="00A44045">
        <w:t xml:space="preserve"> where error in amount paid as levy or amount debited from the Special Account</w:t>
      </w:r>
      <w:bookmarkEnd w:id="70"/>
    </w:p>
    <w:p w14:paraId="5A7B0D9A" w14:textId="11DACFCE" w:rsidR="002D60A6" w:rsidRPr="00A44045" w:rsidRDefault="002D60A6" w:rsidP="001E174E">
      <w:pPr>
        <w:pStyle w:val="HealthnumLevel5"/>
        <w:numPr>
          <w:ilvl w:val="0"/>
          <w:numId w:val="36"/>
        </w:numPr>
        <w:ind w:left="1077" w:hanging="357"/>
        <w:rPr>
          <w:sz w:val="22"/>
          <w:szCs w:val="22"/>
        </w:rPr>
      </w:pPr>
      <w:r w:rsidRPr="00A44045">
        <w:rPr>
          <w:sz w:val="22"/>
          <w:szCs w:val="22"/>
        </w:rPr>
        <w:t xml:space="preserve">If a calculation (the </w:t>
      </w:r>
      <w:r w:rsidRPr="00A44045">
        <w:rPr>
          <w:b/>
          <w:i/>
          <w:sz w:val="22"/>
          <w:szCs w:val="22"/>
        </w:rPr>
        <w:t>primary calculation</w:t>
      </w:r>
      <w:r w:rsidRPr="00A44045">
        <w:rPr>
          <w:sz w:val="22"/>
          <w:szCs w:val="22"/>
        </w:rPr>
        <w:t xml:space="preserve">) was made of the amount to be paid by an insurer as levy for a quarter, for crediting to the Special Account, or an amount to be debited from the Special Account for payment to the insurer for the quarter under rule </w:t>
      </w:r>
      <w:r w:rsidR="00B93F9B" w:rsidRPr="00A44045">
        <w:rPr>
          <w:sz w:val="22"/>
          <w:szCs w:val="22"/>
        </w:rPr>
        <w:t xml:space="preserve">13 </w:t>
      </w:r>
      <w:r w:rsidRPr="00A44045">
        <w:rPr>
          <w:sz w:val="22"/>
          <w:szCs w:val="22"/>
        </w:rPr>
        <w:t xml:space="preserve">or </w:t>
      </w:r>
      <w:r w:rsidR="00B93F9B" w:rsidRPr="00A44045">
        <w:rPr>
          <w:sz w:val="22"/>
          <w:szCs w:val="22"/>
        </w:rPr>
        <w:t>18</w:t>
      </w:r>
      <w:r w:rsidR="00C673DB" w:rsidRPr="00A44045">
        <w:rPr>
          <w:sz w:val="22"/>
          <w:szCs w:val="22"/>
        </w:rPr>
        <w:t xml:space="preserve">, </w:t>
      </w:r>
      <w:r w:rsidR="00EB0952" w:rsidRPr="00A44045">
        <w:rPr>
          <w:sz w:val="22"/>
          <w:szCs w:val="22"/>
        </w:rPr>
        <w:t>or rule 11 or 16 of the old rules, as appropriate,</w:t>
      </w:r>
      <w:r w:rsidRPr="00A44045">
        <w:rPr>
          <w:sz w:val="22"/>
          <w:szCs w:val="22"/>
        </w:rPr>
        <w:t xml:space="preserve"> and APRA receives information (</w:t>
      </w:r>
      <w:r w:rsidRPr="00A44045">
        <w:rPr>
          <w:b/>
          <w:i/>
          <w:sz w:val="22"/>
          <w:szCs w:val="22"/>
        </w:rPr>
        <w:t>new information</w:t>
      </w:r>
      <w:r w:rsidRPr="00A44045">
        <w:rPr>
          <w:sz w:val="22"/>
          <w:szCs w:val="22"/>
        </w:rPr>
        <w:t>) on a matter mentioned in subrule</w:t>
      </w:r>
      <w:r w:rsidR="00110743" w:rsidRPr="00A44045">
        <w:rPr>
          <w:sz w:val="22"/>
          <w:szCs w:val="22"/>
        </w:rPr>
        <w:t xml:space="preserve"> </w:t>
      </w:r>
      <w:r w:rsidR="00434CE6" w:rsidRPr="00A44045">
        <w:rPr>
          <w:sz w:val="22"/>
          <w:szCs w:val="22"/>
        </w:rPr>
        <w:t>9</w:t>
      </w:r>
      <w:r w:rsidRPr="00A44045">
        <w:rPr>
          <w:sz w:val="22"/>
          <w:szCs w:val="22"/>
        </w:rPr>
        <w:t> </w:t>
      </w:r>
      <w:r w:rsidRPr="00A44045">
        <w:rPr>
          <w:sz w:val="22"/>
          <w:szCs w:val="22"/>
        </w:rPr>
        <w:fldChar w:fldCharType="begin"/>
      </w:r>
      <w:r w:rsidRPr="00A44045">
        <w:rPr>
          <w:sz w:val="22"/>
          <w:szCs w:val="22"/>
        </w:rPr>
        <w:instrText xml:space="preserve"> REF _Ref156733293 \n \h  \* MERGEFORMAT </w:instrText>
      </w:r>
      <w:r w:rsidRPr="00A44045">
        <w:rPr>
          <w:sz w:val="22"/>
          <w:szCs w:val="22"/>
        </w:rPr>
      </w:r>
      <w:r w:rsidRPr="00A44045">
        <w:rPr>
          <w:sz w:val="22"/>
          <w:szCs w:val="22"/>
        </w:rPr>
        <w:fldChar w:fldCharType="separate"/>
      </w:r>
      <w:r w:rsidR="00C14CD4" w:rsidRPr="00A44045">
        <w:rPr>
          <w:sz w:val="22"/>
          <w:szCs w:val="22"/>
        </w:rPr>
        <w:t>(2)</w:t>
      </w:r>
      <w:r w:rsidRPr="00A44045">
        <w:rPr>
          <w:sz w:val="22"/>
          <w:szCs w:val="22"/>
        </w:rPr>
        <w:fldChar w:fldCharType="end"/>
      </w:r>
      <w:r w:rsidRPr="00A44045">
        <w:rPr>
          <w:sz w:val="22"/>
          <w:szCs w:val="22"/>
        </w:rPr>
        <w:t>, or subrule 7 (2) of the old rules, as the case may be, that, if received earlier, would have affected the primary calculation under the relevant provision, APRA must make a new calculation of the amount that would have been the levy or would have been debited from the Special Account in respect of that quarter taking account of the new information.</w:t>
      </w:r>
    </w:p>
    <w:p w14:paraId="3DC5A8F6" w14:textId="5B7972F5" w:rsidR="002D60A6" w:rsidRPr="00A44045" w:rsidRDefault="002D60A6" w:rsidP="001E174E">
      <w:pPr>
        <w:pStyle w:val="HealthnumLevel5"/>
        <w:numPr>
          <w:ilvl w:val="0"/>
          <w:numId w:val="36"/>
        </w:numPr>
        <w:ind w:left="1077" w:hanging="357"/>
        <w:rPr>
          <w:sz w:val="22"/>
          <w:szCs w:val="22"/>
        </w:rPr>
      </w:pPr>
      <w:bookmarkStart w:id="71" w:name="_Ref154308512"/>
      <w:r w:rsidRPr="00A44045">
        <w:rPr>
          <w:sz w:val="22"/>
          <w:szCs w:val="22"/>
        </w:rPr>
        <w:t xml:space="preserve">Unless subrule </w:t>
      </w:r>
      <w:r w:rsidR="005C7EDD" w:rsidRPr="00A44045">
        <w:rPr>
          <w:sz w:val="22"/>
          <w:szCs w:val="22"/>
        </w:rPr>
        <w:t>(</w:t>
      </w:r>
      <w:r w:rsidRPr="00A44045">
        <w:rPr>
          <w:sz w:val="22"/>
          <w:szCs w:val="22"/>
        </w:rPr>
        <w:t>3</w:t>
      </w:r>
      <w:r w:rsidR="005C7EDD" w:rsidRPr="00A44045">
        <w:rPr>
          <w:sz w:val="22"/>
          <w:szCs w:val="22"/>
        </w:rPr>
        <w:t>)</w:t>
      </w:r>
      <w:r w:rsidRPr="00A44045">
        <w:rPr>
          <w:sz w:val="22"/>
          <w:szCs w:val="22"/>
        </w:rPr>
        <w:t xml:space="preserve"> applies, a new calculation may only be made if the new information is received by APRA:</w:t>
      </w:r>
      <w:bookmarkEnd w:id="71"/>
    </w:p>
    <w:p w14:paraId="62EFB1F1" w14:textId="77777777" w:rsidR="002D60A6" w:rsidRPr="00A44045" w:rsidRDefault="002D60A6" w:rsidP="001E174E">
      <w:pPr>
        <w:pStyle w:val="Healthnumlevel2"/>
        <w:numPr>
          <w:ilvl w:val="1"/>
          <w:numId w:val="36"/>
        </w:numPr>
        <w:ind w:left="1434" w:hanging="357"/>
        <w:rPr>
          <w:color w:val="auto"/>
          <w:sz w:val="22"/>
          <w:szCs w:val="22"/>
        </w:rPr>
      </w:pPr>
      <w:r w:rsidRPr="00A44045">
        <w:rPr>
          <w:color w:val="auto"/>
          <w:sz w:val="22"/>
          <w:szCs w:val="22"/>
        </w:rPr>
        <w:t xml:space="preserve">during or by the end of the first quarter following the financial year in which the </w:t>
      </w:r>
      <w:proofErr w:type="gramStart"/>
      <w:r w:rsidRPr="00A44045">
        <w:rPr>
          <w:color w:val="auto"/>
          <w:sz w:val="22"/>
          <w:szCs w:val="22"/>
        </w:rPr>
        <w:t>particular quarter</w:t>
      </w:r>
      <w:proofErr w:type="gramEnd"/>
      <w:r w:rsidRPr="00A44045">
        <w:rPr>
          <w:color w:val="auto"/>
          <w:sz w:val="22"/>
          <w:szCs w:val="22"/>
        </w:rPr>
        <w:t xml:space="preserve"> concerned occurs; or</w:t>
      </w:r>
    </w:p>
    <w:p w14:paraId="208A5CD2" w14:textId="77777777" w:rsidR="002D60A6" w:rsidRPr="00A44045" w:rsidRDefault="002D60A6" w:rsidP="001E174E">
      <w:pPr>
        <w:pStyle w:val="Healthnumlevel2"/>
        <w:numPr>
          <w:ilvl w:val="1"/>
          <w:numId w:val="36"/>
        </w:numPr>
        <w:ind w:left="1434" w:hanging="357"/>
        <w:rPr>
          <w:color w:val="auto"/>
          <w:sz w:val="22"/>
          <w:szCs w:val="22"/>
        </w:rPr>
      </w:pPr>
      <w:r w:rsidRPr="00A44045">
        <w:rPr>
          <w:color w:val="auto"/>
          <w:sz w:val="22"/>
          <w:szCs w:val="22"/>
        </w:rPr>
        <w:t xml:space="preserve">within the period for submitting the reporting document to APRA (under the </w:t>
      </w:r>
      <w:r w:rsidRPr="00A44045">
        <w:rPr>
          <w:i/>
          <w:color w:val="auto"/>
          <w:sz w:val="22"/>
          <w:szCs w:val="22"/>
        </w:rPr>
        <w:t>Financial Sector (Collection of Data) Act 2001</w:t>
      </w:r>
      <w:r w:rsidRPr="00A44045">
        <w:rPr>
          <w:color w:val="auto"/>
          <w:sz w:val="22"/>
          <w:szCs w:val="22"/>
        </w:rPr>
        <w:t xml:space="preserve">) which relates to the whole of the financial year in which the particular quarter occurs, where the reporting document is used by APRA for the purposes of preparing APRA’s report under section 167 of the </w:t>
      </w:r>
      <w:r w:rsidRPr="00A44045">
        <w:rPr>
          <w:i/>
          <w:color w:val="auto"/>
          <w:sz w:val="22"/>
          <w:szCs w:val="22"/>
        </w:rPr>
        <w:t>Private Health Insurance (Prudential Supervision) Act 2015</w:t>
      </w:r>
      <w:r w:rsidRPr="00A44045">
        <w:rPr>
          <w:color w:val="auto"/>
          <w:sz w:val="22"/>
          <w:szCs w:val="22"/>
        </w:rPr>
        <w:t xml:space="preserve"> for that financial year. </w:t>
      </w:r>
    </w:p>
    <w:p w14:paraId="5F28EBBE" w14:textId="74C4E260" w:rsidR="002D60A6" w:rsidRPr="00A44045" w:rsidRDefault="002D60A6" w:rsidP="001E174E">
      <w:pPr>
        <w:pStyle w:val="HealthnumLevel5"/>
        <w:numPr>
          <w:ilvl w:val="0"/>
          <w:numId w:val="36"/>
        </w:numPr>
        <w:ind w:left="1077" w:hanging="357"/>
        <w:rPr>
          <w:sz w:val="22"/>
          <w:szCs w:val="22"/>
        </w:rPr>
      </w:pPr>
      <w:bookmarkStart w:id="72" w:name="_Ref154308435"/>
      <w:r w:rsidRPr="00A44045">
        <w:rPr>
          <w:sz w:val="22"/>
          <w:szCs w:val="22"/>
        </w:rPr>
        <w:t xml:space="preserve">A new calculation may be made </w:t>
      </w:r>
      <w:proofErr w:type="gramStart"/>
      <w:r w:rsidRPr="00A44045">
        <w:rPr>
          <w:sz w:val="22"/>
          <w:szCs w:val="22"/>
        </w:rPr>
        <w:t>as a result of</w:t>
      </w:r>
      <w:proofErr w:type="gramEnd"/>
      <w:r w:rsidRPr="00A44045">
        <w:rPr>
          <w:sz w:val="22"/>
          <w:szCs w:val="22"/>
        </w:rPr>
        <w:t xml:space="preserve"> new information received later than is allowed under subrule </w:t>
      </w:r>
      <w:r w:rsidRPr="00A44045">
        <w:rPr>
          <w:sz w:val="22"/>
          <w:szCs w:val="22"/>
        </w:rPr>
        <w:fldChar w:fldCharType="begin"/>
      </w:r>
      <w:r w:rsidRPr="00A44045">
        <w:rPr>
          <w:sz w:val="22"/>
          <w:szCs w:val="22"/>
        </w:rPr>
        <w:instrText xml:space="preserve"> REF _Ref154308512 \n \h  \* MERGEFORMAT </w:instrText>
      </w:r>
      <w:r w:rsidRPr="00A44045">
        <w:rPr>
          <w:sz w:val="22"/>
          <w:szCs w:val="22"/>
        </w:rPr>
      </w:r>
      <w:r w:rsidRPr="00A44045">
        <w:rPr>
          <w:sz w:val="22"/>
          <w:szCs w:val="22"/>
        </w:rPr>
        <w:fldChar w:fldCharType="separate"/>
      </w:r>
      <w:r w:rsidR="00C14CD4" w:rsidRPr="00A44045">
        <w:rPr>
          <w:sz w:val="22"/>
          <w:szCs w:val="22"/>
        </w:rPr>
        <w:t>(2)</w:t>
      </w:r>
      <w:r w:rsidRPr="00A44045">
        <w:rPr>
          <w:sz w:val="22"/>
          <w:szCs w:val="22"/>
        </w:rPr>
        <w:fldChar w:fldCharType="end"/>
      </w:r>
      <w:r w:rsidRPr="00A44045">
        <w:rPr>
          <w:sz w:val="22"/>
          <w:szCs w:val="22"/>
        </w:rPr>
        <w:t xml:space="preserve"> if APRA is satisfied that:</w:t>
      </w:r>
      <w:bookmarkEnd w:id="72"/>
    </w:p>
    <w:p w14:paraId="3FE8D3BB" w14:textId="320E9EBD" w:rsidR="002D60A6" w:rsidRPr="00A44045" w:rsidRDefault="002D60A6" w:rsidP="002D60A6">
      <w:pPr>
        <w:pStyle w:val="Healthnumlevel2"/>
        <w:numPr>
          <w:ilvl w:val="1"/>
          <w:numId w:val="36"/>
        </w:numPr>
        <w:rPr>
          <w:color w:val="auto"/>
          <w:sz w:val="22"/>
          <w:szCs w:val="22"/>
        </w:rPr>
      </w:pPr>
      <w:r w:rsidRPr="00A44045">
        <w:rPr>
          <w:color w:val="auto"/>
          <w:sz w:val="22"/>
          <w:szCs w:val="22"/>
        </w:rPr>
        <w:t xml:space="preserve">the new information demonstrates that, in preparing the reporting document referred to in paragraph </w:t>
      </w:r>
      <w:r w:rsidR="007B3E2E" w:rsidRPr="00A44045">
        <w:rPr>
          <w:color w:val="auto"/>
          <w:sz w:val="22"/>
          <w:szCs w:val="22"/>
        </w:rPr>
        <w:t>21</w:t>
      </w:r>
      <w:r w:rsidRPr="00A44045">
        <w:rPr>
          <w:color w:val="auto"/>
          <w:sz w:val="22"/>
          <w:szCs w:val="22"/>
        </w:rPr>
        <w:t>(2)(b), the insurer made a significant error; and</w:t>
      </w:r>
    </w:p>
    <w:p w14:paraId="620F8280" w14:textId="77777777" w:rsidR="002D60A6" w:rsidRPr="00A44045" w:rsidRDefault="002D60A6" w:rsidP="002D60A6">
      <w:pPr>
        <w:pStyle w:val="Healthnumlevel2"/>
        <w:numPr>
          <w:ilvl w:val="1"/>
          <w:numId w:val="36"/>
        </w:numPr>
        <w:rPr>
          <w:color w:val="auto"/>
          <w:sz w:val="22"/>
          <w:szCs w:val="22"/>
        </w:rPr>
      </w:pPr>
      <w:r w:rsidRPr="00A44045">
        <w:rPr>
          <w:color w:val="auto"/>
          <w:sz w:val="22"/>
          <w:szCs w:val="22"/>
        </w:rPr>
        <w:t>it is in the best interests of insurers generally, and good administration of the Special Account, that a further calculation be made.</w:t>
      </w:r>
    </w:p>
    <w:p w14:paraId="249FC054" w14:textId="30630B5B" w:rsidR="009C75BA" w:rsidRPr="00A44045" w:rsidRDefault="009C75BA" w:rsidP="002162FD">
      <w:pPr>
        <w:pStyle w:val="Healthnote"/>
        <w:ind w:left="0"/>
        <w:rPr>
          <w:szCs w:val="22"/>
        </w:rPr>
      </w:pPr>
      <w:bookmarkStart w:id="73" w:name="_Ref154312541"/>
    </w:p>
    <w:p w14:paraId="0AA1520F" w14:textId="1536AD41" w:rsidR="00CF5BD2" w:rsidRPr="00A44045" w:rsidRDefault="00CF5BD2" w:rsidP="00612B5D">
      <w:pPr>
        <w:pStyle w:val="ActHead7"/>
        <w:keepNext w:val="0"/>
        <w:keepLines w:val="0"/>
        <w:outlineLvl w:val="4"/>
      </w:pPr>
      <w:bookmarkStart w:id="74" w:name="_Toc204756731"/>
      <w:bookmarkEnd w:id="73"/>
      <w:proofErr w:type="gramStart"/>
      <w:r w:rsidRPr="00A44045">
        <w:t xml:space="preserve">22 </w:t>
      </w:r>
      <w:r w:rsidR="0091691F" w:rsidRPr="00A44045">
        <w:t xml:space="preserve"> </w:t>
      </w:r>
      <w:r w:rsidRPr="00A44045">
        <w:t>Application</w:t>
      </w:r>
      <w:proofErr w:type="gramEnd"/>
      <w:r w:rsidRPr="00A44045">
        <w:t xml:space="preserve"> of new calculation to determine adjustment amount</w:t>
      </w:r>
      <w:bookmarkEnd w:id="74"/>
    </w:p>
    <w:p w14:paraId="360C9F7F" w14:textId="5DD46283" w:rsidR="00C53154" w:rsidRPr="00A44045" w:rsidRDefault="00C53154" w:rsidP="001E174E">
      <w:pPr>
        <w:pStyle w:val="HealthnumLevel5"/>
        <w:numPr>
          <w:ilvl w:val="0"/>
          <w:numId w:val="37"/>
        </w:numPr>
        <w:ind w:left="1077" w:hanging="357"/>
        <w:rPr>
          <w:sz w:val="22"/>
          <w:szCs w:val="22"/>
          <w:lang w:val="en-US"/>
        </w:rPr>
      </w:pPr>
      <w:r w:rsidRPr="00A44045">
        <w:rPr>
          <w:sz w:val="22"/>
          <w:szCs w:val="22"/>
          <w:lang w:val="en-US"/>
        </w:rPr>
        <w:t>If APRA makes a new calculation under rule</w:t>
      </w:r>
      <w:r w:rsidR="00A70AF4" w:rsidRPr="00A44045">
        <w:rPr>
          <w:sz w:val="22"/>
          <w:szCs w:val="22"/>
          <w:lang w:val="en-US"/>
        </w:rPr>
        <w:t xml:space="preserve"> 21</w:t>
      </w:r>
      <w:r w:rsidRPr="00A44045">
        <w:rPr>
          <w:sz w:val="22"/>
          <w:szCs w:val="22"/>
          <w:lang w:val="en-US"/>
        </w:rPr>
        <w:t xml:space="preserve">, APRA must determine the adjustment amount in respect of the insurer for the quarter immediately following the calculation unless subrule </w:t>
      </w:r>
      <w:r w:rsidRPr="00A44045">
        <w:rPr>
          <w:sz w:val="22"/>
          <w:szCs w:val="22"/>
          <w:lang w:val="en-US"/>
        </w:rPr>
        <w:fldChar w:fldCharType="begin"/>
      </w:r>
      <w:r w:rsidRPr="00A44045">
        <w:rPr>
          <w:sz w:val="22"/>
          <w:szCs w:val="22"/>
          <w:lang w:val="en-US"/>
        </w:rPr>
        <w:instrText xml:space="preserve"> REF _Ref154312862 \n \h  \* MERGEFORMAT </w:instrText>
      </w:r>
      <w:r w:rsidRPr="00A44045">
        <w:rPr>
          <w:sz w:val="22"/>
          <w:szCs w:val="22"/>
          <w:lang w:val="en-US"/>
        </w:rPr>
      </w:r>
      <w:r w:rsidRPr="00A44045">
        <w:rPr>
          <w:sz w:val="22"/>
          <w:szCs w:val="22"/>
          <w:lang w:val="en-US"/>
        </w:rPr>
        <w:fldChar w:fldCharType="separate"/>
      </w:r>
      <w:r w:rsidR="00C14CD4" w:rsidRPr="00A44045">
        <w:rPr>
          <w:sz w:val="22"/>
          <w:szCs w:val="22"/>
          <w:lang w:val="en-US"/>
        </w:rPr>
        <w:t>(3)</w:t>
      </w:r>
      <w:r w:rsidRPr="00A44045">
        <w:rPr>
          <w:sz w:val="22"/>
          <w:szCs w:val="22"/>
          <w:lang w:val="en-US"/>
        </w:rPr>
        <w:fldChar w:fldCharType="end"/>
      </w:r>
      <w:r w:rsidRPr="00A44045">
        <w:rPr>
          <w:sz w:val="22"/>
          <w:szCs w:val="22"/>
          <w:lang w:val="en-US"/>
        </w:rPr>
        <w:t xml:space="preserve"> applies.</w:t>
      </w:r>
    </w:p>
    <w:p w14:paraId="1D4F9458" w14:textId="77777777" w:rsidR="00C53154" w:rsidRPr="00A44045" w:rsidRDefault="00C53154" w:rsidP="001E174E">
      <w:pPr>
        <w:pStyle w:val="HealthnumLevel5"/>
        <w:numPr>
          <w:ilvl w:val="0"/>
          <w:numId w:val="37"/>
        </w:numPr>
        <w:ind w:left="1077" w:hanging="357"/>
        <w:rPr>
          <w:sz w:val="22"/>
          <w:szCs w:val="22"/>
        </w:rPr>
      </w:pPr>
      <w:r w:rsidRPr="00A44045">
        <w:rPr>
          <w:sz w:val="22"/>
          <w:szCs w:val="22"/>
          <w:lang w:val="en-US"/>
        </w:rPr>
        <w:lastRenderedPageBreak/>
        <w:t xml:space="preserve">APRA must determine the adjustment amount by having regard to the difference between the amount paid as levy by the insurer or the amount debited from the Special Account and paid to the insurer and the amount that the new calculation demonstrates should have been paid as levy or paid to that insurer. </w:t>
      </w:r>
    </w:p>
    <w:p w14:paraId="10FAB935" w14:textId="77777777" w:rsidR="00C53154" w:rsidRPr="00A44045" w:rsidRDefault="00C53154" w:rsidP="001E174E">
      <w:pPr>
        <w:pStyle w:val="HealthnumLevel5"/>
        <w:numPr>
          <w:ilvl w:val="0"/>
          <w:numId w:val="37"/>
        </w:numPr>
        <w:ind w:left="1077" w:hanging="357"/>
        <w:rPr>
          <w:sz w:val="22"/>
          <w:szCs w:val="22"/>
        </w:rPr>
      </w:pPr>
      <w:bookmarkStart w:id="75" w:name="_Ref154312862"/>
      <w:r w:rsidRPr="00A44045">
        <w:rPr>
          <w:sz w:val="22"/>
          <w:szCs w:val="22"/>
        </w:rPr>
        <w:t>If APRA is satisfied that:</w:t>
      </w:r>
      <w:bookmarkEnd w:id="75"/>
      <w:r w:rsidRPr="00A44045">
        <w:rPr>
          <w:sz w:val="22"/>
          <w:szCs w:val="22"/>
        </w:rPr>
        <w:t xml:space="preserve"> </w:t>
      </w:r>
    </w:p>
    <w:p w14:paraId="7D9FD36F" w14:textId="77777777" w:rsidR="00C53154" w:rsidRPr="00A44045" w:rsidRDefault="00C53154" w:rsidP="00FA4682">
      <w:pPr>
        <w:pStyle w:val="Healthnumlevel2"/>
        <w:numPr>
          <w:ilvl w:val="1"/>
          <w:numId w:val="37"/>
        </w:numPr>
        <w:rPr>
          <w:color w:val="auto"/>
          <w:sz w:val="22"/>
          <w:szCs w:val="22"/>
        </w:rPr>
      </w:pPr>
      <w:r w:rsidRPr="00A44045">
        <w:rPr>
          <w:color w:val="auto"/>
          <w:sz w:val="22"/>
          <w:szCs w:val="22"/>
        </w:rPr>
        <w:t xml:space="preserve">the financial stability of a particular insurer would be unreasonably affected if the whole of the adjustment amount for that insurer were </w:t>
      </w:r>
      <w:proofErr w:type="gramStart"/>
      <w:r w:rsidRPr="00A44045">
        <w:rPr>
          <w:color w:val="auto"/>
          <w:sz w:val="22"/>
          <w:szCs w:val="22"/>
        </w:rPr>
        <w:t>taken into account</w:t>
      </w:r>
      <w:proofErr w:type="gramEnd"/>
      <w:r w:rsidRPr="00A44045">
        <w:rPr>
          <w:color w:val="auto"/>
          <w:sz w:val="22"/>
          <w:szCs w:val="22"/>
        </w:rPr>
        <w:t xml:space="preserve"> in one </w:t>
      </w:r>
      <w:proofErr w:type="gramStart"/>
      <w:r w:rsidRPr="00A44045">
        <w:rPr>
          <w:color w:val="auto"/>
          <w:sz w:val="22"/>
          <w:szCs w:val="22"/>
        </w:rPr>
        <w:t>quarter;</w:t>
      </w:r>
      <w:proofErr w:type="gramEnd"/>
      <w:r w:rsidRPr="00A44045">
        <w:rPr>
          <w:color w:val="auto"/>
          <w:sz w:val="22"/>
          <w:szCs w:val="22"/>
        </w:rPr>
        <w:t xml:space="preserve"> or</w:t>
      </w:r>
    </w:p>
    <w:p w14:paraId="777F3777" w14:textId="77777777" w:rsidR="00C53154" w:rsidRPr="00A44045" w:rsidRDefault="00C53154" w:rsidP="00FA4682">
      <w:pPr>
        <w:pStyle w:val="Healthnumlevel2"/>
        <w:numPr>
          <w:ilvl w:val="1"/>
          <w:numId w:val="37"/>
        </w:numPr>
        <w:rPr>
          <w:color w:val="auto"/>
          <w:sz w:val="22"/>
          <w:szCs w:val="22"/>
        </w:rPr>
      </w:pPr>
      <w:r w:rsidRPr="00A44045">
        <w:rPr>
          <w:color w:val="auto"/>
          <w:sz w:val="22"/>
          <w:szCs w:val="22"/>
        </w:rPr>
        <w:t xml:space="preserve">the Special Account would be unreasonably affected if the total of adjustment amounts for all insurers to be debited from the Special Account in one quarter were </w:t>
      </w:r>
      <w:proofErr w:type="gramStart"/>
      <w:r w:rsidRPr="00A44045">
        <w:rPr>
          <w:color w:val="auto"/>
          <w:sz w:val="22"/>
          <w:szCs w:val="22"/>
        </w:rPr>
        <w:t>taken into account</w:t>
      </w:r>
      <w:proofErr w:type="gramEnd"/>
      <w:r w:rsidRPr="00A44045">
        <w:rPr>
          <w:color w:val="auto"/>
          <w:sz w:val="22"/>
          <w:szCs w:val="22"/>
        </w:rPr>
        <w:t xml:space="preserve"> in that quarter, </w:t>
      </w:r>
    </w:p>
    <w:p w14:paraId="667FD108" w14:textId="77777777" w:rsidR="00C53154" w:rsidRPr="00A44045" w:rsidRDefault="00C53154" w:rsidP="005245F0">
      <w:pPr>
        <w:pStyle w:val="HealthLevel1"/>
        <w:ind w:left="720"/>
        <w:rPr>
          <w:color w:val="auto"/>
          <w:sz w:val="22"/>
          <w:szCs w:val="22"/>
        </w:rPr>
      </w:pPr>
      <w:r w:rsidRPr="00A44045">
        <w:rPr>
          <w:color w:val="auto"/>
          <w:sz w:val="22"/>
          <w:szCs w:val="22"/>
        </w:rPr>
        <w:t xml:space="preserve">APRA may determine that an adjustment amount in respect of a particular insurer or </w:t>
      </w:r>
      <w:proofErr w:type="gramStart"/>
      <w:r w:rsidRPr="00A44045">
        <w:rPr>
          <w:color w:val="auto"/>
          <w:sz w:val="22"/>
          <w:szCs w:val="22"/>
        </w:rPr>
        <w:t>particular insurers</w:t>
      </w:r>
      <w:proofErr w:type="gramEnd"/>
      <w:r w:rsidRPr="00A44045">
        <w:rPr>
          <w:color w:val="auto"/>
          <w:sz w:val="22"/>
          <w:szCs w:val="22"/>
        </w:rPr>
        <w:t xml:space="preserve"> is to be applied over such number of quarters (proportional, or as otherwise decided by APRA) as APRA determines to be reasonable.</w:t>
      </w:r>
    </w:p>
    <w:p w14:paraId="4D185606" w14:textId="2BA11AF9" w:rsidR="00C53154" w:rsidRPr="00A44045" w:rsidRDefault="00C53154" w:rsidP="001E174E">
      <w:pPr>
        <w:pStyle w:val="HealthnumLevel5"/>
        <w:numPr>
          <w:ilvl w:val="0"/>
          <w:numId w:val="37"/>
        </w:numPr>
        <w:ind w:left="1077" w:hanging="357"/>
        <w:rPr>
          <w:sz w:val="22"/>
          <w:szCs w:val="22"/>
        </w:rPr>
      </w:pPr>
      <w:r w:rsidRPr="00A44045">
        <w:rPr>
          <w:sz w:val="22"/>
          <w:szCs w:val="22"/>
        </w:rPr>
        <w:t>In this rule</w:t>
      </w:r>
      <w:r w:rsidR="00FD68AC" w:rsidRPr="00A44045">
        <w:rPr>
          <w:sz w:val="22"/>
          <w:szCs w:val="22"/>
        </w:rPr>
        <w:t xml:space="preserve">, </w:t>
      </w:r>
      <w:r w:rsidRPr="00A44045">
        <w:rPr>
          <w:b/>
          <w:i/>
          <w:sz w:val="22"/>
          <w:szCs w:val="22"/>
        </w:rPr>
        <w:t>unreasonably affected</w:t>
      </w:r>
      <w:r w:rsidRPr="00A44045">
        <w:rPr>
          <w:sz w:val="22"/>
          <w:szCs w:val="22"/>
        </w:rPr>
        <w:t xml:space="preserve"> means:</w:t>
      </w:r>
    </w:p>
    <w:p w14:paraId="5B537B2F" w14:textId="77777777" w:rsidR="00125F02" w:rsidRPr="00A44045" w:rsidRDefault="00125F02" w:rsidP="00125F02">
      <w:pPr>
        <w:pStyle w:val="ListParagraph"/>
        <w:numPr>
          <w:ilvl w:val="1"/>
          <w:numId w:val="37"/>
        </w:numPr>
        <w:rPr>
          <w:rFonts w:eastAsia="Times New Roman" w:cs="Times New Roman"/>
          <w:szCs w:val="22"/>
        </w:rPr>
      </w:pPr>
      <w:r w:rsidRPr="00A44045">
        <w:rPr>
          <w:rFonts w:eastAsia="Times New Roman" w:cs="Times New Roman"/>
          <w:szCs w:val="22"/>
        </w:rPr>
        <w:t xml:space="preserve">in the case of an insurer, if a new calculation is made under this Part and the adjustment amount was to be </w:t>
      </w:r>
      <w:proofErr w:type="gramStart"/>
      <w:r w:rsidRPr="00A44045">
        <w:rPr>
          <w:rFonts w:eastAsia="Times New Roman" w:cs="Times New Roman"/>
          <w:szCs w:val="22"/>
        </w:rPr>
        <w:t>taken into account</w:t>
      </w:r>
      <w:proofErr w:type="gramEnd"/>
      <w:r w:rsidRPr="00A44045">
        <w:rPr>
          <w:rFonts w:eastAsia="Times New Roman" w:cs="Times New Roman"/>
          <w:szCs w:val="22"/>
        </w:rPr>
        <w:t xml:space="preserve"> under Part 3 in one quarter, the financial stability of the insurer would, in the opinion of APRA, be at </w:t>
      </w:r>
      <w:proofErr w:type="gramStart"/>
      <w:r w:rsidRPr="00A44045">
        <w:rPr>
          <w:rFonts w:eastAsia="Times New Roman" w:cs="Times New Roman"/>
          <w:szCs w:val="22"/>
        </w:rPr>
        <w:t>risk;</w:t>
      </w:r>
      <w:proofErr w:type="gramEnd"/>
      <w:r w:rsidRPr="00A44045">
        <w:rPr>
          <w:rFonts w:eastAsia="Times New Roman" w:cs="Times New Roman"/>
          <w:szCs w:val="22"/>
        </w:rPr>
        <w:t xml:space="preserve"> or</w:t>
      </w:r>
    </w:p>
    <w:p w14:paraId="713EEEFA" w14:textId="2391A768" w:rsidR="00104D3D" w:rsidRPr="00A44045" w:rsidRDefault="00C53154" w:rsidP="001E174E">
      <w:pPr>
        <w:pStyle w:val="Healthnumlevel2"/>
        <w:numPr>
          <w:ilvl w:val="1"/>
          <w:numId w:val="37"/>
        </w:numPr>
        <w:ind w:left="1491" w:hanging="357"/>
        <w:rPr>
          <w:color w:val="auto"/>
          <w:sz w:val="22"/>
          <w:szCs w:val="22"/>
        </w:rPr>
      </w:pPr>
      <w:r w:rsidRPr="00A44045">
        <w:rPr>
          <w:color w:val="auto"/>
          <w:sz w:val="22"/>
          <w:szCs w:val="22"/>
        </w:rPr>
        <w:t>in the case of the Special Account, if the total of the adjustment amounts to be taken into account in determining the amounts to be paid to insurers in a quarter under Part 3 would be greater than 1% of the amount, at the time the determination is made, of the State pool of the Special Account from which the payment is to be made.</w:t>
      </w:r>
    </w:p>
    <w:p w14:paraId="71BFAAD6" w14:textId="4C69EEB4" w:rsidR="008E0E13" w:rsidRPr="00A44045" w:rsidRDefault="008E0E13" w:rsidP="008E0E13">
      <w:pPr>
        <w:spacing w:line="240" w:lineRule="auto"/>
        <w:rPr>
          <w:rFonts w:eastAsia="Times New Roman" w:cs="Times New Roman"/>
          <w:szCs w:val="22"/>
        </w:rPr>
      </w:pPr>
      <w:r w:rsidRPr="00A44045">
        <w:rPr>
          <w:szCs w:val="22"/>
        </w:rPr>
        <w:br w:type="page"/>
      </w:r>
    </w:p>
    <w:p w14:paraId="38B9D187" w14:textId="548EAC70" w:rsidR="009F7B98" w:rsidRPr="00A44045" w:rsidRDefault="009F7B98" w:rsidP="009F7B98">
      <w:pPr>
        <w:pStyle w:val="ActHead6"/>
        <w:outlineLvl w:val="3"/>
        <w:rPr>
          <w:rFonts w:ascii="Times New Roman" w:hAnsi="Times New Roman"/>
          <w:sz w:val="28"/>
          <w:szCs w:val="28"/>
        </w:rPr>
      </w:pPr>
      <w:bookmarkStart w:id="76" w:name="_Toc204756732"/>
      <w:r w:rsidRPr="00A44045">
        <w:rPr>
          <w:rFonts w:ascii="Times New Roman" w:hAnsi="Times New Roman"/>
          <w:sz w:val="28"/>
          <w:szCs w:val="28"/>
        </w:rPr>
        <w:lastRenderedPageBreak/>
        <w:t>Schedule 1—Repeals</w:t>
      </w:r>
      <w:bookmarkEnd w:id="76"/>
    </w:p>
    <w:p w14:paraId="4BA80720" w14:textId="2F25B33F" w:rsidR="009F7B98" w:rsidRPr="00A44045" w:rsidRDefault="009F7B98" w:rsidP="009F7B98">
      <w:pPr>
        <w:pStyle w:val="ActHead9"/>
        <w:outlineLvl w:val="4"/>
        <w:rPr>
          <w:sz w:val="24"/>
          <w:szCs w:val="24"/>
        </w:rPr>
      </w:pPr>
      <w:bookmarkStart w:id="77" w:name="_Toc204756733"/>
      <w:r w:rsidRPr="00A44045">
        <w:rPr>
          <w:sz w:val="24"/>
          <w:szCs w:val="24"/>
        </w:rPr>
        <w:t>Private Health Insurance (Risk Equalisation Policy) Rules</w:t>
      </w:r>
      <w:r w:rsidR="002C17BD" w:rsidRPr="00A44045">
        <w:rPr>
          <w:sz w:val="24"/>
          <w:szCs w:val="24"/>
        </w:rPr>
        <w:t xml:space="preserve"> 2015</w:t>
      </w:r>
      <w:bookmarkEnd w:id="77"/>
    </w:p>
    <w:p w14:paraId="082643B9" w14:textId="77777777" w:rsidR="009F7B98" w:rsidRPr="00A44045" w:rsidRDefault="009F7B98" w:rsidP="009F7B98">
      <w:pPr>
        <w:pStyle w:val="ItemHead"/>
        <w:rPr>
          <w:rFonts w:ascii="Times New Roman" w:hAnsi="Times New Roman"/>
          <w:szCs w:val="24"/>
        </w:rPr>
      </w:pPr>
      <w:proofErr w:type="gramStart"/>
      <w:r w:rsidRPr="00A44045">
        <w:rPr>
          <w:rFonts w:ascii="Times New Roman" w:hAnsi="Times New Roman"/>
          <w:szCs w:val="24"/>
        </w:rPr>
        <w:t>1  The</w:t>
      </w:r>
      <w:proofErr w:type="gramEnd"/>
      <w:r w:rsidRPr="00A44045">
        <w:rPr>
          <w:rFonts w:ascii="Times New Roman" w:hAnsi="Times New Roman"/>
          <w:szCs w:val="24"/>
        </w:rPr>
        <w:t xml:space="preserve"> whole of the instrument</w:t>
      </w:r>
    </w:p>
    <w:p w14:paraId="3F00D5AA" w14:textId="47A1B937" w:rsidR="009F7B98" w:rsidRPr="001E174E" w:rsidRDefault="009F7B98" w:rsidP="009F7B98">
      <w:pPr>
        <w:pStyle w:val="Item"/>
        <w:rPr>
          <w:szCs w:val="22"/>
        </w:rPr>
      </w:pPr>
      <w:r w:rsidRPr="00A44045">
        <w:rPr>
          <w:szCs w:val="22"/>
        </w:rPr>
        <w:t>Repeal the instrument</w:t>
      </w:r>
      <w:r w:rsidR="00CE35C0" w:rsidRPr="00A44045">
        <w:rPr>
          <w:szCs w:val="22"/>
        </w:rPr>
        <w:t>.</w:t>
      </w:r>
    </w:p>
    <w:p w14:paraId="389DEC30" w14:textId="77777777" w:rsidR="00554826" w:rsidRPr="00554826" w:rsidRDefault="00554826" w:rsidP="00554826"/>
    <w:p w14:paraId="1D7AD1FE" w14:textId="2586C064" w:rsidR="00554826" w:rsidRDefault="00554826">
      <w:pPr>
        <w:spacing w:line="240" w:lineRule="auto"/>
      </w:pPr>
    </w:p>
    <w:sectPr w:rsidR="00554826" w:rsidSect="00141B20">
      <w:headerReference w:type="even" r:id="rId17"/>
      <w:headerReference w:type="default" r:id="rId18"/>
      <w:footerReference w:type="even" r:id="rId19"/>
      <w:footerReference w:type="default" r:id="rId2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A023" w14:textId="77777777" w:rsidR="000A3E81" w:rsidRDefault="000A3E81" w:rsidP="00715914">
      <w:pPr>
        <w:spacing w:line="240" w:lineRule="auto"/>
      </w:pPr>
      <w:r>
        <w:separator/>
      </w:r>
    </w:p>
  </w:endnote>
  <w:endnote w:type="continuationSeparator" w:id="0">
    <w:p w14:paraId="16E858A3" w14:textId="77777777" w:rsidR="000A3E81" w:rsidRDefault="000A3E8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2051"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56B5EE56" w14:textId="77777777" w:rsidTr="00A87A58">
      <w:tc>
        <w:tcPr>
          <w:tcW w:w="365" w:type="pct"/>
        </w:tcPr>
        <w:p w14:paraId="2996B3A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57784DC" w14:textId="33E4CDA9"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14CD4">
            <w:rPr>
              <w:i/>
              <w:noProof/>
              <w:sz w:val="18"/>
            </w:rPr>
            <w:t>Private Health Insurance (Risk Equalisation Policy) Rules 2025</w:t>
          </w:r>
          <w:r w:rsidRPr="004E1307">
            <w:rPr>
              <w:i/>
              <w:sz w:val="18"/>
            </w:rPr>
            <w:fldChar w:fldCharType="end"/>
          </w:r>
        </w:p>
      </w:tc>
      <w:tc>
        <w:tcPr>
          <w:tcW w:w="947" w:type="pct"/>
        </w:tcPr>
        <w:p w14:paraId="2530A851" w14:textId="77777777" w:rsidR="00F6696E" w:rsidRDefault="00F6696E" w:rsidP="000850AC">
          <w:pPr>
            <w:spacing w:line="0" w:lineRule="atLeast"/>
            <w:jc w:val="right"/>
            <w:rPr>
              <w:sz w:val="18"/>
            </w:rPr>
          </w:pPr>
        </w:p>
      </w:tc>
    </w:tr>
    <w:tr w:rsidR="00F6696E" w14:paraId="3E3350B9" w14:textId="77777777" w:rsidTr="00A87A58">
      <w:tc>
        <w:tcPr>
          <w:tcW w:w="5000" w:type="pct"/>
          <w:gridSpan w:val="3"/>
        </w:tcPr>
        <w:p w14:paraId="1C853AF3" w14:textId="77777777" w:rsidR="00F6696E" w:rsidRDefault="00F6696E" w:rsidP="000850AC">
          <w:pPr>
            <w:jc w:val="right"/>
            <w:rPr>
              <w:sz w:val="18"/>
            </w:rPr>
          </w:pPr>
        </w:p>
      </w:tc>
    </w:tr>
  </w:tbl>
  <w:p w14:paraId="51AC97E2" w14:textId="77777777" w:rsidR="00F6696E" w:rsidRPr="00ED79B6" w:rsidRDefault="00F6696E" w:rsidP="000A6C6A">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CB9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C50DD7B" w14:textId="77777777" w:rsidTr="00A87A58">
      <w:tc>
        <w:tcPr>
          <w:tcW w:w="947" w:type="pct"/>
        </w:tcPr>
        <w:p w14:paraId="55671C9F" w14:textId="77777777" w:rsidR="00F6696E" w:rsidRDefault="00F6696E" w:rsidP="000850AC">
          <w:pPr>
            <w:spacing w:line="0" w:lineRule="atLeast"/>
            <w:rPr>
              <w:sz w:val="18"/>
            </w:rPr>
          </w:pPr>
        </w:p>
      </w:tc>
      <w:tc>
        <w:tcPr>
          <w:tcW w:w="3688" w:type="pct"/>
        </w:tcPr>
        <w:p w14:paraId="6FC1E583" w14:textId="049A2773"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4045">
            <w:rPr>
              <w:i/>
              <w:noProof/>
              <w:sz w:val="18"/>
            </w:rPr>
            <w:t>Private Health Insurance (Risk Equalisation Policy) Rules 2025</w:t>
          </w:r>
          <w:r w:rsidRPr="004E1307">
            <w:rPr>
              <w:i/>
              <w:sz w:val="18"/>
            </w:rPr>
            <w:fldChar w:fldCharType="end"/>
          </w:r>
        </w:p>
      </w:tc>
      <w:tc>
        <w:tcPr>
          <w:tcW w:w="365" w:type="pct"/>
        </w:tcPr>
        <w:p w14:paraId="7C8EC60D"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5892F8DB" w14:textId="77777777" w:rsidTr="00A87A58">
      <w:tc>
        <w:tcPr>
          <w:tcW w:w="5000" w:type="pct"/>
          <w:gridSpan w:val="3"/>
        </w:tcPr>
        <w:p w14:paraId="154D7BCC" w14:textId="77777777" w:rsidR="00F6696E" w:rsidRDefault="00F6696E" w:rsidP="000850AC">
          <w:pPr>
            <w:rPr>
              <w:sz w:val="18"/>
            </w:rPr>
          </w:pPr>
        </w:p>
      </w:tc>
    </w:tr>
  </w:tbl>
  <w:p w14:paraId="1961C8CC" w14:textId="77777777" w:rsidR="00F6696E" w:rsidRPr="00ED79B6" w:rsidRDefault="00F6696E" w:rsidP="003278F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6743" w14:textId="77777777" w:rsidR="008C2EAC" w:rsidRPr="002B0EA5" w:rsidRDefault="008C2EAC" w:rsidP="00E708D8">
    <w:pPr>
      <w:pBdr>
        <w:top w:val="single" w:sz="6" w:space="1" w:color="auto"/>
      </w:pBdr>
      <w:spacing w:before="120" w:line="0" w:lineRule="atLeast"/>
      <w:rPr>
        <w:sz w:val="16"/>
        <w:szCs w:val="16"/>
      </w:rPr>
    </w:pPr>
  </w:p>
  <w:tbl>
    <w:tblPr>
      <w:tblStyle w:val="TableGrid"/>
      <w:tblW w:w="13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1574"/>
    </w:tblGrid>
    <w:tr w:rsidR="00DF343C" w14:paraId="69AA0075" w14:textId="77777777" w:rsidTr="00DF343C">
      <w:tc>
        <w:tcPr>
          <w:tcW w:w="1392" w:type="pct"/>
        </w:tcPr>
        <w:p w14:paraId="6CE65E50" w14:textId="5C0845C2" w:rsidR="00DF343C" w:rsidRDefault="00DF343C" w:rsidP="000850AC">
          <w:pPr>
            <w:spacing w:line="0" w:lineRule="atLeast"/>
            <w:rPr>
              <w:sz w:val="18"/>
            </w:rPr>
          </w:pPr>
        </w:p>
      </w:tc>
      <w:tc>
        <w:tcPr>
          <w:tcW w:w="3608" w:type="pct"/>
        </w:tcPr>
        <w:p w14:paraId="5BFF3BE7" w14:textId="77777777" w:rsidR="00DF343C" w:rsidRDefault="00DF343C" w:rsidP="000850AC">
          <w:pPr>
            <w:spacing w:line="0" w:lineRule="atLeast"/>
            <w:jc w:val="right"/>
            <w:rPr>
              <w:sz w:val="18"/>
            </w:rPr>
          </w:pPr>
        </w:p>
      </w:tc>
    </w:tr>
  </w:tbl>
  <w:p w14:paraId="57EBC2F0" w14:textId="77777777" w:rsidR="008C2EAC" w:rsidRPr="00ED79B6" w:rsidRDefault="008C2EAC" w:rsidP="000A6C6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936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8D26B74" w14:textId="77777777" w:rsidTr="00A87A58">
      <w:tc>
        <w:tcPr>
          <w:tcW w:w="947" w:type="pct"/>
        </w:tcPr>
        <w:p w14:paraId="5AC6100F" w14:textId="77777777" w:rsidR="008C2EAC" w:rsidRDefault="008C2EAC" w:rsidP="000850AC">
          <w:pPr>
            <w:spacing w:line="0" w:lineRule="atLeast"/>
            <w:rPr>
              <w:sz w:val="18"/>
            </w:rPr>
          </w:pPr>
        </w:p>
      </w:tc>
      <w:tc>
        <w:tcPr>
          <w:tcW w:w="3688" w:type="pct"/>
        </w:tcPr>
        <w:p w14:paraId="7B62FA25" w14:textId="20B1D31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4045">
            <w:rPr>
              <w:i/>
              <w:noProof/>
              <w:sz w:val="18"/>
            </w:rPr>
            <w:t>Private Health Insurance (Risk Equalisation Policy) Rules 2025</w:t>
          </w:r>
          <w:r w:rsidRPr="004E1307">
            <w:rPr>
              <w:i/>
              <w:sz w:val="18"/>
            </w:rPr>
            <w:fldChar w:fldCharType="end"/>
          </w:r>
        </w:p>
      </w:tc>
      <w:tc>
        <w:tcPr>
          <w:tcW w:w="365" w:type="pct"/>
        </w:tcPr>
        <w:p w14:paraId="1F235075"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27D53E07" w14:textId="77777777" w:rsidTr="00A87A58">
      <w:tc>
        <w:tcPr>
          <w:tcW w:w="5000" w:type="pct"/>
          <w:gridSpan w:val="3"/>
        </w:tcPr>
        <w:p w14:paraId="2B70F78A" w14:textId="77777777" w:rsidR="008C2EAC" w:rsidRDefault="008C2EAC" w:rsidP="000850AC">
          <w:pPr>
            <w:rPr>
              <w:sz w:val="18"/>
            </w:rPr>
          </w:pPr>
        </w:p>
      </w:tc>
    </w:tr>
  </w:tbl>
  <w:p w14:paraId="3AB964AA"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1164" w14:textId="77777777" w:rsidR="000A3E81" w:rsidRDefault="000A3E81" w:rsidP="00715914">
      <w:pPr>
        <w:spacing w:line="240" w:lineRule="auto"/>
      </w:pPr>
      <w:r>
        <w:separator/>
      </w:r>
    </w:p>
  </w:footnote>
  <w:footnote w:type="continuationSeparator" w:id="0">
    <w:p w14:paraId="78FB1B02" w14:textId="77777777" w:rsidR="000A3E81" w:rsidRDefault="000A3E8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0D4A" w14:textId="77777777" w:rsidR="00F6696E" w:rsidRPr="00ED79B6" w:rsidRDefault="00F6696E" w:rsidP="006442D3">
    <w:pPr>
      <w:pBdr>
        <w:bottom w:val="single" w:sz="6"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DA39" w14:textId="77777777" w:rsidR="00F6696E" w:rsidRPr="00ED79B6" w:rsidRDefault="00F6696E" w:rsidP="006442D3">
    <w:pPr>
      <w:pBdr>
        <w:bottom w:val="single" w:sz="6"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0E17" w14:textId="77777777" w:rsidR="00F6696E" w:rsidRPr="00ED79B6" w:rsidRDefault="00F6696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718A" w14:textId="77777777" w:rsidR="004E1307" w:rsidRDefault="004E1307" w:rsidP="00715914">
    <w:pPr>
      <w:rPr>
        <w:sz w:val="20"/>
      </w:rPr>
    </w:pPr>
  </w:p>
  <w:p w14:paraId="3A7393C6" w14:textId="77777777" w:rsidR="004E1307" w:rsidRDefault="004E1307" w:rsidP="00715914">
    <w:pPr>
      <w:rPr>
        <w:sz w:val="20"/>
      </w:rPr>
    </w:pPr>
  </w:p>
  <w:p w14:paraId="7EF8E832" w14:textId="77777777" w:rsidR="004E1307" w:rsidRPr="007A1328" w:rsidRDefault="004E1307" w:rsidP="00715914">
    <w:pPr>
      <w:rPr>
        <w:sz w:val="20"/>
      </w:rPr>
    </w:pPr>
  </w:p>
  <w:p w14:paraId="2DF0BB21" w14:textId="77777777" w:rsidR="004E1307" w:rsidRPr="007A1328" w:rsidRDefault="004E1307" w:rsidP="00715914">
    <w:pPr>
      <w:rPr>
        <w:b/>
        <w:sz w:val="24"/>
      </w:rPr>
    </w:pPr>
  </w:p>
  <w:p w14:paraId="0747A94C" w14:textId="77777777" w:rsidR="004E1307" w:rsidRPr="007A1328" w:rsidRDefault="004E1307"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F6EA" w14:textId="77777777" w:rsidR="004E1307" w:rsidRPr="007A1328" w:rsidRDefault="004E1307" w:rsidP="00715914">
    <w:pPr>
      <w:jc w:val="right"/>
      <w:rPr>
        <w:sz w:val="20"/>
      </w:rPr>
    </w:pPr>
  </w:p>
  <w:p w14:paraId="6D84324A" w14:textId="77777777" w:rsidR="004E1307" w:rsidRPr="007A1328" w:rsidRDefault="004E1307" w:rsidP="00715914">
    <w:pPr>
      <w:jc w:val="right"/>
      <w:rPr>
        <w:sz w:val="20"/>
      </w:rPr>
    </w:pPr>
  </w:p>
  <w:p w14:paraId="038A456F" w14:textId="77777777" w:rsidR="004E1307" w:rsidRPr="007A1328" w:rsidRDefault="004E1307" w:rsidP="00715914">
    <w:pPr>
      <w:jc w:val="right"/>
      <w:rPr>
        <w:sz w:val="20"/>
      </w:rPr>
    </w:pPr>
  </w:p>
  <w:p w14:paraId="6A96733C" w14:textId="77777777" w:rsidR="004E1307" w:rsidRPr="007A1328" w:rsidRDefault="004E1307" w:rsidP="00715914">
    <w:pPr>
      <w:jc w:val="right"/>
      <w:rPr>
        <w:b/>
        <w:sz w:val="24"/>
      </w:rPr>
    </w:pPr>
  </w:p>
  <w:p w14:paraId="28CFC2AE"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37C36"/>
    <w:multiLevelType w:val="hybridMultilevel"/>
    <w:tmpl w:val="4B06AC7C"/>
    <w:lvl w:ilvl="0" w:tplc="9DB49246">
      <w:start w:val="1"/>
      <w:numFmt w:val="decimal"/>
      <w:lvlText w:val="(%1)"/>
      <w:lvlJc w:val="left"/>
      <w:pPr>
        <w:ind w:left="720" w:hanging="360"/>
      </w:pPr>
      <w:rPr>
        <w:rFonts w:ascii="Times New Roman" w:hAnsi="Times New Roman" w:cs="Times New Roman" w:hint="default"/>
        <w:b w:val="0"/>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CF152A"/>
    <w:multiLevelType w:val="hybridMultilevel"/>
    <w:tmpl w:val="FC10BAE8"/>
    <w:lvl w:ilvl="0" w:tplc="FFFFFFFF">
      <w:start w:val="1"/>
      <w:numFmt w:val="decimal"/>
      <w:lvlText w:val="(%1)"/>
      <w:lvlJc w:val="left"/>
      <w:pPr>
        <w:ind w:left="786" w:hanging="360"/>
      </w:pPr>
      <w:rPr>
        <w:rFonts w:hint="default"/>
      </w:rPr>
    </w:lvl>
    <w:lvl w:ilvl="1" w:tplc="7CEC0E70">
      <w:start w:val="1"/>
      <w:numFmt w:val="lowerLetter"/>
      <w:lvlText w:val="(%2)"/>
      <w:lvlJc w:val="left"/>
      <w:pPr>
        <w:ind w:left="1494"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224307"/>
    <w:multiLevelType w:val="hybridMultilevel"/>
    <w:tmpl w:val="48B49E76"/>
    <w:lvl w:ilvl="0" w:tplc="7CEC0E7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E307AB"/>
    <w:multiLevelType w:val="hybridMultilevel"/>
    <w:tmpl w:val="C0AE71F4"/>
    <w:lvl w:ilvl="0" w:tplc="F6A600F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0C4647"/>
    <w:multiLevelType w:val="hybridMultilevel"/>
    <w:tmpl w:val="87F0906A"/>
    <w:lvl w:ilvl="0" w:tplc="F6A600F0">
      <w:start w:val="1"/>
      <w:numFmt w:val="decimal"/>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6" w15:restartNumberingAfterBreak="0">
    <w:nsid w:val="0D507795"/>
    <w:multiLevelType w:val="hybridMultilevel"/>
    <w:tmpl w:val="A7C49758"/>
    <w:lvl w:ilvl="0" w:tplc="F6A600F0">
      <w:start w:val="1"/>
      <w:numFmt w:val="decimal"/>
      <w:lvlText w:val="(%1)"/>
      <w:lvlJc w:val="left"/>
      <w:pPr>
        <w:ind w:left="785" w:hanging="360"/>
      </w:pPr>
      <w:rPr>
        <w:rFonts w:hint="default"/>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7" w15:restartNumberingAfterBreak="0">
    <w:nsid w:val="0E440AD3"/>
    <w:multiLevelType w:val="hybridMultilevel"/>
    <w:tmpl w:val="43381F6A"/>
    <w:lvl w:ilvl="0" w:tplc="F6A600F0">
      <w:start w:val="1"/>
      <w:numFmt w:val="decimal"/>
      <w:lvlText w:val="(%1)"/>
      <w:lvlJc w:val="left"/>
      <w:pPr>
        <w:ind w:left="786" w:hanging="360"/>
      </w:pPr>
      <w:rPr>
        <w:rFonts w:hint="default"/>
      </w:rPr>
    </w:lvl>
    <w:lvl w:ilvl="1" w:tplc="7CEC0E70">
      <w:start w:val="1"/>
      <w:numFmt w:val="lowerLetter"/>
      <w:lvlText w:val="(%2)"/>
      <w:lvlJc w:val="left"/>
      <w:pPr>
        <w:ind w:left="1494"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0EB14520"/>
    <w:multiLevelType w:val="hybridMultilevel"/>
    <w:tmpl w:val="F99EDA4A"/>
    <w:lvl w:ilvl="0" w:tplc="F6A600F0">
      <w:start w:val="1"/>
      <w:numFmt w:val="decimal"/>
      <w:lvlText w:val="(%1)"/>
      <w:lvlJc w:val="left"/>
      <w:pPr>
        <w:ind w:left="924" w:hanging="360"/>
      </w:pPr>
      <w:rPr>
        <w:rFonts w:hint="default"/>
      </w:rPr>
    </w:lvl>
    <w:lvl w:ilvl="1" w:tplc="7CEC0E70">
      <w:start w:val="1"/>
      <w:numFmt w:val="lowerLetter"/>
      <w:lvlText w:val="(%2)"/>
      <w:lvlJc w:val="left"/>
      <w:pPr>
        <w:ind w:left="1491" w:hanging="360"/>
      </w:pPr>
      <w:rPr>
        <w:rFonts w:hint="default"/>
      </w:rPr>
    </w:lvl>
    <w:lvl w:ilvl="2" w:tplc="D2744556">
      <w:start w:val="1"/>
      <w:numFmt w:val="lowerRoman"/>
      <w:lvlText w:val="(%3)"/>
      <w:lvlJc w:val="right"/>
      <w:pPr>
        <w:ind w:left="2697" w:hanging="360"/>
      </w:pPr>
      <w:rPr>
        <w:rFonts w:hint="default"/>
      </w:r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9" w15:restartNumberingAfterBreak="0">
    <w:nsid w:val="12660B90"/>
    <w:multiLevelType w:val="hybridMultilevel"/>
    <w:tmpl w:val="67FA81B6"/>
    <w:lvl w:ilvl="0" w:tplc="F6A600F0">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2D33A5"/>
    <w:multiLevelType w:val="hybridMultilevel"/>
    <w:tmpl w:val="EE865044"/>
    <w:lvl w:ilvl="0" w:tplc="C094A624">
      <w:start w:val="1"/>
      <w:numFmt w:val="decimal"/>
      <w:lvlText w:val="%1."/>
      <w:lvlJc w:val="left"/>
      <w:pPr>
        <w:ind w:left="1020" w:hanging="360"/>
      </w:pPr>
    </w:lvl>
    <w:lvl w:ilvl="1" w:tplc="6492B71A">
      <w:start w:val="1"/>
      <w:numFmt w:val="decimal"/>
      <w:lvlText w:val="%2."/>
      <w:lvlJc w:val="left"/>
      <w:pPr>
        <w:ind w:left="1020" w:hanging="360"/>
      </w:pPr>
    </w:lvl>
    <w:lvl w:ilvl="2" w:tplc="D2B0426C">
      <w:start w:val="1"/>
      <w:numFmt w:val="decimal"/>
      <w:lvlText w:val="%3."/>
      <w:lvlJc w:val="left"/>
      <w:pPr>
        <w:ind w:left="1020" w:hanging="360"/>
      </w:pPr>
    </w:lvl>
    <w:lvl w:ilvl="3" w:tplc="9418C03A">
      <w:start w:val="1"/>
      <w:numFmt w:val="decimal"/>
      <w:lvlText w:val="%4."/>
      <w:lvlJc w:val="left"/>
      <w:pPr>
        <w:ind w:left="1020" w:hanging="360"/>
      </w:pPr>
    </w:lvl>
    <w:lvl w:ilvl="4" w:tplc="29341254">
      <w:start w:val="1"/>
      <w:numFmt w:val="decimal"/>
      <w:lvlText w:val="%5."/>
      <w:lvlJc w:val="left"/>
      <w:pPr>
        <w:ind w:left="1020" w:hanging="360"/>
      </w:pPr>
    </w:lvl>
    <w:lvl w:ilvl="5" w:tplc="88709454">
      <w:start w:val="1"/>
      <w:numFmt w:val="decimal"/>
      <w:lvlText w:val="%6."/>
      <w:lvlJc w:val="left"/>
      <w:pPr>
        <w:ind w:left="1020" w:hanging="360"/>
      </w:pPr>
    </w:lvl>
    <w:lvl w:ilvl="6" w:tplc="EA14B5D6">
      <w:start w:val="1"/>
      <w:numFmt w:val="decimal"/>
      <w:lvlText w:val="%7."/>
      <w:lvlJc w:val="left"/>
      <w:pPr>
        <w:ind w:left="1020" w:hanging="360"/>
      </w:pPr>
    </w:lvl>
    <w:lvl w:ilvl="7" w:tplc="73E494B8">
      <w:start w:val="1"/>
      <w:numFmt w:val="decimal"/>
      <w:lvlText w:val="%8."/>
      <w:lvlJc w:val="left"/>
      <w:pPr>
        <w:ind w:left="1020" w:hanging="360"/>
      </w:pPr>
    </w:lvl>
    <w:lvl w:ilvl="8" w:tplc="DF9E5162">
      <w:start w:val="1"/>
      <w:numFmt w:val="decimal"/>
      <w:lvlText w:val="%9."/>
      <w:lvlJc w:val="left"/>
      <w:pPr>
        <w:ind w:left="1020" w:hanging="360"/>
      </w:pPr>
    </w:lvl>
  </w:abstractNum>
  <w:abstractNum w:abstractNumId="22" w15:restartNumberingAfterBreak="0">
    <w:nsid w:val="20D41F76"/>
    <w:multiLevelType w:val="hybridMultilevel"/>
    <w:tmpl w:val="82C8A952"/>
    <w:lvl w:ilvl="0" w:tplc="6F22DA5C">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26A679B1"/>
    <w:multiLevelType w:val="hybridMultilevel"/>
    <w:tmpl w:val="C784AB2C"/>
    <w:lvl w:ilvl="0" w:tplc="F6A600F0">
      <w:start w:val="1"/>
      <w:numFmt w:val="decimal"/>
      <w:lvlText w:val="(%1)"/>
      <w:lvlJc w:val="left"/>
      <w:pPr>
        <w:ind w:left="360" w:hanging="360"/>
      </w:pPr>
      <w:rPr>
        <w:rFonts w:hint="default"/>
      </w:rPr>
    </w:lvl>
    <w:lvl w:ilvl="1" w:tplc="7CEC0E70">
      <w:start w:val="1"/>
      <w:numFmt w:val="lowerLetter"/>
      <w:lvlText w:val="(%2)"/>
      <w:lvlJc w:val="left"/>
      <w:pPr>
        <w:ind w:left="1494"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7646B7C"/>
    <w:multiLevelType w:val="hybridMultilevel"/>
    <w:tmpl w:val="FFA8816A"/>
    <w:lvl w:ilvl="0" w:tplc="FFFFFFFF">
      <w:start w:val="1"/>
      <w:numFmt w:val="decimal"/>
      <w:lvlText w:val="(%1)"/>
      <w:lvlJc w:val="left"/>
      <w:pPr>
        <w:ind w:left="927" w:hanging="360"/>
      </w:pPr>
      <w:rPr>
        <w:rFonts w:hint="default"/>
      </w:rPr>
    </w:lvl>
    <w:lvl w:ilvl="1" w:tplc="FFFFFFFF">
      <w:start w:val="1"/>
      <w:numFmt w:val="lowerLetter"/>
      <w:lvlText w:val="(%2)"/>
      <w:lvlJc w:val="left"/>
      <w:pPr>
        <w:ind w:left="1494" w:hanging="360"/>
      </w:pPr>
      <w:rPr>
        <w:rFonts w:hint="default"/>
      </w:rPr>
    </w:lvl>
    <w:lvl w:ilvl="2" w:tplc="D2744556">
      <w:start w:val="1"/>
      <w:numFmt w:val="lowerRoman"/>
      <w:lvlText w:val="(%3)"/>
      <w:lvlJc w:val="right"/>
      <w:pPr>
        <w:ind w:left="2700" w:hanging="36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2BDE1E4D"/>
    <w:multiLevelType w:val="hybridMultilevel"/>
    <w:tmpl w:val="F9EEA558"/>
    <w:lvl w:ilvl="0" w:tplc="F6A600F0">
      <w:start w:val="1"/>
      <w:numFmt w:val="decimal"/>
      <w:lvlText w:val="(%1)"/>
      <w:lvlJc w:val="left"/>
      <w:pPr>
        <w:ind w:left="1080" w:hanging="360"/>
      </w:pPr>
      <w:rPr>
        <w:rFonts w:hint="default"/>
      </w:rPr>
    </w:lvl>
    <w:lvl w:ilvl="1" w:tplc="7CEC0E70">
      <w:start w:val="1"/>
      <w:numFmt w:val="lowerLetter"/>
      <w:lvlText w:val="(%2)"/>
      <w:lvlJc w:val="left"/>
      <w:pPr>
        <w:ind w:left="1352" w:hanging="360"/>
      </w:pPr>
      <w:rPr>
        <w:rFonts w:hint="default"/>
      </w:rPr>
    </w:lvl>
    <w:lvl w:ilvl="2" w:tplc="D2744556">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C4C27B3"/>
    <w:multiLevelType w:val="hybridMultilevel"/>
    <w:tmpl w:val="9780A410"/>
    <w:lvl w:ilvl="0" w:tplc="F6A600F0">
      <w:start w:val="1"/>
      <w:numFmt w:val="decimal"/>
      <w:lvlText w:val="(%1)"/>
      <w:lvlJc w:val="left"/>
      <w:pPr>
        <w:ind w:left="720" w:hanging="360"/>
      </w:pPr>
      <w:rPr>
        <w:rFonts w:hint="default"/>
      </w:rPr>
    </w:lvl>
    <w:lvl w:ilvl="1" w:tplc="7CEC0E70">
      <w:start w:val="1"/>
      <w:numFmt w:val="lowerLetter"/>
      <w:lvlText w:val="(%2)"/>
      <w:lvlJc w:val="left"/>
      <w:pPr>
        <w:ind w:left="1494"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8F28C8"/>
    <w:multiLevelType w:val="hybridMultilevel"/>
    <w:tmpl w:val="6A3C1DA8"/>
    <w:lvl w:ilvl="0" w:tplc="03788D48">
      <w:start w:val="1"/>
      <w:numFmt w:val="decimal"/>
      <w:lvlText w:val="%1."/>
      <w:lvlJc w:val="left"/>
      <w:pPr>
        <w:ind w:left="1020" w:hanging="360"/>
      </w:pPr>
    </w:lvl>
    <w:lvl w:ilvl="1" w:tplc="7E10B2A0">
      <w:start w:val="1"/>
      <w:numFmt w:val="decimal"/>
      <w:lvlText w:val="%2."/>
      <w:lvlJc w:val="left"/>
      <w:pPr>
        <w:ind w:left="1020" w:hanging="360"/>
      </w:pPr>
    </w:lvl>
    <w:lvl w:ilvl="2" w:tplc="3416761C">
      <w:start w:val="1"/>
      <w:numFmt w:val="decimal"/>
      <w:lvlText w:val="%3."/>
      <w:lvlJc w:val="left"/>
      <w:pPr>
        <w:ind w:left="1020" w:hanging="360"/>
      </w:pPr>
    </w:lvl>
    <w:lvl w:ilvl="3" w:tplc="87D0DDAA">
      <w:start w:val="1"/>
      <w:numFmt w:val="decimal"/>
      <w:lvlText w:val="%4."/>
      <w:lvlJc w:val="left"/>
      <w:pPr>
        <w:ind w:left="1020" w:hanging="360"/>
      </w:pPr>
    </w:lvl>
    <w:lvl w:ilvl="4" w:tplc="67CC689A">
      <w:start w:val="1"/>
      <w:numFmt w:val="decimal"/>
      <w:lvlText w:val="%5."/>
      <w:lvlJc w:val="left"/>
      <w:pPr>
        <w:ind w:left="1020" w:hanging="360"/>
      </w:pPr>
    </w:lvl>
    <w:lvl w:ilvl="5" w:tplc="4DC619BA">
      <w:start w:val="1"/>
      <w:numFmt w:val="decimal"/>
      <w:lvlText w:val="%6."/>
      <w:lvlJc w:val="left"/>
      <w:pPr>
        <w:ind w:left="1020" w:hanging="360"/>
      </w:pPr>
    </w:lvl>
    <w:lvl w:ilvl="6" w:tplc="582E70EA">
      <w:start w:val="1"/>
      <w:numFmt w:val="decimal"/>
      <w:lvlText w:val="%7."/>
      <w:lvlJc w:val="left"/>
      <w:pPr>
        <w:ind w:left="1020" w:hanging="360"/>
      </w:pPr>
    </w:lvl>
    <w:lvl w:ilvl="7" w:tplc="3FDA067E">
      <w:start w:val="1"/>
      <w:numFmt w:val="decimal"/>
      <w:lvlText w:val="%8."/>
      <w:lvlJc w:val="left"/>
      <w:pPr>
        <w:ind w:left="1020" w:hanging="360"/>
      </w:pPr>
    </w:lvl>
    <w:lvl w:ilvl="8" w:tplc="6CB83554">
      <w:start w:val="1"/>
      <w:numFmt w:val="decimal"/>
      <w:lvlText w:val="%9."/>
      <w:lvlJc w:val="left"/>
      <w:pPr>
        <w:ind w:left="1020" w:hanging="360"/>
      </w:pPr>
    </w:lvl>
  </w:abstractNum>
  <w:abstractNum w:abstractNumId="28" w15:restartNumberingAfterBreak="0">
    <w:nsid w:val="30253968"/>
    <w:multiLevelType w:val="multilevel"/>
    <w:tmpl w:val="F60CC71E"/>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lowerLetter"/>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9" w15:restartNumberingAfterBreak="0">
    <w:nsid w:val="335175FF"/>
    <w:multiLevelType w:val="hybridMultilevel"/>
    <w:tmpl w:val="5748DCCE"/>
    <w:lvl w:ilvl="0" w:tplc="F6A600F0">
      <w:start w:val="1"/>
      <w:numFmt w:val="decimal"/>
      <w:lvlText w:val="(%1)"/>
      <w:lvlJc w:val="left"/>
      <w:pPr>
        <w:ind w:left="720" w:hanging="360"/>
      </w:pPr>
      <w:rPr>
        <w:rFonts w:hint="default"/>
      </w:rPr>
    </w:lvl>
    <w:lvl w:ilvl="1" w:tplc="7CEC0E70">
      <w:start w:val="1"/>
      <w:numFmt w:val="lowerLetter"/>
      <w:lvlText w:val="(%2)"/>
      <w:lvlJc w:val="left"/>
      <w:pPr>
        <w:ind w:left="1494"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553691"/>
    <w:multiLevelType w:val="hybridMultilevel"/>
    <w:tmpl w:val="2836FE58"/>
    <w:lvl w:ilvl="0" w:tplc="FC841A16">
      <w:start w:val="1"/>
      <w:numFmt w:val="decimal"/>
      <w:lvlText w:val="%1."/>
      <w:lvlJc w:val="left"/>
      <w:pPr>
        <w:ind w:left="1020" w:hanging="360"/>
      </w:pPr>
    </w:lvl>
    <w:lvl w:ilvl="1" w:tplc="27CC3FF4">
      <w:start w:val="1"/>
      <w:numFmt w:val="decimal"/>
      <w:lvlText w:val="%2."/>
      <w:lvlJc w:val="left"/>
      <w:pPr>
        <w:ind w:left="1020" w:hanging="360"/>
      </w:pPr>
    </w:lvl>
    <w:lvl w:ilvl="2" w:tplc="E33CF708">
      <w:start w:val="1"/>
      <w:numFmt w:val="decimal"/>
      <w:lvlText w:val="%3."/>
      <w:lvlJc w:val="left"/>
      <w:pPr>
        <w:ind w:left="1020" w:hanging="360"/>
      </w:pPr>
    </w:lvl>
    <w:lvl w:ilvl="3" w:tplc="9AF6513A">
      <w:start w:val="1"/>
      <w:numFmt w:val="decimal"/>
      <w:lvlText w:val="%4."/>
      <w:lvlJc w:val="left"/>
      <w:pPr>
        <w:ind w:left="1020" w:hanging="360"/>
      </w:pPr>
    </w:lvl>
    <w:lvl w:ilvl="4" w:tplc="9988A566">
      <w:start w:val="1"/>
      <w:numFmt w:val="decimal"/>
      <w:lvlText w:val="%5."/>
      <w:lvlJc w:val="left"/>
      <w:pPr>
        <w:ind w:left="1020" w:hanging="360"/>
      </w:pPr>
    </w:lvl>
    <w:lvl w:ilvl="5" w:tplc="ED58CB68">
      <w:start w:val="1"/>
      <w:numFmt w:val="decimal"/>
      <w:lvlText w:val="%6."/>
      <w:lvlJc w:val="left"/>
      <w:pPr>
        <w:ind w:left="1020" w:hanging="360"/>
      </w:pPr>
    </w:lvl>
    <w:lvl w:ilvl="6" w:tplc="F7F05844">
      <w:start w:val="1"/>
      <w:numFmt w:val="decimal"/>
      <w:lvlText w:val="%7."/>
      <w:lvlJc w:val="left"/>
      <w:pPr>
        <w:ind w:left="1020" w:hanging="360"/>
      </w:pPr>
    </w:lvl>
    <w:lvl w:ilvl="7" w:tplc="7F6CED1E">
      <w:start w:val="1"/>
      <w:numFmt w:val="decimal"/>
      <w:lvlText w:val="%8."/>
      <w:lvlJc w:val="left"/>
      <w:pPr>
        <w:ind w:left="1020" w:hanging="360"/>
      </w:pPr>
    </w:lvl>
    <w:lvl w:ilvl="8" w:tplc="32E607E0">
      <w:start w:val="1"/>
      <w:numFmt w:val="decimal"/>
      <w:lvlText w:val="%9."/>
      <w:lvlJc w:val="left"/>
      <w:pPr>
        <w:ind w:left="1020" w:hanging="360"/>
      </w:pPr>
    </w:lvl>
  </w:abstractNum>
  <w:abstractNum w:abstractNumId="31" w15:restartNumberingAfterBreak="0">
    <w:nsid w:val="36D418D2"/>
    <w:multiLevelType w:val="hybridMultilevel"/>
    <w:tmpl w:val="D0725F92"/>
    <w:lvl w:ilvl="0" w:tplc="F6A600F0">
      <w:start w:val="1"/>
      <w:numFmt w:val="decimal"/>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2" w15:restartNumberingAfterBreak="0">
    <w:nsid w:val="38A373EF"/>
    <w:multiLevelType w:val="hybridMultilevel"/>
    <w:tmpl w:val="6B367720"/>
    <w:lvl w:ilvl="0" w:tplc="CCFA1D60">
      <w:start w:val="1"/>
      <w:numFmt w:val="decimal"/>
      <w:lvlText w:val="(%1)"/>
      <w:lvlJc w:val="left"/>
      <w:pPr>
        <w:ind w:left="927" w:hanging="360"/>
      </w:pPr>
      <w:rPr>
        <w:rFonts w:ascii="Times New Roman" w:hAnsi="Times New Roman" w:cs="Times New Roman" w:hint="default"/>
        <w:b w:val="0"/>
        <w:bCs/>
        <w:sz w:val="22"/>
        <w:szCs w:val="22"/>
      </w:rPr>
    </w:lvl>
    <w:lvl w:ilvl="1" w:tplc="7CEC0E70">
      <w:start w:val="1"/>
      <w:numFmt w:val="lowerLetter"/>
      <w:lvlText w:val="(%2)"/>
      <w:lvlJc w:val="left"/>
      <w:pPr>
        <w:ind w:left="1494"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B46880"/>
    <w:multiLevelType w:val="hybridMultilevel"/>
    <w:tmpl w:val="BE1E348E"/>
    <w:lvl w:ilvl="0" w:tplc="F6A600F0">
      <w:start w:val="1"/>
      <w:numFmt w:val="decimal"/>
      <w:lvlText w:val="(%1)"/>
      <w:lvlJc w:val="left"/>
      <w:pPr>
        <w:ind w:left="785" w:hanging="360"/>
      </w:pPr>
      <w:rPr>
        <w:rFonts w:hint="default"/>
      </w:rPr>
    </w:lvl>
    <w:lvl w:ilvl="1" w:tplc="7CEC0E70">
      <w:start w:val="1"/>
      <w:numFmt w:val="lowerLetter"/>
      <w:lvlText w:val="(%2)"/>
      <w:lvlJc w:val="left"/>
      <w:pPr>
        <w:ind w:left="1494"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3A9935B1"/>
    <w:multiLevelType w:val="hybridMultilevel"/>
    <w:tmpl w:val="09A095CA"/>
    <w:lvl w:ilvl="0" w:tplc="F6A600F0">
      <w:start w:val="1"/>
      <w:numFmt w:val="decimal"/>
      <w:lvlText w:val="(%1)"/>
      <w:lvlJc w:val="left"/>
      <w:pPr>
        <w:ind w:left="1080" w:hanging="360"/>
      </w:pPr>
      <w:rPr>
        <w:rFonts w:hint="default"/>
      </w:rPr>
    </w:lvl>
    <w:lvl w:ilvl="1" w:tplc="7CEC0E70">
      <w:start w:val="1"/>
      <w:numFmt w:val="lowerLetter"/>
      <w:lvlText w:val="(%2)"/>
      <w:lvlJc w:val="left"/>
      <w:pPr>
        <w:ind w:left="1352"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6" w15:restartNumberingAfterBreak="0">
    <w:nsid w:val="544A50BB"/>
    <w:multiLevelType w:val="hybridMultilevel"/>
    <w:tmpl w:val="2A7AFD94"/>
    <w:lvl w:ilvl="0" w:tplc="FFFFFFFF">
      <w:start w:val="1"/>
      <w:numFmt w:val="decimal"/>
      <w:lvlText w:val="(%1)"/>
      <w:lvlJc w:val="left"/>
      <w:pPr>
        <w:ind w:left="720" w:hanging="360"/>
      </w:pPr>
      <w:rPr>
        <w:rFonts w:hint="default"/>
      </w:rPr>
    </w:lvl>
    <w:lvl w:ilvl="1" w:tplc="7CEC0E70">
      <w:start w:val="1"/>
      <w:numFmt w:val="lowerLetter"/>
      <w:lvlText w:val="(%2)"/>
      <w:lvlJc w:val="left"/>
      <w:pPr>
        <w:ind w:left="149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BD2630"/>
    <w:multiLevelType w:val="hybridMultilevel"/>
    <w:tmpl w:val="1F185F8E"/>
    <w:lvl w:ilvl="0" w:tplc="F6A600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8CC4F33"/>
    <w:multiLevelType w:val="hybridMultilevel"/>
    <w:tmpl w:val="5E4637A2"/>
    <w:lvl w:ilvl="0" w:tplc="F6A600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A24260"/>
    <w:multiLevelType w:val="hybridMultilevel"/>
    <w:tmpl w:val="529221CA"/>
    <w:lvl w:ilvl="0" w:tplc="CCFA1D60">
      <w:start w:val="1"/>
      <w:numFmt w:val="decimal"/>
      <w:lvlText w:val="(%1)"/>
      <w:lvlJc w:val="left"/>
      <w:pPr>
        <w:ind w:left="927" w:hanging="360"/>
      </w:pPr>
      <w:rPr>
        <w:rFonts w:ascii="Times New Roman" w:hAnsi="Times New Roman" w:cs="Times New Roman" w:hint="default"/>
        <w:b w:val="0"/>
        <w:bCs/>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71DB2DE6"/>
    <w:multiLevelType w:val="hybridMultilevel"/>
    <w:tmpl w:val="1190012C"/>
    <w:lvl w:ilvl="0" w:tplc="0C090001">
      <w:start w:val="1"/>
      <w:numFmt w:val="bullet"/>
      <w:lvlText w:val=""/>
      <w:lvlJc w:val="left"/>
      <w:pPr>
        <w:ind w:left="1933" w:hanging="360"/>
      </w:pPr>
      <w:rPr>
        <w:rFonts w:ascii="Symbol" w:hAnsi="Symbol" w:hint="default"/>
      </w:rPr>
    </w:lvl>
    <w:lvl w:ilvl="1" w:tplc="0C090003" w:tentative="1">
      <w:start w:val="1"/>
      <w:numFmt w:val="bullet"/>
      <w:lvlText w:val="o"/>
      <w:lvlJc w:val="left"/>
      <w:pPr>
        <w:ind w:left="2653" w:hanging="360"/>
      </w:pPr>
      <w:rPr>
        <w:rFonts w:ascii="Courier New" w:hAnsi="Courier New" w:cs="Courier New" w:hint="default"/>
      </w:rPr>
    </w:lvl>
    <w:lvl w:ilvl="2" w:tplc="0C090005" w:tentative="1">
      <w:start w:val="1"/>
      <w:numFmt w:val="bullet"/>
      <w:lvlText w:val=""/>
      <w:lvlJc w:val="left"/>
      <w:pPr>
        <w:ind w:left="3373" w:hanging="360"/>
      </w:pPr>
      <w:rPr>
        <w:rFonts w:ascii="Wingdings" w:hAnsi="Wingdings" w:hint="default"/>
      </w:rPr>
    </w:lvl>
    <w:lvl w:ilvl="3" w:tplc="0C090001" w:tentative="1">
      <w:start w:val="1"/>
      <w:numFmt w:val="bullet"/>
      <w:lvlText w:val=""/>
      <w:lvlJc w:val="left"/>
      <w:pPr>
        <w:ind w:left="4093" w:hanging="360"/>
      </w:pPr>
      <w:rPr>
        <w:rFonts w:ascii="Symbol" w:hAnsi="Symbol" w:hint="default"/>
      </w:rPr>
    </w:lvl>
    <w:lvl w:ilvl="4" w:tplc="0C090003" w:tentative="1">
      <w:start w:val="1"/>
      <w:numFmt w:val="bullet"/>
      <w:lvlText w:val="o"/>
      <w:lvlJc w:val="left"/>
      <w:pPr>
        <w:ind w:left="4813" w:hanging="360"/>
      </w:pPr>
      <w:rPr>
        <w:rFonts w:ascii="Courier New" w:hAnsi="Courier New" w:cs="Courier New" w:hint="default"/>
      </w:rPr>
    </w:lvl>
    <w:lvl w:ilvl="5" w:tplc="0C090005" w:tentative="1">
      <w:start w:val="1"/>
      <w:numFmt w:val="bullet"/>
      <w:lvlText w:val=""/>
      <w:lvlJc w:val="left"/>
      <w:pPr>
        <w:ind w:left="5533" w:hanging="360"/>
      </w:pPr>
      <w:rPr>
        <w:rFonts w:ascii="Wingdings" w:hAnsi="Wingdings" w:hint="default"/>
      </w:rPr>
    </w:lvl>
    <w:lvl w:ilvl="6" w:tplc="0C090001" w:tentative="1">
      <w:start w:val="1"/>
      <w:numFmt w:val="bullet"/>
      <w:lvlText w:val=""/>
      <w:lvlJc w:val="left"/>
      <w:pPr>
        <w:ind w:left="6253" w:hanging="360"/>
      </w:pPr>
      <w:rPr>
        <w:rFonts w:ascii="Symbol" w:hAnsi="Symbol" w:hint="default"/>
      </w:rPr>
    </w:lvl>
    <w:lvl w:ilvl="7" w:tplc="0C090003" w:tentative="1">
      <w:start w:val="1"/>
      <w:numFmt w:val="bullet"/>
      <w:lvlText w:val="o"/>
      <w:lvlJc w:val="left"/>
      <w:pPr>
        <w:ind w:left="6973" w:hanging="360"/>
      </w:pPr>
      <w:rPr>
        <w:rFonts w:ascii="Courier New" w:hAnsi="Courier New" w:cs="Courier New" w:hint="default"/>
      </w:rPr>
    </w:lvl>
    <w:lvl w:ilvl="8" w:tplc="0C090005" w:tentative="1">
      <w:start w:val="1"/>
      <w:numFmt w:val="bullet"/>
      <w:lvlText w:val=""/>
      <w:lvlJc w:val="left"/>
      <w:pPr>
        <w:ind w:left="7693" w:hanging="360"/>
      </w:pPr>
      <w:rPr>
        <w:rFonts w:ascii="Wingdings" w:hAnsi="Wingdings" w:hint="default"/>
      </w:rPr>
    </w:lvl>
  </w:abstractNum>
  <w:abstractNum w:abstractNumId="41" w15:restartNumberingAfterBreak="0">
    <w:nsid w:val="7A142C78"/>
    <w:multiLevelType w:val="hybridMultilevel"/>
    <w:tmpl w:val="3E8265C2"/>
    <w:lvl w:ilvl="0" w:tplc="3132A946">
      <w:start w:val="1"/>
      <w:numFmt w:val="decimal"/>
      <w:lvlText w:val="(%1)"/>
      <w:lvlJc w:val="left"/>
      <w:pPr>
        <w:ind w:left="927" w:hanging="360"/>
      </w:pPr>
      <w:rPr>
        <w:rFonts w:ascii="Times New Roman" w:hAnsi="Times New Roman" w:cs="Times New Roman" w:hint="default"/>
        <w:b w:val="0"/>
        <w:bCs/>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207495958">
    <w:abstractNumId w:val="9"/>
  </w:num>
  <w:num w:numId="2" w16cid:durableId="1584801209">
    <w:abstractNumId w:val="7"/>
  </w:num>
  <w:num w:numId="3" w16cid:durableId="377362156">
    <w:abstractNumId w:val="6"/>
  </w:num>
  <w:num w:numId="4" w16cid:durableId="785780879">
    <w:abstractNumId w:val="5"/>
  </w:num>
  <w:num w:numId="5" w16cid:durableId="846990332">
    <w:abstractNumId w:val="4"/>
  </w:num>
  <w:num w:numId="6" w16cid:durableId="5135455">
    <w:abstractNumId w:val="8"/>
  </w:num>
  <w:num w:numId="7" w16cid:durableId="1610620828">
    <w:abstractNumId w:val="3"/>
  </w:num>
  <w:num w:numId="8" w16cid:durableId="288783843">
    <w:abstractNumId w:val="2"/>
  </w:num>
  <w:num w:numId="9" w16cid:durableId="1632906269">
    <w:abstractNumId w:val="1"/>
  </w:num>
  <w:num w:numId="10" w16cid:durableId="1517228048">
    <w:abstractNumId w:val="0"/>
  </w:num>
  <w:num w:numId="11" w16cid:durableId="2041466062">
    <w:abstractNumId w:val="35"/>
  </w:num>
  <w:num w:numId="12" w16cid:durableId="808209291">
    <w:abstractNumId w:val="13"/>
  </w:num>
  <w:num w:numId="13" w16cid:durableId="2089496460">
    <w:abstractNumId w:val="20"/>
  </w:num>
  <w:num w:numId="14" w16cid:durableId="1317495238">
    <w:abstractNumId w:val="31"/>
  </w:num>
  <w:num w:numId="15" w16cid:durableId="1289506028">
    <w:abstractNumId w:val="34"/>
  </w:num>
  <w:num w:numId="16" w16cid:durableId="960301127">
    <w:abstractNumId w:val="25"/>
  </w:num>
  <w:num w:numId="17" w16cid:durableId="1656032373">
    <w:abstractNumId w:val="17"/>
  </w:num>
  <w:num w:numId="18" w16cid:durableId="99954212">
    <w:abstractNumId w:val="37"/>
  </w:num>
  <w:num w:numId="19" w16cid:durableId="507522281">
    <w:abstractNumId w:val="11"/>
  </w:num>
  <w:num w:numId="20" w16cid:durableId="838736190">
    <w:abstractNumId w:val="12"/>
  </w:num>
  <w:num w:numId="21" w16cid:durableId="886335763">
    <w:abstractNumId w:val="33"/>
  </w:num>
  <w:num w:numId="22" w16cid:durableId="999774474">
    <w:abstractNumId w:val="23"/>
  </w:num>
  <w:num w:numId="23" w16cid:durableId="356467536">
    <w:abstractNumId w:val="16"/>
  </w:num>
  <w:num w:numId="24" w16cid:durableId="1700012801">
    <w:abstractNumId w:val="36"/>
  </w:num>
  <w:num w:numId="25" w16cid:durableId="80301839">
    <w:abstractNumId w:val="28"/>
  </w:num>
  <w:num w:numId="26" w16cid:durableId="1472480740">
    <w:abstractNumId w:val="18"/>
  </w:num>
  <w:num w:numId="27" w16cid:durableId="931087711">
    <w:abstractNumId w:val="24"/>
  </w:num>
  <w:num w:numId="28" w16cid:durableId="921525940">
    <w:abstractNumId w:val="39"/>
  </w:num>
  <w:num w:numId="29" w16cid:durableId="355277676">
    <w:abstractNumId w:val="32"/>
  </w:num>
  <w:num w:numId="30" w16cid:durableId="343752507">
    <w:abstractNumId w:val="41"/>
  </w:num>
  <w:num w:numId="31" w16cid:durableId="476459381">
    <w:abstractNumId w:val="10"/>
  </w:num>
  <w:num w:numId="32" w16cid:durableId="929389717">
    <w:abstractNumId w:val="15"/>
  </w:num>
  <w:num w:numId="33" w16cid:durableId="800005124">
    <w:abstractNumId w:val="14"/>
  </w:num>
  <w:num w:numId="34" w16cid:durableId="658851863">
    <w:abstractNumId w:val="38"/>
  </w:num>
  <w:num w:numId="35" w16cid:durableId="392431232">
    <w:abstractNumId w:val="19"/>
  </w:num>
  <w:num w:numId="36" w16cid:durableId="2028864849">
    <w:abstractNumId w:val="26"/>
  </w:num>
  <w:num w:numId="37" w16cid:durableId="636497960">
    <w:abstractNumId w:val="29"/>
  </w:num>
  <w:num w:numId="38" w16cid:durableId="1059590624">
    <w:abstractNumId w:val="40"/>
  </w:num>
  <w:num w:numId="39" w16cid:durableId="52117312">
    <w:abstractNumId w:val="22"/>
  </w:num>
  <w:num w:numId="40" w16cid:durableId="723334774">
    <w:abstractNumId w:val="30"/>
  </w:num>
  <w:num w:numId="41" w16cid:durableId="1321814051">
    <w:abstractNumId w:val="21"/>
  </w:num>
  <w:num w:numId="42" w16cid:durableId="5973669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D"/>
    <w:rsid w:val="00004174"/>
    <w:rsid w:val="00004470"/>
    <w:rsid w:val="00005959"/>
    <w:rsid w:val="0000704F"/>
    <w:rsid w:val="000136AF"/>
    <w:rsid w:val="000136F8"/>
    <w:rsid w:val="000161F5"/>
    <w:rsid w:val="000258B1"/>
    <w:rsid w:val="000311A1"/>
    <w:rsid w:val="0003153B"/>
    <w:rsid w:val="00033A5B"/>
    <w:rsid w:val="0003610C"/>
    <w:rsid w:val="0003679A"/>
    <w:rsid w:val="00040A89"/>
    <w:rsid w:val="000437C1"/>
    <w:rsid w:val="000443F3"/>
    <w:rsid w:val="0004455A"/>
    <w:rsid w:val="0004507C"/>
    <w:rsid w:val="00047E84"/>
    <w:rsid w:val="00051675"/>
    <w:rsid w:val="0005365D"/>
    <w:rsid w:val="00057012"/>
    <w:rsid w:val="000614BF"/>
    <w:rsid w:val="0006709C"/>
    <w:rsid w:val="00070D2B"/>
    <w:rsid w:val="000740B2"/>
    <w:rsid w:val="00074376"/>
    <w:rsid w:val="00080CFF"/>
    <w:rsid w:val="000812C8"/>
    <w:rsid w:val="00081D05"/>
    <w:rsid w:val="00081E71"/>
    <w:rsid w:val="00081F62"/>
    <w:rsid w:val="000867F6"/>
    <w:rsid w:val="00096E0C"/>
    <w:rsid w:val="000978F5"/>
    <w:rsid w:val="000A3E81"/>
    <w:rsid w:val="000A4D32"/>
    <w:rsid w:val="000B0CB4"/>
    <w:rsid w:val="000B15CD"/>
    <w:rsid w:val="000B35EB"/>
    <w:rsid w:val="000B5D26"/>
    <w:rsid w:val="000C05FA"/>
    <w:rsid w:val="000C12A0"/>
    <w:rsid w:val="000C333C"/>
    <w:rsid w:val="000C71CE"/>
    <w:rsid w:val="000D05EF"/>
    <w:rsid w:val="000D232D"/>
    <w:rsid w:val="000E0ECC"/>
    <w:rsid w:val="000E1322"/>
    <w:rsid w:val="000E2261"/>
    <w:rsid w:val="000E3872"/>
    <w:rsid w:val="000E3D3C"/>
    <w:rsid w:val="000E3F95"/>
    <w:rsid w:val="000E4551"/>
    <w:rsid w:val="000E4874"/>
    <w:rsid w:val="000E78B7"/>
    <w:rsid w:val="000F21C1"/>
    <w:rsid w:val="000F3457"/>
    <w:rsid w:val="000F503C"/>
    <w:rsid w:val="000F5236"/>
    <w:rsid w:val="000F6130"/>
    <w:rsid w:val="000F7233"/>
    <w:rsid w:val="000F7353"/>
    <w:rsid w:val="0010066F"/>
    <w:rsid w:val="001014FE"/>
    <w:rsid w:val="00104D3D"/>
    <w:rsid w:val="00105036"/>
    <w:rsid w:val="001063C5"/>
    <w:rsid w:val="0010745C"/>
    <w:rsid w:val="00110743"/>
    <w:rsid w:val="00116820"/>
    <w:rsid w:val="001205B5"/>
    <w:rsid w:val="001234B5"/>
    <w:rsid w:val="00124E7A"/>
    <w:rsid w:val="00125F02"/>
    <w:rsid w:val="001278F7"/>
    <w:rsid w:val="00132CEB"/>
    <w:rsid w:val="001339B0"/>
    <w:rsid w:val="00135BF6"/>
    <w:rsid w:val="00141B20"/>
    <w:rsid w:val="00142B62"/>
    <w:rsid w:val="001441B7"/>
    <w:rsid w:val="00145CC7"/>
    <w:rsid w:val="001516CB"/>
    <w:rsid w:val="00152336"/>
    <w:rsid w:val="00153978"/>
    <w:rsid w:val="00157B8B"/>
    <w:rsid w:val="00163D70"/>
    <w:rsid w:val="001641C2"/>
    <w:rsid w:val="00166205"/>
    <w:rsid w:val="00166C2F"/>
    <w:rsid w:val="001718E2"/>
    <w:rsid w:val="001809D7"/>
    <w:rsid w:val="0018334D"/>
    <w:rsid w:val="001838E9"/>
    <w:rsid w:val="00185632"/>
    <w:rsid w:val="00191208"/>
    <w:rsid w:val="001939E1"/>
    <w:rsid w:val="001941DC"/>
    <w:rsid w:val="00194C3E"/>
    <w:rsid w:val="00195382"/>
    <w:rsid w:val="001B169A"/>
    <w:rsid w:val="001B18FD"/>
    <w:rsid w:val="001B2CB6"/>
    <w:rsid w:val="001C29AF"/>
    <w:rsid w:val="001C5F8B"/>
    <w:rsid w:val="001C61C5"/>
    <w:rsid w:val="001C69C4"/>
    <w:rsid w:val="001D0894"/>
    <w:rsid w:val="001D37EF"/>
    <w:rsid w:val="001D449C"/>
    <w:rsid w:val="001E174E"/>
    <w:rsid w:val="001E2872"/>
    <w:rsid w:val="001E3590"/>
    <w:rsid w:val="001E37FE"/>
    <w:rsid w:val="001E7407"/>
    <w:rsid w:val="001F154B"/>
    <w:rsid w:val="001F23F7"/>
    <w:rsid w:val="001F472A"/>
    <w:rsid w:val="001F5790"/>
    <w:rsid w:val="001F5D5E"/>
    <w:rsid w:val="001F6219"/>
    <w:rsid w:val="001F6CD4"/>
    <w:rsid w:val="001F7AE4"/>
    <w:rsid w:val="00205684"/>
    <w:rsid w:val="00206C4D"/>
    <w:rsid w:val="00211E15"/>
    <w:rsid w:val="00215AF1"/>
    <w:rsid w:val="002162FD"/>
    <w:rsid w:val="00222288"/>
    <w:rsid w:val="00224050"/>
    <w:rsid w:val="002321E8"/>
    <w:rsid w:val="00232984"/>
    <w:rsid w:val="00235D5A"/>
    <w:rsid w:val="00236B0A"/>
    <w:rsid w:val="0024010F"/>
    <w:rsid w:val="00240749"/>
    <w:rsid w:val="00243018"/>
    <w:rsid w:val="00247597"/>
    <w:rsid w:val="00255925"/>
    <w:rsid w:val="002564A4"/>
    <w:rsid w:val="0026736C"/>
    <w:rsid w:val="00275EA7"/>
    <w:rsid w:val="002773D0"/>
    <w:rsid w:val="00281308"/>
    <w:rsid w:val="00283DCF"/>
    <w:rsid w:val="00284719"/>
    <w:rsid w:val="00284E8F"/>
    <w:rsid w:val="00291127"/>
    <w:rsid w:val="00297ECB"/>
    <w:rsid w:val="002A3AF6"/>
    <w:rsid w:val="002A6A4C"/>
    <w:rsid w:val="002A7BCF"/>
    <w:rsid w:val="002B0C71"/>
    <w:rsid w:val="002B21E0"/>
    <w:rsid w:val="002B3E4D"/>
    <w:rsid w:val="002B4323"/>
    <w:rsid w:val="002B43E9"/>
    <w:rsid w:val="002B589C"/>
    <w:rsid w:val="002B7ED2"/>
    <w:rsid w:val="002C17BD"/>
    <w:rsid w:val="002C1913"/>
    <w:rsid w:val="002C3FD1"/>
    <w:rsid w:val="002C474A"/>
    <w:rsid w:val="002C56C5"/>
    <w:rsid w:val="002D043A"/>
    <w:rsid w:val="002D266B"/>
    <w:rsid w:val="002D60A6"/>
    <w:rsid w:val="002D6224"/>
    <w:rsid w:val="002F3DC6"/>
    <w:rsid w:val="00300405"/>
    <w:rsid w:val="00304B02"/>
    <w:rsid w:val="00304F8B"/>
    <w:rsid w:val="003069E2"/>
    <w:rsid w:val="00313541"/>
    <w:rsid w:val="003140BB"/>
    <w:rsid w:val="0031552B"/>
    <w:rsid w:val="0032344A"/>
    <w:rsid w:val="00325766"/>
    <w:rsid w:val="0032767D"/>
    <w:rsid w:val="00335BC6"/>
    <w:rsid w:val="003363B9"/>
    <w:rsid w:val="00336F73"/>
    <w:rsid w:val="0034139E"/>
    <w:rsid w:val="003415D3"/>
    <w:rsid w:val="00341E51"/>
    <w:rsid w:val="00344338"/>
    <w:rsid w:val="00344701"/>
    <w:rsid w:val="00352B0F"/>
    <w:rsid w:val="0035364B"/>
    <w:rsid w:val="0035526D"/>
    <w:rsid w:val="00355833"/>
    <w:rsid w:val="00355C1B"/>
    <w:rsid w:val="00360459"/>
    <w:rsid w:val="00360F6F"/>
    <w:rsid w:val="003633CC"/>
    <w:rsid w:val="003640D8"/>
    <w:rsid w:val="00370DB0"/>
    <w:rsid w:val="0038049F"/>
    <w:rsid w:val="00383795"/>
    <w:rsid w:val="00384C5C"/>
    <w:rsid w:val="003866BF"/>
    <w:rsid w:val="00391EA0"/>
    <w:rsid w:val="00391FEE"/>
    <w:rsid w:val="00395D8F"/>
    <w:rsid w:val="003A4A66"/>
    <w:rsid w:val="003B1A4C"/>
    <w:rsid w:val="003B3C28"/>
    <w:rsid w:val="003B56B7"/>
    <w:rsid w:val="003C6231"/>
    <w:rsid w:val="003D0BFE"/>
    <w:rsid w:val="003D5700"/>
    <w:rsid w:val="003E341B"/>
    <w:rsid w:val="003E4D00"/>
    <w:rsid w:val="003E584E"/>
    <w:rsid w:val="003E737A"/>
    <w:rsid w:val="003F4F4F"/>
    <w:rsid w:val="003F59A9"/>
    <w:rsid w:val="004116CD"/>
    <w:rsid w:val="0041392F"/>
    <w:rsid w:val="00417EB9"/>
    <w:rsid w:val="00421581"/>
    <w:rsid w:val="00424CA9"/>
    <w:rsid w:val="004276DF"/>
    <w:rsid w:val="00431850"/>
    <w:rsid w:val="00431E9B"/>
    <w:rsid w:val="00434CE6"/>
    <w:rsid w:val="004375D0"/>
    <w:rsid w:val="004379E3"/>
    <w:rsid w:val="0044015E"/>
    <w:rsid w:val="0044291A"/>
    <w:rsid w:val="00451E60"/>
    <w:rsid w:val="00452AB1"/>
    <w:rsid w:val="004648F9"/>
    <w:rsid w:val="00465128"/>
    <w:rsid w:val="00465980"/>
    <w:rsid w:val="00467661"/>
    <w:rsid w:val="004726C8"/>
    <w:rsid w:val="00472DBE"/>
    <w:rsid w:val="00473D14"/>
    <w:rsid w:val="00473DE6"/>
    <w:rsid w:val="00474A19"/>
    <w:rsid w:val="00477830"/>
    <w:rsid w:val="00487764"/>
    <w:rsid w:val="00496F97"/>
    <w:rsid w:val="004A2283"/>
    <w:rsid w:val="004A4A1E"/>
    <w:rsid w:val="004A7B8A"/>
    <w:rsid w:val="004B22F8"/>
    <w:rsid w:val="004B6C48"/>
    <w:rsid w:val="004C4E59"/>
    <w:rsid w:val="004C6809"/>
    <w:rsid w:val="004D27F8"/>
    <w:rsid w:val="004D2FC4"/>
    <w:rsid w:val="004D32DD"/>
    <w:rsid w:val="004D3434"/>
    <w:rsid w:val="004D4A71"/>
    <w:rsid w:val="004D6503"/>
    <w:rsid w:val="004E063A"/>
    <w:rsid w:val="004E1307"/>
    <w:rsid w:val="004E45BA"/>
    <w:rsid w:val="004E7BEC"/>
    <w:rsid w:val="00505D3D"/>
    <w:rsid w:val="00506AF6"/>
    <w:rsid w:val="00506E38"/>
    <w:rsid w:val="005077E9"/>
    <w:rsid w:val="0051561E"/>
    <w:rsid w:val="00516B8D"/>
    <w:rsid w:val="00517562"/>
    <w:rsid w:val="005176D1"/>
    <w:rsid w:val="00517FB7"/>
    <w:rsid w:val="005245F0"/>
    <w:rsid w:val="005303C8"/>
    <w:rsid w:val="00532E36"/>
    <w:rsid w:val="00536278"/>
    <w:rsid w:val="00537FBC"/>
    <w:rsid w:val="00541142"/>
    <w:rsid w:val="00541CFE"/>
    <w:rsid w:val="005462E1"/>
    <w:rsid w:val="00550480"/>
    <w:rsid w:val="00552698"/>
    <w:rsid w:val="00554826"/>
    <w:rsid w:val="00556C10"/>
    <w:rsid w:val="00562877"/>
    <w:rsid w:val="005656FD"/>
    <w:rsid w:val="00566D6D"/>
    <w:rsid w:val="00572C7A"/>
    <w:rsid w:val="00574922"/>
    <w:rsid w:val="005777F6"/>
    <w:rsid w:val="00581C57"/>
    <w:rsid w:val="00584811"/>
    <w:rsid w:val="00584D37"/>
    <w:rsid w:val="00585784"/>
    <w:rsid w:val="00593AA6"/>
    <w:rsid w:val="00594161"/>
    <w:rsid w:val="00594749"/>
    <w:rsid w:val="005A24EF"/>
    <w:rsid w:val="005A2531"/>
    <w:rsid w:val="005A32E9"/>
    <w:rsid w:val="005A332B"/>
    <w:rsid w:val="005A58AA"/>
    <w:rsid w:val="005A65D5"/>
    <w:rsid w:val="005B1251"/>
    <w:rsid w:val="005B1590"/>
    <w:rsid w:val="005B4067"/>
    <w:rsid w:val="005B4977"/>
    <w:rsid w:val="005B4DD1"/>
    <w:rsid w:val="005B65F9"/>
    <w:rsid w:val="005C3F41"/>
    <w:rsid w:val="005C7EDD"/>
    <w:rsid w:val="005D0B6F"/>
    <w:rsid w:val="005D1D92"/>
    <w:rsid w:val="005D2773"/>
    <w:rsid w:val="005D2D09"/>
    <w:rsid w:val="005D61B6"/>
    <w:rsid w:val="005E2CF2"/>
    <w:rsid w:val="005E39AE"/>
    <w:rsid w:val="005E3B7B"/>
    <w:rsid w:val="005E63E4"/>
    <w:rsid w:val="005F1FA7"/>
    <w:rsid w:val="005F3070"/>
    <w:rsid w:val="005F30ED"/>
    <w:rsid w:val="00600219"/>
    <w:rsid w:val="00604F2A"/>
    <w:rsid w:val="00606501"/>
    <w:rsid w:val="006072FD"/>
    <w:rsid w:val="00612B5D"/>
    <w:rsid w:val="00615517"/>
    <w:rsid w:val="00615AA3"/>
    <w:rsid w:val="00616015"/>
    <w:rsid w:val="00620076"/>
    <w:rsid w:val="00622681"/>
    <w:rsid w:val="00623780"/>
    <w:rsid w:val="00627E0A"/>
    <w:rsid w:val="00631062"/>
    <w:rsid w:val="00633087"/>
    <w:rsid w:val="006341CB"/>
    <w:rsid w:val="00634A75"/>
    <w:rsid w:val="00636538"/>
    <w:rsid w:val="00640F1B"/>
    <w:rsid w:val="00641E79"/>
    <w:rsid w:val="0064240B"/>
    <w:rsid w:val="00645EEC"/>
    <w:rsid w:val="0065488B"/>
    <w:rsid w:val="006558A2"/>
    <w:rsid w:val="00655D61"/>
    <w:rsid w:val="006659E5"/>
    <w:rsid w:val="00670C26"/>
    <w:rsid w:val="00670EA1"/>
    <w:rsid w:val="00672371"/>
    <w:rsid w:val="00677CC2"/>
    <w:rsid w:val="00681587"/>
    <w:rsid w:val="0068744B"/>
    <w:rsid w:val="006903D5"/>
    <w:rsid w:val="006905DE"/>
    <w:rsid w:val="0069207B"/>
    <w:rsid w:val="00694BBA"/>
    <w:rsid w:val="006A0C49"/>
    <w:rsid w:val="006A154F"/>
    <w:rsid w:val="006A437B"/>
    <w:rsid w:val="006A660D"/>
    <w:rsid w:val="006B4946"/>
    <w:rsid w:val="006B5011"/>
    <w:rsid w:val="006B5789"/>
    <w:rsid w:val="006C0826"/>
    <w:rsid w:val="006C2543"/>
    <w:rsid w:val="006C2674"/>
    <w:rsid w:val="006C30C5"/>
    <w:rsid w:val="006C5274"/>
    <w:rsid w:val="006C64A5"/>
    <w:rsid w:val="006C7F8C"/>
    <w:rsid w:val="006E0CDA"/>
    <w:rsid w:val="006E2E1C"/>
    <w:rsid w:val="006E53CC"/>
    <w:rsid w:val="006E54C6"/>
    <w:rsid w:val="006E6246"/>
    <w:rsid w:val="006E69C2"/>
    <w:rsid w:val="006E6DCC"/>
    <w:rsid w:val="006F124A"/>
    <w:rsid w:val="006F17DC"/>
    <w:rsid w:val="006F318F"/>
    <w:rsid w:val="006F5DDF"/>
    <w:rsid w:val="0070017E"/>
    <w:rsid w:val="00700B2C"/>
    <w:rsid w:val="00704639"/>
    <w:rsid w:val="007050A2"/>
    <w:rsid w:val="00711B44"/>
    <w:rsid w:val="00713084"/>
    <w:rsid w:val="00714F20"/>
    <w:rsid w:val="0071590F"/>
    <w:rsid w:val="00715914"/>
    <w:rsid w:val="00716081"/>
    <w:rsid w:val="00716BB7"/>
    <w:rsid w:val="0072147A"/>
    <w:rsid w:val="007220FD"/>
    <w:rsid w:val="00723791"/>
    <w:rsid w:val="0072588A"/>
    <w:rsid w:val="00731E00"/>
    <w:rsid w:val="00741A90"/>
    <w:rsid w:val="007440B7"/>
    <w:rsid w:val="007500C8"/>
    <w:rsid w:val="00751B08"/>
    <w:rsid w:val="0075388E"/>
    <w:rsid w:val="00754E52"/>
    <w:rsid w:val="00756272"/>
    <w:rsid w:val="00757261"/>
    <w:rsid w:val="00760D54"/>
    <w:rsid w:val="00762D38"/>
    <w:rsid w:val="007715C9"/>
    <w:rsid w:val="00771613"/>
    <w:rsid w:val="0077388D"/>
    <w:rsid w:val="00774EDD"/>
    <w:rsid w:val="007757EC"/>
    <w:rsid w:val="007766D2"/>
    <w:rsid w:val="00781420"/>
    <w:rsid w:val="00781F52"/>
    <w:rsid w:val="00783E89"/>
    <w:rsid w:val="007859C8"/>
    <w:rsid w:val="00790EEC"/>
    <w:rsid w:val="007920FD"/>
    <w:rsid w:val="00793915"/>
    <w:rsid w:val="00795F08"/>
    <w:rsid w:val="007A70D2"/>
    <w:rsid w:val="007A7664"/>
    <w:rsid w:val="007A798E"/>
    <w:rsid w:val="007B0B37"/>
    <w:rsid w:val="007B3E2E"/>
    <w:rsid w:val="007C1F84"/>
    <w:rsid w:val="007C2253"/>
    <w:rsid w:val="007C5968"/>
    <w:rsid w:val="007C5A81"/>
    <w:rsid w:val="007C5AF4"/>
    <w:rsid w:val="007D2A75"/>
    <w:rsid w:val="007D6914"/>
    <w:rsid w:val="007D6F53"/>
    <w:rsid w:val="007D7911"/>
    <w:rsid w:val="007E163D"/>
    <w:rsid w:val="007E1791"/>
    <w:rsid w:val="007E4441"/>
    <w:rsid w:val="007E667A"/>
    <w:rsid w:val="007E7773"/>
    <w:rsid w:val="007F28C9"/>
    <w:rsid w:val="007F4276"/>
    <w:rsid w:val="007F51B2"/>
    <w:rsid w:val="00802814"/>
    <w:rsid w:val="00803BB3"/>
    <w:rsid w:val="008040DD"/>
    <w:rsid w:val="00806C89"/>
    <w:rsid w:val="00810A0F"/>
    <w:rsid w:val="008117E9"/>
    <w:rsid w:val="0081685D"/>
    <w:rsid w:val="0081733D"/>
    <w:rsid w:val="0082005F"/>
    <w:rsid w:val="0082086E"/>
    <w:rsid w:val="00824498"/>
    <w:rsid w:val="0082466A"/>
    <w:rsid w:val="00826BD1"/>
    <w:rsid w:val="00830857"/>
    <w:rsid w:val="00843AAD"/>
    <w:rsid w:val="00843BB6"/>
    <w:rsid w:val="00854D0B"/>
    <w:rsid w:val="00855FC6"/>
    <w:rsid w:val="00856A31"/>
    <w:rsid w:val="0085745A"/>
    <w:rsid w:val="00860B4E"/>
    <w:rsid w:val="00865ED8"/>
    <w:rsid w:val="0086706C"/>
    <w:rsid w:val="00867B37"/>
    <w:rsid w:val="00873E09"/>
    <w:rsid w:val="008754D0"/>
    <w:rsid w:val="00875D13"/>
    <w:rsid w:val="00877B61"/>
    <w:rsid w:val="008824C9"/>
    <w:rsid w:val="0088352C"/>
    <w:rsid w:val="0088509E"/>
    <w:rsid w:val="008855C9"/>
    <w:rsid w:val="00886456"/>
    <w:rsid w:val="00886FCB"/>
    <w:rsid w:val="008871D6"/>
    <w:rsid w:val="0089037F"/>
    <w:rsid w:val="00896176"/>
    <w:rsid w:val="008A116E"/>
    <w:rsid w:val="008A33C2"/>
    <w:rsid w:val="008A39FF"/>
    <w:rsid w:val="008A4599"/>
    <w:rsid w:val="008A46E1"/>
    <w:rsid w:val="008A4DD4"/>
    <w:rsid w:val="008A4F43"/>
    <w:rsid w:val="008B0126"/>
    <w:rsid w:val="008B014A"/>
    <w:rsid w:val="008B2706"/>
    <w:rsid w:val="008B3E0E"/>
    <w:rsid w:val="008C0B3C"/>
    <w:rsid w:val="008C2EAC"/>
    <w:rsid w:val="008C6251"/>
    <w:rsid w:val="008D096B"/>
    <w:rsid w:val="008D0EE0"/>
    <w:rsid w:val="008D1785"/>
    <w:rsid w:val="008D67C6"/>
    <w:rsid w:val="008D6C63"/>
    <w:rsid w:val="008E0027"/>
    <w:rsid w:val="008E0E13"/>
    <w:rsid w:val="008E6067"/>
    <w:rsid w:val="008E7CAA"/>
    <w:rsid w:val="008F2C4F"/>
    <w:rsid w:val="008F54E7"/>
    <w:rsid w:val="008F68DB"/>
    <w:rsid w:val="00903422"/>
    <w:rsid w:val="00907EA7"/>
    <w:rsid w:val="0091691F"/>
    <w:rsid w:val="00916AB1"/>
    <w:rsid w:val="00920112"/>
    <w:rsid w:val="00922189"/>
    <w:rsid w:val="009254C3"/>
    <w:rsid w:val="00932377"/>
    <w:rsid w:val="009343D7"/>
    <w:rsid w:val="009375B6"/>
    <w:rsid w:val="00941236"/>
    <w:rsid w:val="00943FD5"/>
    <w:rsid w:val="00947D5A"/>
    <w:rsid w:val="009526A5"/>
    <w:rsid w:val="009532A5"/>
    <w:rsid w:val="009545BD"/>
    <w:rsid w:val="00956F2F"/>
    <w:rsid w:val="0096473F"/>
    <w:rsid w:val="00964CF0"/>
    <w:rsid w:val="0096782F"/>
    <w:rsid w:val="00977806"/>
    <w:rsid w:val="00982242"/>
    <w:rsid w:val="009856BB"/>
    <w:rsid w:val="009868E9"/>
    <w:rsid w:val="009869D1"/>
    <w:rsid w:val="009900A3"/>
    <w:rsid w:val="00996D9B"/>
    <w:rsid w:val="009A15EF"/>
    <w:rsid w:val="009A3D82"/>
    <w:rsid w:val="009A4AFC"/>
    <w:rsid w:val="009A7427"/>
    <w:rsid w:val="009B15B8"/>
    <w:rsid w:val="009B3086"/>
    <w:rsid w:val="009B3248"/>
    <w:rsid w:val="009C3413"/>
    <w:rsid w:val="009C53FC"/>
    <w:rsid w:val="009C75BA"/>
    <w:rsid w:val="009D022B"/>
    <w:rsid w:val="009D5772"/>
    <w:rsid w:val="009D5FCF"/>
    <w:rsid w:val="009E061F"/>
    <w:rsid w:val="009E1881"/>
    <w:rsid w:val="009F136B"/>
    <w:rsid w:val="009F3C13"/>
    <w:rsid w:val="009F6F1D"/>
    <w:rsid w:val="009F7B98"/>
    <w:rsid w:val="00A0441E"/>
    <w:rsid w:val="00A113BE"/>
    <w:rsid w:val="00A12128"/>
    <w:rsid w:val="00A128EA"/>
    <w:rsid w:val="00A20AAF"/>
    <w:rsid w:val="00A225C8"/>
    <w:rsid w:val="00A22C2F"/>
    <w:rsid w:val="00A22C98"/>
    <w:rsid w:val="00A231E2"/>
    <w:rsid w:val="00A2529F"/>
    <w:rsid w:val="00A33212"/>
    <w:rsid w:val="00A36354"/>
    <w:rsid w:val="00A369E3"/>
    <w:rsid w:val="00A43684"/>
    <w:rsid w:val="00A44045"/>
    <w:rsid w:val="00A57600"/>
    <w:rsid w:val="00A6108E"/>
    <w:rsid w:val="00A64912"/>
    <w:rsid w:val="00A70A74"/>
    <w:rsid w:val="00A70AF4"/>
    <w:rsid w:val="00A71B4E"/>
    <w:rsid w:val="00A75FE9"/>
    <w:rsid w:val="00A817D1"/>
    <w:rsid w:val="00A838BE"/>
    <w:rsid w:val="00A849F1"/>
    <w:rsid w:val="00A8736E"/>
    <w:rsid w:val="00A90735"/>
    <w:rsid w:val="00A978AC"/>
    <w:rsid w:val="00AA1259"/>
    <w:rsid w:val="00AA1FF2"/>
    <w:rsid w:val="00AA7FE3"/>
    <w:rsid w:val="00AC37F7"/>
    <w:rsid w:val="00AD0B31"/>
    <w:rsid w:val="00AD53CC"/>
    <w:rsid w:val="00AD5641"/>
    <w:rsid w:val="00AD5A3C"/>
    <w:rsid w:val="00AD6175"/>
    <w:rsid w:val="00AD665A"/>
    <w:rsid w:val="00AD7284"/>
    <w:rsid w:val="00AE111F"/>
    <w:rsid w:val="00AE2E8C"/>
    <w:rsid w:val="00AE4D0D"/>
    <w:rsid w:val="00AF06CF"/>
    <w:rsid w:val="00B01365"/>
    <w:rsid w:val="00B02075"/>
    <w:rsid w:val="00B05411"/>
    <w:rsid w:val="00B07CDB"/>
    <w:rsid w:val="00B14A26"/>
    <w:rsid w:val="00B16A31"/>
    <w:rsid w:val="00B17DFD"/>
    <w:rsid w:val="00B2129D"/>
    <w:rsid w:val="00B23CA0"/>
    <w:rsid w:val="00B24F49"/>
    <w:rsid w:val="00B25306"/>
    <w:rsid w:val="00B27831"/>
    <w:rsid w:val="00B308FE"/>
    <w:rsid w:val="00B312DA"/>
    <w:rsid w:val="00B33709"/>
    <w:rsid w:val="00B33B3C"/>
    <w:rsid w:val="00B36392"/>
    <w:rsid w:val="00B418CB"/>
    <w:rsid w:val="00B47409"/>
    <w:rsid w:val="00B47444"/>
    <w:rsid w:val="00B50ADC"/>
    <w:rsid w:val="00B566B1"/>
    <w:rsid w:val="00B63834"/>
    <w:rsid w:val="00B761B3"/>
    <w:rsid w:val="00B7689B"/>
    <w:rsid w:val="00B80199"/>
    <w:rsid w:val="00B80DA4"/>
    <w:rsid w:val="00B823FA"/>
    <w:rsid w:val="00B83204"/>
    <w:rsid w:val="00B856E7"/>
    <w:rsid w:val="00B93F9B"/>
    <w:rsid w:val="00B941D3"/>
    <w:rsid w:val="00B94C05"/>
    <w:rsid w:val="00B954DD"/>
    <w:rsid w:val="00BA220B"/>
    <w:rsid w:val="00BA3A57"/>
    <w:rsid w:val="00BA3FDB"/>
    <w:rsid w:val="00BB1533"/>
    <w:rsid w:val="00BB4E1A"/>
    <w:rsid w:val="00BC015E"/>
    <w:rsid w:val="00BC239E"/>
    <w:rsid w:val="00BC3DD2"/>
    <w:rsid w:val="00BC6433"/>
    <w:rsid w:val="00BC76AC"/>
    <w:rsid w:val="00BD0ECB"/>
    <w:rsid w:val="00BD252C"/>
    <w:rsid w:val="00BD54EF"/>
    <w:rsid w:val="00BD710B"/>
    <w:rsid w:val="00BE12D7"/>
    <w:rsid w:val="00BE2155"/>
    <w:rsid w:val="00BE719A"/>
    <w:rsid w:val="00BE720A"/>
    <w:rsid w:val="00BE7397"/>
    <w:rsid w:val="00BF0D73"/>
    <w:rsid w:val="00BF1051"/>
    <w:rsid w:val="00BF2465"/>
    <w:rsid w:val="00BF2B4D"/>
    <w:rsid w:val="00BF3DE0"/>
    <w:rsid w:val="00BF3FD6"/>
    <w:rsid w:val="00C05F36"/>
    <w:rsid w:val="00C060E9"/>
    <w:rsid w:val="00C13D49"/>
    <w:rsid w:val="00C14CD4"/>
    <w:rsid w:val="00C15A33"/>
    <w:rsid w:val="00C161EA"/>
    <w:rsid w:val="00C16619"/>
    <w:rsid w:val="00C25E7F"/>
    <w:rsid w:val="00C2637F"/>
    <w:rsid w:val="00C26A9B"/>
    <w:rsid w:val="00C2746F"/>
    <w:rsid w:val="00C27E32"/>
    <w:rsid w:val="00C323D6"/>
    <w:rsid w:val="00C3240E"/>
    <w:rsid w:val="00C324A0"/>
    <w:rsid w:val="00C345A1"/>
    <w:rsid w:val="00C34648"/>
    <w:rsid w:val="00C42BF8"/>
    <w:rsid w:val="00C44B41"/>
    <w:rsid w:val="00C44EA3"/>
    <w:rsid w:val="00C50043"/>
    <w:rsid w:val="00C53154"/>
    <w:rsid w:val="00C55780"/>
    <w:rsid w:val="00C57D69"/>
    <w:rsid w:val="00C60F29"/>
    <w:rsid w:val="00C623C7"/>
    <w:rsid w:val="00C62499"/>
    <w:rsid w:val="00C642FD"/>
    <w:rsid w:val="00C673DB"/>
    <w:rsid w:val="00C73D0B"/>
    <w:rsid w:val="00C7573B"/>
    <w:rsid w:val="00C7576A"/>
    <w:rsid w:val="00C82B6E"/>
    <w:rsid w:val="00C8340A"/>
    <w:rsid w:val="00C85254"/>
    <w:rsid w:val="00C90D59"/>
    <w:rsid w:val="00C94AC0"/>
    <w:rsid w:val="00C97A54"/>
    <w:rsid w:val="00C97BE8"/>
    <w:rsid w:val="00CA01B7"/>
    <w:rsid w:val="00CA5B23"/>
    <w:rsid w:val="00CA5EA1"/>
    <w:rsid w:val="00CB303B"/>
    <w:rsid w:val="00CB602E"/>
    <w:rsid w:val="00CB646D"/>
    <w:rsid w:val="00CB7E90"/>
    <w:rsid w:val="00CC164D"/>
    <w:rsid w:val="00CC2E40"/>
    <w:rsid w:val="00CD21DF"/>
    <w:rsid w:val="00CD2206"/>
    <w:rsid w:val="00CD386E"/>
    <w:rsid w:val="00CE051D"/>
    <w:rsid w:val="00CE1335"/>
    <w:rsid w:val="00CE1CF7"/>
    <w:rsid w:val="00CE35C0"/>
    <w:rsid w:val="00CE493D"/>
    <w:rsid w:val="00CF07FA"/>
    <w:rsid w:val="00CF0BB2"/>
    <w:rsid w:val="00CF3EE8"/>
    <w:rsid w:val="00CF5BD2"/>
    <w:rsid w:val="00D01790"/>
    <w:rsid w:val="00D01FDE"/>
    <w:rsid w:val="00D1019F"/>
    <w:rsid w:val="00D13441"/>
    <w:rsid w:val="00D150E7"/>
    <w:rsid w:val="00D21E70"/>
    <w:rsid w:val="00D2319D"/>
    <w:rsid w:val="00D30E3B"/>
    <w:rsid w:val="00D3186A"/>
    <w:rsid w:val="00D320C2"/>
    <w:rsid w:val="00D32826"/>
    <w:rsid w:val="00D447C2"/>
    <w:rsid w:val="00D467FF"/>
    <w:rsid w:val="00D528F0"/>
    <w:rsid w:val="00D52DC2"/>
    <w:rsid w:val="00D53BCC"/>
    <w:rsid w:val="00D54C9E"/>
    <w:rsid w:val="00D54DE5"/>
    <w:rsid w:val="00D6537E"/>
    <w:rsid w:val="00D6592F"/>
    <w:rsid w:val="00D70DFB"/>
    <w:rsid w:val="00D766DF"/>
    <w:rsid w:val="00D8206C"/>
    <w:rsid w:val="00D831FC"/>
    <w:rsid w:val="00D91F10"/>
    <w:rsid w:val="00DA186E"/>
    <w:rsid w:val="00DA40CA"/>
    <w:rsid w:val="00DA4116"/>
    <w:rsid w:val="00DA7218"/>
    <w:rsid w:val="00DB251C"/>
    <w:rsid w:val="00DB29D1"/>
    <w:rsid w:val="00DB4630"/>
    <w:rsid w:val="00DC2C4D"/>
    <w:rsid w:val="00DC4F88"/>
    <w:rsid w:val="00DD4B12"/>
    <w:rsid w:val="00DD4C51"/>
    <w:rsid w:val="00DE107C"/>
    <w:rsid w:val="00DE361B"/>
    <w:rsid w:val="00DE610E"/>
    <w:rsid w:val="00DF0F4C"/>
    <w:rsid w:val="00DF2388"/>
    <w:rsid w:val="00DF2EEC"/>
    <w:rsid w:val="00DF343C"/>
    <w:rsid w:val="00DF5839"/>
    <w:rsid w:val="00E01748"/>
    <w:rsid w:val="00E05704"/>
    <w:rsid w:val="00E110B4"/>
    <w:rsid w:val="00E1142D"/>
    <w:rsid w:val="00E161EA"/>
    <w:rsid w:val="00E338EF"/>
    <w:rsid w:val="00E44929"/>
    <w:rsid w:val="00E4643C"/>
    <w:rsid w:val="00E47598"/>
    <w:rsid w:val="00E544BB"/>
    <w:rsid w:val="00E65258"/>
    <w:rsid w:val="00E70EFE"/>
    <w:rsid w:val="00E73485"/>
    <w:rsid w:val="00E74DC7"/>
    <w:rsid w:val="00E77AEE"/>
    <w:rsid w:val="00E8014B"/>
    <w:rsid w:val="00E8075A"/>
    <w:rsid w:val="00E84B36"/>
    <w:rsid w:val="00E9209A"/>
    <w:rsid w:val="00E940D8"/>
    <w:rsid w:val="00E94D5E"/>
    <w:rsid w:val="00E95005"/>
    <w:rsid w:val="00EA7100"/>
    <w:rsid w:val="00EA7F9F"/>
    <w:rsid w:val="00EB0557"/>
    <w:rsid w:val="00EB0952"/>
    <w:rsid w:val="00EB1157"/>
    <w:rsid w:val="00EB1274"/>
    <w:rsid w:val="00EB4473"/>
    <w:rsid w:val="00EB62AD"/>
    <w:rsid w:val="00EC3474"/>
    <w:rsid w:val="00EC399D"/>
    <w:rsid w:val="00EC5388"/>
    <w:rsid w:val="00EC6856"/>
    <w:rsid w:val="00EC6BB5"/>
    <w:rsid w:val="00EC73DA"/>
    <w:rsid w:val="00EC7FAB"/>
    <w:rsid w:val="00ED03EA"/>
    <w:rsid w:val="00ED2BB6"/>
    <w:rsid w:val="00ED34E1"/>
    <w:rsid w:val="00ED3B8D"/>
    <w:rsid w:val="00EE053F"/>
    <w:rsid w:val="00EE54C8"/>
    <w:rsid w:val="00EE5E36"/>
    <w:rsid w:val="00EF2E3A"/>
    <w:rsid w:val="00EF3E24"/>
    <w:rsid w:val="00EF57CC"/>
    <w:rsid w:val="00F02C7C"/>
    <w:rsid w:val="00F04A19"/>
    <w:rsid w:val="00F06E84"/>
    <w:rsid w:val="00F072A7"/>
    <w:rsid w:val="00F078DC"/>
    <w:rsid w:val="00F07DC4"/>
    <w:rsid w:val="00F13D4A"/>
    <w:rsid w:val="00F31153"/>
    <w:rsid w:val="00F32BA8"/>
    <w:rsid w:val="00F32EE0"/>
    <w:rsid w:val="00F349F1"/>
    <w:rsid w:val="00F364E4"/>
    <w:rsid w:val="00F41B7A"/>
    <w:rsid w:val="00F42F3B"/>
    <w:rsid w:val="00F432EA"/>
    <w:rsid w:val="00F4350D"/>
    <w:rsid w:val="00F46DD1"/>
    <w:rsid w:val="00F476DF"/>
    <w:rsid w:val="00F479C4"/>
    <w:rsid w:val="00F567F7"/>
    <w:rsid w:val="00F6070C"/>
    <w:rsid w:val="00F6337A"/>
    <w:rsid w:val="00F6696E"/>
    <w:rsid w:val="00F716BD"/>
    <w:rsid w:val="00F73BD6"/>
    <w:rsid w:val="00F756C7"/>
    <w:rsid w:val="00F77B62"/>
    <w:rsid w:val="00F83989"/>
    <w:rsid w:val="00F85099"/>
    <w:rsid w:val="00F8562F"/>
    <w:rsid w:val="00F92722"/>
    <w:rsid w:val="00F92E7F"/>
    <w:rsid w:val="00F9379C"/>
    <w:rsid w:val="00F95E13"/>
    <w:rsid w:val="00F9632C"/>
    <w:rsid w:val="00F96A31"/>
    <w:rsid w:val="00F96F8C"/>
    <w:rsid w:val="00FA0AAA"/>
    <w:rsid w:val="00FA1BD8"/>
    <w:rsid w:val="00FA1E52"/>
    <w:rsid w:val="00FA4682"/>
    <w:rsid w:val="00FB5A08"/>
    <w:rsid w:val="00FB61C6"/>
    <w:rsid w:val="00FB7E9F"/>
    <w:rsid w:val="00FC6A80"/>
    <w:rsid w:val="00FD24FE"/>
    <w:rsid w:val="00FD2C49"/>
    <w:rsid w:val="00FD3011"/>
    <w:rsid w:val="00FD32E2"/>
    <w:rsid w:val="00FD4D29"/>
    <w:rsid w:val="00FD5E44"/>
    <w:rsid w:val="00FD68AC"/>
    <w:rsid w:val="00FD7F59"/>
    <w:rsid w:val="00FE1BE6"/>
    <w:rsid w:val="00FE4688"/>
    <w:rsid w:val="00FE7207"/>
    <w:rsid w:val="00FF5704"/>
    <w:rsid w:val="00FF6892"/>
    <w:rsid w:val="3C12D23F"/>
    <w:rsid w:val="52A44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5170"/>
  <w15:docId w15:val="{A1ECC276-BC16-442E-8C2C-3E7B4886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aliases w:val="h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337A"/>
    <w:pPr>
      <w:keepNext/>
      <w:keepLines/>
      <w:spacing w:before="280" w:line="240" w:lineRule="auto"/>
      <w:ind w:left="1134" w:hanging="1134"/>
      <w:outlineLvl w:val="6"/>
    </w:pPr>
    <w:rPr>
      <w:b/>
      <w:kern w:val="28"/>
      <w:sz w:val="24"/>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C26A9B"/>
    <w:rPr>
      <w:sz w:val="22"/>
    </w:rPr>
  </w:style>
  <w:style w:type="character" w:styleId="CommentReference">
    <w:name w:val="annotation reference"/>
    <w:basedOn w:val="DefaultParagraphFont"/>
    <w:uiPriority w:val="99"/>
    <w:semiHidden/>
    <w:unhideWhenUsed/>
    <w:rsid w:val="00C26A9B"/>
    <w:rPr>
      <w:sz w:val="16"/>
      <w:szCs w:val="16"/>
    </w:rPr>
  </w:style>
  <w:style w:type="paragraph" w:styleId="CommentText">
    <w:name w:val="annotation text"/>
    <w:basedOn w:val="Normal"/>
    <w:link w:val="CommentTextChar"/>
    <w:uiPriority w:val="99"/>
    <w:unhideWhenUsed/>
    <w:rsid w:val="00C26A9B"/>
    <w:pPr>
      <w:spacing w:line="240" w:lineRule="auto"/>
    </w:pPr>
    <w:rPr>
      <w:sz w:val="20"/>
    </w:rPr>
  </w:style>
  <w:style w:type="character" w:customStyle="1" w:styleId="CommentTextChar">
    <w:name w:val="Comment Text Char"/>
    <w:basedOn w:val="DefaultParagraphFont"/>
    <w:link w:val="CommentText"/>
    <w:uiPriority w:val="99"/>
    <w:rsid w:val="00C26A9B"/>
  </w:style>
  <w:style w:type="paragraph" w:styleId="CommentSubject">
    <w:name w:val="annotation subject"/>
    <w:basedOn w:val="CommentText"/>
    <w:next w:val="CommentText"/>
    <w:link w:val="CommentSubjectChar"/>
    <w:uiPriority w:val="99"/>
    <w:semiHidden/>
    <w:unhideWhenUsed/>
    <w:rsid w:val="00C26A9B"/>
    <w:rPr>
      <w:b/>
      <w:bCs/>
    </w:rPr>
  </w:style>
  <w:style w:type="character" w:customStyle="1" w:styleId="CommentSubjectChar">
    <w:name w:val="Comment Subject Char"/>
    <w:basedOn w:val="CommentTextChar"/>
    <w:link w:val="CommentSubject"/>
    <w:uiPriority w:val="99"/>
    <w:semiHidden/>
    <w:rsid w:val="00C26A9B"/>
    <w:rPr>
      <w:b/>
      <w:bCs/>
    </w:rPr>
  </w:style>
  <w:style w:type="paragraph" w:customStyle="1" w:styleId="HealthLevel1">
    <w:name w:val="Health Level 1"/>
    <w:basedOn w:val="Normal"/>
    <w:link w:val="HealthLevel1Char"/>
    <w:rsid w:val="00865ED8"/>
    <w:pPr>
      <w:tabs>
        <w:tab w:val="left" w:pos="851"/>
      </w:tabs>
      <w:autoSpaceDE w:val="0"/>
      <w:autoSpaceDN w:val="0"/>
      <w:spacing w:before="120" w:line="260" w:lineRule="exact"/>
      <w:ind w:left="851"/>
    </w:pPr>
    <w:rPr>
      <w:rFonts w:eastAsia="Times New Roman" w:cs="Times New Roman"/>
      <w:color w:val="000000"/>
      <w:sz w:val="24"/>
      <w:szCs w:val="24"/>
    </w:rPr>
  </w:style>
  <w:style w:type="paragraph" w:customStyle="1" w:styleId="Healthnumlevel2">
    <w:name w:val="Health (num) level 2"/>
    <w:basedOn w:val="Normal"/>
    <w:link w:val="Healthnumlevel2Char"/>
    <w:rsid w:val="00865ED8"/>
    <w:pPr>
      <w:tabs>
        <w:tab w:val="num" w:pos="1701"/>
      </w:tabs>
      <w:autoSpaceDE w:val="0"/>
      <w:autoSpaceDN w:val="0"/>
      <w:spacing w:before="60" w:line="240" w:lineRule="auto"/>
      <w:ind w:left="1701" w:hanging="851"/>
    </w:pPr>
    <w:rPr>
      <w:rFonts w:eastAsia="Times New Roman" w:cs="Times New Roman"/>
      <w:color w:val="000000"/>
      <w:sz w:val="24"/>
      <w:szCs w:val="24"/>
    </w:rPr>
  </w:style>
  <w:style w:type="paragraph" w:customStyle="1" w:styleId="HealthnumLevel3">
    <w:name w:val="Health (num) Level 3"/>
    <w:basedOn w:val="Normal"/>
    <w:rsid w:val="00865ED8"/>
    <w:pPr>
      <w:tabs>
        <w:tab w:val="num" w:pos="2551"/>
      </w:tabs>
      <w:autoSpaceDE w:val="0"/>
      <w:autoSpaceDN w:val="0"/>
      <w:spacing w:before="60" w:line="260" w:lineRule="exact"/>
      <w:ind w:left="2551" w:hanging="850"/>
      <w:jc w:val="both"/>
    </w:pPr>
    <w:rPr>
      <w:rFonts w:eastAsia="Times New Roman" w:cs="Times New Roman"/>
      <w:color w:val="000000"/>
      <w:sz w:val="24"/>
      <w:szCs w:val="24"/>
    </w:rPr>
  </w:style>
  <w:style w:type="paragraph" w:customStyle="1" w:styleId="HealthnumLevel4">
    <w:name w:val="Health (num) Level 4"/>
    <w:basedOn w:val="Normal"/>
    <w:rsid w:val="00865ED8"/>
    <w:pPr>
      <w:tabs>
        <w:tab w:val="num" w:pos="3402"/>
      </w:tabs>
      <w:autoSpaceDE w:val="0"/>
      <w:autoSpaceDN w:val="0"/>
      <w:spacing w:before="60" w:line="260" w:lineRule="exact"/>
      <w:ind w:left="3402" w:hanging="851"/>
    </w:pPr>
    <w:rPr>
      <w:rFonts w:eastAsia="Times New Roman" w:cs="Times New Roman"/>
      <w:sz w:val="24"/>
      <w:szCs w:val="24"/>
    </w:rPr>
  </w:style>
  <w:style w:type="paragraph" w:customStyle="1" w:styleId="HealthnumLevel5">
    <w:name w:val="Health (num) Level 5"/>
    <w:basedOn w:val="Normal"/>
    <w:rsid w:val="00865ED8"/>
    <w:pPr>
      <w:tabs>
        <w:tab w:val="num" w:pos="850"/>
      </w:tabs>
      <w:autoSpaceDE w:val="0"/>
      <w:autoSpaceDN w:val="0"/>
      <w:spacing w:before="180" w:line="260" w:lineRule="exact"/>
      <w:ind w:left="850" w:hanging="510"/>
    </w:pPr>
    <w:rPr>
      <w:rFonts w:eastAsia="Times New Roman" w:cs="Times New Roman"/>
      <w:sz w:val="24"/>
      <w:szCs w:val="24"/>
    </w:rPr>
  </w:style>
  <w:style w:type="paragraph" w:customStyle="1" w:styleId="HealthnumLevel6">
    <w:name w:val="Health (num) Level 6"/>
    <w:basedOn w:val="Normal"/>
    <w:rsid w:val="00865ED8"/>
    <w:pPr>
      <w:tabs>
        <w:tab w:val="num" w:pos="850"/>
      </w:tabs>
      <w:autoSpaceDE w:val="0"/>
      <w:autoSpaceDN w:val="0"/>
      <w:spacing w:before="180" w:line="260" w:lineRule="exact"/>
      <w:ind w:left="850" w:hanging="510"/>
    </w:pPr>
    <w:rPr>
      <w:rFonts w:eastAsia="Times New Roman" w:cs="Times New Roman"/>
      <w:sz w:val="24"/>
      <w:szCs w:val="24"/>
    </w:rPr>
  </w:style>
  <w:style w:type="character" w:customStyle="1" w:styleId="HealthLevel1Char">
    <w:name w:val="Health Level 1 Char"/>
    <w:link w:val="HealthLevel1"/>
    <w:rsid w:val="00865ED8"/>
    <w:rPr>
      <w:rFonts w:eastAsia="Times New Roman" w:cs="Times New Roman"/>
      <w:color w:val="000000"/>
      <w:sz w:val="24"/>
      <w:szCs w:val="24"/>
    </w:rPr>
  </w:style>
  <w:style w:type="character" w:customStyle="1" w:styleId="Healthnumlevel2Char">
    <w:name w:val="Health (num) level 2 Char"/>
    <w:link w:val="Healthnumlevel2"/>
    <w:rsid w:val="00EE053F"/>
    <w:rPr>
      <w:rFonts w:eastAsia="Times New Roman" w:cs="Times New Roman"/>
      <w:color w:val="000000"/>
      <w:sz w:val="24"/>
      <w:szCs w:val="24"/>
    </w:rPr>
  </w:style>
  <w:style w:type="paragraph" w:customStyle="1" w:styleId="Healthnote">
    <w:name w:val="Health note"/>
    <w:basedOn w:val="Normal"/>
    <w:link w:val="HealthnoteChar"/>
    <w:rsid w:val="00C44EA3"/>
    <w:pPr>
      <w:tabs>
        <w:tab w:val="left" w:pos="567"/>
      </w:tabs>
      <w:autoSpaceDE w:val="0"/>
      <w:autoSpaceDN w:val="0"/>
      <w:spacing w:before="120" w:line="220" w:lineRule="exact"/>
      <w:ind w:left="851"/>
    </w:pPr>
    <w:rPr>
      <w:rFonts w:eastAsia="Times New Roman" w:cs="Times New Roman"/>
      <w:iCs/>
      <w:color w:val="000000"/>
      <w:sz w:val="20"/>
    </w:rPr>
  </w:style>
  <w:style w:type="character" w:customStyle="1" w:styleId="HealthnoteChar">
    <w:name w:val="Health note Char"/>
    <w:link w:val="Healthnote"/>
    <w:rsid w:val="00C44EA3"/>
    <w:rPr>
      <w:rFonts w:eastAsia="Times New Roman" w:cs="Times New Roman"/>
      <w:iCs/>
      <w:color w:val="000000"/>
    </w:rPr>
  </w:style>
  <w:style w:type="paragraph" w:styleId="ListParagraph">
    <w:name w:val="List Paragraph"/>
    <w:basedOn w:val="Normal"/>
    <w:uiPriority w:val="34"/>
    <w:qFormat/>
    <w:rsid w:val="00135BF6"/>
    <w:pPr>
      <w:ind w:left="720"/>
      <w:contextualSpacing/>
    </w:pPr>
  </w:style>
  <w:style w:type="character" w:customStyle="1" w:styleId="CharChar">
    <w:name w:val="Char Char"/>
    <w:rsid w:val="002A3AF6"/>
    <w:rPr>
      <w:rFonts w:ascii="Arial" w:hAnsi="Arial" w:cs="Arial"/>
      <w:b/>
      <w:bCs/>
      <w:kern w:val="32"/>
      <w:sz w:val="24"/>
      <w:szCs w:val="32"/>
      <w:lang w:val="en-AU" w:eastAsia="en-US" w:bidi="ar-SA"/>
    </w:rPr>
  </w:style>
  <w:style w:type="paragraph" w:customStyle="1" w:styleId="definition0">
    <w:name w:val="definition"/>
    <w:basedOn w:val="Normal"/>
    <w:rsid w:val="00C53154"/>
    <w:pPr>
      <w:spacing w:before="80" w:line="260" w:lineRule="exact"/>
      <w:ind w:left="964"/>
      <w:jc w:val="both"/>
    </w:pPr>
    <w:rPr>
      <w:rFonts w:eastAsia="Times New Roman" w:cs="Times New Roman"/>
      <w:sz w:val="24"/>
    </w:rPr>
  </w:style>
  <w:style w:type="character" w:customStyle="1" w:styleId="TabletextChar">
    <w:name w:val="Tabletext Char"/>
    <w:aliases w:val="tt Char"/>
    <w:basedOn w:val="DefaultParagraphFont"/>
    <w:link w:val="Tabletext"/>
    <w:locked/>
    <w:rsid w:val="00EE54C8"/>
    <w:rPr>
      <w:rFonts w:eastAsia="Times New Roman" w:cs="Times New Roman"/>
      <w:lang w:eastAsia="en-AU"/>
    </w:rPr>
  </w:style>
  <w:style w:type="character" w:styleId="Mention">
    <w:name w:val="Mention"/>
    <w:basedOn w:val="DefaultParagraphFont"/>
    <w:uiPriority w:val="99"/>
    <w:unhideWhenUsed/>
    <w:rsid w:val="00F07D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21">
      <w:bodyDiv w:val="1"/>
      <w:marLeft w:val="0"/>
      <w:marRight w:val="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
        <w:div w:id="1975090158">
          <w:marLeft w:val="0"/>
          <w:marRight w:val="0"/>
          <w:marTop w:val="0"/>
          <w:marBottom w:val="0"/>
          <w:divBdr>
            <w:top w:val="none" w:sz="0" w:space="0" w:color="auto"/>
            <w:left w:val="none" w:sz="0" w:space="0" w:color="auto"/>
            <w:bottom w:val="none" w:sz="0" w:space="0" w:color="auto"/>
            <w:right w:val="none" w:sz="0" w:space="0" w:color="auto"/>
          </w:divBdr>
        </w:div>
      </w:divsChild>
    </w:div>
    <w:div w:id="893076717">
      <w:bodyDiv w:val="1"/>
      <w:marLeft w:val="0"/>
      <w:marRight w:val="0"/>
      <w:marTop w:val="0"/>
      <w:marBottom w:val="0"/>
      <w:divBdr>
        <w:top w:val="none" w:sz="0" w:space="0" w:color="auto"/>
        <w:left w:val="none" w:sz="0" w:space="0" w:color="auto"/>
        <w:bottom w:val="none" w:sz="0" w:space="0" w:color="auto"/>
        <w:right w:val="none" w:sz="0" w:space="0" w:color="auto"/>
      </w:divBdr>
    </w:div>
    <w:div w:id="1198785480">
      <w:bodyDiv w:val="1"/>
      <w:marLeft w:val="0"/>
      <w:marRight w:val="0"/>
      <w:marTop w:val="0"/>
      <w:marBottom w:val="0"/>
      <w:divBdr>
        <w:top w:val="none" w:sz="0" w:space="0" w:color="auto"/>
        <w:left w:val="none" w:sz="0" w:space="0" w:color="auto"/>
        <w:bottom w:val="none" w:sz="0" w:space="0" w:color="auto"/>
        <w:right w:val="none" w:sz="0" w:space="0" w:color="auto"/>
      </w:divBdr>
      <w:divsChild>
        <w:div w:id="337390066">
          <w:marLeft w:val="0"/>
          <w:marRight w:val="0"/>
          <w:marTop w:val="0"/>
          <w:marBottom w:val="0"/>
          <w:divBdr>
            <w:top w:val="none" w:sz="0" w:space="0" w:color="auto"/>
            <w:left w:val="none" w:sz="0" w:space="0" w:color="auto"/>
            <w:bottom w:val="none" w:sz="0" w:space="0" w:color="auto"/>
            <w:right w:val="none" w:sz="0" w:space="0" w:color="auto"/>
          </w:divBdr>
        </w:div>
        <w:div w:id="114832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rr\Downloads\template_-_principal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10" ma:contentTypeDescription="Create a new document." ma:contentTypeScope="" ma:versionID="d39498a5adadb2743a55e28fb4d3f957">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6161eb4c3a7228972df626c08384c9c1"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A7E8-C17B-4B66-A505-1196A7FD2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79C794-F8DF-446E-92B1-A186EA5E6123}">
  <ds:schemaRefs>
    <ds:schemaRef ds:uri="http://schemas.microsoft.com/sharepoint/v3/contenttype/forms"/>
  </ds:schemaRefs>
</ds:datastoreItem>
</file>

<file path=customXml/itemProps3.xml><?xml version="1.0" encoding="utf-8"?>
<ds:datastoreItem xmlns:ds="http://schemas.openxmlformats.org/officeDocument/2006/customXml" ds:itemID="{CE1E50E8-C84D-4C23-9F06-F66C9E3E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(1).dotx</Template>
  <TotalTime>9</TotalTime>
  <Pages>16</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BERTRAM, Riley</dc:creator>
  <cp:lastModifiedBy>Diana</cp:lastModifiedBy>
  <cp:revision>10</cp:revision>
  <cp:lastPrinted>2025-07-29T23:01:00Z</cp:lastPrinted>
  <dcterms:created xsi:type="dcterms:W3CDTF">2025-07-24T05:45:00Z</dcterms:created>
  <dcterms:modified xsi:type="dcterms:W3CDTF">2025-08-04T00:43:00Z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