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CA74" w14:textId="2BDC7660" w:rsidR="00DC654F" w:rsidRPr="00520C0C" w:rsidRDefault="00DC654F" w:rsidP="00DC654F">
      <w:pPr>
        <w:pStyle w:val="Heading1"/>
        <w:spacing w:after="360"/>
        <w:rPr>
          <w:rFonts w:ascii="Times New Roman" w:hAnsi="Times New Roman"/>
          <w:sz w:val="24"/>
          <w:szCs w:val="24"/>
        </w:rPr>
      </w:pPr>
      <w:r w:rsidRPr="00520C0C">
        <w:rPr>
          <w:rFonts w:ascii="Times New Roman" w:hAnsi="Times New Roman"/>
          <w:sz w:val="24"/>
          <w:szCs w:val="24"/>
        </w:rPr>
        <w:t>EXPLANATORY STATEMENT</w:t>
      </w:r>
      <w:r w:rsidR="00AD7BB3">
        <w:rPr>
          <w:rFonts w:ascii="Times New Roman" w:hAnsi="Times New Roman"/>
          <w:sz w:val="24"/>
          <w:szCs w:val="24"/>
        </w:rPr>
        <w:t xml:space="preserve"> </w:t>
      </w:r>
    </w:p>
    <w:p w14:paraId="54BAAA0B" w14:textId="14695D86" w:rsidR="00DC654F" w:rsidRPr="00520C0C" w:rsidRDefault="00DC654F" w:rsidP="00DC654F">
      <w:pPr>
        <w:pStyle w:val="Heading2"/>
        <w:jc w:val="center"/>
        <w:rPr>
          <w:sz w:val="24"/>
          <w:szCs w:val="24"/>
        </w:rPr>
      </w:pPr>
      <w:r w:rsidRPr="00520C0C">
        <w:rPr>
          <w:sz w:val="24"/>
          <w:szCs w:val="24"/>
        </w:rPr>
        <w:t xml:space="preserve">Issued by authority of the </w:t>
      </w:r>
      <w:r w:rsidR="001C0E62">
        <w:rPr>
          <w:sz w:val="24"/>
          <w:szCs w:val="24"/>
        </w:rPr>
        <w:t>Assistant Minister for Productivity, Competition, Charities and Treasury</w:t>
      </w:r>
    </w:p>
    <w:p w14:paraId="181A4309" w14:textId="77777777" w:rsidR="00DC654F" w:rsidRPr="00520C0C" w:rsidRDefault="00DC654F" w:rsidP="00DC654F">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14:paraId="428A7E58" w14:textId="77777777" w:rsidR="00DC654F" w:rsidRPr="00520C0C" w:rsidRDefault="00DC654F" w:rsidP="00DC654F">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Payments—2025-26</w:t>
      </w:r>
      <w:r w:rsidR="00793DE4" w:rsidRPr="00520C0C">
        <w:rPr>
          <w:rFonts w:ascii="Times New Roman" w:hAnsi="Times New Roman" w:cs="Times New Roman"/>
          <w:i/>
          <w:sz w:val="24"/>
          <w:szCs w:val="24"/>
        </w:rPr>
        <w:t xml:space="preserve"> Payment No. 2</w:t>
      </w:r>
      <w:r w:rsidRPr="00520C0C">
        <w:rPr>
          <w:rFonts w:ascii="Times New Roman" w:hAnsi="Times New Roman" w:cs="Times New Roman"/>
          <w:i/>
          <w:sz w:val="24"/>
          <w:szCs w:val="24"/>
        </w:rPr>
        <w:t xml:space="preserve">) Determination </w:t>
      </w:r>
      <w:r w:rsidR="002E0D36" w:rsidRPr="00520C0C">
        <w:rPr>
          <w:rFonts w:ascii="Times New Roman" w:hAnsi="Times New Roman" w:cs="Times New Roman"/>
          <w:i/>
          <w:sz w:val="24"/>
          <w:szCs w:val="24"/>
        </w:rPr>
        <w:t>2025</w:t>
      </w:r>
    </w:p>
    <w:p w14:paraId="561DDA2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financial assistance to:</w:t>
      </w:r>
    </w:p>
    <w:p w14:paraId="5246B806" w14:textId="77777777" w:rsidR="00DC654F" w:rsidRPr="00520C0C" w:rsidRDefault="00DC654F" w:rsidP="00DC654F">
      <w:pPr>
        <w:pStyle w:val="Bullet"/>
        <w:spacing w:before="120"/>
        <w:rPr>
          <w:szCs w:val="24"/>
        </w:rPr>
      </w:pPr>
      <w:r w:rsidRPr="00520C0C">
        <w:rPr>
          <w:szCs w:val="24"/>
        </w:rPr>
        <w:t xml:space="preserve">support the delivery of agreed outputs or </w:t>
      </w:r>
      <w:proofErr w:type="gramStart"/>
      <w:r w:rsidRPr="00520C0C">
        <w:rPr>
          <w:szCs w:val="24"/>
        </w:rPr>
        <w:t>projects;</w:t>
      </w:r>
      <w:proofErr w:type="gramEnd"/>
    </w:p>
    <w:p w14:paraId="7E0E9E4F" w14:textId="77777777" w:rsidR="00DC654F" w:rsidRPr="00520C0C" w:rsidRDefault="00DC654F" w:rsidP="00DC654F">
      <w:pPr>
        <w:pStyle w:val="Bullet"/>
        <w:spacing w:before="120"/>
        <w:rPr>
          <w:szCs w:val="24"/>
        </w:rPr>
      </w:pPr>
      <w:r w:rsidRPr="00520C0C">
        <w:rPr>
          <w:szCs w:val="24"/>
        </w:rPr>
        <w:t>facilitate State and Territory reforms; and</w:t>
      </w:r>
    </w:p>
    <w:p w14:paraId="11DC3EA1"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495B58C4" w14:textId="1618A3A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Payments—2025-26 Payment No.</w:t>
      </w:r>
      <w:r w:rsidR="001C0E62">
        <w:rPr>
          <w:rFonts w:ascii="Times New Roman" w:hAnsi="Times New Roman" w:cs="Times New Roman"/>
          <w:i/>
          <w:sz w:val="24"/>
          <w:szCs w:val="24"/>
        </w:rPr>
        <w:t> </w:t>
      </w:r>
      <w:r w:rsidRPr="00520C0C">
        <w:rPr>
          <w:rFonts w:ascii="Times New Roman" w:hAnsi="Times New Roman" w:cs="Times New Roman"/>
          <w:i/>
          <w:sz w:val="24"/>
          <w:szCs w:val="24"/>
        </w:rPr>
        <w:t>2) Determination 2025</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14:paraId="50692C79" w14:textId="575DE71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As part of the IGA, the Commonwealth has committed to the provision of on-going financial support for the States’ and Territories’ service delivery efforts.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This includes the provision of national partnership payments which support the matters detailed in the dot points above.</w:t>
      </w:r>
    </w:p>
    <w:p w14:paraId="6DDBEC8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14:paraId="290EF22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3D6DAC72" w14:textId="150B7EB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001C0E62" w:rsidRPr="001C0E62">
        <w:rPr>
          <w:rFonts w:ascii="Times New Roman" w:hAnsi="Times New Roman" w:cs="Times New Roman"/>
          <w:i/>
          <w:iCs/>
          <w:sz w:val="24"/>
          <w:szCs w:val="24"/>
        </w:rPr>
        <w:t>Federation</w:t>
      </w:r>
      <w:r w:rsidR="001C0E62">
        <w:rPr>
          <w:rFonts w:ascii="Times New Roman" w:hAnsi="Times New Roman" w:cs="Times New Roman"/>
          <w:sz w:val="24"/>
          <w:szCs w:val="24"/>
        </w:rPr>
        <w:t xml:space="preserve"> </w:t>
      </w:r>
      <w:r w:rsidRPr="00520C0C">
        <w:rPr>
          <w:rFonts w:ascii="Times New Roman" w:hAnsi="Times New Roman" w:cs="Times New Roman"/>
          <w:i/>
          <w:sz w:val="24"/>
          <w:szCs w:val="24"/>
        </w:rPr>
        <w:t>Reform Fund Act 2008</w:t>
      </w:r>
      <w:r w:rsidRPr="00520C0C">
        <w:rPr>
          <w:rFonts w:ascii="Times New Roman" w:hAnsi="Times New Roman" w:cs="Times New Roman"/>
          <w:sz w:val="24"/>
          <w:szCs w:val="24"/>
        </w:rPr>
        <w:t xml:space="preserve"> establishes the </w:t>
      </w:r>
      <w:r w:rsidR="001C0E62">
        <w:rPr>
          <w:rFonts w:ascii="Times New Roman" w:hAnsi="Times New Roman" w:cs="Times New Roman"/>
          <w:sz w:val="24"/>
          <w:szCs w:val="24"/>
        </w:rPr>
        <w:t xml:space="preserve">Federation </w:t>
      </w:r>
      <w:r w:rsidRPr="00520C0C">
        <w:rPr>
          <w:rFonts w:ascii="Times New Roman" w:hAnsi="Times New Roman" w:cs="Times New Roman"/>
          <w:sz w:val="24"/>
          <w:szCs w:val="24"/>
        </w:rPr>
        <w:t xml:space="preserve">Reform Fund, a special account, which has the purpose of making grants </w:t>
      </w:r>
      <w:r w:rsidR="00DE6456">
        <w:rPr>
          <w:rFonts w:ascii="Times New Roman" w:hAnsi="Times New Roman" w:cs="Times New Roman"/>
          <w:sz w:val="24"/>
          <w:szCs w:val="24"/>
        </w:rPr>
        <w:t xml:space="preserve">of </w:t>
      </w:r>
      <w:r w:rsidRPr="00520C0C">
        <w:rPr>
          <w:rFonts w:ascii="Times New Roman" w:hAnsi="Times New Roman" w:cs="Times New Roman"/>
          <w:sz w:val="24"/>
          <w:szCs w:val="24"/>
        </w:rPr>
        <w:t>financial assistance to States and Territories.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 xml:space="preserve">The FFR Act requires the Minister, following the making of a determination, to credit funds he or she has determined to the </w:t>
      </w:r>
      <w:r w:rsidR="00173FD9">
        <w:rPr>
          <w:rFonts w:ascii="Times New Roman" w:hAnsi="Times New Roman" w:cs="Times New Roman"/>
          <w:sz w:val="24"/>
          <w:szCs w:val="24"/>
        </w:rPr>
        <w:t>Federation</w:t>
      </w:r>
      <w:r w:rsidRPr="00520C0C">
        <w:rPr>
          <w:rFonts w:ascii="Times New Roman" w:hAnsi="Times New Roman" w:cs="Times New Roman"/>
          <w:sz w:val="24"/>
          <w:szCs w:val="24"/>
        </w:rPr>
        <w:t xml:space="preserve"> </w:t>
      </w:r>
      <w:r w:rsidRPr="00520C0C">
        <w:rPr>
          <w:rFonts w:ascii="Times New Roman" w:hAnsi="Times New Roman" w:cs="Times New Roman"/>
          <w:sz w:val="24"/>
          <w:szCs w:val="24"/>
        </w:rPr>
        <w:lastRenderedPageBreak/>
        <w:t>Reform Fund for the purpose of providing financial assistance to the States, the Australian Capital Territory or the Northern Territory.</w:t>
      </w:r>
    </w:p>
    <w:p w14:paraId="337D742C" w14:textId="0B52A625"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Under subsection 16(3) of the FFR Act, the total amount credited to the </w:t>
      </w:r>
      <w:r w:rsidR="00AB577F">
        <w:rPr>
          <w:rFonts w:ascii="Times New Roman" w:hAnsi="Times New Roman" w:cs="Times New Roman"/>
          <w:sz w:val="24"/>
          <w:szCs w:val="24"/>
        </w:rPr>
        <w:t>Federation</w:t>
      </w:r>
      <w:r w:rsidR="00AB577F" w:rsidRPr="00520C0C">
        <w:rPr>
          <w:rFonts w:ascii="Times New Roman" w:hAnsi="Times New Roman" w:cs="Times New Roman"/>
          <w:sz w:val="24"/>
          <w:szCs w:val="24"/>
        </w:rPr>
        <w:t xml:space="preserve"> </w:t>
      </w:r>
      <w:r w:rsidRPr="00520C0C">
        <w:rPr>
          <w:rFonts w:ascii="Times New Roman" w:hAnsi="Times New Roman" w:cs="Times New Roman"/>
          <w:sz w:val="24"/>
          <w:szCs w:val="24"/>
        </w:rPr>
        <w:t>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14:paraId="6EDE7EE5" w14:textId="32A7E5D0"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IGA was subject to extensive consultation with the States and Territories before it was agreed by the </w:t>
      </w:r>
      <w:r w:rsidR="00AB2208">
        <w:rPr>
          <w:rFonts w:ascii="Times New Roman" w:hAnsi="Times New Roman" w:cs="Times New Roman"/>
          <w:sz w:val="24"/>
          <w:szCs w:val="24"/>
        </w:rPr>
        <w:t xml:space="preserve">former </w:t>
      </w:r>
      <w:r w:rsidRPr="00520C0C">
        <w:rPr>
          <w:rFonts w:ascii="Times New Roman" w:hAnsi="Times New Roman" w:cs="Times New Roman"/>
          <w:sz w:val="24"/>
          <w:szCs w:val="24"/>
        </w:rPr>
        <w:t>Council of Australian Governments on 29 November 2008. The IGA is publicly available on the Federal Financial Relations website. The Determination is minor and machinery in nature and was not subject to further consultation.</w:t>
      </w:r>
    </w:p>
    <w:p w14:paraId="68B6F8E5" w14:textId="75079CC9" w:rsidR="00DC654F" w:rsidRDefault="00DC654F" w:rsidP="00DC654F">
      <w:pPr>
        <w:spacing w:before="240"/>
        <w:rPr>
          <w:rFonts w:ascii="Times New Roman" w:hAnsi="Times New Roman" w:cs="Times New Roman"/>
          <w:sz w:val="24"/>
          <w:szCs w:val="24"/>
          <w:u w:val="single"/>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p>
    <w:p w14:paraId="13163158" w14:textId="77777777" w:rsidR="0062339B" w:rsidRDefault="0062339B" w:rsidP="0062339B">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w:t>
      </w:r>
      <w:r>
        <w:rPr>
          <w:rFonts w:ascii="Times New Roman" w:hAnsi="Times New Roman" w:cs="Times New Roman"/>
          <w:sz w:val="24"/>
          <w:szCs w:val="24"/>
        </w:rPr>
        <w:t xml:space="preserve">subsection 16(5) of </w:t>
      </w:r>
      <w:r w:rsidRPr="00B01D60">
        <w:rPr>
          <w:rFonts w:ascii="Times New Roman" w:hAnsi="Times New Roman" w:cs="Times New Roman"/>
          <w:sz w:val="24"/>
          <w:szCs w:val="24"/>
        </w:rPr>
        <w:t>the FFR Act</w:t>
      </w:r>
      <w:r>
        <w:rPr>
          <w:rFonts w:ascii="Times New Roman" w:hAnsi="Times New Roman" w:cs="Times New Roman"/>
          <w:sz w:val="24"/>
          <w:szCs w:val="24"/>
        </w:rPr>
        <w:t xml:space="preserve"> and subsection 44(1) of the </w:t>
      </w:r>
      <w:r w:rsidRPr="000F6B20">
        <w:rPr>
          <w:rFonts w:ascii="Times New Roman" w:hAnsi="Times New Roman" w:cs="Times New Roman"/>
          <w:i/>
          <w:iCs/>
          <w:sz w:val="24"/>
          <w:szCs w:val="24"/>
        </w:rPr>
        <w:t>Legislation Act 2001</w:t>
      </w:r>
      <w:r w:rsidRPr="00B01D60">
        <w:rPr>
          <w:rFonts w:ascii="Times New Roman" w:hAnsi="Times New Roman" w:cs="Times New Roman"/>
          <w:sz w:val="24"/>
          <w:szCs w:val="24"/>
        </w:rPr>
        <w:t xml:space="preserve">, the Determination is not subject to </w:t>
      </w:r>
      <w:r>
        <w:rPr>
          <w:rFonts w:ascii="Times New Roman" w:hAnsi="Times New Roman" w:cs="Times New Roman"/>
          <w:sz w:val="24"/>
          <w:szCs w:val="24"/>
        </w:rPr>
        <w:t>disallowance.</w:t>
      </w:r>
      <w:r w:rsidRPr="00B01D60">
        <w:rPr>
          <w:rFonts w:ascii="Times New Roman" w:hAnsi="Times New Roman" w:cs="Times New Roman"/>
          <w:sz w:val="24"/>
          <w:szCs w:val="24"/>
        </w:rPr>
        <w:t xml:space="preserve"> </w:t>
      </w:r>
      <w:r>
        <w:rPr>
          <w:rFonts w:ascii="Times New Roman" w:hAnsi="Times New Roman" w:cs="Times New Roman"/>
          <w:sz w:val="24"/>
          <w:szCs w:val="24"/>
        </w:rPr>
        <w:t>The Determination is also not subject to</w:t>
      </w:r>
      <w:r w:rsidRPr="00B01D60">
        <w:rPr>
          <w:rFonts w:ascii="Times New Roman" w:hAnsi="Times New Roman" w:cs="Times New Roman"/>
          <w:sz w:val="24"/>
          <w:szCs w:val="24"/>
        </w:rPr>
        <w:t xml:space="preserve"> sunsetting under </w:t>
      </w:r>
      <w:r>
        <w:rPr>
          <w:rFonts w:ascii="Times New Roman" w:hAnsi="Times New Roman" w:cs="Times New Roman"/>
          <w:sz w:val="24"/>
          <w:szCs w:val="24"/>
        </w:rPr>
        <w:t xml:space="preserve">subsection 54(1) of </w:t>
      </w:r>
      <w:r w:rsidRPr="00B01D60">
        <w:rPr>
          <w:rFonts w:ascii="Times New Roman" w:hAnsi="Times New Roman" w:cs="Times New Roman"/>
          <w:sz w:val="24"/>
          <w:szCs w:val="24"/>
        </w:rPr>
        <w:t xml:space="preserve">the </w:t>
      </w:r>
      <w:r w:rsidRPr="00B01D60">
        <w:rPr>
          <w:rFonts w:ascii="Times New Roman" w:hAnsi="Times New Roman" w:cs="Times New Roman"/>
          <w:i/>
          <w:iCs/>
          <w:sz w:val="24"/>
          <w:szCs w:val="24"/>
        </w:rPr>
        <w:t>Legislation Act 2003</w:t>
      </w:r>
      <w:r>
        <w:rPr>
          <w:rFonts w:ascii="Times New Roman" w:hAnsi="Times New Roman"/>
          <w:sz w:val="24"/>
        </w:rPr>
        <w:t xml:space="preserve">. The exemptions from disallowance and sunsetting are provided </w:t>
      </w:r>
      <w:r w:rsidRPr="00B01D60">
        <w:rPr>
          <w:rFonts w:ascii="Times New Roman" w:hAnsi="Times New Roman" w:cs="Times New Roman"/>
          <w:sz w:val="24"/>
          <w:szCs w:val="24"/>
        </w:rPr>
        <w:t>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39AE2D21" w14:textId="77777777" w:rsidR="0062339B" w:rsidRDefault="0062339B" w:rsidP="0062339B">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Determination commenced </w:t>
      </w:r>
      <w:r>
        <w:rPr>
          <w:rFonts w:ascii="Times New Roman" w:hAnsi="Times New Roman" w:cs="Times New Roman"/>
          <w:sz w:val="24"/>
          <w:szCs w:val="24"/>
        </w:rPr>
        <w:t xml:space="preserve">immediately after </w:t>
      </w:r>
      <w:r w:rsidRPr="00520C0C">
        <w:rPr>
          <w:rFonts w:ascii="Times New Roman" w:hAnsi="Times New Roman" w:cs="Times New Roman"/>
          <w:sz w:val="24"/>
          <w:szCs w:val="24"/>
        </w:rPr>
        <w:t>it was registered on the Federal Register of Legislation.</w:t>
      </w:r>
    </w:p>
    <w:p w14:paraId="6A0619F6" w14:textId="77777777" w:rsidR="0062339B" w:rsidRDefault="0062339B" w:rsidP="0062339B">
      <w:pPr>
        <w:spacing w:before="240"/>
        <w:rPr>
          <w:rFonts w:ascii="Times New Roman" w:hAnsi="Times New Roman" w:cs="Times New Roman"/>
          <w:sz w:val="24"/>
          <w:szCs w:val="24"/>
        </w:rPr>
      </w:pPr>
      <w:r w:rsidRPr="00797B9B">
        <w:rPr>
          <w:rFonts w:ascii="Times New Roman" w:hAnsi="Times New Roman" w:cs="Times New Roman"/>
          <w:sz w:val="24"/>
          <w:szCs w:val="24"/>
        </w:rPr>
        <w:t xml:space="preserve">A statement of Compatibility with Human Rights is at </w:t>
      </w:r>
      <w:r w:rsidRPr="00CC53D5">
        <w:rPr>
          <w:rFonts w:ascii="Times New Roman" w:hAnsi="Times New Roman" w:cs="Times New Roman"/>
          <w:sz w:val="24"/>
          <w:szCs w:val="24"/>
          <w:u w:val="single"/>
        </w:rPr>
        <w:t>Attachment B</w:t>
      </w:r>
      <w:r w:rsidRPr="00797B9B">
        <w:rPr>
          <w:rFonts w:ascii="Times New Roman" w:hAnsi="Times New Roman" w:cs="Times New Roman"/>
          <w:sz w:val="24"/>
          <w:szCs w:val="24"/>
        </w:rPr>
        <w:t>.</w:t>
      </w:r>
      <w:r>
        <w:rPr>
          <w:rFonts w:ascii="Times New Roman" w:hAnsi="Times New Roman" w:cs="Times New Roman"/>
          <w:sz w:val="24"/>
          <w:szCs w:val="24"/>
        </w:rPr>
        <w:br w:type="page"/>
      </w:r>
    </w:p>
    <w:p w14:paraId="3FB5009D" w14:textId="77777777" w:rsidR="00017120" w:rsidRPr="00520C0C" w:rsidRDefault="00017120" w:rsidP="00017120">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14:paraId="02E4ED02" w14:textId="7796240B" w:rsidR="00017120" w:rsidRPr="00520C0C" w:rsidRDefault="00017120" w:rsidP="00017120">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Payments—2025-26 Payment No.</w:t>
      </w:r>
      <w:r>
        <w:rPr>
          <w:rFonts w:ascii="Times New Roman" w:hAnsi="Times New Roman" w:cs="Times New Roman"/>
          <w:b/>
          <w:i/>
          <w:sz w:val="24"/>
          <w:szCs w:val="24"/>
          <w:u w:val="single"/>
        </w:rPr>
        <w:t> </w:t>
      </w:r>
      <w:r w:rsidRPr="00520C0C">
        <w:rPr>
          <w:rFonts w:ascii="Times New Roman" w:hAnsi="Times New Roman" w:cs="Times New Roman"/>
          <w:b/>
          <w:i/>
          <w:sz w:val="24"/>
          <w:szCs w:val="24"/>
          <w:u w:val="single"/>
        </w:rPr>
        <w:t>2) Determination 2025</w:t>
      </w:r>
    </w:p>
    <w:p w14:paraId="2365232B" w14:textId="77777777" w:rsidR="00017120" w:rsidRPr="00520C0C" w:rsidRDefault="00017120" w:rsidP="00017120">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14:paraId="7A03005C" w14:textId="3311446A" w:rsidR="00017120" w:rsidRPr="00520C0C" w:rsidRDefault="00017120" w:rsidP="00017120">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Payments—2025-26 Payment No.</w:t>
      </w:r>
      <w:r>
        <w:rPr>
          <w:rFonts w:ascii="Times New Roman" w:hAnsi="Times New Roman" w:cs="Times New Roman"/>
          <w:i/>
          <w:sz w:val="24"/>
          <w:szCs w:val="24"/>
        </w:rPr>
        <w:t> </w:t>
      </w:r>
      <w:r w:rsidRPr="00520C0C">
        <w:rPr>
          <w:rFonts w:ascii="Times New Roman" w:hAnsi="Times New Roman" w:cs="Times New Roman"/>
          <w:i/>
          <w:sz w:val="24"/>
          <w:szCs w:val="24"/>
        </w:rPr>
        <w:t>2) Determination 2025</w:t>
      </w:r>
      <w:r w:rsidRPr="00520C0C">
        <w:rPr>
          <w:rFonts w:ascii="Times New Roman" w:hAnsi="Times New Roman" w:cs="Times New Roman"/>
          <w:sz w:val="24"/>
          <w:szCs w:val="24"/>
        </w:rPr>
        <w:t xml:space="preserve"> (the Determination).</w:t>
      </w:r>
    </w:p>
    <w:p w14:paraId="6031D529" w14:textId="77777777" w:rsidR="00017120" w:rsidRPr="00520C0C" w:rsidRDefault="00017120" w:rsidP="00017120">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14:paraId="5846E7D9" w14:textId="77777777" w:rsidR="004D4E75" w:rsidRPr="00520C0C" w:rsidRDefault="004D4E75" w:rsidP="004D4E75">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commenced </w:t>
      </w:r>
      <w:r>
        <w:rPr>
          <w:rFonts w:ascii="Times New Roman" w:hAnsi="Times New Roman" w:cs="Times New Roman"/>
          <w:sz w:val="24"/>
          <w:szCs w:val="24"/>
        </w:rPr>
        <w:t xml:space="preserve">immediately after it </w:t>
      </w:r>
      <w:r w:rsidRPr="00520C0C">
        <w:rPr>
          <w:rFonts w:ascii="Times New Roman" w:hAnsi="Times New Roman" w:cs="Times New Roman"/>
          <w:sz w:val="24"/>
          <w:szCs w:val="24"/>
        </w:rPr>
        <w:t>was registered on the Federal Register of Legislation.</w:t>
      </w:r>
    </w:p>
    <w:p w14:paraId="03858E89" w14:textId="77777777" w:rsidR="00017120" w:rsidRPr="00520C0C" w:rsidRDefault="00017120" w:rsidP="00017120">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14:paraId="35B9D4D8" w14:textId="77777777" w:rsidR="00017120" w:rsidRPr="00520C0C" w:rsidRDefault="00017120" w:rsidP="00017120">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14:paraId="3527295A" w14:textId="77777777" w:rsidR="00017120" w:rsidRPr="00520C0C" w:rsidRDefault="00017120" w:rsidP="00017120">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14:paraId="3A6A3517" w14:textId="77777777" w:rsidR="00017120" w:rsidRPr="00520C0C" w:rsidRDefault="00017120" w:rsidP="00017120">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14:paraId="17839391" w14:textId="77777777" w:rsidR="00017120" w:rsidRPr="00520C0C" w:rsidRDefault="00017120" w:rsidP="00017120">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14:paraId="2DC0DDD8" w14:textId="77777777" w:rsidR="00017120" w:rsidRPr="00520C0C" w:rsidRDefault="00017120" w:rsidP="00017120">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This section specifies amounts to be paid to each of the States, the Australian Capital Territory and the Northern Territory as grants of financial assistance to:</w:t>
      </w:r>
    </w:p>
    <w:p w14:paraId="5B0B7BD6" w14:textId="77777777" w:rsidR="00017120" w:rsidRPr="00520C0C" w:rsidRDefault="00017120" w:rsidP="00017120">
      <w:pPr>
        <w:pStyle w:val="Bullet"/>
        <w:spacing w:before="120"/>
        <w:rPr>
          <w:szCs w:val="24"/>
        </w:rPr>
      </w:pPr>
      <w:r w:rsidRPr="00520C0C">
        <w:rPr>
          <w:szCs w:val="24"/>
        </w:rPr>
        <w:t xml:space="preserve">support the delivery of agreed outputs or </w:t>
      </w:r>
      <w:proofErr w:type="gramStart"/>
      <w:r w:rsidRPr="00520C0C">
        <w:rPr>
          <w:szCs w:val="24"/>
        </w:rPr>
        <w:t>projects;</w:t>
      </w:r>
      <w:proofErr w:type="gramEnd"/>
    </w:p>
    <w:p w14:paraId="629AAECF" w14:textId="77777777" w:rsidR="00017120" w:rsidRPr="00520C0C" w:rsidRDefault="00017120" w:rsidP="00017120">
      <w:pPr>
        <w:pStyle w:val="Bullet"/>
        <w:spacing w:before="120"/>
        <w:rPr>
          <w:szCs w:val="24"/>
        </w:rPr>
      </w:pPr>
      <w:r w:rsidRPr="00520C0C">
        <w:rPr>
          <w:szCs w:val="24"/>
        </w:rPr>
        <w:t>facilitate State and Territory reforms; and</w:t>
      </w:r>
    </w:p>
    <w:p w14:paraId="633134E2" w14:textId="77777777" w:rsidR="00017120" w:rsidRDefault="00017120" w:rsidP="00017120">
      <w:pPr>
        <w:pStyle w:val="Bullet"/>
        <w:spacing w:before="120"/>
        <w:rPr>
          <w:szCs w:val="24"/>
        </w:rPr>
      </w:pPr>
      <w:r w:rsidRPr="00520C0C">
        <w:rPr>
          <w:szCs w:val="24"/>
        </w:rPr>
        <w:t>reward States and Territories for nationally significant reforms.</w:t>
      </w:r>
    </w:p>
    <w:p w14:paraId="5A9EC263" w14:textId="2CA69C8D" w:rsidR="007F008B" w:rsidRDefault="007F008B" w:rsidP="00FD59F8">
      <w:pPr>
        <w:tabs>
          <w:tab w:val="left" w:pos="2835"/>
        </w:tabs>
        <w:spacing w:before="240"/>
        <w:ind w:right="91"/>
        <w:rPr>
          <w:rFonts w:ascii="Times New Roman" w:hAnsi="Times New Roman" w:cs="Times New Roman"/>
          <w:sz w:val="24"/>
          <w:szCs w:val="24"/>
        </w:rPr>
      </w:pPr>
      <w:r w:rsidRPr="007F008B">
        <w:rPr>
          <w:rFonts w:ascii="Times New Roman" w:hAnsi="Times New Roman" w:cs="Times New Roman"/>
          <w:sz w:val="24"/>
          <w:szCs w:val="24"/>
        </w:rPr>
        <w:t xml:space="preserve">Financial assistance provided is based on that State or Territory having satisfied the necessary agreed </w:t>
      </w:r>
      <w:proofErr w:type="gramStart"/>
      <w:r w:rsidRPr="007F008B">
        <w:rPr>
          <w:rFonts w:ascii="Times New Roman" w:hAnsi="Times New Roman" w:cs="Times New Roman"/>
          <w:sz w:val="24"/>
          <w:szCs w:val="24"/>
        </w:rPr>
        <w:t>criteria, and</w:t>
      </w:r>
      <w:proofErr w:type="gramEnd"/>
      <w:r w:rsidRPr="007F008B">
        <w:rPr>
          <w:rFonts w:ascii="Times New Roman" w:hAnsi="Times New Roman" w:cs="Times New Roman"/>
          <w:sz w:val="24"/>
          <w:szCs w:val="24"/>
        </w:rPr>
        <w:t xml:space="preserve"> having advised the Commonwealth prior to when the relevant monthly payment falls due.</w:t>
      </w:r>
      <w:r>
        <w:rPr>
          <w:rFonts w:ascii="Times New Roman" w:hAnsi="Times New Roman" w:cs="Times New Roman"/>
          <w:sz w:val="24"/>
          <w:szCs w:val="24"/>
        </w:rPr>
        <w:br w:type="page"/>
      </w:r>
    </w:p>
    <w:p w14:paraId="5549A1C2" w14:textId="77777777" w:rsidR="007D7064" w:rsidRPr="003D1CEC" w:rsidRDefault="007D7064" w:rsidP="007D7064">
      <w:pPr>
        <w:spacing w:before="240"/>
        <w:jc w:val="right"/>
        <w:rPr>
          <w:rFonts w:ascii="Times New Roman" w:hAnsi="Times New Roman" w:cs="Times New Roman"/>
          <w:sz w:val="24"/>
          <w:szCs w:val="24"/>
        </w:rPr>
      </w:pPr>
      <w:r w:rsidRPr="00520C0C">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04CF71DD" w14:textId="77777777" w:rsidR="007D7064" w:rsidRPr="00520C0C" w:rsidRDefault="007D7064" w:rsidP="007D7064">
      <w:pPr>
        <w:pStyle w:val="Heading3"/>
        <w:jc w:val="center"/>
        <w:rPr>
          <w:szCs w:val="24"/>
        </w:rPr>
      </w:pPr>
      <w:r w:rsidRPr="00520C0C">
        <w:rPr>
          <w:szCs w:val="24"/>
        </w:rPr>
        <w:t>Statement of Compatibility with Human Rights</w:t>
      </w:r>
    </w:p>
    <w:p w14:paraId="254FCB5B" w14:textId="77777777" w:rsidR="007D7064" w:rsidRPr="00520C0C" w:rsidRDefault="007D7064" w:rsidP="007D7064">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14:paraId="351C6A97" w14:textId="2D6C4795" w:rsidR="00DC654F" w:rsidRPr="000C6EF8" w:rsidRDefault="007D7064" w:rsidP="0045519B">
      <w:pPr>
        <w:tabs>
          <w:tab w:val="left" w:pos="2835"/>
        </w:tabs>
        <w:spacing w:before="240"/>
        <w:ind w:right="91"/>
        <w:jc w:val="center"/>
        <w:rPr>
          <w:rFonts w:ascii="Times New Roman" w:hAnsi="Times New Roman" w:cs="Times New Roman"/>
          <w:b/>
          <w:bCs/>
          <w:sz w:val="24"/>
          <w:szCs w:val="24"/>
        </w:rPr>
      </w:pPr>
      <w:r>
        <w:rPr>
          <w:szCs w:val="24"/>
        </w:rPr>
        <w:br/>
      </w:r>
      <w:r w:rsidR="00DC654F" w:rsidRPr="000C6EF8">
        <w:rPr>
          <w:rFonts w:ascii="Times New Roman" w:hAnsi="Times New Roman" w:cs="Times New Roman"/>
          <w:b/>
          <w:bCs/>
          <w:sz w:val="24"/>
          <w:szCs w:val="24"/>
        </w:rPr>
        <w:t>Federal Financial Relations (National Partnership Payments—2025-26 Payment No.</w:t>
      </w:r>
      <w:r w:rsidR="0045519B">
        <w:rPr>
          <w:rFonts w:ascii="Times New Roman" w:hAnsi="Times New Roman" w:cs="Times New Roman"/>
          <w:b/>
          <w:bCs/>
          <w:sz w:val="24"/>
          <w:szCs w:val="24"/>
        </w:rPr>
        <w:t> </w:t>
      </w:r>
      <w:r w:rsidR="00DC654F" w:rsidRPr="000C6EF8">
        <w:rPr>
          <w:rFonts w:ascii="Times New Roman" w:hAnsi="Times New Roman" w:cs="Times New Roman"/>
          <w:b/>
          <w:bCs/>
          <w:sz w:val="24"/>
          <w:szCs w:val="24"/>
        </w:rPr>
        <w:t>2) Determination 2025</w:t>
      </w:r>
    </w:p>
    <w:p w14:paraId="1E31E23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14:paraId="7AC157FC" w14:textId="77777777" w:rsidR="00DC654F" w:rsidRPr="00520C0C" w:rsidRDefault="00DC654F" w:rsidP="00DC654F">
      <w:pPr>
        <w:pStyle w:val="Heading3"/>
        <w:rPr>
          <w:szCs w:val="24"/>
        </w:rPr>
      </w:pPr>
      <w:r w:rsidRPr="00520C0C">
        <w:rPr>
          <w:szCs w:val="24"/>
        </w:rPr>
        <w:t>Overview of the Legislative Instrument</w:t>
      </w:r>
    </w:p>
    <w:p w14:paraId="66595B3A"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instrument determines amounts of national partnership payments to be paid to the States, the Australian Capital Territory or the Northern Territory.</w:t>
      </w:r>
    </w:p>
    <w:p w14:paraId="0D0DA381" w14:textId="77777777" w:rsidR="00DC654F" w:rsidRPr="00520C0C" w:rsidRDefault="00DC654F" w:rsidP="00DC654F">
      <w:pPr>
        <w:pStyle w:val="Heading3"/>
        <w:rPr>
          <w:szCs w:val="24"/>
        </w:rPr>
      </w:pPr>
      <w:r w:rsidRPr="00520C0C">
        <w:rPr>
          <w:szCs w:val="24"/>
        </w:rPr>
        <w:t>Human rights implications</w:t>
      </w:r>
    </w:p>
    <w:p w14:paraId="5F4640C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14:paraId="252F5BD2"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National partnership agreements set out mutually 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benchmarks in national partnership agreements are agreed by all parties as achievable and demonstrating the realisation of the </w:t>
      </w:r>
      <w:proofErr w:type="gramStart"/>
      <w:r w:rsidRPr="00520C0C">
        <w:rPr>
          <w:rFonts w:ascii="Times New Roman" w:hAnsi="Times New Roman" w:cs="Times New Roman"/>
          <w:sz w:val="24"/>
          <w:szCs w:val="24"/>
        </w:rPr>
        <w:t>mutually-agreed</w:t>
      </w:r>
      <w:proofErr w:type="gramEnd"/>
      <w:r w:rsidRPr="00520C0C">
        <w:rPr>
          <w:rFonts w:ascii="Times New Roman" w:hAnsi="Times New Roman" w:cs="Times New Roman"/>
          <w:sz w:val="24"/>
          <w:szCs w:val="24"/>
        </w:rPr>
        <w:t xml:space="preserve"> policy objectives.</w:t>
      </w:r>
    </w:p>
    <w:p w14:paraId="24E25F1B"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States and Territories meet </w:t>
      </w:r>
      <w:proofErr w:type="gramStart"/>
      <w:r w:rsidRPr="00520C0C">
        <w:rPr>
          <w:rFonts w:ascii="Times New Roman" w:hAnsi="Times New Roman" w:cs="Times New Roman"/>
          <w:sz w:val="24"/>
          <w:szCs w:val="24"/>
        </w:rPr>
        <w:t>the overwhelming majority of</w:t>
      </w:r>
      <w:proofErr w:type="gramEnd"/>
      <w:r w:rsidRPr="00520C0C">
        <w:rPr>
          <w:rFonts w:ascii="Times New Roman" w:hAnsi="Times New Roman" w:cs="Times New Roman"/>
          <w:sz w:val="24"/>
          <w:szCs w:val="24"/>
        </w:rPr>
        <w:t xml:space="preserve">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projects and reforms in sectors such as health, education, housing and community services. For example, determinations may include payments that support:</w:t>
      </w:r>
    </w:p>
    <w:p w14:paraId="1B676428" w14:textId="77777777" w:rsidR="00DC654F" w:rsidRPr="00520C0C" w:rsidRDefault="00DC654F" w:rsidP="00DC654F">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roofErr w:type="gramStart"/>
      <w:r w:rsidRPr="00520C0C">
        <w:rPr>
          <w:szCs w:val="24"/>
        </w:rPr>
        <w:t>);</w:t>
      </w:r>
      <w:proofErr w:type="gramEnd"/>
    </w:p>
    <w:p w14:paraId="687A01BC" w14:textId="77777777" w:rsidR="00DC654F" w:rsidRPr="00520C0C" w:rsidRDefault="00DC654F" w:rsidP="00DC654F">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roofErr w:type="gramStart"/>
      <w:r w:rsidRPr="00520C0C">
        <w:rPr>
          <w:szCs w:val="24"/>
        </w:rPr>
        <w:t>);</w:t>
      </w:r>
      <w:proofErr w:type="gramEnd"/>
    </w:p>
    <w:p w14:paraId="2BA173C6" w14:textId="77777777" w:rsidR="00DC654F" w:rsidRPr="00520C0C" w:rsidRDefault="00DC654F" w:rsidP="00DC654F">
      <w:pPr>
        <w:pStyle w:val="Bullet"/>
        <w:spacing w:before="120"/>
        <w:rPr>
          <w:szCs w:val="24"/>
        </w:rPr>
      </w:pPr>
      <w:r w:rsidRPr="00520C0C">
        <w:rPr>
          <w:szCs w:val="24"/>
        </w:rPr>
        <w:lastRenderedPageBreak/>
        <w:t>the right to be physically and mentally healthy (Article 12, International Covenant on Civil and Political Rights</w:t>
      </w:r>
      <w:proofErr w:type="gramStart"/>
      <w:r w:rsidRPr="00520C0C">
        <w:rPr>
          <w:szCs w:val="24"/>
        </w:rPr>
        <w:t>);</w:t>
      </w:r>
      <w:proofErr w:type="gramEnd"/>
    </w:p>
    <w:p w14:paraId="6BE32AAD" w14:textId="77777777" w:rsidR="00DC654F" w:rsidRPr="00520C0C" w:rsidRDefault="00DC654F" w:rsidP="00DC654F">
      <w:pPr>
        <w:pStyle w:val="Bullet"/>
        <w:spacing w:before="120"/>
        <w:rPr>
          <w:szCs w:val="24"/>
        </w:rPr>
      </w:pPr>
      <w:r w:rsidRPr="00520C0C">
        <w:rPr>
          <w:szCs w:val="24"/>
        </w:rPr>
        <w:t>the right to adequate housing (Article 11, International Covenant on Civil and Political Rights</w:t>
      </w:r>
      <w:proofErr w:type="gramStart"/>
      <w:r w:rsidRPr="00520C0C">
        <w:rPr>
          <w:szCs w:val="24"/>
        </w:rPr>
        <w:t>);</w:t>
      </w:r>
      <w:proofErr w:type="gramEnd"/>
    </w:p>
    <w:p w14:paraId="04E90E16" w14:textId="77777777" w:rsidR="00DC654F" w:rsidRPr="00520C0C" w:rsidRDefault="00DC654F" w:rsidP="00DC654F">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14:paraId="7BCE105F" w14:textId="77777777" w:rsidR="00DC654F" w:rsidRPr="00520C0C" w:rsidRDefault="00DC654F" w:rsidP="00DC654F">
      <w:pPr>
        <w:pStyle w:val="Bullet"/>
        <w:spacing w:before="120"/>
        <w:rPr>
          <w:szCs w:val="24"/>
        </w:rPr>
      </w:pPr>
      <w:r w:rsidRPr="00520C0C">
        <w:rPr>
          <w:szCs w:val="24"/>
        </w:rPr>
        <w:t>the right to an adequate standard of living (Article 11, International Covenant on Civil and Political Rights).</w:t>
      </w:r>
    </w:p>
    <w:p w14:paraId="2B56F710"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14:paraId="4250DFAD" w14:textId="77777777" w:rsidR="00DC654F" w:rsidRPr="00520C0C" w:rsidRDefault="00DC654F" w:rsidP="00DC654F">
      <w:pPr>
        <w:pStyle w:val="Heading3"/>
        <w:rPr>
          <w:szCs w:val="24"/>
        </w:rPr>
      </w:pPr>
      <w:r w:rsidRPr="00520C0C">
        <w:rPr>
          <w:szCs w:val="24"/>
        </w:rPr>
        <w:t>Conclusion</w:t>
      </w:r>
    </w:p>
    <w:p w14:paraId="0F3CD667" w14:textId="29B1FA66" w:rsidR="005E0E8A" w:rsidRPr="00520C0C" w:rsidRDefault="00DC654F" w:rsidP="0045519B">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sectPr w:rsidR="005E0E8A" w:rsidRPr="00520C0C" w:rsidSect="003E7389">
      <w:headerReference w:type="even" r:id="rId7"/>
      <w:footerReference w:type="even" r:id="rId8"/>
      <w:footerReference w:type="default" r:id="rId9"/>
      <w:footerReference w:type="first" r:id="rId10"/>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47E0C" w14:textId="77777777" w:rsidR="000E6E04" w:rsidRDefault="000E6E04">
      <w:pPr>
        <w:spacing w:after="0" w:line="240" w:lineRule="auto"/>
      </w:pPr>
      <w:r>
        <w:separator/>
      </w:r>
    </w:p>
  </w:endnote>
  <w:endnote w:type="continuationSeparator" w:id="0">
    <w:p w14:paraId="7028D063" w14:textId="77777777" w:rsidR="000E6E04" w:rsidRDefault="000E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9E76" w14:textId="34EC5E02" w:rsidR="005E0E8A" w:rsidRPr="00E33C1C" w:rsidRDefault="005E0E8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6D60C1C7" w14:textId="77777777" w:rsidTr="00091612">
      <w:tc>
        <w:tcPr>
          <w:tcW w:w="709" w:type="dxa"/>
          <w:tcBorders>
            <w:top w:val="nil"/>
            <w:left w:val="nil"/>
            <w:bottom w:val="nil"/>
            <w:right w:val="nil"/>
          </w:tcBorders>
        </w:tcPr>
        <w:p w14:paraId="0BA4EA84" w14:textId="77777777" w:rsidR="005E0E8A"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C56EAB" w14:textId="77777777" w:rsidR="005E0E8A"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4133701C" w14:textId="77777777" w:rsidR="005E0E8A" w:rsidRDefault="005E0E8A" w:rsidP="00830B62">
          <w:pPr>
            <w:spacing w:line="0" w:lineRule="atLeast"/>
            <w:jc w:val="right"/>
            <w:rPr>
              <w:sz w:val="18"/>
            </w:rPr>
          </w:pPr>
        </w:p>
      </w:tc>
    </w:tr>
  </w:tbl>
  <w:p w14:paraId="33F6E6CE" w14:textId="77777777" w:rsidR="005E0E8A" w:rsidRPr="00ED79B6" w:rsidRDefault="005E0E8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3F25" w14:textId="35D0152B" w:rsidR="003E7389" w:rsidRDefault="00000000">
    <w:pPr>
      <w:pStyle w:val="Footer"/>
      <w:jc w:val="right"/>
    </w:pPr>
    <w:sdt>
      <w:sdtPr>
        <w:id w:val="2036300497"/>
        <w:docPartObj>
          <w:docPartGallery w:val="Page Numbers (Bottom of Page)"/>
          <w:docPartUnique/>
        </w:docPartObj>
      </w:sdtPr>
      <w:sdtContent>
        <w:sdt>
          <w:sdtPr>
            <w:id w:val="-1769616900"/>
            <w:docPartObj>
              <w:docPartGallery w:val="Page Numbers (Top of Page)"/>
              <w:docPartUnique/>
            </w:docPartObj>
          </w:sdtPr>
          <w:sdtContent>
            <w:r w:rsidR="003E7389" w:rsidRPr="003E7389">
              <w:rPr>
                <w:rFonts w:ascii="Times New Roman" w:hAnsi="Times New Roman" w:cs="Times New Roman"/>
                <w:b/>
                <w:bCs/>
                <w:sz w:val="24"/>
                <w:szCs w:val="24"/>
              </w:rPr>
              <w:fldChar w:fldCharType="begin"/>
            </w:r>
            <w:r w:rsidR="003E7389" w:rsidRPr="003E7389">
              <w:rPr>
                <w:rFonts w:ascii="Times New Roman" w:hAnsi="Times New Roman" w:cs="Times New Roman"/>
                <w:b/>
                <w:bCs/>
                <w:sz w:val="24"/>
                <w:szCs w:val="24"/>
              </w:rPr>
              <w:instrText xml:space="preserve"> PAGE </w:instrText>
            </w:r>
            <w:r w:rsidR="003E7389"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1</w:t>
            </w:r>
            <w:r w:rsidR="003E7389" w:rsidRPr="003E7389">
              <w:rPr>
                <w:rFonts w:ascii="Times New Roman" w:hAnsi="Times New Roman" w:cs="Times New Roman"/>
                <w:b/>
                <w:bCs/>
                <w:sz w:val="24"/>
                <w:szCs w:val="24"/>
              </w:rPr>
              <w:fldChar w:fldCharType="end"/>
            </w:r>
            <w:r w:rsidR="003E7389" w:rsidRPr="003E7389">
              <w:rPr>
                <w:rFonts w:ascii="Times New Roman" w:hAnsi="Times New Roman" w:cs="Times New Roman"/>
                <w:sz w:val="24"/>
                <w:szCs w:val="24"/>
              </w:rPr>
              <w:t xml:space="preserve"> of </w:t>
            </w:r>
            <w:r w:rsidR="003E7389" w:rsidRPr="003E7389">
              <w:rPr>
                <w:rFonts w:ascii="Times New Roman" w:hAnsi="Times New Roman" w:cs="Times New Roman"/>
                <w:b/>
                <w:bCs/>
                <w:sz w:val="24"/>
                <w:szCs w:val="24"/>
              </w:rPr>
              <w:fldChar w:fldCharType="begin"/>
            </w:r>
            <w:r w:rsidR="003E7389" w:rsidRPr="003E7389">
              <w:rPr>
                <w:rFonts w:ascii="Times New Roman" w:hAnsi="Times New Roman" w:cs="Times New Roman"/>
                <w:b/>
                <w:bCs/>
                <w:sz w:val="24"/>
                <w:szCs w:val="24"/>
              </w:rPr>
              <w:instrText xml:space="preserve"> NUMPAGES  </w:instrText>
            </w:r>
            <w:r w:rsidR="003E7389"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4</w:t>
            </w:r>
            <w:r w:rsidR="003E7389" w:rsidRPr="003E7389">
              <w:rPr>
                <w:rFonts w:ascii="Times New Roman" w:hAnsi="Times New Roman" w:cs="Times New Roman"/>
                <w:b/>
                <w:bCs/>
                <w:sz w:val="24"/>
                <w:szCs w:val="24"/>
              </w:rPr>
              <w:fldChar w:fldCharType="end"/>
            </w:r>
          </w:sdtContent>
        </w:sdt>
      </w:sdtContent>
    </w:sdt>
  </w:p>
  <w:p w14:paraId="0E7A3374"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7466" w14:textId="3CC20431" w:rsidR="005E0E8A" w:rsidRPr="00E33C1C" w:rsidRDefault="005E0E8A" w:rsidP="007500C8">
    <w:pPr>
      <w:pBdr>
        <w:top w:val="single" w:sz="6" w:space="1" w:color="auto"/>
      </w:pBdr>
      <w:spacing w:line="0" w:lineRule="atLeast"/>
      <w:rPr>
        <w:sz w:val="16"/>
        <w:szCs w:val="16"/>
      </w:rPr>
    </w:pPr>
    <w:bookmarkStart w:id="0" w:name="_Hlk26286455"/>
    <w:bookmarkStart w:id="1" w:name="_Hlk26286456"/>
  </w:p>
  <w:tbl>
    <w:tblPr>
      <w:tblStyle w:val="TableGrid"/>
      <w:tblW w:w="0" w:type="auto"/>
      <w:tblLook w:val="04A0" w:firstRow="1" w:lastRow="0" w:firstColumn="1" w:lastColumn="0" w:noHBand="0" w:noVBand="1"/>
    </w:tblPr>
    <w:tblGrid>
      <w:gridCol w:w="1368"/>
      <w:gridCol w:w="6240"/>
      <w:gridCol w:w="705"/>
    </w:tblGrid>
    <w:tr w:rsidR="007500C8" w14:paraId="5C635C1A" w14:textId="77777777" w:rsidTr="00091612">
      <w:tc>
        <w:tcPr>
          <w:tcW w:w="1368" w:type="dxa"/>
          <w:tcBorders>
            <w:top w:val="nil"/>
            <w:left w:val="nil"/>
            <w:bottom w:val="nil"/>
            <w:right w:val="nil"/>
          </w:tcBorders>
        </w:tcPr>
        <w:p w14:paraId="5D4253D1" w14:textId="77777777" w:rsidR="005E0E8A" w:rsidRDefault="005E0E8A" w:rsidP="00830B62">
          <w:pPr>
            <w:spacing w:line="0" w:lineRule="atLeast"/>
            <w:rPr>
              <w:sz w:val="18"/>
            </w:rPr>
          </w:pPr>
        </w:p>
      </w:tc>
      <w:tc>
        <w:tcPr>
          <w:tcW w:w="6240" w:type="dxa"/>
          <w:tcBorders>
            <w:top w:val="nil"/>
            <w:left w:val="nil"/>
            <w:bottom w:val="nil"/>
            <w:right w:val="nil"/>
          </w:tcBorders>
        </w:tcPr>
        <w:p w14:paraId="54966A84" w14:textId="77777777" w:rsidR="005E0E8A"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298131E1" w14:textId="77777777" w:rsidR="005E0E8A"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0"/>
    <w:bookmarkEnd w:id="1"/>
  </w:tbl>
  <w:p w14:paraId="6AD149B4" w14:textId="77777777" w:rsidR="005E0E8A" w:rsidRPr="00ED79B6" w:rsidRDefault="005E0E8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A837E" w14:textId="77777777" w:rsidR="000E6E04" w:rsidRDefault="000E6E04">
      <w:pPr>
        <w:spacing w:after="0" w:line="240" w:lineRule="auto"/>
      </w:pPr>
      <w:r>
        <w:separator/>
      </w:r>
    </w:p>
  </w:footnote>
  <w:footnote w:type="continuationSeparator" w:id="0">
    <w:p w14:paraId="283EFB65" w14:textId="77777777" w:rsidR="000E6E04" w:rsidRDefault="000E6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8798" w14:textId="07DC9020" w:rsidR="005E0E8A"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F18EAF" w14:textId="77777777" w:rsidR="005E0E8A"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15FBBFD2" w14:textId="77777777" w:rsidR="005E0E8A"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FA9DF9" w14:textId="77777777" w:rsidR="005E0E8A" w:rsidRPr="007A1328" w:rsidRDefault="005E0E8A" w:rsidP="00715914">
    <w:pPr>
      <w:rPr>
        <w:b/>
        <w:sz w:val="24"/>
      </w:rPr>
    </w:pPr>
  </w:p>
  <w:p w14:paraId="2A8B4CA0" w14:textId="77777777" w:rsidR="005E0E8A"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72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017120"/>
    <w:rsid w:val="000C6EF8"/>
    <w:rsid w:val="000E6E04"/>
    <w:rsid w:val="00137581"/>
    <w:rsid w:val="00173FD9"/>
    <w:rsid w:val="0018014C"/>
    <w:rsid w:val="001C0E62"/>
    <w:rsid w:val="001F19DF"/>
    <w:rsid w:val="00205333"/>
    <w:rsid w:val="00256798"/>
    <w:rsid w:val="002B1CF4"/>
    <w:rsid w:val="002E0D36"/>
    <w:rsid w:val="002E685C"/>
    <w:rsid w:val="00364558"/>
    <w:rsid w:val="003E7389"/>
    <w:rsid w:val="004044F8"/>
    <w:rsid w:val="00417559"/>
    <w:rsid w:val="0045519B"/>
    <w:rsid w:val="004D4E75"/>
    <w:rsid w:val="004E70F3"/>
    <w:rsid w:val="00520C0C"/>
    <w:rsid w:val="005709AF"/>
    <w:rsid w:val="005E0DC6"/>
    <w:rsid w:val="005E0E8A"/>
    <w:rsid w:val="006123A7"/>
    <w:rsid w:val="0062339B"/>
    <w:rsid w:val="006C7976"/>
    <w:rsid w:val="006E048F"/>
    <w:rsid w:val="006E5764"/>
    <w:rsid w:val="007577BE"/>
    <w:rsid w:val="00771506"/>
    <w:rsid w:val="00780AA3"/>
    <w:rsid w:val="00793DE4"/>
    <w:rsid w:val="007D7064"/>
    <w:rsid w:val="007F008B"/>
    <w:rsid w:val="008243DA"/>
    <w:rsid w:val="00875D66"/>
    <w:rsid w:val="008A0F36"/>
    <w:rsid w:val="0096514D"/>
    <w:rsid w:val="009931EF"/>
    <w:rsid w:val="009956A4"/>
    <w:rsid w:val="00A1652E"/>
    <w:rsid w:val="00A82111"/>
    <w:rsid w:val="00A91186"/>
    <w:rsid w:val="00AB2208"/>
    <w:rsid w:val="00AB577F"/>
    <w:rsid w:val="00AC58C0"/>
    <w:rsid w:val="00AD7BB3"/>
    <w:rsid w:val="00C16035"/>
    <w:rsid w:val="00C53E5C"/>
    <w:rsid w:val="00C75473"/>
    <w:rsid w:val="00CA3C14"/>
    <w:rsid w:val="00CB35AE"/>
    <w:rsid w:val="00D01521"/>
    <w:rsid w:val="00DC1813"/>
    <w:rsid w:val="00DC654F"/>
    <w:rsid w:val="00DE6456"/>
    <w:rsid w:val="00E62E1D"/>
    <w:rsid w:val="00EF2DBE"/>
    <w:rsid w:val="00F06D35"/>
    <w:rsid w:val="00FB1A20"/>
    <w:rsid w:val="00FD5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S574FYTY5PW6-969949929-2856</_dlc_DocI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Url xmlns="fe39d773-a83d-4623-ae74-f25711a76616">
      <Url>https://austreasury.sharepoint.com/sites/leg-cord-function/_layouts/15/DocIdRedir.aspx?ID=S574FYTY5PW6-969949929-2856</Url>
      <Description>S574FYTY5PW6-969949929-2856</Description>
    </_dlc_DocIdUrl>
    <ge25bdd0d6464e36b066695d9e81d63d xmlns="fe39d773-a83d-4623-ae74-f25711a76616">
      <Terms xmlns="http://schemas.microsoft.com/office/infopath/2007/PartnerControls"/>
    </ge25bdd0d6464e36b066695d9e81d63d>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TaxCatchAll xmlns="ff38c824-6e29-4496-8487-69f397e7ed29">
      <Value>35</Value>
      <Value>36</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documentManagement>
</p:properties>
</file>

<file path=customXml/itemProps1.xml><?xml version="1.0" encoding="utf-8"?>
<ds:datastoreItem xmlns:ds="http://schemas.openxmlformats.org/officeDocument/2006/customXml" ds:itemID="{B1F0E866-D8F0-436B-AFFD-6DDBCCAAA5B7}"/>
</file>

<file path=customXml/itemProps2.xml><?xml version="1.0" encoding="utf-8"?>
<ds:datastoreItem xmlns:ds="http://schemas.openxmlformats.org/officeDocument/2006/customXml" ds:itemID="{40F10E73-0B61-49B6-999B-3B8C34C38905}"/>
</file>

<file path=customXml/itemProps3.xml><?xml version="1.0" encoding="utf-8"?>
<ds:datastoreItem xmlns:ds="http://schemas.openxmlformats.org/officeDocument/2006/customXml" ds:itemID="{5F17C4A9-FC8F-455A-9099-92C0CE20D8D0}"/>
</file>

<file path=customXml/itemProps4.xml><?xml version="1.0" encoding="utf-8"?>
<ds:datastoreItem xmlns:ds="http://schemas.openxmlformats.org/officeDocument/2006/customXml" ds:itemID="{5FEB41B1-7954-4F66-95B3-741B3C212ACC}"/>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2025-08-04T00:33:00Z</dcterms:created>
  <dcterms:modified xsi:type="dcterms:W3CDTF">2025-08-04T00:34:00Z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2025-08-04T00:34:12Z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e4f01674-f2b8-45b2-8b03-c8105cd8b95b</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ClassificationContentMarkingFooterText">
    <vt:lpwstr>OFFICIAL</vt:lpwstr>
  </property>
  <property fmtid="{D5CDD505-2E9C-101B-9397-08002B2CF9AE}" pid="11" name="TSYStatus">
    <vt:lpwstr/>
  </property>
  <property fmtid="{D5CDD505-2E9C-101B-9397-08002B2CF9AE}" pid="12" name="Document_x0020_Type">
    <vt:lpwstr>42;#Legislation|25c35cca-98fe-4d3e-a63c-3dda1c39f3ec</vt:lpwstr>
  </property>
  <property fmtid="{D5CDD505-2E9C-101B-9397-08002B2CF9AE}" pid="13" name="ClassificationContentMarkingHeaderText">
    <vt:lpwstr>OFFICIAL</vt:lpwstr>
  </property>
  <property fmtid="{D5CDD505-2E9C-101B-9397-08002B2CF9AE}" pid="14" name="Topic">
    <vt:lpwstr>36;#Legislation Coordination|58c6712e-e847-48f4-81ab-b25e2bbd3986</vt:lpwstr>
  </property>
  <property fmtid="{D5CDD505-2E9C-101B-9397-08002B2CF9AE}" pid="15" name="Activity">
    <vt:lpwstr>35;#Legislation management|cb630f2f-9155-496b-ad0f-d960eb1bf90c</vt:lpwstr>
  </property>
  <property fmtid="{D5CDD505-2E9C-101B-9397-08002B2CF9AE}" pid="16" name="MediaServiceImageTags">
    <vt:lpwstr/>
  </property>
  <property fmtid="{D5CDD505-2E9C-101B-9397-08002B2CF9AE}" pid="17" name="ContentTypeId">
    <vt:lpwstr>0x010100B569D256E75E71428C72445DFBB99E7A</vt:lpwstr>
  </property>
  <property fmtid="{D5CDD505-2E9C-101B-9397-08002B2CF9AE}" pid="18" name="eTheme">
    <vt:lpwstr>1</vt:lpwstr>
  </property>
  <property fmtid="{D5CDD505-2E9C-101B-9397-08002B2CF9AE}" pid="19" name="ClassificationContentMarkingHeaderFontProps">
    <vt:lpwstr>#ff0000,12,Calibri</vt:lpwstr>
  </property>
  <property fmtid="{D5CDD505-2E9C-101B-9397-08002B2CF9AE}" pid="20" name="eDocumentType">
    <vt:lpwstr>54;#Request|8dc83087-dda2-4ea8-81c9-2e13e25b85e4</vt:lpwstr>
  </property>
  <property fmtid="{D5CDD505-2E9C-101B-9397-08002B2CF9AE}" pid="21" name="eTopic">
    <vt:lpwstr>36;#Legislation Coordination|58c6712e-e847-48f4-81ab-b25e2bbd3986</vt:lpwstr>
  </property>
  <property fmtid="{D5CDD505-2E9C-101B-9397-08002B2CF9AE}" pid="22" name="Document Type">
    <vt:lpwstr>42;#Legislation|25c35cca-98fe-4d3e-a63c-3dda1c39f3ec</vt:lpwstr>
  </property>
  <property fmtid="{D5CDD505-2E9C-101B-9397-08002B2CF9AE}" pid="23" name="eActivity">
    <vt:lpwstr>35</vt:lpwstr>
  </property>
  <property fmtid="{D5CDD505-2E9C-101B-9397-08002B2CF9AE}" pid="24" name="ClassificationContentMarkingFooterShapeIds">
    <vt:lpwstr>23f3d3f2,5057584a,6200073d</vt:lpwstr>
  </property>
  <property fmtid="{D5CDD505-2E9C-101B-9397-08002B2CF9AE}" pid="25" name="ClassificationContentMarkingHeaderShapeIds">
    <vt:lpwstr>1c5c0336,3854a87a,3da73171</vt:lpwstr>
  </property>
  <property fmtid="{D5CDD505-2E9C-101B-9397-08002B2CF9AE}" pid="26" name="ClassificationContentMarkingFooterFontProps">
    <vt:lpwstr>#ff0000,12,Calibri</vt:lpwstr>
  </property>
  <property fmtid="{D5CDD505-2E9C-101B-9397-08002B2CF9AE}" pid="27" name="_dlc_DocIdItemGuid">
    <vt:lpwstr>ea158fdc-1a29-4048-b51a-d579da8df0b5</vt:lpwstr>
  </property>
</Properties>
</file>