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77777777" w:rsidR="00FF6E25" w:rsidRPr="00BA75EE" w:rsidRDefault="00FF6E25" w:rsidP="000C310A">
      <w:pPr>
        <w:pStyle w:val="Title"/>
      </w:pPr>
      <w:r w:rsidRPr="00BA75EE">
        <w:t>EXPLANATORY STATEMENT</w:t>
      </w:r>
    </w:p>
    <w:p w14:paraId="145EC655" w14:textId="755AA1CA" w:rsidR="0088497A" w:rsidRPr="00BA75EE" w:rsidRDefault="0088497A" w:rsidP="000C310A">
      <w:pPr>
        <w:pStyle w:val="Subtitle"/>
        <w:rPr>
          <w:rStyle w:val="IntenseEmphasis"/>
          <w:color w:val="auto"/>
        </w:rPr>
      </w:pPr>
      <w:r w:rsidRPr="00BA75EE">
        <w:rPr>
          <w:rStyle w:val="IntenseEmphasis"/>
          <w:color w:val="auto"/>
        </w:rPr>
        <w:t xml:space="preserve">Issued by the authority of </w:t>
      </w:r>
      <w:r w:rsidR="00BA75EE" w:rsidRPr="00BA75EE">
        <w:rPr>
          <w:rStyle w:val="IntenseEmphasis"/>
          <w:color w:val="auto"/>
        </w:rPr>
        <w:t xml:space="preserve">the </w:t>
      </w:r>
      <w:r w:rsidR="00926295">
        <w:rPr>
          <w:rStyle w:val="IntenseEmphasis"/>
          <w:color w:val="auto"/>
        </w:rPr>
        <w:t xml:space="preserve">Acting </w:t>
      </w:r>
      <w:r w:rsidR="002405C3">
        <w:rPr>
          <w:rStyle w:val="IntenseEmphasis"/>
          <w:color w:val="auto"/>
        </w:rPr>
        <w:t>Higher Education</w:t>
      </w:r>
      <w:r w:rsidR="00BA75EE" w:rsidRPr="00BA75EE">
        <w:rPr>
          <w:rStyle w:val="IntenseEmphasis"/>
          <w:color w:val="auto"/>
        </w:rPr>
        <w:t xml:space="preserve"> Tuition Protection Director</w:t>
      </w:r>
    </w:p>
    <w:p w14:paraId="12EB6806" w14:textId="0A490EBB" w:rsidR="00455C2A" w:rsidRPr="00BA75EE" w:rsidRDefault="002405C3" w:rsidP="000C310A">
      <w:pPr>
        <w:pStyle w:val="Subtitle"/>
      </w:pPr>
      <w:r>
        <w:t>Higher Education (Up-front Payments Tuition Protection Levy) Act 2020</w:t>
      </w:r>
    </w:p>
    <w:p w14:paraId="6C026A0C" w14:textId="05EF4671" w:rsidR="00503218" w:rsidRPr="0088497A" w:rsidRDefault="00915BA0" w:rsidP="000C310A">
      <w:pPr>
        <w:pStyle w:val="Subtitle"/>
      </w:pPr>
      <w:r w:rsidRPr="00915BA0">
        <w:t>Higher Education (Up-front Payments Tuition Protection Levy) (Risk Rated Premium and Special Tuition Protection Components) Determination 2025</w:t>
      </w:r>
      <w:r w:rsidR="00BA75EE">
        <w:t xml:space="preserve"> </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4F8AEBA3" w:rsidR="00DB6247" w:rsidRDefault="00BA75EE" w:rsidP="000C310A">
      <w:pPr>
        <w:spacing w:before="120" w:after="120"/>
        <w:rPr>
          <w:rFonts w:asciiTheme="minorHAnsi" w:hAnsiTheme="minorHAnsi" w:cstheme="minorHAnsi"/>
          <w:szCs w:val="24"/>
        </w:rPr>
      </w:pPr>
      <w:r>
        <w:rPr>
          <w:rFonts w:asciiTheme="minorHAnsi" w:hAnsiTheme="minorHAnsi" w:cstheme="minorHAnsi"/>
          <w:szCs w:val="24"/>
        </w:rPr>
        <w:t xml:space="preserve">Section 13 of the </w:t>
      </w:r>
      <w:r w:rsidR="0062410A" w:rsidRPr="003F4E02">
        <w:rPr>
          <w:rFonts w:asciiTheme="minorHAnsi" w:hAnsiTheme="minorHAnsi" w:cstheme="minorHAnsi"/>
          <w:i/>
          <w:iCs/>
          <w:szCs w:val="24"/>
        </w:rPr>
        <w:t>Higher Education (Up-front Payments Tuition Protection Levy) Act 2020</w:t>
      </w:r>
      <w:r w:rsidRPr="0062410A">
        <w:rPr>
          <w:rFonts w:asciiTheme="minorHAnsi" w:hAnsiTheme="minorHAnsi" w:cstheme="minorHAnsi"/>
          <w:szCs w:val="24"/>
        </w:rPr>
        <w:t xml:space="preserve"> </w:t>
      </w:r>
      <w:r>
        <w:rPr>
          <w:rFonts w:asciiTheme="minorHAnsi" w:hAnsiTheme="minorHAnsi" w:cstheme="minorHAnsi"/>
          <w:szCs w:val="24"/>
        </w:rPr>
        <w:t>(the Act) provides that</w:t>
      </w:r>
      <w:r w:rsidR="0019628F">
        <w:rPr>
          <w:rFonts w:asciiTheme="minorHAnsi" w:hAnsiTheme="minorHAnsi" w:cstheme="minorHAnsi"/>
          <w:szCs w:val="24"/>
        </w:rPr>
        <w:t>,</w:t>
      </w:r>
      <w:r>
        <w:rPr>
          <w:rFonts w:asciiTheme="minorHAnsi" w:hAnsiTheme="minorHAnsi" w:cstheme="minorHAnsi"/>
          <w:szCs w:val="24"/>
        </w:rPr>
        <w:t xml:space="preserve"> before 1 August of each year, the </w:t>
      </w:r>
      <w:r w:rsidR="00AF0256">
        <w:rPr>
          <w:rFonts w:asciiTheme="minorHAnsi" w:hAnsiTheme="minorHAnsi" w:cstheme="minorHAnsi"/>
          <w:szCs w:val="24"/>
        </w:rPr>
        <w:t>Higher Education</w:t>
      </w:r>
      <w:r>
        <w:rPr>
          <w:rFonts w:asciiTheme="minorHAnsi" w:hAnsiTheme="minorHAnsi" w:cstheme="minorHAnsi"/>
          <w:szCs w:val="24"/>
        </w:rPr>
        <w:t xml:space="preserve"> Tuition Protection Director </w:t>
      </w:r>
      <w:r w:rsidR="001B78D5">
        <w:rPr>
          <w:rFonts w:asciiTheme="minorHAnsi" w:hAnsiTheme="minorHAnsi" w:cstheme="minorHAnsi"/>
          <w:szCs w:val="24"/>
        </w:rPr>
        <w:t xml:space="preserve">(the Director) </w:t>
      </w:r>
      <w:r>
        <w:rPr>
          <w:rFonts w:asciiTheme="minorHAnsi" w:hAnsiTheme="minorHAnsi" w:cstheme="minorHAnsi"/>
          <w:szCs w:val="24"/>
        </w:rPr>
        <w:t xml:space="preserve">must, by legislative instrument, determine the matters set out in section 13 of the Act for the purposes of sections 11 and 12 of the Act. Such matters relate to the calculation of the risk rated premium component and special tuition protection component of the </w:t>
      </w:r>
      <w:r w:rsidR="003F4E02">
        <w:rPr>
          <w:rFonts w:asciiTheme="minorHAnsi" w:hAnsiTheme="minorHAnsi" w:cstheme="minorHAnsi"/>
          <w:szCs w:val="24"/>
        </w:rPr>
        <w:t>U</w:t>
      </w:r>
      <w:r w:rsidR="00AF0256">
        <w:rPr>
          <w:rFonts w:asciiTheme="minorHAnsi" w:hAnsiTheme="minorHAnsi" w:cstheme="minorHAnsi"/>
          <w:szCs w:val="24"/>
        </w:rPr>
        <w:t xml:space="preserve">p-front </w:t>
      </w:r>
      <w:r w:rsidR="003F4E02">
        <w:rPr>
          <w:rFonts w:asciiTheme="minorHAnsi" w:hAnsiTheme="minorHAnsi" w:cstheme="minorHAnsi"/>
          <w:szCs w:val="24"/>
        </w:rPr>
        <w:t>P</w:t>
      </w:r>
      <w:r w:rsidR="00AF0256">
        <w:rPr>
          <w:rFonts w:asciiTheme="minorHAnsi" w:hAnsiTheme="minorHAnsi" w:cstheme="minorHAnsi"/>
          <w:szCs w:val="24"/>
        </w:rPr>
        <w:t>ayments</w:t>
      </w:r>
      <w:r>
        <w:rPr>
          <w:rFonts w:asciiTheme="minorHAnsi" w:hAnsiTheme="minorHAnsi" w:cstheme="minorHAnsi"/>
          <w:szCs w:val="24"/>
        </w:rPr>
        <w:t xml:space="preserve"> tuition protection levy </w:t>
      </w:r>
      <w:r w:rsidR="001B78D5">
        <w:rPr>
          <w:rFonts w:asciiTheme="minorHAnsi" w:hAnsiTheme="minorHAnsi" w:cstheme="minorHAnsi"/>
          <w:szCs w:val="24"/>
        </w:rPr>
        <w:t xml:space="preserve">(the Levy) </w:t>
      </w:r>
      <w:r>
        <w:rPr>
          <w:rFonts w:asciiTheme="minorHAnsi" w:hAnsiTheme="minorHAnsi" w:cstheme="minorHAnsi"/>
          <w:szCs w:val="24"/>
        </w:rPr>
        <w:t xml:space="preserve">for the year. </w:t>
      </w:r>
    </w:p>
    <w:p w14:paraId="2AE05D83" w14:textId="3D3FA0E7" w:rsidR="001B78D5" w:rsidRDefault="001B78D5" w:rsidP="000C310A">
      <w:pPr>
        <w:spacing w:before="120" w:after="120"/>
        <w:rPr>
          <w:rFonts w:asciiTheme="minorHAnsi" w:hAnsiTheme="minorHAnsi" w:cstheme="minorHAnsi"/>
          <w:szCs w:val="24"/>
        </w:rPr>
      </w:pPr>
      <w:r>
        <w:rPr>
          <w:rFonts w:asciiTheme="minorHAnsi" w:hAnsiTheme="minorHAnsi" w:cstheme="minorHAnsi"/>
          <w:szCs w:val="24"/>
        </w:rPr>
        <w:t xml:space="preserve">In making an instrument under section 13, the Director must have regard to any advice of the </w:t>
      </w:r>
      <w:r w:rsidR="00AF0256" w:rsidRPr="004B176B">
        <w:rPr>
          <w:rFonts w:asciiTheme="minorHAnsi" w:hAnsiTheme="minorHAnsi" w:cstheme="minorHAnsi"/>
          <w:szCs w:val="24"/>
        </w:rPr>
        <w:t>Higher Education</w:t>
      </w:r>
      <w:r w:rsidR="00AF0256">
        <w:rPr>
          <w:rFonts w:asciiTheme="minorHAnsi" w:hAnsiTheme="minorHAnsi" w:cstheme="minorHAnsi"/>
          <w:szCs w:val="24"/>
        </w:rPr>
        <w:t xml:space="preserve"> </w:t>
      </w:r>
      <w:r>
        <w:rPr>
          <w:rFonts w:asciiTheme="minorHAnsi" w:hAnsiTheme="minorHAnsi" w:cstheme="minorHAnsi"/>
          <w:szCs w:val="24"/>
        </w:rPr>
        <w:t>Tuition Protection Fund Advisory Board</w:t>
      </w:r>
      <w:r w:rsidR="003D0952">
        <w:rPr>
          <w:rFonts w:asciiTheme="minorHAnsi" w:hAnsiTheme="minorHAnsi" w:cstheme="minorHAnsi"/>
          <w:szCs w:val="24"/>
        </w:rPr>
        <w:t xml:space="preserve"> (the Board)</w:t>
      </w:r>
      <w:r>
        <w:rPr>
          <w:rFonts w:asciiTheme="minorHAnsi" w:hAnsiTheme="minorHAnsi" w:cstheme="minorHAnsi"/>
          <w:szCs w:val="24"/>
        </w:rPr>
        <w:t xml:space="preserve"> and the sustainability of the </w:t>
      </w:r>
      <w:r w:rsidR="004B176B">
        <w:rPr>
          <w:rFonts w:asciiTheme="minorHAnsi" w:hAnsiTheme="minorHAnsi" w:cstheme="minorHAnsi"/>
          <w:szCs w:val="24"/>
        </w:rPr>
        <w:t xml:space="preserve">Higher Education </w:t>
      </w:r>
      <w:r>
        <w:rPr>
          <w:rFonts w:asciiTheme="minorHAnsi" w:hAnsiTheme="minorHAnsi" w:cstheme="minorHAnsi"/>
          <w:szCs w:val="24"/>
        </w:rPr>
        <w:t>Tuition Protection Fund</w:t>
      </w:r>
      <w:r w:rsidR="00F850CE">
        <w:rPr>
          <w:rFonts w:asciiTheme="minorHAnsi" w:hAnsiTheme="minorHAnsi" w:cstheme="minorHAnsi"/>
          <w:szCs w:val="24"/>
        </w:rPr>
        <w:t xml:space="preserve"> (the Fund)</w:t>
      </w:r>
      <w:r w:rsidR="00947872">
        <w:rPr>
          <w:rFonts w:asciiTheme="minorHAnsi" w:hAnsiTheme="minorHAnsi" w:cstheme="minorHAnsi"/>
          <w:szCs w:val="24"/>
        </w:rPr>
        <w:t xml:space="preserve"> </w:t>
      </w:r>
      <w:r w:rsidR="00F93368" w:rsidRPr="002F6432">
        <w:rPr>
          <w:rFonts w:asciiTheme="minorHAnsi" w:hAnsiTheme="minorHAnsi" w:cstheme="minorHAnsi"/>
          <w:szCs w:val="24"/>
        </w:rPr>
        <w:t>(subsection 13(4) of the Act)</w:t>
      </w:r>
      <w:r w:rsidRPr="00F93368">
        <w:rPr>
          <w:rFonts w:asciiTheme="minorHAnsi" w:hAnsiTheme="minorHAnsi" w:cstheme="minorHAnsi"/>
          <w:szCs w:val="24"/>
        </w:rPr>
        <w:t>.</w:t>
      </w:r>
      <w:r>
        <w:rPr>
          <w:rFonts w:asciiTheme="minorHAnsi" w:hAnsiTheme="minorHAnsi" w:cstheme="minorHAnsi"/>
          <w:szCs w:val="24"/>
        </w:rPr>
        <w:t xml:space="preserve"> The Director may also have regard to any other matter that the Director considers appropriate</w:t>
      </w:r>
      <w:r w:rsidR="004D50AE">
        <w:rPr>
          <w:rFonts w:asciiTheme="minorHAnsi" w:hAnsiTheme="minorHAnsi" w:cstheme="minorHAnsi"/>
          <w:szCs w:val="24"/>
        </w:rPr>
        <w:t xml:space="preserve"> (</w:t>
      </w:r>
      <w:r w:rsidR="00F93368">
        <w:rPr>
          <w:rFonts w:asciiTheme="minorHAnsi" w:hAnsiTheme="minorHAnsi" w:cstheme="minorHAnsi"/>
          <w:szCs w:val="24"/>
        </w:rPr>
        <w:t>subsection 13(5) of the Act</w:t>
      </w:r>
      <w:r w:rsidR="004D50AE">
        <w:rPr>
          <w:rFonts w:asciiTheme="minorHAnsi" w:hAnsiTheme="minorHAnsi" w:cstheme="minorHAnsi"/>
          <w:szCs w:val="24"/>
        </w:rPr>
        <w:t>)</w:t>
      </w:r>
      <w:r>
        <w:rPr>
          <w:rFonts w:asciiTheme="minorHAnsi" w:hAnsiTheme="minorHAnsi" w:cstheme="minorHAnsi"/>
          <w:szCs w:val="24"/>
        </w:rPr>
        <w:t xml:space="preserve">. Subsection 13(6) of the Act also provides that </w:t>
      </w:r>
      <w:r w:rsidRPr="00E154DA">
        <w:rPr>
          <w:rFonts w:asciiTheme="minorHAnsi" w:hAnsiTheme="minorHAnsi" w:cstheme="minorHAnsi"/>
          <w:szCs w:val="24"/>
        </w:rPr>
        <w:t>the Treasurer must approve the instrument in writing before it is made by the Director.</w:t>
      </w:r>
      <w:r>
        <w:rPr>
          <w:rFonts w:asciiTheme="minorHAnsi" w:hAnsiTheme="minorHAnsi" w:cstheme="minorHAnsi"/>
          <w:szCs w:val="24"/>
        </w:rPr>
        <w:t xml:space="preserve"> </w:t>
      </w:r>
    </w:p>
    <w:p w14:paraId="051295FC" w14:textId="79822569" w:rsidR="001B78D5" w:rsidRPr="001B78D5" w:rsidRDefault="001B78D5" w:rsidP="001350D6">
      <w:pPr>
        <w:spacing w:before="120" w:after="120"/>
        <w:rPr>
          <w:rFonts w:asciiTheme="minorHAnsi" w:hAnsiTheme="minorHAnsi" w:cstheme="minorHAnsi"/>
          <w:szCs w:val="24"/>
        </w:rPr>
      </w:pPr>
      <w:r w:rsidRPr="001B78D5">
        <w:rPr>
          <w:rFonts w:asciiTheme="minorHAnsi" w:hAnsiTheme="minorHAnsi" w:cstheme="minorHAnsi"/>
          <w:szCs w:val="24"/>
        </w:rPr>
        <w:t>Under subsection 33(3) of the </w:t>
      </w:r>
      <w:r w:rsidRPr="001B78D5">
        <w:rPr>
          <w:rFonts w:asciiTheme="minorHAnsi" w:hAnsiTheme="minorHAnsi" w:cstheme="minorHAnsi"/>
          <w:i/>
          <w:iCs/>
          <w:szCs w:val="24"/>
        </w:rPr>
        <w:t>Acts Interpretation Act 1901</w:t>
      </w:r>
      <w:r w:rsidRPr="001B78D5">
        <w:rPr>
          <w:rFonts w:asciiTheme="minorHAnsi" w:hAnsiTheme="minorHAnsi" w:cstheme="minorHAnsi"/>
          <w:szCs w:val="24"/>
        </w:rPr>
        <w:t>, where an Act confers a power to make, grant or issue any instrument of a legislative or administrative character (including rules, regulations or by</w:t>
      </w:r>
      <w:r w:rsidRPr="001B78D5">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Pr>
          <w:rFonts w:asciiTheme="minorHAnsi" w:hAnsiTheme="minorHAnsi" w:cstheme="minorHAnsi"/>
          <w:szCs w:val="24"/>
        </w:rPr>
        <w:t xml:space="preserve"> The repeal of the </w:t>
      </w:r>
      <w:r w:rsidR="00BA2601" w:rsidRPr="00004024">
        <w:rPr>
          <w:rFonts w:asciiTheme="minorHAnsi" w:hAnsiTheme="minorHAnsi" w:cstheme="minorHAnsi"/>
          <w:i/>
          <w:iCs/>
          <w:szCs w:val="24"/>
        </w:rPr>
        <w:t>Higher Education (Up-front Payments Tuition Protection Levy) (Risk Rated Premium and Special Tuition Protection Components) Determination 2024</w:t>
      </w:r>
      <w:r w:rsidR="00BA2601">
        <w:rPr>
          <w:rFonts w:asciiTheme="minorHAnsi" w:hAnsiTheme="minorHAnsi" w:cstheme="minorHAnsi"/>
          <w:szCs w:val="24"/>
        </w:rPr>
        <w:t xml:space="preserve"> </w:t>
      </w:r>
      <w:r w:rsidR="00644B57">
        <w:rPr>
          <w:rFonts w:asciiTheme="minorHAnsi" w:hAnsiTheme="minorHAnsi" w:cstheme="minorHAnsi"/>
          <w:szCs w:val="24"/>
        </w:rPr>
        <w:t xml:space="preserve">(the Former Instrument) </w:t>
      </w:r>
      <w:r>
        <w:rPr>
          <w:rFonts w:asciiTheme="minorHAnsi" w:hAnsiTheme="minorHAnsi" w:cstheme="minorHAnsi"/>
          <w:szCs w:val="24"/>
        </w:rPr>
        <w:t xml:space="preserve">at Schedule 1 to the </w:t>
      </w:r>
      <w:r w:rsidR="00BA2601" w:rsidRPr="00004024">
        <w:rPr>
          <w:rFonts w:asciiTheme="minorHAnsi" w:hAnsiTheme="minorHAnsi" w:cstheme="minorHAnsi"/>
          <w:i/>
          <w:iCs/>
          <w:szCs w:val="24"/>
        </w:rPr>
        <w:t>Higher Education (Up-front Payments Tuition Protection Levy) (Risk Rated Premium and Special Tuition Protection Components) Determination 2025</w:t>
      </w:r>
      <w:r w:rsidR="00BA2601" w:rsidRPr="00BA2601">
        <w:rPr>
          <w:rFonts w:asciiTheme="minorHAnsi" w:hAnsiTheme="minorHAnsi" w:cstheme="minorHAnsi"/>
          <w:szCs w:val="24"/>
        </w:rPr>
        <w:t xml:space="preserve"> </w:t>
      </w:r>
      <w:r>
        <w:rPr>
          <w:rFonts w:asciiTheme="minorHAnsi" w:hAnsiTheme="minorHAnsi" w:cstheme="minorHAnsi"/>
          <w:szCs w:val="24"/>
        </w:rPr>
        <w:t xml:space="preserve">(the Instrument) is made in reliance on this power. </w:t>
      </w:r>
    </w:p>
    <w:bookmarkEnd w:id="0"/>
    <w:bookmarkEnd w:id="1"/>
    <w:p w14:paraId="56CDA376" w14:textId="77777777" w:rsidR="00DA552F" w:rsidRPr="008134D5" w:rsidRDefault="00144950" w:rsidP="000C310A">
      <w:pPr>
        <w:pStyle w:val="Heading1"/>
      </w:pPr>
      <w:r>
        <w:t>PURPOSE AND OPERATION</w:t>
      </w:r>
    </w:p>
    <w:p w14:paraId="57408D06" w14:textId="5199044F" w:rsidR="00455C2A" w:rsidRDefault="001B78D5"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purpose of the Instrument is to determine various matters relevant to the calculation of the risk rated premium component and special tuition protection component </w:t>
      </w:r>
      <w:r w:rsidR="00F850CE">
        <w:rPr>
          <w:rFonts w:asciiTheme="minorHAnsi" w:hAnsiTheme="minorHAnsi" w:cstheme="minorHAnsi"/>
          <w:iCs/>
          <w:szCs w:val="24"/>
        </w:rPr>
        <w:t xml:space="preserve">of the Levy for the </w:t>
      </w:r>
      <w:r w:rsidR="0066142F">
        <w:rPr>
          <w:rFonts w:asciiTheme="minorHAnsi" w:hAnsiTheme="minorHAnsi" w:cstheme="minorHAnsi"/>
          <w:iCs/>
          <w:szCs w:val="24"/>
        </w:rPr>
        <w:t>202</w:t>
      </w:r>
      <w:r w:rsidR="00C35AD4">
        <w:rPr>
          <w:rFonts w:asciiTheme="minorHAnsi" w:hAnsiTheme="minorHAnsi" w:cstheme="minorHAnsi"/>
          <w:iCs/>
          <w:szCs w:val="24"/>
        </w:rPr>
        <w:t>5</w:t>
      </w:r>
      <w:r w:rsidR="0066142F">
        <w:rPr>
          <w:rFonts w:asciiTheme="minorHAnsi" w:hAnsiTheme="minorHAnsi" w:cstheme="minorHAnsi"/>
          <w:iCs/>
          <w:szCs w:val="24"/>
        </w:rPr>
        <w:t xml:space="preserve"> </w:t>
      </w:r>
      <w:r w:rsidR="00F850CE">
        <w:rPr>
          <w:rFonts w:asciiTheme="minorHAnsi" w:hAnsiTheme="minorHAnsi" w:cstheme="minorHAnsi"/>
          <w:iCs/>
          <w:szCs w:val="24"/>
        </w:rPr>
        <w:t xml:space="preserve">calendar year. </w:t>
      </w:r>
    </w:p>
    <w:p w14:paraId="6188723B" w14:textId="031538B2" w:rsidR="00E554CE" w:rsidRDefault="00E554CE" w:rsidP="00E554CE">
      <w:pPr>
        <w:spacing w:before="120" w:after="120"/>
        <w:rPr>
          <w:rFonts w:ascii="Calibri" w:hAnsi="Calibri" w:cs="Calibri"/>
          <w:color w:val="000000"/>
          <w:shd w:val="clear" w:color="auto" w:fill="FFFFFF"/>
        </w:rPr>
      </w:pPr>
      <w:r w:rsidRPr="00E554CE">
        <w:rPr>
          <w:rFonts w:ascii="Calibri" w:hAnsi="Calibri" w:cs="Calibri"/>
          <w:color w:val="000000"/>
          <w:shd w:val="clear" w:color="auto" w:fill="FFFFFF"/>
        </w:rPr>
        <w:t>The risk rated premium component ensures that a leviable provider’s risk of default</w:t>
      </w:r>
      <w:r w:rsidR="00EB48A8">
        <w:rPr>
          <w:rFonts w:ascii="Calibri" w:hAnsi="Calibri" w:cs="Calibri"/>
          <w:color w:val="000000"/>
          <w:shd w:val="clear" w:color="auto" w:fill="FFFFFF"/>
        </w:rPr>
        <w:t xml:space="preserve"> (</w:t>
      </w:r>
      <w:r w:rsidR="008E5E27" w:rsidRPr="0034234C">
        <w:rPr>
          <w:rFonts w:ascii="Calibri" w:hAnsi="Calibri" w:cs="Calibri"/>
          <w:color w:val="000000"/>
          <w:shd w:val="clear" w:color="auto" w:fill="FFFFFF"/>
        </w:rPr>
        <w:t>meaning the</w:t>
      </w:r>
      <w:r w:rsidR="00C667D8">
        <w:rPr>
          <w:rFonts w:ascii="Calibri" w:hAnsi="Calibri" w:cs="Calibri"/>
          <w:color w:val="000000"/>
          <w:shd w:val="clear" w:color="auto" w:fill="FFFFFF"/>
        </w:rPr>
        <w:t xml:space="preserve"> risk</w:t>
      </w:r>
      <w:r w:rsidR="00B2457A">
        <w:rPr>
          <w:rFonts w:ascii="Calibri" w:hAnsi="Calibri" w:cs="Calibri"/>
          <w:color w:val="000000"/>
          <w:shd w:val="clear" w:color="auto" w:fill="FFFFFF"/>
        </w:rPr>
        <w:t xml:space="preserve"> of a</w:t>
      </w:r>
      <w:r w:rsidR="008E5E27" w:rsidRPr="0034234C">
        <w:rPr>
          <w:rFonts w:ascii="Calibri" w:hAnsi="Calibri" w:cs="Calibri"/>
          <w:color w:val="000000"/>
          <w:shd w:val="clear" w:color="auto" w:fill="FFFFFF"/>
        </w:rPr>
        <w:t xml:space="preserve"> provider fail</w:t>
      </w:r>
      <w:r w:rsidR="00B2457A">
        <w:rPr>
          <w:rFonts w:ascii="Calibri" w:hAnsi="Calibri" w:cs="Calibri"/>
          <w:color w:val="000000"/>
          <w:shd w:val="clear" w:color="auto" w:fill="FFFFFF"/>
        </w:rPr>
        <w:t>ing</w:t>
      </w:r>
      <w:r w:rsidR="008E5E27" w:rsidRPr="0034234C">
        <w:rPr>
          <w:rFonts w:ascii="Calibri" w:hAnsi="Calibri" w:cs="Calibri"/>
          <w:color w:val="000000"/>
          <w:shd w:val="clear" w:color="auto" w:fill="FFFFFF"/>
        </w:rPr>
        <w:t xml:space="preserve"> to start to provide, or ceas</w:t>
      </w:r>
      <w:r w:rsidR="00B2457A">
        <w:rPr>
          <w:rFonts w:ascii="Calibri" w:hAnsi="Calibri" w:cs="Calibri"/>
          <w:color w:val="000000"/>
          <w:shd w:val="clear" w:color="auto" w:fill="FFFFFF"/>
        </w:rPr>
        <w:t>ing</w:t>
      </w:r>
      <w:r w:rsidR="008E5E27" w:rsidRPr="0034234C">
        <w:rPr>
          <w:rFonts w:ascii="Calibri" w:hAnsi="Calibri" w:cs="Calibri"/>
          <w:color w:val="000000"/>
          <w:shd w:val="clear" w:color="auto" w:fill="FFFFFF"/>
        </w:rPr>
        <w:t xml:space="preserve"> to provide, a unit of study for a student</w:t>
      </w:r>
      <w:r w:rsidR="00EB48A8">
        <w:rPr>
          <w:rFonts w:ascii="Calibri" w:hAnsi="Calibri" w:cs="Calibri"/>
          <w:color w:val="000000"/>
          <w:shd w:val="clear" w:color="auto" w:fill="FFFFFF"/>
        </w:rPr>
        <w:t>)</w:t>
      </w:r>
      <w:r w:rsidRPr="00E554CE">
        <w:rPr>
          <w:rFonts w:ascii="Calibri" w:hAnsi="Calibri" w:cs="Calibri"/>
          <w:color w:val="000000"/>
          <w:shd w:val="clear" w:color="auto" w:fill="FFFFFF"/>
        </w:rPr>
        <w:t xml:space="preserve"> is reflected in the amount of Levy payable by that provider and ensures </w:t>
      </w:r>
      <w:r w:rsidRPr="00E554CE">
        <w:rPr>
          <w:rFonts w:ascii="Calibri" w:hAnsi="Calibri" w:cs="Calibri"/>
          <w:color w:val="000000"/>
          <w:shd w:val="clear" w:color="auto" w:fill="FFFFFF"/>
        </w:rPr>
        <w:lastRenderedPageBreak/>
        <w:t>providers are financially incentivised to reduce their risk of defaulting.</w:t>
      </w:r>
      <w:r>
        <w:rPr>
          <w:rFonts w:ascii="Calibri" w:hAnsi="Calibri" w:cs="Calibri"/>
          <w:color w:val="000000"/>
          <w:shd w:val="clear" w:color="auto" w:fill="FFFFFF"/>
        </w:rPr>
        <w:t xml:space="preserve"> </w:t>
      </w:r>
      <w:r w:rsidRPr="00E554CE">
        <w:rPr>
          <w:rFonts w:ascii="Calibri" w:hAnsi="Calibri" w:cs="Calibri"/>
          <w:color w:val="000000"/>
          <w:shd w:val="clear" w:color="auto" w:fill="FFFFFF"/>
        </w:rPr>
        <w:t>The special tuition protection component of the Levy ensures that the Fund builds to a sufficient balance</w:t>
      </w:r>
      <w:r>
        <w:rPr>
          <w:rFonts w:ascii="Calibri" w:hAnsi="Calibri" w:cs="Calibri"/>
          <w:color w:val="000000"/>
          <w:shd w:val="clear" w:color="auto" w:fill="FFFFFF"/>
        </w:rPr>
        <w:t>.</w:t>
      </w:r>
    </w:p>
    <w:p w14:paraId="27BC26B4" w14:textId="7CA67125" w:rsidR="00F850CE" w:rsidRDefault="00F850CE" w:rsidP="00DA552F">
      <w:pPr>
        <w:spacing w:before="120" w:after="120"/>
        <w:rPr>
          <w:rFonts w:asciiTheme="minorHAnsi" w:hAnsiTheme="minorHAnsi" w:cstheme="minorHAnsi"/>
          <w:iCs/>
          <w:szCs w:val="24"/>
        </w:rPr>
      </w:pPr>
      <w:r>
        <w:rPr>
          <w:rFonts w:asciiTheme="minorHAnsi" w:hAnsiTheme="minorHAnsi" w:cstheme="minorHAnsi"/>
          <w:iCs/>
          <w:szCs w:val="24"/>
        </w:rPr>
        <w:t>The Levy is imposed under section 6 of the Act on all leviable providers (as defined in section 5 of the Act) and provides an industry contribution towards the costs of tuition protection for</w:t>
      </w:r>
      <w:r w:rsidR="00FF6494" w:rsidRPr="00FF6494">
        <w:t xml:space="preserve"> </w:t>
      </w:r>
      <w:r w:rsidR="00FF6494" w:rsidRPr="00FF6494">
        <w:rPr>
          <w:rFonts w:asciiTheme="minorHAnsi" w:hAnsiTheme="minorHAnsi" w:cstheme="minorHAnsi"/>
          <w:iCs/>
          <w:szCs w:val="24"/>
        </w:rPr>
        <w:t xml:space="preserve">domestic up-front </w:t>
      </w:r>
      <w:proofErr w:type="gramStart"/>
      <w:r w:rsidR="00FF6494" w:rsidRPr="00FF6494">
        <w:rPr>
          <w:rFonts w:asciiTheme="minorHAnsi" w:hAnsiTheme="minorHAnsi" w:cstheme="minorHAnsi"/>
          <w:iCs/>
          <w:szCs w:val="24"/>
        </w:rPr>
        <w:t>fee paying</w:t>
      </w:r>
      <w:proofErr w:type="gramEnd"/>
      <w:r w:rsidR="00FF6494" w:rsidRPr="00FF6494">
        <w:rPr>
          <w:rFonts w:asciiTheme="minorHAnsi" w:hAnsiTheme="minorHAnsi" w:cstheme="minorHAnsi"/>
          <w:iCs/>
          <w:szCs w:val="24"/>
        </w:rPr>
        <w:t xml:space="preserve"> </w:t>
      </w:r>
      <w:r w:rsidR="00BA62B8">
        <w:rPr>
          <w:rFonts w:asciiTheme="minorHAnsi" w:hAnsiTheme="minorHAnsi" w:cstheme="minorHAnsi"/>
          <w:iCs/>
          <w:szCs w:val="24"/>
        </w:rPr>
        <w:t xml:space="preserve">higher education </w:t>
      </w:r>
      <w:r w:rsidR="00FF6494" w:rsidRPr="00FF6494">
        <w:rPr>
          <w:rFonts w:asciiTheme="minorHAnsi" w:hAnsiTheme="minorHAnsi" w:cstheme="minorHAnsi"/>
          <w:iCs/>
          <w:szCs w:val="24"/>
        </w:rPr>
        <w:t>students at private higher education providers.</w:t>
      </w:r>
      <w:r>
        <w:rPr>
          <w:rFonts w:asciiTheme="minorHAnsi" w:hAnsiTheme="minorHAnsi" w:cstheme="minorHAnsi"/>
          <w:iCs/>
          <w:szCs w:val="24"/>
        </w:rPr>
        <w:t xml:space="preserve"> The Levy is payable into the Fund, which is established under</w:t>
      </w:r>
      <w:r w:rsidR="00AF431F">
        <w:rPr>
          <w:rFonts w:asciiTheme="minorHAnsi" w:hAnsiTheme="minorHAnsi" w:cstheme="minorHAnsi"/>
          <w:iCs/>
          <w:szCs w:val="24"/>
        </w:rPr>
        <w:t xml:space="preserve"> </w:t>
      </w:r>
      <w:r w:rsidR="001C7820">
        <w:rPr>
          <w:rFonts w:asciiTheme="minorHAnsi" w:hAnsiTheme="minorHAnsi" w:cstheme="minorHAnsi"/>
          <w:iCs/>
          <w:szCs w:val="24"/>
        </w:rPr>
        <w:t xml:space="preserve">section 167-1 of the </w:t>
      </w:r>
      <w:r w:rsidR="001C7820">
        <w:rPr>
          <w:rFonts w:asciiTheme="minorHAnsi" w:hAnsiTheme="minorHAnsi" w:cstheme="minorHAnsi"/>
          <w:i/>
          <w:szCs w:val="24"/>
        </w:rPr>
        <w:t xml:space="preserve">Higher Education Support Act 2003 </w:t>
      </w:r>
      <w:r w:rsidR="001C7820">
        <w:rPr>
          <w:rFonts w:asciiTheme="minorHAnsi" w:hAnsiTheme="minorHAnsi" w:cstheme="minorHAnsi"/>
          <w:iCs/>
          <w:szCs w:val="24"/>
        </w:rPr>
        <w:t>(HESA)</w:t>
      </w:r>
      <w:r>
        <w:rPr>
          <w:rFonts w:asciiTheme="minorHAnsi" w:hAnsiTheme="minorHAnsi" w:cstheme="minorHAnsi"/>
          <w:iCs/>
          <w:szCs w:val="24"/>
        </w:rPr>
        <w:t xml:space="preserve"> and managed by the Director. </w:t>
      </w:r>
    </w:p>
    <w:p w14:paraId="3D18019D" w14:textId="444FCC5A" w:rsidR="001C3E23" w:rsidRDefault="00F850CE"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Director is accountable for the appropriate and sustainable management of the Fund. The Instrument assists the Director in exercising their functions under </w:t>
      </w:r>
      <w:r w:rsidR="00FF6494">
        <w:rPr>
          <w:rFonts w:asciiTheme="minorHAnsi" w:hAnsiTheme="minorHAnsi" w:cstheme="minorHAnsi"/>
          <w:iCs/>
          <w:szCs w:val="24"/>
        </w:rPr>
        <w:t>the Act</w:t>
      </w:r>
      <w:r>
        <w:rPr>
          <w:rFonts w:asciiTheme="minorHAnsi" w:hAnsiTheme="minorHAnsi" w:cstheme="minorHAnsi"/>
          <w:iCs/>
          <w:szCs w:val="24"/>
        </w:rPr>
        <w:t xml:space="preserve"> by maintaining a high level of student protection and ensuring sufficient funds are held in the Fund to place students in a suitable replacement course</w:t>
      </w:r>
      <w:r w:rsidR="00FF6494" w:rsidRPr="00FF6494">
        <w:t xml:space="preserve"> </w:t>
      </w:r>
      <w:r w:rsidR="00FF6494" w:rsidRPr="00FF6494">
        <w:rPr>
          <w:rFonts w:asciiTheme="minorHAnsi" w:hAnsiTheme="minorHAnsi" w:cstheme="minorHAnsi"/>
          <w:iCs/>
          <w:szCs w:val="24"/>
        </w:rPr>
        <w:t>or refund amounts of tuition fees paid up-front by students if a provider defaults.</w:t>
      </w:r>
      <w:r>
        <w:rPr>
          <w:rFonts w:asciiTheme="minorHAnsi" w:hAnsiTheme="minorHAnsi" w:cstheme="minorHAnsi"/>
          <w:iCs/>
          <w:szCs w:val="24"/>
        </w:rPr>
        <w:t xml:space="preserve"> </w:t>
      </w:r>
    </w:p>
    <w:p w14:paraId="065CC023" w14:textId="6496B5DD" w:rsidR="00763A79" w:rsidRPr="001F4B37" w:rsidRDefault="00CC15BA" w:rsidP="00763A79">
      <w:pPr>
        <w:pStyle w:val="Heading1"/>
        <w:rPr>
          <w:b w:val="0"/>
          <w:bCs/>
          <w:i/>
          <w:iCs/>
        </w:rPr>
      </w:pPr>
      <w:r w:rsidRPr="001F4B37">
        <w:rPr>
          <w:b w:val="0"/>
          <w:bCs/>
          <w:i/>
          <w:iCs/>
        </w:rPr>
        <w:t>Adjustments to the Calculation of the Levy</w:t>
      </w:r>
    </w:p>
    <w:p w14:paraId="2F43A2E8" w14:textId="3FBE9CE2" w:rsidR="00763A79" w:rsidRPr="00926295" w:rsidRDefault="00763A79" w:rsidP="00763A79">
      <w:pPr>
        <w:rPr>
          <w:rFonts w:asciiTheme="minorHAnsi" w:hAnsiTheme="minorHAnsi" w:cstheme="minorHAnsi"/>
        </w:rPr>
      </w:pPr>
      <w:r w:rsidRPr="00B33CF0">
        <w:rPr>
          <w:rFonts w:asciiTheme="minorHAnsi" w:hAnsiTheme="minorHAnsi" w:cstheme="minorHAnsi"/>
        </w:rPr>
        <w:t>The</w:t>
      </w:r>
      <w:r>
        <w:rPr>
          <w:rFonts w:asciiTheme="minorHAnsi" w:hAnsiTheme="minorHAnsi" w:cstheme="minorHAnsi"/>
        </w:rPr>
        <w:t xml:space="preserve"> Instrument is largely consistent with the Former Instrument, such that the calculation of the risk rated premium component of the Levy for the 202</w:t>
      </w:r>
      <w:r w:rsidR="00EB5D3B">
        <w:rPr>
          <w:rFonts w:asciiTheme="minorHAnsi" w:hAnsiTheme="minorHAnsi" w:cstheme="minorHAnsi"/>
        </w:rPr>
        <w:t>5</w:t>
      </w:r>
      <w:r>
        <w:rPr>
          <w:rFonts w:asciiTheme="minorHAnsi" w:hAnsiTheme="minorHAnsi" w:cstheme="minorHAnsi"/>
        </w:rPr>
        <w:t xml:space="preserve"> calendar year largely reflects the calculation of the Levy for the 202</w:t>
      </w:r>
      <w:r w:rsidR="00EB5D3B">
        <w:rPr>
          <w:rFonts w:asciiTheme="minorHAnsi" w:hAnsiTheme="minorHAnsi" w:cstheme="minorHAnsi"/>
        </w:rPr>
        <w:t>4</w:t>
      </w:r>
      <w:r>
        <w:rPr>
          <w:rFonts w:asciiTheme="minorHAnsi" w:hAnsiTheme="minorHAnsi" w:cstheme="minorHAnsi"/>
        </w:rPr>
        <w:t xml:space="preserve"> calendar year. There is no change to the calculation </w:t>
      </w:r>
      <w:r w:rsidRPr="00926295">
        <w:rPr>
          <w:rFonts w:asciiTheme="minorHAnsi" w:hAnsiTheme="minorHAnsi" w:cstheme="minorHAnsi"/>
        </w:rPr>
        <w:t>of the special tuition protection component.</w:t>
      </w:r>
    </w:p>
    <w:p w14:paraId="3389EEEB" w14:textId="0E956EE2" w:rsidR="0065085F" w:rsidRDefault="007A2294" w:rsidP="00763A79">
      <w:pPr>
        <w:rPr>
          <w:rFonts w:asciiTheme="minorHAnsi" w:hAnsiTheme="minorHAnsi" w:cstheme="minorHAnsi"/>
        </w:rPr>
      </w:pPr>
      <w:r w:rsidRPr="00926295">
        <w:rPr>
          <w:rFonts w:asciiTheme="minorHAnsi" w:hAnsiTheme="minorHAnsi" w:cstheme="minorHAnsi"/>
        </w:rPr>
        <w:t xml:space="preserve">There has been one change to the calculation of </w:t>
      </w:r>
      <w:r w:rsidR="00074D13" w:rsidRPr="00926295">
        <w:rPr>
          <w:rFonts w:asciiTheme="minorHAnsi" w:hAnsiTheme="minorHAnsi" w:cstheme="minorHAnsi"/>
        </w:rPr>
        <w:t>one risk factor</w:t>
      </w:r>
      <w:r w:rsidR="00952C07" w:rsidRPr="00926295">
        <w:rPr>
          <w:rFonts w:asciiTheme="minorHAnsi" w:hAnsiTheme="minorHAnsi" w:cstheme="minorHAnsi"/>
        </w:rPr>
        <w:t xml:space="preserve"> for</w:t>
      </w:r>
      <w:r w:rsidR="00074D13" w:rsidRPr="00926295">
        <w:rPr>
          <w:rFonts w:asciiTheme="minorHAnsi" w:hAnsiTheme="minorHAnsi" w:cstheme="minorHAnsi"/>
        </w:rPr>
        <w:t xml:space="preserve"> </w:t>
      </w:r>
      <w:r w:rsidRPr="00926295">
        <w:rPr>
          <w:rFonts w:asciiTheme="minorHAnsi" w:hAnsiTheme="minorHAnsi" w:cstheme="minorHAnsi"/>
        </w:rPr>
        <w:t xml:space="preserve">the risk rated premium component compared to how that component was calculated in accordance with the Former Instrument. This adjustment was approved by the Director having regard to advice from the Board and the Australian Government Actuary (AGA). This change is to remove withdrawn students from the denominator of the calculation for the completion rate risk factor. The Board agreed with the AGA that, as withdrawn students no longer qualify for </w:t>
      </w:r>
      <w:r w:rsidR="0099148A" w:rsidRPr="00926295">
        <w:rPr>
          <w:rFonts w:asciiTheme="minorHAnsi" w:hAnsiTheme="minorHAnsi" w:cstheme="minorHAnsi"/>
        </w:rPr>
        <w:t xml:space="preserve">tuition protection </w:t>
      </w:r>
      <w:r w:rsidRPr="00926295">
        <w:rPr>
          <w:rFonts w:asciiTheme="minorHAnsi" w:hAnsiTheme="minorHAnsi" w:cstheme="minorHAnsi"/>
        </w:rPr>
        <w:t xml:space="preserve">assistance, it is reasonable to remove withdrawn students from the completion rate calculation. </w:t>
      </w:r>
    </w:p>
    <w:p w14:paraId="45E20E65" w14:textId="3E429F76" w:rsidR="00122657" w:rsidRDefault="00122657" w:rsidP="000C310A">
      <w:pPr>
        <w:pStyle w:val="Heading1"/>
        <w:rPr>
          <w:u w:val="single"/>
        </w:rPr>
      </w:pPr>
      <w:r>
        <w:t>FINANCIAL IMPACT STATEMENT</w:t>
      </w:r>
    </w:p>
    <w:p w14:paraId="39A1D175" w14:textId="77BADE18" w:rsidR="00FC1179" w:rsidRPr="001853C2" w:rsidRDefault="00FC1179" w:rsidP="001853C2">
      <w:pPr>
        <w:spacing w:before="120" w:after="120"/>
        <w:rPr>
          <w:rFonts w:asciiTheme="minorHAnsi" w:hAnsiTheme="minorHAnsi" w:cstheme="minorHAnsi"/>
          <w:iCs/>
          <w:szCs w:val="24"/>
        </w:rPr>
      </w:pPr>
      <w:r w:rsidRPr="001853C2">
        <w:rPr>
          <w:rFonts w:asciiTheme="minorHAnsi" w:hAnsiTheme="minorHAnsi" w:cstheme="minorHAnsi"/>
          <w:iCs/>
          <w:szCs w:val="24"/>
        </w:rPr>
        <w:t>Th</w:t>
      </w:r>
      <w:r w:rsidR="003E1F5E">
        <w:rPr>
          <w:rFonts w:asciiTheme="minorHAnsi" w:hAnsiTheme="minorHAnsi" w:cstheme="minorHAnsi"/>
          <w:iCs/>
          <w:szCs w:val="24"/>
        </w:rPr>
        <w:t>e</w:t>
      </w:r>
      <w:r w:rsidRPr="001853C2">
        <w:rPr>
          <w:rFonts w:asciiTheme="minorHAnsi" w:hAnsiTheme="minorHAnsi" w:cstheme="minorHAnsi"/>
          <w:iCs/>
          <w:szCs w:val="24"/>
        </w:rPr>
        <w:t xml:space="preserve"> Instrument will result in projected revenue, from the risk-rated premium and special tuition protection components of the Levy only, of approximately $</w:t>
      </w:r>
      <w:r w:rsidR="00481CA6">
        <w:rPr>
          <w:rFonts w:asciiTheme="minorHAnsi" w:hAnsiTheme="minorHAnsi" w:cstheme="minorHAnsi"/>
          <w:iCs/>
          <w:szCs w:val="24"/>
        </w:rPr>
        <w:t>830,000</w:t>
      </w:r>
      <w:r w:rsidRPr="001853C2">
        <w:rPr>
          <w:rFonts w:asciiTheme="minorHAnsi" w:hAnsiTheme="minorHAnsi" w:cstheme="minorHAnsi"/>
          <w:iCs/>
          <w:szCs w:val="24"/>
        </w:rPr>
        <w:t xml:space="preserve">.  </w:t>
      </w:r>
    </w:p>
    <w:p w14:paraId="0FED5830" w14:textId="27C69504" w:rsidR="00FC1179" w:rsidRPr="001853C2" w:rsidRDefault="00FC1179" w:rsidP="001853C2">
      <w:pPr>
        <w:spacing w:before="120" w:after="120"/>
        <w:rPr>
          <w:rFonts w:asciiTheme="minorHAnsi" w:hAnsiTheme="minorHAnsi" w:cstheme="minorHAnsi"/>
          <w:iCs/>
          <w:szCs w:val="24"/>
        </w:rPr>
      </w:pPr>
      <w:r w:rsidRPr="001853C2">
        <w:rPr>
          <w:rFonts w:asciiTheme="minorHAnsi" w:hAnsiTheme="minorHAnsi" w:cstheme="minorHAnsi"/>
          <w:iCs/>
          <w:szCs w:val="24"/>
        </w:rPr>
        <w:t xml:space="preserve">Given the </w:t>
      </w:r>
      <w:r w:rsidR="00F85681" w:rsidRPr="001853C2">
        <w:rPr>
          <w:rFonts w:asciiTheme="minorHAnsi" w:hAnsiTheme="minorHAnsi" w:cstheme="minorHAnsi"/>
          <w:iCs/>
          <w:szCs w:val="24"/>
        </w:rPr>
        <w:t>L</w:t>
      </w:r>
      <w:r w:rsidRPr="001853C2">
        <w:rPr>
          <w:rFonts w:asciiTheme="minorHAnsi" w:hAnsiTheme="minorHAnsi" w:cstheme="minorHAnsi"/>
          <w:iCs/>
          <w:szCs w:val="24"/>
        </w:rPr>
        <w:t xml:space="preserve">evy </w:t>
      </w:r>
      <w:r w:rsidR="008E5E27">
        <w:rPr>
          <w:rFonts w:asciiTheme="minorHAnsi" w:hAnsiTheme="minorHAnsi" w:cstheme="minorHAnsi"/>
          <w:iCs/>
          <w:szCs w:val="24"/>
        </w:rPr>
        <w:t>amounts</w:t>
      </w:r>
      <w:r w:rsidRPr="001853C2">
        <w:rPr>
          <w:rFonts w:asciiTheme="minorHAnsi" w:hAnsiTheme="minorHAnsi" w:cstheme="minorHAnsi"/>
          <w:iCs/>
          <w:szCs w:val="24"/>
        </w:rPr>
        <w:t xml:space="preserve"> are credited to </w:t>
      </w:r>
      <w:r w:rsidR="008E5E27">
        <w:rPr>
          <w:rFonts w:asciiTheme="minorHAnsi" w:hAnsiTheme="minorHAnsi" w:cstheme="minorHAnsi"/>
          <w:iCs/>
          <w:szCs w:val="24"/>
        </w:rPr>
        <w:t>the Fund</w:t>
      </w:r>
      <w:r w:rsidRPr="001853C2">
        <w:rPr>
          <w:rFonts w:asciiTheme="minorHAnsi" w:hAnsiTheme="minorHAnsi" w:cstheme="minorHAnsi"/>
          <w:iCs/>
          <w:szCs w:val="24"/>
        </w:rPr>
        <w:t xml:space="preserve">, and are derived from industry contributions, the </w:t>
      </w:r>
      <w:r w:rsidR="008E5E27">
        <w:rPr>
          <w:rFonts w:asciiTheme="minorHAnsi" w:hAnsiTheme="minorHAnsi" w:cstheme="minorHAnsi"/>
          <w:iCs/>
          <w:szCs w:val="24"/>
        </w:rPr>
        <w:t>amount in the Fund</w:t>
      </w:r>
      <w:r w:rsidRPr="001853C2">
        <w:rPr>
          <w:rFonts w:asciiTheme="minorHAnsi" w:hAnsiTheme="minorHAnsi" w:cstheme="minorHAnsi"/>
          <w:iCs/>
          <w:szCs w:val="24"/>
        </w:rPr>
        <w:t xml:space="preserve"> cannot be directed toward any other program or portfolio, as </w:t>
      </w:r>
      <w:r w:rsidR="008E5E27">
        <w:rPr>
          <w:rFonts w:asciiTheme="minorHAnsi" w:hAnsiTheme="minorHAnsi" w:cstheme="minorHAnsi"/>
          <w:iCs/>
          <w:szCs w:val="24"/>
        </w:rPr>
        <w:t xml:space="preserve">it </w:t>
      </w:r>
      <w:r w:rsidRPr="001853C2">
        <w:rPr>
          <w:rFonts w:asciiTheme="minorHAnsi" w:hAnsiTheme="minorHAnsi" w:cstheme="minorHAnsi"/>
          <w:iCs/>
          <w:szCs w:val="24"/>
        </w:rPr>
        <w:t xml:space="preserve">can only be appropriated for the purposes of the </w:t>
      </w:r>
      <w:r w:rsidR="008E5E27">
        <w:rPr>
          <w:rFonts w:asciiTheme="minorHAnsi" w:hAnsiTheme="minorHAnsi" w:cstheme="minorHAnsi"/>
          <w:iCs/>
          <w:szCs w:val="24"/>
        </w:rPr>
        <w:t>Fund</w:t>
      </w:r>
      <w:r w:rsidRPr="001853C2">
        <w:rPr>
          <w:rFonts w:asciiTheme="minorHAnsi" w:hAnsiTheme="minorHAnsi" w:cstheme="minorHAnsi"/>
          <w:iCs/>
          <w:szCs w:val="24"/>
        </w:rPr>
        <w:t>.</w:t>
      </w:r>
    </w:p>
    <w:p w14:paraId="1F5CE562" w14:textId="1172A686" w:rsidR="00FC1179" w:rsidRPr="001853C2" w:rsidRDefault="00FC1179" w:rsidP="001853C2">
      <w:pPr>
        <w:spacing w:before="120" w:after="120"/>
        <w:rPr>
          <w:rFonts w:asciiTheme="minorHAnsi" w:hAnsiTheme="minorHAnsi" w:cstheme="minorHAnsi"/>
          <w:iCs/>
          <w:szCs w:val="24"/>
        </w:rPr>
      </w:pPr>
      <w:r w:rsidRPr="001853C2">
        <w:rPr>
          <w:rFonts w:asciiTheme="minorHAnsi" w:hAnsiTheme="minorHAnsi" w:cstheme="minorHAnsi"/>
          <w:iCs/>
          <w:szCs w:val="24"/>
        </w:rPr>
        <w:t xml:space="preserve">In determining the matters relevant to the calculation of the risk rated premium component and special tuition protection components of the </w:t>
      </w:r>
      <w:r w:rsidR="00F85681" w:rsidRPr="001853C2">
        <w:rPr>
          <w:rFonts w:asciiTheme="minorHAnsi" w:hAnsiTheme="minorHAnsi" w:cstheme="minorHAnsi"/>
          <w:iCs/>
          <w:szCs w:val="24"/>
        </w:rPr>
        <w:t>Levy</w:t>
      </w:r>
      <w:r w:rsidRPr="001853C2">
        <w:rPr>
          <w:rFonts w:asciiTheme="minorHAnsi" w:hAnsiTheme="minorHAnsi" w:cstheme="minorHAnsi"/>
          <w:iCs/>
          <w:szCs w:val="24"/>
        </w:rPr>
        <w:t xml:space="preserve">, the Director has considered not only the sustainability of the Fund, but also the impact of current economic conditions on businesses and education in Australia. The Director’s focus and intention in determining those matters was on supporting </w:t>
      </w:r>
      <w:r w:rsidR="00074D13">
        <w:rPr>
          <w:rFonts w:asciiTheme="minorHAnsi" w:hAnsiTheme="minorHAnsi" w:cstheme="minorHAnsi"/>
          <w:iCs/>
          <w:szCs w:val="24"/>
        </w:rPr>
        <w:t xml:space="preserve">students and </w:t>
      </w:r>
      <w:r w:rsidRPr="001853C2">
        <w:rPr>
          <w:rFonts w:asciiTheme="minorHAnsi" w:hAnsiTheme="minorHAnsi" w:cstheme="minorHAnsi"/>
          <w:iCs/>
          <w:szCs w:val="24"/>
        </w:rPr>
        <w:t>Australian businesses.</w:t>
      </w:r>
    </w:p>
    <w:p w14:paraId="40493290" w14:textId="77777777" w:rsidR="003D0952" w:rsidRPr="0088497A" w:rsidRDefault="003D0952" w:rsidP="003D0952">
      <w:pPr>
        <w:pStyle w:val="Heading1"/>
      </w:pPr>
      <w:r w:rsidRPr="0088497A">
        <w:lastRenderedPageBreak/>
        <w:t>COMMENC</w:t>
      </w:r>
      <w:r>
        <w:t>E</w:t>
      </w:r>
      <w:r w:rsidRPr="0088497A">
        <w:t>MENT</w:t>
      </w:r>
    </w:p>
    <w:p w14:paraId="53258831" w14:textId="218B07C8" w:rsidR="003D0952" w:rsidRDefault="003D0952" w:rsidP="003D0952">
      <w:pPr>
        <w:spacing w:before="120" w:after="120"/>
        <w:rPr>
          <w:rFonts w:asciiTheme="minorHAnsi" w:hAnsiTheme="minorHAnsi" w:cstheme="minorHAnsi"/>
          <w:szCs w:val="24"/>
        </w:rPr>
      </w:pPr>
      <w:r>
        <w:rPr>
          <w:rFonts w:asciiTheme="minorHAnsi" w:hAnsiTheme="minorHAnsi" w:cstheme="minorHAnsi"/>
          <w:iCs/>
          <w:szCs w:val="24"/>
        </w:rPr>
        <w:t xml:space="preserve">Parts 1 to 3 of the Instrument commence on 31 July </w:t>
      </w:r>
      <w:r w:rsidR="00BC3C90">
        <w:rPr>
          <w:rFonts w:asciiTheme="minorHAnsi" w:hAnsiTheme="minorHAnsi" w:cstheme="minorHAnsi"/>
          <w:iCs/>
          <w:szCs w:val="24"/>
        </w:rPr>
        <w:t>202</w:t>
      </w:r>
      <w:r w:rsidR="005502E8">
        <w:rPr>
          <w:rFonts w:asciiTheme="minorHAnsi" w:hAnsiTheme="minorHAnsi" w:cstheme="minorHAnsi"/>
          <w:iCs/>
          <w:szCs w:val="24"/>
        </w:rPr>
        <w:t>5</w:t>
      </w:r>
      <w:r>
        <w:rPr>
          <w:rFonts w:asciiTheme="minorHAnsi" w:hAnsiTheme="minorHAnsi" w:cstheme="minorHAnsi"/>
          <w:iCs/>
          <w:szCs w:val="24"/>
        </w:rPr>
        <w:t xml:space="preserve">, and Schedule 1 of the Instrument which repeals </w:t>
      </w:r>
      <w:r>
        <w:rPr>
          <w:rFonts w:asciiTheme="minorHAnsi" w:hAnsiTheme="minorHAnsi" w:cstheme="minorHAnsi"/>
          <w:szCs w:val="24"/>
        </w:rPr>
        <w:t xml:space="preserve">the </w:t>
      </w:r>
      <w:r w:rsidR="00644B57" w:rsidRPr="004729F0">
        <w:rPr>
          <w:rFonts w:asciiTheme="minorHAnsi" w:hAnsiTheme="minorHAnsi" w:cstheme="minorHAnsi"/>
          <w:szCs w:val="24"/>
        </w:rPr>
        <w:t>Former Instrument,</w:t>
      </w:r>
      <w:r w:rsidR="00644B57">
        <w:rPr>
          <w:rFonts w:asciiTheme="minorHAnsi" w:hAnsiTheme="minorHAnsi" w:cstheme="minorHAnsi"/>
          <w:i/>
          <w:iCs/>
          <w:szCs w:val="24"/>
        </w:rPr>
        <w:t xml:space="preserve"> </w:t>
      </w:r>
      <w:r>
        <w:rPr>
          <w:rFonts w:asciiTheme="minorHAnsi" w:hAnsiTheme="minorHAnsi" w:cstheme="minorHAnsi"/>
          <w:szCs w:val="24"/>
        </w:rPr>
        <w:t>commences</w:t>
      </w:r>
      <w:r>
        <w:rPr>
          <w:rFonts w:asciiTheme="minorHAnsi" w:hAnsiTheme="minorHAnsi" w:cstheme="minorHAnsi"/>
          <w:i/>
          <w:iCs/>
          <w:szCs w:val="24"/>
        </w:rPr>
        <w:t xml:space="preserve"> </w:t>
      </w:r>
      <w:r>
        <w:rPr>
          <w:rFonts w:asciiTheme="minorHAnsi" w:hAnsiTheme="minorHAnsi" w:cstheme="minorHAnsi"/>
          <w:szCs w:val="24"/>
        </w:rPr>
        <w:t xml:space="preserve">on 1 August </w:t>
      </w:r>
      <w:r w:rsidR="00BC3C90">
        <w:rPr>
          <w:rFonts w:asciiTheme="minorHAnsi" w:hAnsiTheme="minorHAnsi" w:cstheme="minorHAnsi"/>
          <w:szCs w:val="24"/>
        </w:rPr>
        <w:t>202</w:t>
      </w:r>
      <w:r w:rsidR="005502E8">
        <w:rPr>
          <w:rFonts w:asciiTheme="minorHAnsi" w:hAnsiTheme="minorHAnsi" w:cstheme="minorHAnsi"/>
          <w:szCs w:val="24"/>
        </w:rPr>
        <w:t>5</w:t>
      </w:r>
      <w:r>
        <w:rPr>
          <w:rFonts w:asciiTheme="minorHAnsi" w:hAnsiTheme="minorHAnsi" w:cstheme="minorHAnsi"/>
          <w:szCs w:val="24"/>
        </w:rPr>
        <w:t>.</w:t>
      </w:r>
    </w:p>
    <w:p w14:paraId="4F568E5A" w14:textId="77777777" w:rsidR="008916DE" w:rsidRPr="008134D5" w:rsidRDefault="008916DE" w:rsidP="008916DE">
      <w:pPr>
        <w:pStyle w:val="Heading1"/>
      </w:pPr>
      <w:r w:rsidRPr="008134D5">
        <w:t>CONSULTATION</w:t>
      </w:r>
    </w:p>
    <w:p w14:paraId="05D29C34" w14:textId="5E01486E" w:rsidR="003D0952" w:rsidRDefault="00A20B5F" w:rsidP="003D0952">
      <w:pPr>
        <w:spacing w:before="120" w:after="120"/>
        <w:rPr>
          <w:rFonts w:asciiTheme="minorHAnsi" w:hAnsiTheme="minorHAnsi" w:cstheme="minorHAnsi"/>
          <w:iCs/>
          <w:szCs w:val="24"/>
        </w:rPr>
      </w:pPr>
      <w:r>
        <w:rPr>
          <w:rFonts w:asciiTheme="minorHAnsi" w:hAnsiTheme="minorHAnsi" w:cstheme="minorHAnsi"/>
          <w:i/>
          <w:szCs w:val="24"/>
        </w:rPr>
        <w:t xml:space="preserve">Advice from </w:t>
      </w:r>
      <w:r w:rsidR="003D0952">
        <w:rPr>
          <w:rFonts w:asciiTheme="minorHAnsi" w:hAnsiTheme="minorHAnsi" w:cstheme="minorHAnsi"/>
          <w:i/>
          <w:szCs w:val="24"/>
        </w:rPr>
        <w:t>the Board</w:t>
      </w:r>
    </w:p>
    <w:p w14:paraId="7D11045D" w14:textId="60202C28" w:rsidR="003D0952" w:rsidRDefault="003D0952" w:rsidP="003D0952">
      <w:pPr>
        <w:spacing w:before="120" w:after="120"/>
        <w:rPr>
          <w:rFonts w:asciiTheme="minorHAnsi" w:hAnsiTheme="minorHAnsi" w:cstheme="minorHAnsi"/>
          <w:iCs/>
          <w:szCs w:val="24"/>
        </w:rPr>
      </w:pPr>
      <w:r>
        <w:rPr>
          <w:rFonts w:asciiTheme="minorHAnsi" w:hAnsiTheme="minorHAnsi" w:cstheme="minorHAnsi"/>
          <w:iCs/>
          <w:szCs w:val="24"/>
        </w:rPr>
        <w:t xml:space="preserve">Under subsection 13(4) of the Act, in making an instrument, the Director must have regard to any advice of the Board in relation to the </w:t>
      </w:r>
      <w:r w:rsidR="00482750">
        <w:rPr>
          <w:rFonts w:asciiTheme="minorHAnsi" w:hAnsiTheme="minorHAnsi" w:cstheme="minorHAnsi"/>
          <w:iCs/>
          <w:szCs w:val="24"/>
        </w:rPr>
        <w:t>I</w:t>
      </w:r>
      <w:r>
        <w:rPr>
          <w:rFonts w:asciiTheme="minorHAnsi" w:hAnsiTheme="minorHAnsi" w:cstheme="minorHAnsi"/>
          <w:iCs/>
          <w:szCs w:val="24"/>
        </w:rPr>
        <w:t xml:space="preserve">nstrument, and the sustainability of the Fund. In making the Instrument, the Director has accepted the Board’s advice. The Board’s final advice was published on the </w:t>
      </w:r>
      <w:r w:rsidRPr="00264FB6">
        <w:rPr>
          <w:rFonts w:asciiTheme="minorHAnsi" w:hAnsiTheme="minorHAnsi" w:cstheme="minorHAnsi"/>
          <w:iCs/>
          <w:szCs w:val="24"/>
        </w:rPr>
        <w:t>TPS website (</w:t>
      </w:r>
      <w:r w:rsidR="00264FB6" w:rsidRPr="00EE4F3B">
        <w:rPr>
          <w:rFonts w:asciiTheme="minorHAnsi" w:hAnsiTheme="minorHAnsi" w:cstheme="minorHAnsi"/>
          <w:u w:val="single"/>
        </w:rPr>
        <w:t>www.education.gov.au/tps/resources/final-board-advice-2025-front-payments-tuition-protection-levy-settings</w:t>
      </w:r>
      <w:r w:rsidRPr="00264FB6">
        <w:rPr>
          <w:rFonts w:asciiTheme="minorHAnsi" w:hAnsiTheme="minorHAnsi" w:cstheme="minorHAnsi"/>
          <w:iCs/>
          <w:szCs w:val="24"/>
        </w:rPr>
        <w:t xml:space="preserve">) on </w:t>
      </w:r>
      <w:r w:rsidR="00DD3588" w:rsidRPr="00264FB6">
        <w:rPr>
          <w:rFonts w:asciiTheme="minorHAnsi" w:hAnsiTheme="minorHAnsi" w:cstheme="minorHAnsi"/>
          <w:iCs/>
          <w:szCs w:val="24"/>
        </w:rPr>
        <w:t>27 May 2025</w:t>
      </w:r>
      <w:r w:rsidRPr="00264FB6">
        <w:rPr>
          <w:rFonts w:asciiTheme="minorHAnsi" w:hAnsiTheme="minorHAnsi" w:cstheme="minorHAnsi"/>
          <w:iCs/>
          <w:szCs w:val="24"/>
        </w:rPr>
        <w:t>.</w:t>
      </w:r>
      <w:r w:rsidR="004C4A0E">
        <w:rPr>
          <w:rFonts w:asciiTheme="minorHAnsi" w:hAnsiTheme="minorHAnsi" w:cstheme="minorHAnsi"/>
          <w:iCs/>
          <w:szCs w:val="24"/>
        </w:rPr>
        <w:t xml:space="preserve"> </w:t>
      </w:r>
    </w:p>
    <w:p w14:paraId="37BAFBE7" w14:textId="44ECAD20" w:rsidR="003D0952" w:rsidRPr="001853C2" w:rsidRDefault="003D0952" w:rsidP="7BA75E33">
      <w:pPr>
        <w:spacing w:before="120" w:after="120"/>
        <w:rPr>
          <w:rFonts w:asciiTheme="minorHAnsi" w:hAnsiTheme="minorHAnsi"/>
          <w:i/>
          <w:iCs/>
        </w:rPr>
      </w:pPr>
      <w:r w:rsidRPr="7BA75E33">
        <w:rPr>
          <w:rFonts w:asciiTheme="minorHAnsi" w:hAnsiTheme="minorHAnsi"/>
          <w:i/>
          <w:iCs/>
        </w:rPr>
        <w:t>Consultation with providers and peak bodies</w:t>
      </w:r>
    </w:p>
    <w:p w14:paraId="469FE33E" w14:textId="2C19E693" w:rsidR="008916DE" w:rsidRPr="001853C2" w:rsidRDefault="00B95E77" w:rsidP="7BA75E33">
      <w:pPr>
        <w:spacing w:before="120" w:after="120"/>
        <w:rPr>
          <w:rFonts w:asciiTheme="minorHAnsi" w:hAnsiTheme="minorHAnsi"/>
        </w:rPr>
      </w:pPr>
      <w:r>
        <w:rPr>
          <w:rFonts w:asciiTheme="minorHAnsi" w:hAnsiTheme="minorHAnsi"/>
        </w:rPr>
        <w:t>T</w:t>
      </w:r>
      <w:r w:rsidR="008916DE" w:rsidRPr="7BA75E33">
        <w:rPr>
          <w:rFonts w:asciiTheme="minorHAnsi" w:hAnsiTheme="minorHAnsi"/>
        </w:rPr>
        <w:t xml:space="preserve">he Director engaged with </w:t>
      </w:r>
      <w:r w:rsidR="00B73932" w:rsidRPr="7BA75E33">
        <w:rPr>
          <w:rFonts w:asciiTheme="minorHAnsi" w:hAnsiTheme="minorHAnsi"/>
        </w:rPr>
        <w:t>levi</w:t>
      </w:r>
      <w:r w:rsidR="00F519E8">
        <w:rPr>
          <w:rFonts w:asciiTheme="minorHAnsi" w:hAnsiTheme="minorHAnsi"/>
        </w:rPr>
        <w:t>able</w:t>
      </w:r>
      <w:r w:rsidR="008916DE" w:rsidRPr="7BA75E33">
        <w:rPr>
          <w:rFonts w:asciiTheme="minorHAnsi" w:hAnsiTheme="minorHAnsi"/>
        </w:rPr>
        <w:t xml:space="preserve"> </w:t>
      </w:r>
      <w:r w:rsidR="00463ADB" w:rsidRPr="7BA75E33">
        <w:rPr>
          <w:rFonts w:asciiTheme="minorHAnsi" w:hAnsiTheme="minorHAnsi"/>
        </w:rPr>
        <w:t xml:space="preserve">education and training </w:t>
      </w:r>
      <w:r w:rsidR="008916DE" w:rsidRPr="7BA75E33">
        <w:rPr>
          <w:rFonts w:asciiTheme="minorHAnsi" w:hAnsiTheme="minorHAnsi"/>
        </w:rPr>
        <w:t>providers</w:t>
      </w:r>
      <w:r w:rsidR="00A20B5F" w:rsidRPr="7BA75E33">
        <w:rPr>
          <w:rFonts w:asciiTheme="minorHAnsi" w:hAnsiTheme="minorHAnsi"/>
        </w:rPr>
        <w:t>, policy agencies</w:t>
      </w:r>
      <w:r w:rsidR="008916DE" w:rsidRPr="7BA75E33">
        <w:rPr>
          <w:rFonts w:asciiTheme="minorHAnsi" w:hAnsiTheme="minorHAnsi"/>
        </w:rPr>
        <w:t xml:space="preserve"> and peak bodies around Australia through online and in-person consultation sessions on the 202</w:t>
      </w:r>
      <w:r w:rsidR="005502E8">
        <w:rPr>
          <w:rFonts w:asciiTheme="minorHAnsi" w:hAnsiTheme="minorHAnsi"/>
        </w:rPr>
        <w:t>5</w:t>
      </w:r>
      <w:r w:rsidR="008916DE" w:rsidRPr="7BA75E33">
        <w:rPr>
          <w:rFonts w:asciiTheme="minorHAnsi" w:hAnsiTheme="minorHAnsi"/>
        </w:rPr>
        <w:t xml:space="preserve"> </w:t>
      </w:r>
      <w:r w:rsidR="003E1F5E">
        <w:rPr>
          <w:rFonts w:asciiTheme="minorHAnsi" w:hAnsiTheme="minorHAnsi"/>
        </w:rPr>
        <w:t>L</w:t>
      </w:r>
      <w:r w:rsidR="008916DE" w:rsidRPr="7BA75E33">
        <w:rPr>
          <w:rFonts w:asciiTheme="minorHAnsi" w:hAnsiTheme="minorHAnsi"/>
        </w:rPr>
        <w:t>ev</w:t>
      </w:r>
      <w:r w:rsidR="00A20B5F" w:rsidRPr="7BA75E33">
        <w:rPr>
          <w:rFonts w:asciiTheme="minorHAnsi" w:hAnsiTheme="minorHAnsi"/>
        </w:rPr>
        <w:t>y settings</w:t>
      </w:r>
      <w:r>
        <w:rPr>
          <w:rFonts w:asciiTheme="minorHAnsi" w:hAnsiTheme="minorHAnsi"/>
        </w:rPr>
        <w:t xml:space="preserve"> in March and April this year</w:t>
      </w:r>
      <w:r w:rsidR="008916DE" w:rsidRPr="7BA75E33">
        <w:rPr>
          <w:rFonts w:asciiTheme="minorHAnsi" w:hAnsiTheme="minorHAnsi"/>
        </w:rPr>
        <w:t xml:space="preserve">. The </w:t>
      </w:r>
      <w:r w:rsidR="00887C10">
        <w:rPr>
          <w:rFonts w:asciiTheme="minorHAnsi" w:hAnsiTheme="minorHAnsi"/>
        </w:rPr>
        <w:t xml:space="preserve">purpose of the </w:t>
      </w:r>
      <w:r w:rsidR="00531DEB" w:rsidRPr="7BA75E33">
        <w:rPr>
          <w:rFonts w:asciiTheme="minorHAnsi" w:hAnsiTheme="minorHAnsi"/>
        </w:rPr>
        <w:t xml:space="preserve">consultation sessions </w:t>
      </w:r>
      <w:r w:rsidR="00887C10">
        <w:rPr>
          <w:rFonts w:asciiTheme="minorHAnsi" w:hAnsiTheme="minorHAnsi"/>
        </w:rPr>
        <w:t>was to share</w:t>
      </w:r>
      <w:r w:rsidR="00AE438E" w:rsidRPr="7BA75E33">
        <w:rPr>
          <w:rFonts w:asciiTheme="minorHAnsi" w:hAnsiTheme="minorHAnsi"/>
        </w:rPr>
        <w:t xml:space="preserve"> general information </w:t>
      </w:r>
      <w:r w:rsidR="003D2C2B">
        <w:rPr>
          <w:rFonts w:asciiTheme="minorHAnsi" w:hAnsiTheme="minorHAnsi"/>
        </w:rPr>
        <w:t xml:space="preserve">about the </w:t>
      </w:r>
      <w:r w:rsidR="003E1F5E">
        <w:rPr>
          <w:rFonts w:asciiTheme="minorHAnsi" w:hAnsiTheme="minorHAnsi"/>
        </w:rPr>
        <w:t>L</w:t>
      </w:r>
      <w:r w:rsidR="003D2C2B">
        <w:rPr>
          <w:rFonts w:asciiTheme="minorHAnsi" w:hAnsiTheme="minorHAnsi"/>
        </w:rPr>
        <w:t>evy</w:t>
      </w:r>
      <w:r w:rsidR="003E1F5E">
        <w:rPr>
          <w:rFonts w:asciiTheme="minorHAnsi" w:hAnsiTheme="minorHAnsi"/>
        </w:rPr>
        <w:t>,</w:t>
      </w:r>
      <w:r w:rsidR="003D2C2B">
        <w:rPr>
          <w:rFonts w:asciiTheme="minorHAnsi" w:hAnsiTheme="minorHAnsi"/>
        </w:rPr>
        <w:t xml:space="preserve"> present the 202</w:t>
      </w:r>
      <w:r w:rsidR="005502E8">
        <w:rPr>
          <w:rFonts w:asciiTheme="minorHAnsi" w:hAnsiTheme="minorHAnsi"/>
        </w:rPr>
        <w:t>5</w:t>
      </w:r>
      <w:r w:rsidR="003D2C2B">
        <w:rPr>
          <w:rFonts w:asciiTheme="minorHAnsi" w:hAnsiTheme="minorHAnsi"/>
        </w:rPr>
        <w:t xml:space="preserve"> draft </w:t>
      </w:r>
      <w:r w:rsidR="003E1F5E">
        <w:rPr>
          <w:rFonts w:asciiTheme="minorHAnsi" w:hAnsiTheme="minorHAnsi"/>
        </w:rPr>
        <w:t>L</w:t>
      </w:r>
      <w:r w:rsidR="003D2C2B">
        <w:rPr>
          <w:rFonts w:asciiTheme="minorHAnsi" w:hAnsiTheme="minorHAnsi"/>
        </w:rPr>
        <w:t>evy settings as proposed</w:t>
      </w:r>
      <w:r w:rsidR="00AC20E1">
        <w:rPr>
          <w:rFonts w:asciiTheme="minorHAnsi" w:hAnsiTheme="minorHAnsi"/>
        </w:rPr>
        <w:t xml:space="preserve"> by the Board, and collect feedback from the sector on the draft </w:t>
      </w:r>
      <w:r w:rsidR="003E1F5E">
        <w:rPr>
          <w:rFonts w:asciiTheme="minorHAnsi" w:hAnsiTheme="minorHAnsi"/>
        </w:rPr>
        <w:t>L</w:t>
      </w:r>
      <w:r w:rsidR="00AC20E1">
        <w:rPr>
          <w:rFonts w:asciiTheme="minorHAnsi" w:hAnsiTheme="minorHAnsi"/>
        </w:rPr>
        <w:t>evy settings.</w:t>
      </w:r>
      <w:r w:rsidR="008916DE" w:rsidRPr="7BA75E33">
        <w:rPr>
          <w:rFonts w:asciiTheme="minorHAnsi" w:hAnsiTheme="minorHAnsi"/>
        </w:rPr>
        <w:t xml:space="preserve"> A final online session for the Director to give feedback to the sector on the consultation period was held on</w:t>
      </w:r>
      <w:r w:rsidR="00890979">
        <w:rPr>
          <w:rFonts w:asciiTheme="minorHAnsi" w:hAnsiTheme="minorHAnsi"/>
        </w:rPr>
        <w:t xml:space="preserve"> </w:t>
      </w:r>
      <w:r w:rsidR="00C014AF">
        <w:rPr>
          <w:rFonts w:asciiTheme="minorHAnsi" w:hAnsiTheme="minorHAnsi"/>
        </w:rPr>
        <w:t>30 April 2025</w:t>
      </w:r>
      <w:r w:rsidR="008916DE" w:rsidRPr="7BA75E33">
        <w:rPr>
          <w:rFonts w:asciiTheme="minorHAnsi" w:hAnsiTheme="minorHAnsi"/>
        </w:rPr>
        <w:t xml:space="preserve">.  </w:t>
      </w:r>
    </w:p>
    <w:p w14:paraId="7EDDA579" w14:textId="598929EE" w:rsidR="008916DE" w:rsidRPr="001853C2" w:rsidRDefault="008916DE" w:rsidP="001853C2">
      <w:pPr>
        <w:spacing w:before="120" w:after="120"/>
        <w:rPr>
          <w:rFonts w:asciiTheme="minorHAnsi" w:hAnsiTheme="minorHAnsi" w:cstheme="minorHAnsi"/>
          <w:iCs/>
          <w:szCs w:val="24"/>
        </w:rPr>
      </w:pPr>
      <w:proofErr w:type="gramStart"/>
      <w:r w:rsidRPr="001853C2">
        <w:rPr>
          <w:rFonts w:asciiTheme="minorHAnsi" w:hAnsiTheme="minorHAnsi" w:cstheme="minorHAnsi"/>
          <w:iCs/>
          <w:szCs w:val="24"/>
        </w:rPr>
        <w:t>The majority of</w:t>
      </w:r>
      <w:proofErr w:type="gramEnd"/>
      <w:r w:rsidRPr="001853C2">
        <w:rPr>
          <w:rFonts w:asciiTheme="minorHAnsi" w:hAnsiTheme="minorHAnsi" w:cstheme="minorHAnsi"/>
          <w:iCs/>
          <w:szCs w:val="24"/>
        </w:rPr>
        <w:t xml:space="preserve"> </w:t>
      </w:r>
      <w:r w:rsidR="001D1216">
        <w:rPr>
          <w:rFonts w:asciiTheme="minorHAnsi" w:hAnsiTheme="minorHAnsi" w:cstheme="minorHAnsi"/>
          <w:iCs/>
          <w:szCs w:val="24"/>
        </w:rPr>
        <w:t>levi</w:t>
      </w:r>
      <w:r w:rsidR="003108BE">
        <w:rPr>
          <w:rFonts w:asciiTheme="minorHAnsi" w:hAnsiTheme="minorHAnsi" w:cstheme="minorHAnsi"/>
          <w:iCs/>
          <w:szCs w:val="24"/>
        </w:rPr>
        <w:t>able</w:t>
      </w:r>
      <w:r w:rsidR="001D1216">
        <w:rPr>
          <w:rFonts w:asciiTheme="minorHAnsi" w:hAnsiTheme="minorHAnsi" w:cstheme="minorHAnsi"/>
          <w:iCs/>
          <w:szCs w:val="24"/>
        </w:rPr>
        <w:t xml:space="preserve"> </w:t>
      </w:r>
      <w:r w:rsidRPr="001853C2">
        <w:rPr>
          <w:rFonts w:asciiTheme="minorHAnsi" w:hAnsiTheme="minorHAnsi" w:cstheme="minorHAnsi"/>
          <w:iCs/>
          <w:szCs w:val="24"/>
        </w:rPr>
        <w:t>education and training providers</w:t>
      </w:r>
      <w:r w:rsidR="005D7D42">
        <w:rPr>
          <w:rFonts w:asciiTheme="minorHAnsi" w:hAnsiTheme="minorHAnsi" w:cstheme="minorHAnsi"/>
          <w:iCs/>
          <w:szCs w:val="24"/>
        </w:rPr>
        <w:t>,</w:t>
      </w:r>
      <w:r w:rsidRPr="001853C2">
        <w:rPr>
          <w:rFonts w:asciiTheme="minorHAnsi" w:hAnsiTheme="minorHAnsi" w:cstheme="minorHAnsi"/>
          <w:iCs/>
          <w:szCs w:val="24"/>
        </w:rPr>
        <w:t xml:space="preserve"> </w:t>
      </w:r>
      <w:r w:rsidR="005D7D42">
        <w:rPr>
          <w:rFonts w:asciiTheme="minorHAnsi" w:hAnsiTheme="minorHAnsi" w:cstheme="minorHAnsi"/>
          <w:iCs/>
          <w:szCs w:val="24"/>
        </w:rPr>
        <w:t>and</w:t>
      </w:r>
      <w:r w:rsidRPr="001853C2">
        <w:rPr>
          <w:rFonts w:asciiTheme="minorHAnsi" w:hAnsiTheme="minorHAnsi" w:cstheme="minorHAnsi"/>
          <w:iCs/>
          <w:szCs w:val="24"/>
        </w:rPr>
        <w:t xml:space="preserve"> peak bodies</w:t>
      </w:r>
      <w:r w:rsidR="005D7D42">
        <w:rPr>
          <w:rFonts w:asciiTheme="minorHAnsi" w:hAnsiTheme="minorHAnsi" w:cstheme="minorHAnsi"/>
          <w:iCs/>
          <w:szCs w:val="24"/>
        </w:rPr>
        <w:t>,</w:t>
      </w:r>
      <w:r w:rsidRPr="001853C2">
        <w:rPr>
          <w:rFonts w:asciiTheme="minorHAnsi" w:hAnsiTheme="minorHAnsi" w:cstheme="minorHAnsi"/>
          <w:iCs/>
          <w:szCs w:val="24"/>
        </w:rPr>
        <w:t xml:space="preserve"> were satisfied with the proposed settings for the 202</w:t>
      </w:r>
      <w:r w:rsidR="005502E8">
        <w:rPr>
          <w:rFonts w:asciiTheme="minorHAnsi" w:hAnsiTheme="minorHAnsi" w:cstheme="minorHAnsi"/>
          <w:iCs/>
          <w:szCs w:val="24"/>
        </w:rPr>
        <w:t>5</w:t>
      </w:r>
      <w:r w:rsidR="004C6E17">
        <w:rPr>
          <w:rFonts w:asciiTheme="minorHAnsi" w:hAnsiTheme="minorHAnsi" w:cstheme="minorHAnsi"/>
          <w:iCs/>
          <w:szCs w:val="24"/>
        </w:rPr>
        <w:t xml:space="preserve"> </w:t>
      </w:r>
      <w:r w:rsidR="003E1F5E">
        <w:rPr>
          <w:rFonts w:asciiTheme="minorHAnsi" w:hAnsiTheme="minorHAnsi" w:cstheme="minorHAnsi"/>
          <w:iCs/>
          <w:szCs w:val="24"/>
        </w:rPr>
        <w:t>L</w:t>
      </w:r>
      <w:r w:rsidR="004C6E17">
        <w:rPr>
          <w:rFonts w:asciiTheme="minorHAnsi" w:hAnsiTheme="minorHAnsi" w:cstheme="minorHAnsi"/>
          <w:iCs/>
          <w:szCs w:val="24"/>
        </w:rPr>
        <w:t>evy</w:t>
      </w:r>
      <w:r w:rsidRPr="001853C2">
        <w:rPr>
          <w:rFonts w:asciiTheme="minorHAnsi" w:hAnsiTheme="minorHAnsi" w:cstheme="minorHAnsi"/>
          <w:iCs/>
          <w:szCs w:val="24"/>
        </w:rPr>
        <w:t xml:space="preserve">.  </w:t>
      </w:r>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2" w:name="_Toc23942241"/>
      <w:bookmarkStart w:id="3" w:name="_Toc34293362"/>
      <w:r w:rsidRPr="0080510C">
        <w:rPr>
          <w:u w:val="none"/>
        </w:rPr>
        <w:lastRenderedPageBreak/>
        <w:t>STATEMENT OF COMPATIBILITY WITH HUMAN RIGHTS</w:t>
      </w:r>
      <w:bookmarkEnd w:id="2"/>
      <w:bookmarkEnd w:id="3"/>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1E46E96B" w:rsidR="00DA552F" w:rsidRPr="000C310A" w:rsidRDefault="00947710" w:rsidP="000C310A">
      <w:pPr>
        <w:pStyle w:val="Subtitle"/>
        <w:rPr>
          <w:bCs/>
          <w:iCs/>
          <w:u w:val="single"/>
        </w:rPr>
      </w:pPr>
      <w:r w:rsidRPr="00947710">
        <w:rPr>
          <w:b w:val="0"/>
          <w:bCs/>
          <w:i w:val="0"/>
          <w:iCs/>
          <w:u w:val="single"/>
        </w:rPr>
        <w:t>Higher Education (Up-front Payments Tuition Protection Levy)</w:t>
      </w:r>
      <w:r>
        <w:rPr>
          <w:b w:val="0"/>
          <w:bCs/>
          <w:i w:val="0"/>
          <w:iCs/>
          <w:u w:val="single"/>
        </w:rPr>
        <w:t xml:space="preserve"> </w:t>
      </w:r>
      <w:r w:rsidR="00942EA0" w:rsidRPr="00942EA0">
        <w:rPr>
          <w:b w:val="0"/>
          <w:bCs/>
          <w:i w:val="0"/>
          <w:iCs/>
          <w:u w:val="single"/>
        </w:rPr>
        <w:t xml:space="preserve">(Risk Rated Premium and Special Tuition Protection Components) </w:t>
      </w:r>
      <w:r w:rsidR="00632364">
        <w:rPr>
          <w:b w:val="0"/>
          <w:bCs/>
          <w:i w:val="0"/>
          <w:iCs/>
          <w:u w:val="single"/>
        </w:rPr>
        <w:t>Determination</w:t>
      </w:r>
      <w:r w:rsidR="00C13C2B">
        <w:rPr>
          <w:b w:val="0"/>
          <w:bCs/>
          <w:i w:val="0"/>
          <w:iCs/>
          <w:u w:val="single"/>
        </w:rPr>
        <w:t xml:space="preserve"> 202</w:t>
      </w:r>
      <w:r w:rsidR="005502E8">
        <w:rPr>
          <w:b w:val="0"/>
          <w:bCs/>
          <w:i w:val="0"/>
          <w:iCs/>
          <w:u w:val="single"/>
        </w:rPr>
        <w:t>5</w:t>
      </w:r>
    </w:p>
    <w:p w14:paraId="65F6CFAB" w14:textId="717B7585"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The</w:t>
      </w:r>
      <w:r w:rsidR="00947710" w:rsidRPr="00947710">
        <w:t xml:space="preserve"> </w:t>
      </w:r>
      <w:r w:rsidR="00947710" w:rsidRPr="00947710">
        <w:rPr>
          <w:rFonts w:asciiTheme="minorHAnsi" w:hAnsiTheme="minorHAnsi" w:cstheme="minorHAnsi"/>
          <w:i/>
          <w:iCs/>
          <w:szCs w:val="24"/>
        </w:rPr>
        <w:t>Higher Education (Up-front Payments Tuition Protection Levy)</w:t>
      </w:r>
      <w:r w:rsidR="004B61FB">
        <w:rPr>
          <w:rFonts w:asciiTheme="minorHAnsi" w:hAnsiTheme="minorHAnsi" w:cstheme="minorHAnsi"/>
          <w:i/>
          <w:iCs/>
          <w:szCs w:val="24"/>
        </w:rPr>
        <w:t xml:space="preserve"> </w:t>
      </w:r>
      <w:r w:rsidR="00942EA0" w:rsidRPr="00942EA0">
        <w:rPr>
          <w:rFonts w:asciiTheme="minorHAnsi" w:hAnsiTheme="minorHAnsi" w:cstheme="minorHAnsi"/>
          <w:i/>
          <w:iCs/>
          <w:szCs w:val="24"/>
        </w:rPr>
        <w:t xml:space="preserve">(Risk Rated Premium and Special Tuition Protection Components) </w:t>
      </w:r>
      <w:r w:rsidR="00632364" w:rsidRPr="00632364">
        <w:rPr>
          <w:rFonts w:asciiTheme="minorHAnsi" w:hAnsiTheme="minorHAnsi" w:cstheme="minorHAnsi"/>
          <w:i/>
          <w:iCs/>
          <w:szCs w:val="24"/>
        </w:rPr>
        <w:t xml:space="preserve">Determination </w:t>
      </w:r>
      <w:r w:rsidR="00C13C2B">
        <w:rPr>
          <w:rFonts w:asciiTheme="minorHAnsi" w:hAnsiTheme="minorHAnsi" w:cstheme="minorHAnsi"/>
          <w:i/>
          <w:iCs/>
          <w:szCs w:val="24"/>
        </w:rPr>
        <w:t>202</w:t>
      </w:r>
      <w:r w:rsidR="005502E8">
        <w:rPr>
          <w:rFonts w:asciiTheme="minorHAnsi" w:hAnsiTheme="minorHAnsi" w:cstheme="minorHAnsi"/>
          <w:i/>
          <w:iCs/>
          <w:szCs w:val="24"/>
        </w:rPr>
        <w:t>5</w:t>
      </w:r>
      <w:r w:rsidR="00C13C2B">
        <w:rPr>
          <w:rFonts w:asciiTheme="minorHAnsi" w:hAnsiTheme="minorHAnsi" w:cstheme="minorHAnsi"/>
          <w:i/>
          <w:iCs/>
          <w:szCs w:val="24"/>
        </w:rPr>
        <w:t xml:space="preserve"> </w:t>
      </w:r>
      <w:r w:rsidR="001E52EB">
        <w:rPr>
          <w:rFonts w:asciiTheme="minorHAnsi" w:hAnsiTheme="minorHAnsi" w:cstheme="minorHAnsi"/>
          <w:szCs w:val="24"/>
        </w:rPr>
        <w:t xml:space="preserve">(the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225046C1" w14:textId="71B5B3BC" w:rsidR="00FB79F9" w:rsidRDefault="00FB79F9" w:rsidP="00FB79F9">
      <w:pPr>
        <w:spacing w:before="120" w:after="120"/>
        <w:rPr>
          <w:rFonts w:asciiTheme="minorHAnsi" w:hAnsiTheme="minorHAnsi" w:cstheme="minorHAnsi"/>
          <w:iCs/>
          <w:szCs w:val="24"/>
        </w:rPr>
      </w:pPr>
      <w:r>
        <w:rPr>
          <w:rFonts w:asciiTheme="minorHAnsi" w:hAnsiTheme="minorHAnsi" w:cstheme="minorHAnsi"/>
          <w:iCs/>
          <w:szCs w:val="24"/>
        </w:rPr>
        <w:t>The purpose of the Instrument is to determine various matters relevant to the calculation of the risk rated premium component and special tuition protection component of the Levy for the 202</w:t>
      </w:r>
      <w:r w:rsidR="003C44E6">
        <w:rPr>
          <w:rFonts w:asciiTheme="minorHAnsi" w:hAnsiTheme="minorHAnsi" w:cstheme="minorHAnsi"/>
          <w:iCs/>
          <w:szCs w:val="24"/>
        </w:rPr>
        <w:t>5</w:t>
      </w:r>
      <w:r>
        <w:rPr>
          <w:rFonts w:asciiTheme="minorHAnsi" w:hAnsiTheme="minorHAnsi" w:cstheme="minorHAnsi"/>
          <w:iCs/>
          <w:szCs w:val="24"/>
        </w:rPr>
        <w:t xml:space="preserve"> calendar year. </w:t>
      </w:r>
    </w:p>
    <w:p w14:paraId="304FECB3" w14:textId="77777777" w:rsidR="00942EA0" w:rsidRDefault="00942EA0" w:rsidP="00942EA0">
      <w:pPr>
        <w:spacing w:before="120" w:after="120"/>
        <w:rPr>
          <w:rFonts w:ascii="Calibri" w:hAnsi="Calibri" w:cs="Calibri"/>
          <w:color w:val="000000"/>
          <w:shd w:val="clear" w:color="auto" w:fill="FFFFFF"/>
        </w:rPr>
      </w:pPr>
      <w:r w:rsidRPr="00E554CE">
        <w:rPr>
          <w:rFonts w:ascii="Calibri" w:hAnsi="Calibri" w:cs="Calibri"/>
          <w:color w:val="000000"/>
          <w:shd w:val="clear" w:color="auto" w:fill="FFFFFF"/>
        </w:rPr>
        <w:t>The risk rated premium component ensures that a leviable provider’s risk of default</w:t>
      </w:r>
      <w:r>
        <w:rPr>
          <w:rFonts w:ascii="Calibri" w:hAnsi="Calibri" w:cs="Calibri"/>
          <w:color w:val="000000"/>
          <w:shd w:val="clear" w:color="auto" w:fill="FFFFFF"/>
        </w:rPr>
        <w:t xml:space="preserve"> (</w:t>
      </w:r>
      <w:r w:rsidRPr="0034234C">
        <w:rPr>
          <w:rFonts w:ascii="Calibri" w:hAnsi="Calibri" w:cs="Calibri"/>
          <w:color w:val="000000"/>
          <w:shd w:val="clear" w:color="auto" w:fill="FFFFFF"/>
        </w:rPr>
        <w:t>meaning the</w:t>
      </w:r>
      <w:r>
        <w:rPr>
          <w:rFonts w:ascii="Calibri" w:hAnsi="Calibri" w:cs="Calibri"/>
          <w:color w:val="000000"/>
          <w:shd w:val="clear" w:color="auto" w:fill="FFFFFF"/>
        </w:rPr>
        <w:t xml:space="preserve"> risk of a</w:t>
      </w:r>
      <w:r w:rsidRPr="0034234C">
        <w:rPr>
          <w:rFonts w:ascii="Calibri" w:hAnsi="Calibri" w:cs="Calibri"/>
          <w:color w:val="000000"/>
          <w:shd w:val="clear" w:color="auto" w:fill="FFFFFF"/>
        </w:rPr>
        <w:t xml:space="preserve"> provider fail</w:t>
      </w:r>
      <w:r>
        <w:rPr>
          <w:rFonts w:ascii="Calibri" w:hAnsi="Calibri" w:cs="Calibri"/>
          <w:color w:val="000000"/>
          <w:shd w:val="clear" w:color="auto" w:fill="FFFFFF"/>
        </w:rPr>
        <w:t>ing</w:t>
      </w:r>
      <w:r w:rsidRPr="0034234C">
        <w:rPr>
          <w:rFonts w:ascii="Calibri" w:hAnsi="Calibri" w:cs="Calibri"/>
          <w:color w:val="000000"/>
          <w:shd w:val="clear" w:color="auto" w:fill="FFFFFF"/>
        </w:rPr>
        <w:t xml:space="preserve"> to start to provide, or ceas</w:t>
      </w:r>
      <w:r>
        <w:rPr>
          <w:rFonts w:ascii="Calibri" w:hAnsi="Calibri" w:cs="Calibri"/>
          <w:color w:val="000000"/>
          <w:shd w:val="clear" w:color="auto" w:fill="FFFFFF"/>
        </w:rPr>
        <w:t>ing</w:t>
      </w:r>
      <w:r w:rsidRPr="0034234C">
        <w:rPr>
          <w:rFonts w:ascii="Calibri" w:hAnsi="Calibri" w:cs="Calibri"/>
          <w:color w:val="000000"/>
          <w:shd w:val="clear" w:color="auto" w:fill="FFFFFF"/>
        </w:rPr>
        <w:t xml:space="preserve"> to provide, a unit of study for a student</w:t>
      </w:r>
      <w:r>
        <w:rPr>
          <w:rFonts w:ascii="Calibri" w:hAnsi="Calibri" w:cs="Calibri"/>
          <w:color w:val="000000"/>
          <w:shd w:val="clear" w:color="auto" w:fill="FFFFFF"/>
        </w:rPr>
        <w:t>)</w:t>
      </w:r>
      <w:r w:rsidRPr="00E554CE">
        <w:rPr>
          <w:rFonts w:ascii="Calibri" w:hAnsi="Calibri" w:cs="Calibri"/>
          <w:color w:val="000000"/>
          <w:shd w:val="clear" w:color="auto" w:fill="FFFFFF"/>
        </w:rPr>
        <w:t xml:space="preserve"> is reflected in the amount of Levy payable by that provider and ensures providers are financially incentivised to reduce their risk of defaulting.</w:t>
      </w:r>
      <w:r>
        <w:rPr>
          <w:rFonts w:ascii="Calibri" w:hAnsi="Calibri" w:cs="Calibri"/>
          <w:color w:val="000000"/>
          <w:shd w:val="clear" w:color="auto" w:fill="FFFFFF"/>
        </w:rPr>
        <w:t xml:space="preserve"> </w:t>
      </w:r>
      <w:r w:rsidRPr="00E554CE">
        <w:rPr>
          <w:rFonts w:ascii="Calibri" w:hAnsi="Calibri" w:cs="Calibri"/>
          <w:color w:val="000000"/>
          <w:shd w:val="clear" w:color="auto" w:fill="FFFFFF"/>
        </w:rPr>
        <w:t>The special tuition protection component of the Levy ensures that the Fund builds to a sufficient balance</w:t>
      </w:r>
      <w:r>
        <w:rPr>
          <w:rFonts w:ascii="Calibri" w:hAnsi="Calibri" w:cs="Calibri"/>
          <w:color w:val="000000"/>
          <w:shd w:val="clear" w:color="auto" w:fill="FFFFFF"/>
        </w:rPr>
        <w:t>.</w:t>
      </w:r>
    </w:p>
    <w:p w14:paraId="05384D99" w14:textId="610CD755" w:rsidR="00942EA0" w:rsidRDefault="00942EA0" w:rsidP="00942EA0">
      <w:pPr>
        <w:spacing w:before="120" w:after="120"/>
        <w:rPr>
          <w:rFonts w:asciiTheme="minorHAnsi" w:hAnsiTheme="minorHAnsi" w:cstheme="minorHAnsi"/>
          <w:iCs/>
          <w:szCs w:val="24"/>
        </w:rPr>
      </w:pPr>
      <w:r>
        <w:rPr>
          <w:rFonts w:asciiTheme="minorHAnsi" w:hAnsiTheme="minorHAnsi" w:cstheme="minorHAnsi"/>
          <w:iCs/>
          <w:szCs w:val="24"/>
        </w:rPr>
        <w:t>The Levy is imposed under section 6 of the Act on all leviable providers (as defined in section 5 of the Act) and provides an industry contribution towards the costs of tuition protection for</w:t>
      </w:r>
      <w:r w:rsidRPr="00FF6494">
        <w:t xml:space="preserve"> </w:t>
      </w:r>
      <w:r w:rsidRPr="00FF6494">
        <w:rPr>
          <w:rFonts w:asciiTheme="minorHAnsi" w:hAnsiTheme="minorHAnsi" w:cstheme="minorHAnsi"/>
          <w:iCs/>
          <w:szCs w:val="24"/>
        </w:rPr>
        <w:t xml:space="preserve">domestic up-front </w:t>
      </w:r>
      <w:proofErr w:type="gramStart"/>
      <w:r w:rsidRPr="00FF6494">
        <w:rPr>
          <w:rFonts w:asciiTheme="minorHAnsi" w:hAnsiTheme="minorHAnsi" w:cstheme="minorHAnsi"/>
          <w:iCs/>
          <w:szCs w:val="24"/>
        </w:rPr>
        <w:t>fee paying</w:t>
      </w:r>
      <w:proofErr w:type="gramEnd"/>
      <w:r w:rsidRPr="00FF6494">
        <w:rPr>
          <w:rFonts w:asciiTheme="minorHAnsi" w:hAnsiTheme="minorHAnsi" w:cstheme="minorHAnsi"/>
          <w:iCs/>
          <w:szCs w:val="24"/>
        </w:rPr>
        <w:t xml:space="preserve"> </w:t>
      </w:r>
      <w:r w:rsidR="00BA62B8">
        <w:rPr>
          <w:rFonts w:asciiTheme="minorHAnsi" w:hAnsiTheme="minorHAnsi" w:cstheme="minorHAnsi"/>
          <w:iCs/>
          <w:szCs w:val="24"/>
        </w:rPr>
        <w:t xml:space="preserve">higher education </w:t>
      </w:r>
      <w:r w:rsidRPr="00FF6494">
        <w:rPr>
          <w:rFonts w:asciiTheme="minorHAnsi" w:hAnsiTheme="minorHAnsi" w:cstheme="minorHAnsi"/>
          <w:iCs/>
          <w:szCs w:val="24"/>
        </w:rPr>
        <w:t>students at private higher education providers.</w:t>
      </w:r>
      <w:r>
        <w:rPr>
          <w:rFonts w:asciiTheme="minorHAnsi" w:hAnsiTheme="minorHAnsi" w:cstheme="minorHAnsi"/>
          <w:iCs/>
          <w:szCs w:val="24"/>
        </w:rPr>
        <w:t xml:space="preserve"> The Levy is payable into the Fund, which is established under section 167-1 of the </w:t>
      </w:r>
      <w:r>
        <w:rPr>
          <w:rFonts w:asciiTheme="minorHAnsi" w:hAnsiTheme="minorHAnsi" w:cstheme="minorHAnsi"/>
          <w:i/>
          <w:szCs w:val="24"/>
        </w:rPr>
        <w:t xml:space="preserve">Higher Education Support Act 2003 </w:t>
      </w:r>
      <w:r>
        <w:rPr>
          <w:rFonts w:asciiTheme="minorHAnsi" w:hAnsiTheme="minorHAnsi" w:cstheme="minorHAnsi"/>
          <w:iCs/>
          <w:szCs w:val="24"/>
        </w:rPr>
        <w:t xml:space="preserve">(HESA) and managed by the Director. </w:t>
      </w:r>
    </w:p>
    <w:p w14:paraId="5C058D65" w14:textId="77777777" w:rsidR="00942EA0" w:rsidRDefault="00942EA0" w:rsidP="00942EA0">
      <w:pPr>
        <w:spacing w:before="120" w:after="120"/>
        <w:rPr>
          <w:rFonts w:asciiTheme="minorHAnsi" w:hAnsiTheme="minorHAnsi" w:cstheme="minorHAnsi"/>
          <w:iCs/>
          <w:szCs w:val="24"/>
        </w:rPr>
      </w:pPr>
      <w:r>
        <w:rPr>
          <w:rFonts w:asciiTheme="minorHAnsi" w:hAnsiTheme="minorHAnsi" w:cstheme="minorHAnsi"/>
          <w:iCs/>
          <w:szCs w:val="24"/>
        </w:rPr>
        <w:t>The Director is accountable for the appropriate and sustainable management of the Fund. The Instrument assists the Director in exercising their functions under the Act by maintaining a high level of student protection and ensuring sufficient funds are held in the Fund to place students in a suitable replacement course</w:t>
      </w:r>
      <w:r w:rsidRPr="00FF6494">
        <w:t xml:space="preserve"> </w:t>
      </w:r>
      <w:r w:rsidRPr="00FF6494">
        <w:rPr>
          <w:rFonts w:asciiTheme="minorHAnsi" w:hAnsiTheme="minorHAnsi" w:cstheme="minorHAnsi"/>
          <w:iCs/>
          <w:szCs w:val="24"/>
        </w:rPr>
        <w:t>or refund amounts of tuition fees paid up-front by students if a provider defaults.</w:t>
      </w:r>
      <w:r>
        <w:rPr>
          <w:rFonts w:asciiTheme="minorHAnsi" w:hAnsiTheme="minorHAnsi" w:cstheme="minorHAnsi"/>
          <w:iCs/>
          <w:szCs w:val="24"/>
        </w:rPr>
        <w:t xml:space="preserve"> </w:t>
      </w:r>
    </w:p>
    <w:p w14:paraId="5C0E38FA" w14:textId="77777777" w:rsidR="00942EA0" w:rsidRPr="001F4B37" w:rsidRDefault="00942EA0" w:rsidP="00942EA0">
      <w:pPr>
        <w:pStyle w:val="Heading1"/>
        <w:rPr>
          <w:b w:val="0"/>
          <w:bCs/>
          <w:i/>
          <w:iCs/>
        </w:rPr>
      </w:pPr>
      <w:r w:rsidRPr="001F4B37">
        <w:rPr>
          <w:b w:val="0"/>
          <w:bCs/>
          <w:i/>
          <w:iCs/>
        </w:rPr>
        <w:t>Adjustments to the Calculation of the Levy</w:t>
      </w:r>
    </w:p>
    <w:p w14:paraId="28ACAE21" w14:textId="77777777" w:rsidR="00942EA0" w:rsidRPr="00926295" w:rsidRDefault="00942EA0" w:rsidP="00942EA0">
      <w:pPr>
        <w:rPr>
          <w:rFonts w:asciiTheme="minorHAnsi" w:hAnsiTheme="minorHAnsi" w:cstheme="minorHAnsi"/>
        </w:rPr>
      </w:pPr>
      <w:r w:rsidRPr="00B33CF0">
        <w:rPr>
          <w:rFonts w:asciiTheme="minorHAnsi" w:hAnsiTheme="minorHAnsi" w:cstheme="minorHAnsi"/>
        </w:rPr>
        <w:t>The</w:t>
      </w:r>
      <w:r>
        <w:rPr>
          <w:rFonts w:asciiTheme="minorHAnsi" w:hAnsiTheme="minorHAnsi" w:cstheme="minorHAnsi"/>
        </w:rPr>
        <w:t xml:space="preserve"> Instrument is largely consistent with the Former Instrument, such that the calculation of the risk rated premium component of the Levy for the 2025 calendar year largely reflects the calculation of the Levy for the 2024 calendar year. There is no change to the calculation </w:t>
      </w:r>
      <w:r w:rsidRPr="00926295">
        <w:rPr>
          <w:rFonts w:asciiTheme="minorHAnsi" w:hAnsiTheme="minorHAnsi" w:cstheme="minorHAnsi"/>
        </w:rPr>
        <w:t>of the special tuition protection component.</w:t>
      </w:r>
    </w:p>
    <w:p w14:paraId="03A103A1" w14:textId="7489B1A3" w:rsidR="00942EA0" w:rsidRDefault="00942EA0" w:rsidP="00942EA0">
      <w:pPr>
        <w:rPr>
          <w:rFonts w:asciiTheme="minorHAnsi" w:hAnsiTheme="minorHAnsi" w:cstheme="minorHAnsi"/>
        </w:rPr>
      </w:pPr>
      <w:r w:rsidRPr="00926295">
        <w:rPr>
          <w:rFonts w:asciiTheme="minorHAnsi" w:hAnsiTheme="minorHAnsi" w:cstheme="minorHAnsi"/>
        </w:rPr>
        <w:t xml:space="preserve">There has been one change to the calculation of </w:t>
      </w:r>
      <w:r w:rsidR="00074D13" w:rsidRPr="00926295">
        <w:rPr>
          <w:rFonts w:asciiTheme="minorHAnsi" w:hAnsiTheme="minorHAnsi" w:cstheme="minorHAnsi"/>
        </w:rPr>
        <w:t xml:space="preserve">one risk factor within </w:t>
      </w:r>
      <w:r w:rsidRPr="00926295">
        <w:rPr>
          <w:rFonts w:asciiTheme="minorHAnsi" w:hAnsiTheme="minorHAnsi" w:cstheme="minorHAnsi"/>
        </w:rPr>
        <w:t xml:space="preserve">the risk rated premium component compared to how that component was calculated in accordance with the Former Instrument. This adjustment was approved by the Director having regard to advice from the Board and the Australian Government Actuary (AGA). This change is to </w:t>
      </w:r>
      <w:r w:rsidRPr="00926295">
        <w:rPr>
          <w:rFonts w:asciiTheme="minorHAnsi" w:hAnsiTheme="minorHAnsi" w:cstheme="minorHAnsi"/>
        </w:rPr>
        <w:lastRenderedPageBreak/>
        <w:t xml:space="preserve">remove withdrawn students from the denominator of the calculation for the completion rate risk factor. The Board agreed with the AGA that, as withdrawn students no longer qualify for </w:t>
      </w:r>
      <w:r w:rsidR="0099148A" w:rsidRPr="00926295">
        <w:rPr>
          <w:rFonts w:asciiTheme="minorHAnsi" w:hAnsiTheme="minorHAnsi" w:cstheme="minorHAnsi"/>
        </w:rPr>
        <w:t>tuition protection</w:t>
      </w:r>
      <w:r w:rsidRPr="00926295">
        <w:rPr>
          <w:rFonts w:asciiTheme="minorHAnsi" w:hAnsiTheme="minorHAnsi" w:cstheme="minorHAnsi"/>
        </w:rPr>
        <w:t xml:space="preserve"> assistance, it is reasonable to remove withdrawn students from the completion rate calculation.</w:t>
      </w:r>
      <w:r>
        <w:rPr>
          <w:rFonts w:asciiTheme="minorHAnsi" w:hAnsiTheme="minorHAnsi" w:cstheme="minorHAnsi"/>
        </w:rPr>
        <w:t xml:space="preserve"> </w:t>
      </w:r>
    </w:p>
    <w:p w14:paraId="57CC71C9" w14:textId="77777777" w:rsidR="00F9205E" w:rsidRPr="008134D5" w:rsidRDefault="00F9205E" w:rsidP="000C310A">
      <w:pPr>
        <w:pStyle w:val="Heading2"/>
      </w:pPr>
      <w:r w:rsidRPr="008134D5">
        <w:t>Human rights implications</w:t>
      </w:r>
    </w:p>
    <w:p w14:paraId="68A294CE" w14:textId="14C2E0B9" w:rsidR="008310AA" w:rsidRPr="00774144" w:rsidRDefault="00E554CE" w:rsidP="000C310A">
      <w:pPr>
        <w:pStyle w:val="Heading3"/>
      </w:pPr>
      <w:r>
        <w:t>Right to education</w:t>
      </w:r>
    </w:p>
    <w:p w14:paraId="1D4223DB" w14:textId="5DADFAAF" w:rsidR="00E8671C" w:rsidRDefault="008B2AB2" w:rsidP="00DA552F">
      <w:pPr>
        <w:spacing w:before="120" w:after="120"/>
        <w:rPr>
          <w:rFonts w:ascii="Calibri" w:hAnsi="Calibri" w:cs="Calibri"/>
          <w:color w:val="000000"/>
          <w:shd w:val="clear" w:color="auto" w:fill="FFFFFF"/>
        </w:rPr>
      </w:pPr>
      <w:r>
        <w:rPr>
          <w:rFonts w:asciiTheme="minorHAnsi" w:hAnsiTheme="minorHAnsi" w:cstheme="minorHAnsi"/>
          <w:iCs/>
          <w:szCs w:val="24"/>
        </w:rPr>
        <w:t xml:space="preserve">The Instrument engages </w:t>
      </w:r>
      <w:r w:rsidR="00E554CE">
        <w:rPr>
          <w:rFonts w:asciiTheme="minorHAnsi" w:hAnsiTheme="minorHAnsi" w:cstheme="minorHAnsi"/>
          <w:iCs/>
          <w:szCs w:val="24"/>
        </w:rPr>
        <w:t xml:space="preserve">Article 13(2)(c) of the </w:t>
      </w:r>
      <w:r w:rsidR="00C16A5E">
        <w:rPr>
          <w:rFonts w:asciiTheme="minorHAnsi" w:hAnsiTheme="minorHAnsi" w:cstheme="minorHAnsi"/>
          <w:szCs w:val="24"/>
        </w:rPr>
        <w:t>International Covenant on Economic, Social and Cultural Rights (ICESCR)</w:t>
      </w:r>
      <w:r w:rsidR="00E554CE">
        <w:rPr>
          <w:rFonts w:asciiTheme="minorHAnsi" w:hAnsiTheme="minorHAnsi" w:cstheme="minorHAnsi"/>
          <w:iCs/>
          <w:szCs w:val="24"/>
        </w:rPr>
        <w:t xml:space="preserve"> </w:t>
      </w:r>
      <w:r>
        <w:rPr>
          <w:rFonts w:asciiTheme="minorHAnsi" w:hAnsiTheme="minorHAnsi" w:cstheme="minorHAnsi"/>
          <w:iCs/>
          <w:szCs w:val="24"/>
        </w:rPr>
        <w:t xml:space="preserve">which </w:t>
      </w:r>
      <w:r w:rsidR="00E554CE">
        <w:rPr>
          <w:rFonts w:asciiTheme="minorHAnsi" w:hAnsiTheme="minorHAnsi" w:cstheme="minorHAnsi"/>
          <w:iCs/>
          <w:szCs w:val="24"/>
        </w:rPr>
        <w:t>provides that ‘higher education s</w:t>
      </w:r>
      <w:r w:rsidR="00E554CE">
        <w:rPr>
          <w:rFonts w:ascii="Calibri" w:hAnsi="Calibri" w:cs="Calibri"/>
          <w:color w:val="000000"/>
          <w:shd w:val="clear" w:color="auto" w:fill="FFFFFF"/>
        </w:rPr>
        <w:t xml:space="preserve">hall be made equally accessible to all, on the basis of capacity, by every appropriate means, and in particular by the progressive introduction of free education’. </w:t>
      </w:r>
    </w:p>
    <w:p w14:paraId="2AF44100" w14:textId="21954F76" w:rsidR="007A3936" w:rsidRDefault="007A3936" w:rsidP="007A3936">
      <w:pPr>
        <w:spacing w:before="120" w:after="120"/>
        <w:rPr>
          <w:rFonts w:ascii="Calibri" w:hAnsi="Calibri" w:cs="Calibri"/>
          <w:color w:val="000000"/>
          <w:shd w:val="clear" w:color="auto" w:fill="FFFFFF"/>
        </w:rPr>
      </w:pPr>
      <w:r w:rsidRPr="00E554CE">
        <w:rPr>
          <w:rFonts w:ascii="Calibri" w:hAnsi="Calibri" w:cs="Calibri"/>
          <w:color w:val="000000"/>
          <w:shd w:val="clear" w:color="auto" w:fill="FFFFFF"/>
        </w:rPr>
        <w:t xml:space="preserve">The Instrument is part of the broader </w:t>
      </w:r>
      <w:r>
        <w:rPr>
          <w:rFonts w:ascii="Calibri" w:hAnsi="Calibri" w:cs="Calibri"/>
          <w:color w:val="000000"/>
          <w:shd w:val="clear" w:color="auto" w:fill="FFFFFF"/>
        </w:rPr>
        <w:t>up-front payments</w:t>
      </w:r>
      <w:r w:rsidRPr="00E554CE">
        <w:rPr>
          <w:rFonts w:ascii="Calibri" w:hAnsi="Calibri" w:cs="Calibri"/>
          <w:color w:val="000000"/>
          <w:shd w:val="clear" w:color="auto" w:fill="FFFFFF"/>
        </w:rPr>
        <w:t xml:space="preserve"> tuition protection </w:t>
      </w:r>
      <w:r>
        <w:rPr>
          <w:rFonts w:ascii="Calibri" w:hAnsi="Calibri" w:cs="Calibri"/>
          <w:color w:val="000000"/>
          <w:shd w:val="clear" w:color="auto" w:fill="FFFFFF"/>
        </w:rPr>
        <w:t xml:space="preserve">framework </w:t>
      </w:r>
      <w:r w:rsidRPr="00E554CE">
        <w:rPr>
          <w:rFonts w:ascii="Calibri" w:hAnsi="Calibri" w:cs="Calibri"/>
          <w:color w:val="000000"/>
          <w:shd w:val="clear" w:color="auto" w:fill="FFFFFF"/>
        </w:rPr>
        <w:t xml:space="preserve">set out in HESA. </w:t>
      </w:r>
      <w:r>
        <w:rPr>
          <w:rFonts w:ascii="Calibri" w:hAnsi="Calibri" w:cs="Calibri"/>
          <w:color w:val="000000"/>
          <w:shd w:val="clear" w:color="auto" w:fill="FFFFFF"/>
        </w:rPr>
        <w:t>The purpose of tuition protection</w:t>
      </w:r>
      <w:r w:rsidRPr="00E554CE">
        <w:rPr>
          <w:rFonts w:ascii="Calibri" w:hAnsi="Calibri" w:cs="Calibri"/>
          <w:color w:val="000000"/>
          <w:shd w:val="clear" w:color="auto" w:fill="FFFFFF"/>
        </w:rPr>
        <w:t xml:space="preserve"> is to ensure </w:t>
      </w:r>
      <w:r w:rsidRPr="006C7B53">
        <w:rPr>
          <w:rFonts w:asciiTheme="minorHAnsi" w:hAnsiTheme="minorHAnsi" w:cstheme="minorHAnsi"/>
          <w:iCs/>
          <w:szCs w:val="24"/>
        </w:rPr>
        <w:t xml:space="preserve">domestic up-front </w:t>
      </w:r>
      <w:proofErr w:type="gramStart"/>
      <w:r w:rsidRPr="006C7B53">
        <w:rPr>
          <w:rFonts w:asciiTheme="minorHAnsi" w:hAnsiTheme="minorHAnsi" w:cstheme="minorHAnsi"/>
          <w:iCs/>
          <w:szCs w:val="24"/>
        </w:rPr>
        <w:t>fee paying</w:t>
      </w:r>
      <w:proofErr w:type="gramEnd"/>
      <w:r w:rsidRPr="006C7B53">
        <w:rPr>
          <w:rFonts w:asciiTheme="minorHAnsi" w:hAnsiTheme="minorHAnsi" w:cstheme="minorHAnsi"/>
          <w:iCs/>
          <w:szCs w:val="24"/>
        </w:rPr>
        <w:t xml:space="preserve"> </w:t>
      </w:r>
      <w:r w:rsidR="00BA62B8">
        <w:rPr>
          <w:rFonts w:asciiTheme="minorHAnsi" w:hAnsiTheme="minorHAnsi" w:cstheme="minorHAnsi"/>
          <w:iCs/>
          <w:szCs w:val="24"/>
        </w:rPr>
        <w:t xml:space="preserve">higher education </w:t>
      </w:r>
      <w:r w:rsidRPr="006C7B53">
        <w:rPr>
          <w:rFonts w:asciiTheme="minorHAnsi" w:hAnsiTheme="minorHAnsi" w:cstheme="minorHAnsi"/>
          <w:iCs/>
          <w:szCs w:val="24"/>
        </w:rPr>
        <w:t xml:space="preserve">students </w:t>
      </w:r>
      <w:r w:rsidRPr="00E554CE">
        <w:rPr>
          <w:rFonts w:ascii="Calibri" w:hAnsi="Calibri" w:cs="Calibri"/>
          <w:color w:val="000000"/>
          <w:shd w:val="clear" w:color="auto" w:fill="FFFFFF"/>
        </w:rPr>
        <w:t xml:space="preserve">are supported </w:t>
      </w:r>
      <w:proofErr w:type="gramStart"/>
      <w:r w:rsidRPr="00E554CE">
        <w:rPr>
          <w:rFonts w:ascii="Calibri" w:hAnsi="Calibri" w:cs="Calibri"/>
          <w:color w:val="000000"/>
          <w:shd w:val="clear" w:color="auto" w:fill="FFFFFF"/>
        </w:rPr>
        <w:t>in the event that</w:t>
      </w:r>
      <w:proofErr w:type="gramEnd"/>
      <w:r w:rsidRPr="00E554CE">
        <w:rPr>
          <w:rFonts w:ascii="Calibri" w:hAnsi="Calibri" w:cs="Calibri"/>
          <w:color w:val="000000"/>
          <w:shd w:val="clear" w:color="auto" w:fill="FFFFFF"/>
        </w:rPr>
        <w:t xml:space="preserve"> their approved course provider defaults by either providing a suitable replacement course or </w:t>
      </w:r>
      <w:r>
        <w:rPr>
          <w:rFonts w:asciiTheme="minorHAnsi" w:hAnsiTheme="minorHAnsi" w:cstheme="minorHAnsi"/>
          <w:iCs/>
          <w:szCs w:val="24"/>
        </w:rPr>
        <w:t>refunding</w:t>
      </w:r>
      <w:r w:rsidRPr="006C7B53">
        <w:rPr>
          <w:rFonts w:asciiTheme="minorHAnsi" w:hAnsiTheme="minorHAnsi" w:cstheme="minorHAnsi"/>
          <w:iCs/>
          <w:szCs w:val="24"/>
        </w:rPr>
        <w:t xml:space="preserve"> amounts of tuition fees paid up-front by students</w:t>
      </w:r>
      <w:r w:rsidRPr="00E554CE">
        <w:rPr>
          <w:rFonts w:ascii="Calibri" w:hAnsi="Calibri" w:cs="Calibri"/>
          <w:color w:val="000000"/>
          <w:shd w:val="clear" w:color="auto" w:fill="FFFFFF"/>
        </w:rPr>
        <w:t>.</w:t>
      </w:r>
    </w:p>
    <w:p w14:paraId="776E5C76" w14:textId="7CFE3AA0" w:rsidR="007A3936" w:rsidRDefault="007A3936" w:rsidP="007A3936">
      <w:pPr>
        <w:pStyle w:val="Heading2"/>
        <w:rPr>
          <w:rFonts w:ascii="Calibri" w:hAnsi="Calibri" w:cs="Calibri"/>
          <w:b w:val="0"/>
          <w:color w:val="000000"/>
          <w:szCs w:val="22"/>
          <w:shd w:val="clear" w:color="auto" w:fill="FFFFFF"/>
        </w:rPr>
      </w:pPr>
      <w:r w:rsidRPr="00E554CE">
        <w:rPr>
          <w:rFonts w:ascii="Calibri" w:hAnsi="Calibri" w:cs="Calibri"/>
          <w:b w:val="0"/>
          <w:color w:val="000000"/>
          <w:szCs w:val="22"/>
          <w:shd w:val="clear" w:color="auto" w:fill="FFFFFF"/>
        </w:rPr>
        <w:t xml:space="preserve">The Instrument will ensure that sufficient funds are held in the Fund to cover the ongoing costs of providing tuition protection to </w:t>
      </w:r>
      <w:r w:rsidRPr="00DF3E05">
        <w:rPr>
          <w:rFonts w:ascii="Calibri" w:hAnsi="Calibri" w:cs="Calibri"/>
          <w:b w:val="0"/>
          <w:color w:val="000000"/>
          <w:szCs w:val="22"/>
          <w:shd w:val="clear" w:color="auto" w:fill="FFFFFF"/>
        </w:rPr>
        <w:t xml:space="preserve">domestic up-front </w:t>
      </w:r>
      <w:proofErr w:type="gramStart"/>
      <w:r w:rsidRPr="00DF3E05">
        <w:rPr>
          <w:rFonts w:ascii="Calibri" w:hAnsi="Calibri" w:cs="Calibri"/>
          <w:b w:val="0"/>
          <w:color w:val="000000"/>
          <w:szCs w:val="22"/>
          <w:shd w:val="clear" w:color="auto" w:fill="FFFFFF"/>
        </w:rPr>
        <w:t>fee paying</w:t>
      </w:r>
      <w:proofErr w:type="gramEnd"/>
      <w:r w:rsidRPr="00DF3E05">
        <w:rPr>
          <w:rFonts w:ascii="Calibri" w:hAnsi="Calibri" w:cs="Calibri"/>
          <w:b w:val="0"/>
          <w:color w:val="000000"/>
          <w:szCs w:val="22"/>
          <w:shd w:val="clear" w:color="auto" w:fill="FFFFFF"/>
        </w:rPr>
        <w:t xml:space="preserve"> </w:t>
      </w:r>
      <w:r w:rsidR="00BA62B8">
        <w:rPr>
          <w:rFonts w:ascii="Calibri" w:hAnsi="Calibri" w:cs="Calibri"/>
          <w:b w:val="0"/>
          <w:color w:val="000000"/>
          <w:szCs w:val="22"/>
          <w:shd w:val="clear" w:color="auto" w:fill="FFFFFF"/>
        </w:rPr>
        <w:t xml:space="preserve">higher education </w:t>
      </w:r>
      <w:r w:rsidRPr="00DF3E05">
        <w:rPr>
          <w:rFonts w:ascii="Calibri" w:hAnsi="Calibri" w:cs="Calibri"/>
          <w:b w:val="0"/>
          <w:color w:val="000000"/>
          <w:szCs w:val="22"/>
          <w:shd w:val="clear" w:color="auto" w:fill="FFFFFF"/>
        </w:rPr>
        <w:t>students</w:t>
      </w:r>
      <w:r w:rsidRPr="00E554CE">
        <w:rPr>
          <w:rFonts w:ascii="Calibri" w:hAnsi="Calibri" w:cs="Calibri"/>
          <w:b w:val="0"/>
          <w:color w:val="000000"/>
          <w:szCs w:val="22"/>
          <w:shd w:val="clear" w:color="auto" w:fill="FFFFFF"/>
        </w:rPr>
        <w:t xml:space="preserve">, thereby maintaining a high level of student protection in the event a course provider is no longer able to deliver a unit of study. The Instrument is compatible with, and will enhance, the right to education by ensuring that there are appropriately funded tuition protection arrangements in place for </w:t>
      </w:r>
      <w:r w:rsidRPr="00DF3E05">
        <w:rPr>
          <w:rFonts w:ascii="Calibri" w:hAnsi="Calibri" w:cs="Calibri"/>
          <w:b w:val="0"/>
          <w:color w:val="000000"/>
          <w:szCs w:val="22"/>
          <w:shd w:val="clear" w:color="auto" w:fill="FFFFFF"/>
        </w:rPr>
        <w:t xml:space="preserve">domestic up-front </w:t>
      </w:r>
      <w:proofErr w:type="gramStart"/>
      <w:r w:rsidRPr="00DF3E05">
        <w:rPr>
          <w:rFonts w:ascii="Calibri" w:hAnsi="Calibri" w:cs="Calibri"/>
          <w:b w:val="0"/>
          <w:color w:val="000000"/>
          <w:szCs w:val="22"/>
          <w:shd w:val="clear" w:color="auto" w:fill="FFFFFF"/>
        </w:rPr>
        <w:t>fee paying</w:t>
      </w:r>
      <w:proofErr w:type="gramEnd"/>
      <w:r w:rsidRPr="00DF3E05">
        <w:rPr>
          <w:rFonts w:ascii="Calibri" w:hAnsi="Calibri" w:cs="Calibri"/>
          <w:b w:val="0"/>
          <w:color w:val="000000"/>
          <w:szCs w:val="22"/>
          <w:shd w:val="clear" w:color="auto" w:fill="FFFFFF"/>
        </w:rPr>
        <w:t xml:space="preserve"> </w:t>
      </w:r>
      <w:r w:rsidR="00BA62B8">
        <w:rPr>
          <w:rFonts w:ascii="Calibri" w:hAnsi="Calibri" w:cs="Calibri"/>
          <w:b w:val="0"/>
          <w:color w:val="000000"/>
          <w:szCs w:val="22"/>
          <w:shd w:val="clear" w:color="auto" w:fill="FFFFFF"/>
        </w:rPr>
        <w:t xml:space="preserve">higher education </w:t>
      </w:r>
      <w:r w:rsidRPr="00DF3E05">
        <w:rPr>
          <w:rFonts w:ascii="Calibri" w:hAnsi="Calibri" w:cs="Calibri"/>
          <w:b w:val="0"/>
          <w:color w:val="000000"/>
          <w:szCs w:val="22"/>
          <w:shd w:val="clear" w:color="auto" w:fill="FFFFFF"/>
        </w:rPr>
        <w:t>students</w:t>
      </w:r>
      <w:r w:rsidRPr="00E554CE">
        <w:rPr>
          <w:rFonts w:ascii="Calibri" w:hAnsi="Calibri" w:cs="Calibri"/>
          <w:b w:val="0"/>
          <w:color w:val="000000"/>
          <w:szCs w:val="22"/>
          <w:shd w:val="clear" w:color="auto" w:fill="FFFFFF"/>
        </w:rPr>
        <w:t xml:space="preserve">. </w:t>
      </w:r>
    </w:p>
    <w:p w14:paraId="0D664062" w14:textId="7B4545DC" w:rsidR="00DA552F" w:rsidRPr="008134D5" w:rsidRDefault="00F9205E" w:rsidP="000C310A">
      <w:pPr>
        <w:pStyle w:val="Heading2"/>
      </w:pPr>
      <w:r w:rsidRPr="008134D5">
        <w:t>Conclusion</w:t>
      </w:r>
    </w:p>
    <w:p w14:paraId="26C0AF71" w14:textId="35E4045C"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is compatible with human rights because</w:t>
      </w:r>
      <w:r w:rsidR="00E554CE">
        <w:rPr>
          <w:rFonts w:asciiTheme="minorHAnsi" w:hAnsiTheme="minorHAnsi" w:cstheme="minorHAnsi"/>
          <w:szCs w:val="24"/>
        </w:rPr>
        <w:t xml:space="preserve"> it supports the right to education.</w:t>
      </w:r>
      <w:r w:rsidRPr="008134D5">
        <w:rPr>
          <w:rFonts w:asciiTheme="minorHAnsi" w:hAnsiTheme="minorHAnsi" w:cstheme="minorHAnsi"/>
          <w:szCs w:val="24"/>
        </w:rPr>
        <w:t xml:space="preserve"> </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0AA717DA" w:rsidR="00DA552F" w:rsidRPr="008134D5" w:rsidRDefault="00926295" w:rsidP="00DD7496">
      <w:pPr>
        <w:spacing w:before="120" w:after="120"/>
        <w:jc w:val="center"/>
        <w:rPr>
          <w:rFonts w:asciiTheme="minorHAnsi" w:hAnsiTheme="minorHAnsi" w:cstheme="minorHAnsi"/>
          <w:szCs w:val="24"/>
        </w:rPr>
      </w:pPr>
      <w:r>
        <w:rPr>
          <w:rFonts w:asciiTheme="minorHAnsi" w:hAnsiTheme="minorHAnsi" w:cstheme="minorHAnsi"/>
          <w:b/>
          <w:szCs w:val="24"/>
        </w:rPr>
        <w:t xml:space="preserve">Acting </w:t>
      </w:r>
      <w:r w:rsidR="00CC4C35">
        <w:rPr>
          <w:rFonts w:asciiTheme="minorHAnsi" w:hAnsiTheme="minorHAnsi" w:cstheme="minorHAnsi"/>
          <w:b/>
          <w:szCs w:val="24"/>
        </w:rPr>
        <w:t>Higher Education</w:t>
      </w:r>
      <w:r w:rsidR="00E554CE">
        <w:rPr>
          <w:rFonts w:asciiTheme="minorHAnsi" w:hAnsiTheme="minorHAnsi" w:cstheme="minorHAnsi"/>
          <w:b/>
          <w:szCs w:val="24"/>
        </w:rPr>
        <w:t xml:space="preserve"> Tuition Protection Director</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5F727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540C63EE" w:rsidR="00DA552F" w:rsidRPr="00E554CE" w:rsidRDefault="00942EA0" w:rsidP="000C310A">
      <w:pPr>
        <w:pStyle w:val="Title"/>
        <w:rPr>
          <w:b w:val="0"/>
        </w:rPr>
      </w:pPr>
      <w:r>
        <w:rPr>
          <w:u w:val="none"/>
        </w:rPr>
        <w:lastRenderedPageBreak/>
        <w:t>HIGHER EDUCATION (UP-FRONT PAYMENTS TUITION PROTECTION LEVY) (RISK RATED PREMIUM AND SPECIAL TUITION PROTECTION COMPONENTS) DETERMINATION 2025</w:t>
      </w:r>
    </w:p>
    <w:p w14:paraId="289E50B9" w14:textId="77777777" w:rsidR="00DA552F" w:rsidRPr="008134D5" w:rsidRDefault="00DB6247" w:rsidP="00842861">
      <w:pPr>
        <w:pStyle w:val="Heading1"/>
        <w:jc w:val="center"/>
      </w:pPr>
      <w:r>
        <w:t>EXPLANATION OF PROVISIONS</w:t>
      </w:r>
    </w:p>
    <w:p w14:paraId="4FF94D17" w14:textId="13E45E79" w:rsidR="00E4378F" w:rsidRPr="007F214E" w:rsidRDefault="007F214E" w:rsidP="00E4378F">
      <w:pPr>
        <w:pStyle w:val="Heading3"/>
        <w:spacing w:before="240"/>
        <w:rPr>
          <w:b/>
          <w:bCs/>
          <w:u w:val="none"/>
        </w:rPr>
      </w:pPr>
      <w:r>
        <w:rPr>
          <w:b/>
          <w:bCs/>
          <w:u w:val="none"/>
        </w:rPr>
        <w:t xml:space="preserve">PART 1 – INTRODUCTION </w:t>
      </w:r>
    </w:p>
    <w:p w14:paraId="5C8B7FC1" w14:textId="47DF3F20"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274A0668" w:rsidR="00DA552F" w:rsidRPr="00EF4ACB" w:rsidRDefault="00E4378F" w:rsidP="00842861">
      <w:pPr>
        <w:pStyle w:val="ListParagraph"/>
        <w:numPr>
          <w:ilvl w:val="0"/>
          <w:numId w:val="1"/>
        </w:numPr>
        <w:spacing w:before="360" w:after="120"/>
        <w:rPr>
          <w:rFonts w:asciiTheme="minorHAnsi" w:hAnsiTheme="minorHAnsi" w:cstheme="minorHAnsi"/>
          <w:szCs w:val="24"/>
        </w:rPr>
      </w:pPr>
      <w:r>
        <w:rPr>
          <w:rFonts w:asciiTheme="minorHAnsi" w:hAnsiTheme="minorHAnsi" w:cstheme="minorHAnsi"/>
          <w:szCs w:val="24"/>
        </w:rPr>
        <w:t xml:space="preserve">This section specifies the name of the instrument as the </w:t>
      </w:r>
      <w:r w:rsidR="000C3FA3" w:rsidRPr="005A3370">
        <w:rPr>
          <w:rFonts w:asciiTheme="minorHAnsi" w:hAnsiTheme="minorHAnsi" w:cstheme="minorHAnsi"/>
          <w:i/>
          <w:iCs/>
          <w:szCs w:val="24"/>
        </w:rPr>
        <w:t>Higher Education (Up-front Payments Tuition Protection Levy) (Risk Rated Premium and Special Tuition Protection Components)</w:t>
      </w:r>
      <w:r w:rsidR="000C3FA3" w:rsidRPr="000C3FA3">
        <w:rPr>
          <w:rFonts w:asciiTheme="minorHAnsi" w:hAnsiTheme="minorHAnsi" w:cstheme="minorHAnsi"/>
          <w:szCs w:val="24"/>
        </w:rPr>
        <w:t xml:space="preserve"> </w:t>
      </w:r>
      <w:r>
        <w:rPr>
          <w:rFonts w:asciiTheme="minorHAnsi" w:hAnsiTheme="minorHAnsi" w:cstheme="minorHAnsi"/>
          <w:i/>
          <w:iCs/>
          <w:szCs w:val="24"/>
        </w:rPr>
        <w:t xml:space="preserve">Determination </w:t>
      </w:r>
      <w:r w:rsidR="00D701C2">
        <w:rPr>
          <w:rFonts w:asciiTheme="minorHAnsi" w:hAnsiTheme="minorHAnsi" w:cstheme="minorHAnsi"/>
          <w:i/>
          <w:iCs/>
          <w:szCs w:val="24"/>
        </w:rPr>
        <w:t>202</w:t>
      </w:r>
      <w:r w:rsidR="00E22341">
        <w:rPr>
          <w:rFonts w:asciiTheme="minorHAnsi" w:hAnsiTheme="minorHAnsi" w:cstheme="minorHAnsi"/>
          <w:i/>
          <w:iCs/>
          <w:szCs w:val="24"/>
        </w:rPr>
        <w:t>5</w:t>
      </w:r>
      <w:r w:rsidR="00D701C2">
        <w:rPr>
          <w:rFonts w:asciiTheme="minorHAnsi" w:hAnsiTheme="minorHAnsi" w:cstheme="minorHAnsi"/>
          <w:szCs w:val="24"/>
        </w:rPr>
        <w:t xml:space="preserve"> </w:t>
      </w:r>
      <w:r>
        <w:rPr>
          <w:rFonts w:asciiTheme="minorHAnsi" w:hAnsiTheme="minorHAnsi" w:cstheme="minorHAnsi"/>
          <w:szCs w:val="24"/>
        </w:rPr>
        <w:t xml:space="preserve">(the Instrument). </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37AACCD3" w:rsidR="00E631F9" w:rsidRPr="002824A8" w:rsidRDefault="002824A8" w:rsidP="00842861">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section sets out the commencement dates of the Instrument. Parts 1 to 3 of the Instrument commence on 31 July </w:t>
      </w:r>
      <w:r w:rsidR="00D701C2">
        <w:rPr>
          <w:rFonts w:asciiTheme="minorHAnsi" w:hAnsiTheme="minorHAnsi" w:cstheme="minorHAnsi"/>
          <w:iCs/>
        </w:rPr>
        <w:t>202</w:t>
      </w:r>
      <w:r w:rsidR="007F6D5C">
        <w:rPr>
          <w:rFonts w:asciiTheme="minorHAnsi" w:hAnsiTheme="minorHAnsi" w:cstheme="minorHAnsi"/>
          <w:iCs/>
        </w:rPr>
        <w:t>5</w:t>
      </w:r>
      <w:r w:rsidR="00D701C2">
        <w:rPr>
          <w:rFonts w:asciiTheme="minorHAnsi" w:hAnsiTheme="minorHAnsi" w:cstheme="minorHAnsi"/>
          <w:iCs/>
        </w:rPr>
        <w:t xml:space="preserve"> </w:t>
      </w:r>
      <w:r>
        <w:rPr>
          <w:rFonts w:asciiTheme="minorHAnsi" w:hAnsiTheme="minorHAnsi" w:cstheme="minorHAnsi"/>
          <w:iCs/>
        </w:rPr>
        <w:t xml:space="preserve">and Schedule 1 of the Instrument, which repeals the </w:t>
      </w:r>
      <w:r w:rsidR="00104C83" w:rsidRPr="002E484C">
        <w:rPr>
          <w:rFonts w:asciiTheme="minorHAnsi" w:hAnsiTheme="minorHAnsi" w:cstheme="minorHAnsi"/>
          <w:i/>
          <w:iCs/>
          <w:szCs w:val="24"/>
        </w:rPr>
        <w:t>Higher Education (Up-front Payments Tuition Protection Levy) (Risk Rated Premium and Special Tuition Protection Components)</w:t>
      </w:r>
      <w:r w:rsidR="00104C83" w:rsidRPr="000C3FA3">
        <w:rPr>
          <w:rFonts w:asciiTheme="minorHAnsi" w:hAnsiTheme="minorHAnsi" w:cstheme="minorHAnsi"/>
          <w:szCs w:val="24"/>
        </w:rPr>
        <w:t xml:space="preserve"> </w:t>
      </w:r>
      <w:r w:rsidR="00104C83">
        <w:rPr>
          <w:rFonts w:asciiTheme="minorHAnsi" w:hAnsiTheme="minorHAnsi" w:cstheme="minorHAnsi"/>
          <w:i/>
          <w:iCs/>
          <w:szCs w:val="24"/>
        </w:rPr>
        <w:t xml:space="preserve">Determination </w:t>
      </w:r>
      <w:r w:rsidR="00D701C2">
        <w:rPr>
          <w:rFonts w:asciiTheme="minorHAnsi" w:hAnsiTheme="minorHAnsi" w:cstheme="minorHAnsi"/>
          <w:i/>
        </w:rPr>
        <w:t>202</w:t>
      </w:r>
      <w:r w:rsidR="007F6D5C">
        <w:rPr>
          <w:rFonts w:asciiTheme="minorHAnsi" w:hAnsiTheme="minorHAnsi" w:cstheme="minorHAnsi"/>
          <w:i/>
        </w:rPr>
        <w:t>4</w:t>
      </w:r>
      <w:r w:rsidR="00994D20">
        <w:rPr>
          <w:rFonts w:asciiTheme="minorHAnsi" w:hAnsiTheme="minorHAnsi" w:cstheme="minorHAnsi"/>
          <w:i/>
        </w:rPr>
        <w:t xml:space="preserve"> </w:t>
      </w:r>
      <w:r w:rsidR="00994D20" w:rsidRPr="004729F0">
        <w:rPr>
          <w:rFonts w:asciiTheme="minorHAnsi" w:hAnsiTheme="minorHAnsi" w:cstheme="minorHAnsi"/>
          <w:iCs/>
        </w:rPr>
        <w:t>(the Former Instrument)</w:t>
      </w:r>
      <w:r w:rsidR="00EB408A">
        <w:rPr>
          <w:rFonts w:asciiTheme="minorHAnsi" w:hAnsiTheme="minorHAnsi" w:cstheme="minorHAnsi"/>
          <w:iCs/>
        </w:rPr>
        <w:t xml:space="preserve">, commences on 1 August </w:t>
      </w:r>
      <w:r w:rsidR="00D701C2">
        <w:rPr>
          <w:rFonts w:asciiTheme="minorHAnsi" w:hAnsiTheme="minorHAnsi" w:cstheme="minorHAnsi"/>
          <w:iCs/>
        </w:rPr>
        <w:t>202</w:t>
      </w:r>
      <w:r w:rsidR="007F6D5C">
        <w:rPr>
          <w:rFonts w:asciiTheme="minorHAnsi" w:hAnsiTheme="minorHAnsi" w:cstheme="minorHAnsi"/>
          <w:iCs/>
        </w:rPr>
        <w:t>5</w:t>
      </w:r>
      <w:r w:rsidR="00EB408A">
        <w:rPr>
          <w:rFonts w:asciiTheme="minorHAnsi" w:hAnsiTheme="minorHAnsi" w:cstheme="minorHAnsi"/>
          <w:iCs/>
        </w:rPr>
        <w:t xml:space="preserve">. </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3058064D" w:rsidR="00E631F9" w:rsidRDefault="00EB408A" w:rsidP="00842861">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w:t>
      </w:r>
      <w:r w:rsidR="00E92ADE">
        <w:rPr>
          <w:rFonts w:asciiTheme="minorHAnsi" w:hAnsiTheme="minorHAnsi" w:cstheme="minorHAnsi"/>
          <w:iCs/>
        </w:rPr>
        <w:t xml:space="preserve">section provides that the </w:t>
      </w:r>
      <w:r>
        <w:rPr>
          <w:rFonts w:asciiTheme="minorHAnsi" w:hAnsiTheme="minorHAnsi" w:cstheme="minorHAnsi"/>
          <w:iCs/>
        </w:rPr>
        <w:t>Instrument is made by the</w:t>
      </w:r>
      <w:r w:rsidR="00104C83">
        <w:rPr>
          <w:rFonts w:asciiTheme="minorHAnsi" w:hAnsiTheme="minorHAnsi" w:cstheme="minorHAnsi"/>
          <w:iCs/>
        </w:rPr>
        <w:t xml:space="preserve"> Higher Education</w:t>
      </w:r>
      <w:r>
        <w:rPr>
          <w:rFonts w:asciiTheme="minorHAnsi" w:hAnsiTheme="minorHAnsi" w:cstheme="minorHAnsi"/>
          <w:iCs/>
        </w:rPr>
        <w:t xml:space="preserve"> Tuition Protection Director (the Director) under section 13 of the</w:t>
      </w:r>
      <w:r w:rsidR="009D7D67">
        <w:rPr>
          <w:rFonts w:asciiTheme="minorHAnsi" w:hAnsiTheme="minorHAnsi" w:cstheme="minorHAnsi"/>
          <w:iCs/>
        </w:rPr>
        <w:t xml:space="preserve"> </w:t>
      </w:r>
      <w:r w:rsidR="00A74EE0" w:rsidRPr="005A3370">
        <w:rPr>
          <w:rFonts w:asciiTheme="minorHAnsi" w:hAnsiTheme="minorHAnsi" w:cstheme="minorHAnsi"/>
          <w:i/>
        </w:rPr>
        <w:t>Higher Education (Up-front Payments Tuition Protection Levy) Act 202</w:t>
      </w:r>
      <w:r w:rsidR="00A74EE0">
        <w:rPr>
          <w:rFonts w:asciiTheme="minorHAnsi" w:hAnsiTheme="minorHAnsi" w:cstheme="minorHAnsi"/>
          <w:i/>
        </w:rPr>
        <w:t>0</w:t>
      </w:r>
      <w:r w:rsidR="00A74EE0">
        <w:rPr>
          <w:rFonts w:asciiTheme="minorHAnsi" w:hAnsiTheme="minorHAnsi" w:cstheme="minorHAnsi"/>
          <w:iCs/>
        </w:rPr>
        <w:t xml:space="preserve"> </w:t>
      </w:r>
      <w:r>
        <w:rPr>
          <w:rFonts w:asciiTheme="minorHAnsi" w:hAnsiTheme="minorHAnsi" w:cstheme="minorHAnsi"/>
          <w:iCs/>
        </w:rPr>
        <w:t xml:space="preserve">(the Act). </w:t>
      </w:r>
    </w:p>
    <w:p w14:paraId="6E1E6BAD" w14:textId="29B04FF3" w:rsidR="009E350C" w:rsidRPr="00EB408A" w:rsidRDefault="009E350C" w:rsidP="00842861">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In accordance with subsection 13(</w:t>
      </w:r>
      <w:r w:rsidR="00CB0D05">
        <w:rPr>
          <w:rFonts w:asciiTheme="minorHAnsi" w:hAnsiTheme="minorHAnsi" w:cstheme="minorHAnsi"/>
          <w:iCs/>
        </w:rPr>
        <w:t>6) of the Act, the Treasurer has approved t</w:t>
      </w:r>
      <w:r w:rsidR="00F053F0">
        <w:rPr>
          <w:rFonts w:asciiTheme="minorHAnsi" w:hAnsiTheme="minorHAnsi" w:cstheme="minorHAnsi"/>
          <w:iCs/>
        </w:rPr>
        <w:t>he Instrument.</w:t>
      </w:r>
    </w:p>
    <w:p w14:paraId="0296CC14" w14:textId="7BCD31F8" w:rsidR="00DA552F" w:rsidRPr="000C310A" w:rsidRDefault="00E631F9" w:rsidP="000C310A">
      <w:pPr>
        <w:pStyle w:val="Heading3"/>
        <w:spacing w:before="240"/>
        <w:rPr>
          <w:b/>
          <w:bCs/>
        </w:rPr>
      </w:pPr>
      <w:r w:rsidRPr="008C5CE9">
        <w:rPr>
          <w:b/>
          <w:bCs/>
        </w:rPr>
        <w:t xml:space="preserve">Section 4: </w:t>
      </w:r>
      <w:r w:rsidR="00EB408A">
        <w:rPr>
          <w:b/>
          <w:bCs/>
        </w:rPr>
        <w:t>Definitions</w:t>
      </w:r>
    </w:p>
    <w:p w14:paraId="6E1FC958" w14:textId="554695DD" w:rsidR="00E757D0" w:rsidRPr="00926295" w:rsidRDefault="00EB408A" w:rsidP="00842861">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defines a range of terms that are used in the Instrument and notes that some terms used in the Instrument are defined in section 5 of the Act (and have the </w:t>
      </w:r>
      <w:r w:rsidRPr="00926295">
        <w:rPr>
          <w:rFonts w:asciiTheme="minorHAnsi" w:hAnsiTheme="minorHAnsi" w:cstheme="minorHAnsi"/>
          <w:iCs/>
          <w:szCs w:val="24"/>
        </w:rPr>
        <w:t xml:space="preserve">same meaning as in the Act). </w:t>
      </w:r>
    </w:p>
    <w:p w14:paraId="3C08755E" w14:textId="77B0AD71" w:rsidR="00232B24" w:rsidRPr="00926295" w:rsidRDefault="003B1DFB" w:rsidP="00842861">
      <w:pPr>
        <w:pStyle w:val="ListParagraph"/>
        <w:numPr>
          <w:ilvl w:val="0"/>
          <w:numId w:val="1"/>
        </w:numPr>
        <w:spacing w:before="360" w:after="120"/>
        <w:rPr>
          <w:rFonts w:asciiTheme="minorHAnsi" w:hAnsiTheme="minorHAnsi" w:cstheme="minorHAnsi"/>
          <w:iCs/>
          <w:szCs w:val="24"/>
        </w:rPr>
      </w:pPr>
      <w:r w:rsidRPr="00926295">
        <w:rPr>
          <w:rFonts w:asciiTheme="minorHAnsi" w:hAnsiTheme="minorHAnsi" w:cstheme="minorHAnsi"/>
          <w:iCs/>
          <w:szCs w:val="24"/>
        </w:rPr>
        <w:t xml:space="preserve">In particular, ‘financial statement’ </w:t>
      </w:r>
      <w:r w:rsidR="00BF57AE" w:rsidRPr="00926295">
        <w:rPr>
          <w:rFonts w:asciiTheme="minorHAnsi" w:hAnsiTheme="minorHAnsi" w:cstheme="minorHAnsi"/>
          <w:iCs/>
          <w:szCs w:val="24"/>
        </w:rPr>
        <w:t>is defined as the</w:t>
      </w:r>
      <w:r w:rsidRPr="00926295">
        <w:rPr>
          <w:rFonts w:asciiTheme="minorHAnsi" w:hAnsiTheme="minorHAnsi" w:cstheme="minorHAnsi"/>
          <w:iCs/>
          <w:szCs w:val="24"/>
        </w:rPr>
        <w:t xml:space="preserve"> statement </w:t>
      </w:r>
      <w:r w:rsidR="008966CD" w:rsidRPr="00926295">
        <w:rPr>
          <w:rFonts w:asciiTheme="minorHAnsi" w:hAnsiTheme="minorHAnsi" w:cstheme="minorHAnsi"/>
          <w:iCs/>
          <w:szCs w:val="24"/>
        </w:rPr>
        <w:t xml:space="preserve">provided by a leviable provider </w:t>
      </w:r>
      <w:r w:rsidR="00517DFB" w:rsidRPr="00926295">
        <w:rPr>
          <w:rFonts w:asciiTheme="minorHAnsi" w:hAnsiTheme="minorHAnsi" w:cstheme="minorHAnsi"/>
          <w:iCs/>
          <w:szCs w:val="24"/>
        </w:rPr>
        <w:t xml:space="preserve">to </w:t>
      </w:r>
      <w:r w:rsidR="00992654" w:rsidRPr="00926295">
        <w:rPr>
          <w:rFonts w:asciiTheme="minorHAnsi" w:hAnsiTheme="minorHAnsi" w:cstheme="minorHAnsi"/>
          <w:iCs/>
          <w:szCs w:val="24"/>
        </w:rPr>
        <w:t>the Tertiary Education Quality and Standards Agency</w:t>
      </w:r>
      <w:r w:rsidR="00517DFB" w:rsidRPr="00926295">
        <w:rPr>
          <w:rFonts w:asciiTheme="minorHAnsi" w:hAnsiTheme="minorHAnsi" w:cstheme="minorHAnsi"/>
          <w:iCs/>
          <w:szCs w:val="24"/>
        </w:rPr>
        <w:t xml:space="preserve"> for the purposes of section 27 of the </w:t>
      </w:r>
      <w:r w:rsidR="00517DFB" w:rsidRPr="00926295">
        <w:rPr>
          <w:rFonts w:asciiTheme="minorHAnsi" w:hAnsiTheme="minorHAnsi" w:cstheme="minorHAnsi"/>
          <w:i/>
          <w:szCs w:val="24"/>
        </w:rPr>
        <w:t xml:space="preserve">Tertiary Education Quality and Standards Agency Act 2011 </w:t>
      </w:r>
      <w:r w:rsidR="00687A84" w:rsidRPr="00926295">
        <w:rPr>
          <w:rFonts w:asciiTheme="minorHAnsi" w:hAnsiTheme="minorHAnsi" w:cstheme="minorHAnsi"/>
          <w:iCs/>
          <w:szCs w:val="24"/>
        </w:rPr>
        <w:t xml:space="preserve">(TEQSA Act) </w:t>
      </w:r>
      <w:r w:rsidR="00335E77" w:rsidRPr="00926295">
        <w:rPr>
          <w:rFonts w:asciiTheme="minorHAnsi" w:hAnsiTheme="minorHAnsi" w:cstheme="minorHAnsi"/>
          <w:iCs/>
          <w:szCs w:val="24"/>
        </w:rPr>
        <w:t xml:space="preserve">for the annual financial reporting period ending </w:t>
      </w:r>
      <w:r w:rsidR="00140692" w:rsidRPr="00926295">
        <w:rPr>
          <w:rFonts w:asciiTheme="minorHAnsi" w:hAnsiTheme="minorHAnsi" w:cstheme="minorHAnsi"/>
          <w:iCs/>
          <w:szCs w:val="24"/>
        </w:rPr>
        <w:t xml:space="preserve">in </w:t>
      </w:r>
      <w:r w:rsidR="00335E77" w:rsidRPr="00926295">
        <w:rPr>
          <w:rFonts w:asciiTheme="minorHAnsi" w:hAnsiTheme="minorHAnsi" w:cstheme="minorHAnsi"/>
          <w:iCs/>
          <w:szCs w:val="24"/>
        </w:rPr>
        <w:t xml:space="preserve">2024. Under </w:t>
      </w:r>
      <w:r w:rsidR="00992654" w:rsidRPr="00926295">
        <w:rPr>
          <w:rFonts w:asciiTheme="minorHAnsi" w:hAnsiTheme="minorHAnsi" w:cstheme="minorHAnsi"/>
          <w:iCs/>
          <w:szCs w:val="24"/>
        </w:rPr>
        <w:t>paragraph</w:t>
      </w:r>
      <w:r w:rsidR="00335E77" w:rsidRPr="00926295">
        <w:rPr>
          <w:rFonts w:asciiTheme="minorHAnsi" w:hAnsiTheme="minorHAnsi" w:cstheme="minorHAnsi"/>
          <w:iCs/>
          <w:szCs w:val="24"/>
        </w:rPr>
        <w:t xml:space="preserve"> 27(3)(b) of the</w:t>
      </w:r>
      <w:r w:rsidR="00687A84" w:rsidRPr="00926295">
        <w:rPr>
          <w:rFonts w:asciiTheme="minorHAnsi" w:hAnsiTheme="minorHAnsi" w:cstheme="minorHAnsi"/>
          <w:iCs/>
          <w:szCs w:val="24"/>
        </w:rPr>
        <w:t xml:space="preserve"> TEQSA Act</w:t>
      </w:r>
      <w:r w:rsidR="0087372B" w:rsidRPr="00926295">
        <w:rPr>
          <w:rFonts w:asciiTheme="minorHAnsi" w:hAnsiTheme="minorHAnsi" w:cstheme="minorHAnsi"/>
          <w:iCs/>
          <w:szCs w:val="24"/>
        </w:rPr>
        <w:t xml:space="preserve">, the financial statements must be audited by an independent qualified auditor. </w:t>
      </w:r>
    </w:p>
    <w:p w14:paraId="5A4574AA" w14:textId="3CEFC614" w:rsidR="00EB408A" w:rsidRPr="000C310A" w:rsidRDefault="00EB408A" w:rsidP="00EB408A">
      <w:pPr>
        <w:pStyle w:val="Heading3"/>
        <w:spacing w:before="240"/>
        <w:rPr>
          <w:b/>
          <w:bCs/>
        </w:rPr>
      </w:pPr>
      <w:r w:rsidRPr="008C5CE9">
        <w:rPr>
          <w:b/>
          <w:bCs/>
        </w:rPr>
        <w:lastRenderedPageBreak/>
        <w:t xml:space="preserve">Section </w:t>
      </w:r>
      <w:r>
        <w:rPr>
          <w:b/>
          <w:bCs/>
        </w:rPr>
        <w:t>5</w:t>
      </w:r>
      <w:r w:rsidRPr="008C5CE9">
        <w:rPr>
          <w:b/>
          <w:bCs/>
        </w:rPr>
        <w:t xml:space="preserve">: </w:t>
      </w:r>
      <w:r w:rsidR="007F214E">
        <w:rPr>
          <w:b/>
          <w:bCs/>
        </w:rPr>
        <w:t>Schedules</w:t>
      </w:r>
    </w:p>
    <w:p w14:paraId="2AB55D93" w14:textId="0A959F3A" w:rsidR="00756D99" w:rsidRPr="007F214E" w:rsidRDefault="00EB408A">
      <w:pPr>
        <w:pStyle w:val="ListParagraph"/>
        <w:numPr>
          <w:ilvl w:val="0"/>
          <w:numId w:val="1"/>
        </w:numPr>
        <w:spacing w:before="360" w:after="160" w:line="259" w:lineRule="auto"/>
        <w:rPr>
          <w:rFonts w:asciiTheme="minorHAnsi" w:hAnsiTheme="minorHAnsi" w:cstheme="minorHAnsi"/>
          <w:u w:val="single"/>
        </w:rPr>
      </w:pPr>
      <w:r w:rsidRPr="007F214E">
        <w:rPr>
          <w:rFonts w:asciiTheme="minorHAnsi" w:hAnsiTheme="minorHAnsi" w:cstheme="minorHAnsi"/>
          <w:iCs/>
          <w:szCs w:val="24"/>
        </w:rPr>
        <w:t xml:space="preserve">This section </w:t>
      </w:r>
      <w:r w:rsidR="005131FD">
        <w:rPr>
          <w:rFonts w:asciiTheme="minorHAnsi" w:hAnsiTheme="minorHAnsi" w:cstheme="minorHAnsi"/>
          <w:iCs/>
          <w:szCs w:val="24"/>
        </w:rPr>
        <w:t xml:space="preserve">provides </w:t>
      </w:r>
      <w:r w:rsidR="007F214E">
        <w:rPr>
          <w:rFonts w:asciiTheme="minorHAnsi" w:hAnsiTheme="minorHAnsi" w:cstheme="minorHAnsi"/>
          <w:iCs/>
          <w:szCs w:val="24"/>
        </w:rPr>
        <w:t xml:space="preserve">that Schedule 1 is effective on its terms to repeal </w:t>
      </w:r>
      <w:r w:rsidR="007F214E">
        <w:rPr>
          <w:rFonts w:asciiTheme="minorHAnsi" w:hAnsiTheme="minorHAnsi" w:cstheme="minorHAnsi"/>
          <w:iCs/>
        </w:rPr>
        <w:t>the</w:t>
      </w:r>
      <w:r w:rsidR="00994D20">
        <w:rPr>
          <w:rFonts w:asciiTheme="minorHAnsi" w:hAnsiTheme="minorHAnsi" w:cstheme="minorHAnsi"/>
          <w:i/>
        </w:rPr>
        <w:t xml:space="preserve"> </w:t>
      </w:r>
      <w:r w:rsidR="00994D20" w:rsidRPr="004729F0">
        <w:rPr>
          <w:rFonts w:asciiTheme="minorHAnsi" w:hAnsiTheme="minorHAnsi" w:cstheme="minorHAnsi"/>
          <w:iCs/>
        </w:rPr>
        <w:t>Former Instrument</w:t>
      </w:r>
      <w:r w:rsidR="007F214E">
        <w:rPr>
          <w:rFonts w:asciiTheme="minorHAnsi" w:hAnsiTheme="minorHAnsi" w:cstheme="minorHAnsi"/>
          <w:iCs/>
        </w:rPr>
        <w:t xml:space="preserve">. </w:t>
      </w:r>
    </w:p>
    <w:p w14:paraId="63FE7359" w14:textId="12273D74" w:rsidR="007F214E" w:rsidRDefault="007F214E" w:rsidP="007F214E">
      <w:pPr>
        <w:spacing w:before="360" w:after="160" w:line="259" w:lineRule="auto"/>
        <w:rPr>
          <w:rFonts w:asciiTheme="minorHAnsi" w:hAnsiTheme="minorHAnsi" w:cstheme="minorHAnsi"/>
          <w:b/>
          <w:bCs/>
          <w:u w:val="single"/>
        </w:rPr>
      </w:pPr>
      <w:r>
        <w:rPr>
          <w:rFonts w:asciiTheme="minorHAnsi" w:hAnsiTheme="minorHAnsi" w:cstheme="minorHAnsi"/>
          <w:b/>
          <w:bCs/>
        </w:rPr>
        <w:t>PART 2 – RISK RATED PREMIUM COMPONENT</w:t>
      </w:r>
    </w:p>
    <w:p w14:paraId="6286D74C" w14:textId="61A4F39B" w:rsidR="007F214E" w:rsidRPr="000C310A" w:rsidRDefault="007F214E" w:rsidP="007F214E">
      <w:pPr>
        <w:pStyle w:val="Heading3"/>
        <w:spacing w:before="240"/>
        <w:rPr>
          <w:b/>
          <w:bCs/>
        </w:rPr>
      </w:pPr>
      <w:r w:rsidRPr="008C5CE9">
        <w:rPr>
          <w:b/>
          <w:bCs/>
        </w:rPr>
        <w:t xml:space="preserve">Section </w:t>
      </w:r>
      <w:r>
        <w:rPr>
          <w:b/>
          <w:bCs/>
        </w:rPr>
        <w:t>6</w:t>
      </w:r>
      <w:r w:rsidRPr="008C5CE9">
        <w:rPr>
          <w:b/>
          <w:bCs/>
        </w:rPr>
        <w:t xml:space="preserve">: </w:t>
      </w:r>
      <w:r>
        <w:rPr>
          <w:b/>
          <w:bCs/>
        </w:rPr>
        <w:t xml:space="preserve">Risk rated premium component </w:t>
      </w:r>
    </w:p>
    <w:p w14:paraId="2B40FFF5" w14:textId="03B1FC14" w:rsidR="007F214E" w:rsidRDefault="006B21D0" w:rsidP="006B21D0">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Section 6 provides amounts, percentages and risk factors relevant for determining a leviable provider’s risk rated premium component under subsection 11(2) of the Act. </w:t>
      </w:r>
    </w:p>
    <w:p w14:paraId="58C359E5" w14:textId="0A06FF88" w:rsidR="006B21D0" w:rsidRDefault="006B21D0" w:rsidP="006B21D0">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 6(1) provides that the amount </w:t>
      </w:r>
      <w:r w:rsidRPr="006B21D0">
        <w:rPr>
          <w:rFonts w:asciiTheme="minorHAnsi" w:hAnsiTheme="minorHAnsi" w:cstheme="minorHAnsi"/>
        </w:rPr>
        <w:t>for the purposes of step 1 of the method statement in subsection 11(2) of the Act is $</w:t>
      </w:r>
      <w:r w:rsidR="00A56008">
        <w:rPr>
          <w:rFonts w:asciiTheme="minorHAnsi" w:hAnsiTheme="minorHAnsi" w:cstheme="minorHAnsi"/>
        </w:rPr>
        <w:t>2.00</w:t>
      </w:r>
      <w:r>
        <w:rPr>
          <w:rFonts w:asciiTheme="minorHAnsi" w:hAnsiTheme="minorHAnsi" w:cstheme="minorHAnsi"/>
        </w:rPr>
        <w:t>.</w:t>
      </w:r>
    </w:p>
    <w:p w14:paraId="0958B6B3" w14:textId="7231B7F7" w:rsidR="006B21D0" w:rsidRDefault="006B21D0" w:rsidP="006B21D0">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 6(2) provides that </w:t>
      </w:r>
      <w:r w:rsidRPr="006B21D0">
        <w:rPr>
          <w:rFonts w:asciiTheme="minorHAnsi" w:hAnsiTheme="minorHAnsi" w:cstheme="minorHAnsi"/>
        </w:rPr>
        <w:t>the percentage for the purposes of step 2 of the method statement in subsection 11(2) of the Act is 0.0</w:t>
      </w:r>
      <w:r w:rsidR="00A56008">
        <w:rPr>
          <w:rFonts w:asciiTheme="minorHAnsi" w:hAnsiTheme="minorHAnsi" w:cstheme="minorHAnsi"/>
        </w:rPr>
        <w:t>4</w:t>
      </w:r>
      <w:r w:rsidRPr="006B21D0">
        <w:rPr>
          <w:rFonts w:asciiTheme="minorHAnsi" w:hAnsiTheme="minorHAnsi" w:cstheme="minorHAnsi"/>
        </w:rPr>
        <w:t xml:space="preserve"> per cent</w:t>
      </w:r>
      <w:r>
        <w:rPr>
          <w:rFonts w:asciiTheme="minorHAnsi" w:hAnsiTheme="minorHAnsi" w:cstheme="minorHAnsi"/>
        </w:rPr>
        <w:t xml:space="preserve">. </w:t>
      </w:r>
      <w:r w:rsidR="00F617FD">
        <w:rPr>
          <w:rFonts w:asciiTheme="minorHAnsi" w:hAnsiTheme="minorHAnsi" w:cstheme="minorHAnsi"/>
        </w:rPr>
        <w:t xml:space="preserve">This amount is then multiplied by the sum of each up-front payment received, as supplied by the provider in accordance with section </w:t>
      </w:r>
      <w:r w:rsidR="00697315">
        <w:rPr>
          <w:rFonts w:asciiTheme="minorHAnsi" w:hAnsiTheme="minorHAnsi" w:cstheme="minorHAnsi"/>
        </w:rPr>
        <w:t>6</w:t>
      </w:r>
      <w:r w:rsidR="00F617FD">
        <w:rPr>
          <w:rFonts w:asciiTheme="minorHAnsi" w:hAnsiTheme="minorHAnsi" w:cstheme="minorHAnsi"/>
        </w:rPr>
        <w:t xml:space="preserve">2S of the TEQSA Act, before it is added </w:t>
      </w:r>
      <w:r w:rsidR="00697315">
        <w:rPr>
          <w:rFonts w:asciiTheme="minorHAnsi" w:hAnsiTheme="minorHAnsi" w:cstheme="minorHAnsi"/>
        </w:rPr>
        <w:t>to the result of step 1 in step 3.</w:t>
      </w:r>
    </w:p>
    <w:p w14:paraId="6D3228E5" w14:textId="0CA680F7" w:rsidR="006B21D0" w:rsidRDefault="4B9BDBFB" w:rsidP="00577373">
      <w:pPr>
        <w:pStyle w:val="ListParagraph"/>
        <w:numPr>
          <w:ilvl w:val="0"/>
          <w:numId w:val="1"/>
        </w:numPr>
        <w:spacing w:before="360" w:after="160" w:line="259" w:lineRule="auto"/>
        <w:rPr>
          <w:rFonts w:asciiTheme="minorHAnsi" w:hAnsiTheme="minorHAnsi"/>
        </w:rPr>
      </w:pPr>
      <w:r w:rsidRPr="6F084190">
        <w:rPr>
          <w:rFonts w:asciiTheme="minorHAnsi" w:hAnsiTheme="minorHAnsi"/>
        </w:rPr>
        <w:t xml:space="preserve">Subsection 6(3) provides that the risk factors that are specified for the purposes of step 4 of the method statement in subsection 11(2) are the financial strength risk factor, the completion rate risk factor and the non-compliance history and registration renewal risk factor. </w:t>
      </w:r>
    </w:p>
    <w:p w14:paraId="62ED8428" w14:textId="673C7526" w:rsidR="006B21D0" w:rsidRDefault="006B21D0" w:rsidP="006B21D0">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 </w:t>
      </w:r>
      <w:r w:rsidRPr="006B21D0">
        <w:rPr>
          <w:rFonts w:asciiTheme="minorHAnsi" w:hAnsiTheme="minorHAnsi" w:cstheme="minorHAnsi"/>
        </w:rPr>
        <w:t>13(3) of the Act provides that a risk factor value for a risk factor must be a number between zero and 10 (inclusive). As set out below, the possible risk factor values for all the specified risk factors fall within this range</w:t>
      </w:r>
      <w:r>
        <w:rPr>
          <w:rFonts w:asciiTheme="minorHAnsi" w:hAnsiTheme="minorHAnsi" w:cstheme="minorHAnsi"/>
        </w:rPr>
        <w:t xml:space="preserve">. </w:t>
      </w:r>
    </w:p>
    <w:p w14:paraId="346DECBA" w14:textId="471F04C2" w:rsidR="00465AC5" w:rsidRDefault="00465AC5" w:rsidP="00465AC5">
      <w:pPr>
        <w:spacing w:before="360" w:after="160" w:line="259" w:lineRule="auto"/>
        <w:rPr>
          <w:rFonts w:asciiTheme="minorHAnsi" w:hAnsiTheme="minorHAnsi" w:cstheme="minorHAnsi"/>
        </w:rPr>
      </w:pPr>
      <w:r>
        <w:rPr>
          <w:rFonts w:asciiTheme="minorHAnsi" w:hAnsiTheme="minorHAnsi" w:cstheme="minorHAnsi"/>
          <w:b/>
          <w:bCs/>
          <w:u w:val="single"/>
        </w:rPr>
        <w:t xml:space="preserve">Section 7: Risk factor – financial strength </w:t>
      </w:r>
    </w:p>
    <w:p w14:paraId="68F23FDB" w14:textId="5E858794" w:rsidR="00465AC5" w:rsidRDefault="00465AC5" w:rsidP="00465AC5">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Section 7 of the Instrument provides the method of calculating </w:t>
      </w:r>
      <w:r w:rsidR="00B343E2">
        <w:rPr>
          <w:rFonts w:asciiTheme="minorHAnsi" w:hAnsiTheme="minorHAnsi" w:cstheme="minorHAnsi"/>
        </w:rPr>
        <w:t>the financial strength risk factor value for the provider, for the purposes of step 4 of the method statement in subsection 11(2) of the Act.</w:t>
      </w:r>
    </w:p>
    <w:p w14:paraId="6D29A893" w14:textId="1DDAE69A" w:rsidR="00EC6528" w:rsidRPr="00AD1A42" w:rsidRDefault="00B343E2" w:rsidP="00465AC5">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 7(1) provides that the risk factor value for the financial strength risk factor for a leviable provider is 2.5 if the provider did not submit its financial statement (unless the provider was not required to submit a financial statement); </w:t>
      </w:r>
      <w:r w:rsidRPr="00AD1A42">
        <w:rPr>
          <w:rFonts w:asciiTheme="minorHAnsi" w:hAnsiTheme="minorHAnsi" w:cstheme="minorHAnsi"/>
        </w:rPr>
        <w:t>0.0 if the provider was not required to submit a financial statement; and as set out in the table in subsection 7(1) if the provider submitted its financial statement.</w:t>
      </w:r>
      <w:r w:rsidR="00EC6528" w:rsidRPr="00AD1A42">
        <w:rPr>
          <w:rFonts w:asciiTheme="minorHAnsi" w:hAnsiTheme="minorHAnsi" w:cstheme="minorHAnsi"/>
        </w:rPr>
        <w:t xml:space="preserve"> </w:t>
      </w:r>
    </w:p>
    <w:p w14:paraId="51095043" w14:textId="3B31FF47" w:rsidR="00B343E2" w:rsidRPr="00AD1A42" w:rsidRDefault="00B343E2" w:rsidP="00465AC5">
      <w:pPr>
        <w:pStyle w:val="ListParagraph"/>
        <w:numPr>
          <w:ilvl w:val="0"/>
          <w:numId w:val="1"/>
        </w:numPr>
        <w:spacing w:before="360" w:after="160" w:line="259" w:lineRule="auto"/>
        <w:rPr>
          <w:rFonts w:asciiTheme="minorHAnsi" w:hAnsiTheme="minorHAnsi" w:cstheme="minorHAnsi"/>
        </w:rPr>
      </w:pPr>
      <w:r w:rsidRPr="00AD1A42">
        <w:rPr>
          <w:rFonts w:asciiTheme="minorHAnsi" w:hAnsiTheme="minorHAnsi" w:cstheme="minorHAnsi"/>
        </w:rPr>
        <w:t>The table in subsection 7(1) provides that the risk factor value for a leviable provider that submitted a financial statement is 0.0 if the financial strength score of the provider (as determined under subsections 7(2) and (3)) is 9</w:t>
      </w:r>
      <w:r w:rsidR="009563CB" w:rsidRPr="00AD1A42">
        <w:rPr>
          <w:rFonts w:asciiTheme="minorHAnsi" w:hAnsiTheme="minorHAnsi" w:cstheme="minorHAnsi"/>
        </w:rPr>
        <w:t>;</w:t>
      </w:r>
      <w:r w:rsidRPr="00AD1A42">
        <w:rPr>
          <w:rFonts w:asciiTheme="minorHAnsi" w:hAnsiTheme="minorHAnsi" w:cstheme="minorHAnsi"/>
        </w:rPr>
        <w:t xml:space="preserve"> 1.0 if the financial strength score of the provider is 6 or 7</w:t>
      </w:r>
      <w:r w:rsidR="00F41207" w:rsidRPr="00AD1A42">
        <w:rPr>
          <w:rFonts w:asciiTheme="minorHAnsi" w:hAnsiTheme="minorHAnsi" w:cstheme="minorHAnsi"/>
        </w:rPr>
        <w:t>.5</w:t>
      </w:r>
      <w:r w:rsidR="009563CB" w:rsidRPr="00AD1A42">
        <w:rPr>
          <w:rFonts w:asciiTheme="minorHAnsi" w:hAnsiTheme="minorHAnsi" w:cstheme="minorHAnsi"/>
        </w:rPr>
        <w:t>;</w:t>
      </w:r>
      <w:r w:rsidRPr="00AD1A42">
        <w:rPr>
          <w:rFonts w:asciiTheme="minorHAnsi" w:hAnsiTheme="minorHAnsi" w:cstheme="minorHAnsi"/>
        </w:rPr>
        <w:t xml:space="preserve"> and 2.0 if the financial strength score of the provider is </w:t>
      </w:r>
      <w:r w:rsidR="00942EA0" w:rsidRPr="00AD1A42">
        <w:rPr>
          <w:rFonts w:asciiTheme="minorHAnsi" w:hAnsiTheme="minorHAnsi" w:cstheme="minorHAnsi"/>
        </w:rPr>
        <w:t>3 or 4.5</w:t>
      </w:r>
      <w:r w:rsidRPr="00AD1A42">
        <w:rPr>
          <w:rFonts w:asciiTheme="minorHAnsi" w:hAnsiTheme="minorHAnsi" w:cstheme="minorHAnsi"/>
        </w:rPr>
        <w:t xml:space="preserve">. </w:t>
      </w:r>
    </w:p>
    <w:p w14:paraId="6EF1AE87" w14:textId="06CA40DC" w:rsidR="00B343E2" w:rsidRDefault="00B343E2" w:rsidP="00465AC5">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Subsections 7(2) and 7(3) provide the method for determining a leviable provider’s financial strength score, which is relevant for determining the financial strength risk </w:t>
      </w:r>
      <w:r>
        <w:rPr>
          <w:rFonts w:asciiTheme="minorHAnsi" w:hAnsiTheme="minorHAnsi" w:cstheme="minorHAnsi"/>
        </w:rPr>
        <w:lastRenderedPageBreak/>
        <w:t xml:space="preserve">factor value for a leviable provider. </w:t>
      </w:r>
      <w:r w:rsidR="00EC6528">
        <w:rPr>
          <w:rFonts w:asciiTheme="minorHAnsi" w:hAnsiTheme="minorHAnsi" w:cstheme="minorHAnsi"/>
        </w:rPr>
        <w:t xml:space="preserve">Subsection (2) provides that a leviable provider’s financial strength score is the sum of the return on assets score and debt to equity score. The table in subsection (3) sets out the formulas for calculating each score, with the relevant information for those formulas being taken or derived from the provider’s financial statements. </w:t>
      </w:r>
    </w:p>
    <w:p w14:paraId="11AE6CD4" w14:textId="6EF4B503" w:rsidR="00493FF7" w:rsidRDefault="00493FF7" w:rsidP="00493FF7">
      <w:pPr>
        <w:keepNext/>
        <w:spacing w:before="360" w:after="160" w:line="259" w:lineRule="auto"/>
        <w:rPr>
          <w:rFonts w:asciiTheme="minorHAnsi" w:hAnsiTheme="minorHAnsi" w:cstheme="minorHAnsi"/>
        </w:rPr>
      </w:pPr>
      <w:r>
        <w:rPr>
          <w:rFonts w:asciiTheme="minorHAnsi" w:hAnsiTheme="minorHAnsi" w:cstheme="minorHAnsi"/>
          <w:b/>
          <w:bCs/>
          <w:u w:val="single"/>
        </w:rPr>
        <w:t xml:space="preserve">Section 8: Risk factor – completion rate </w:t>
      </w:r>
    </w:p>
    <w:p w14:paraId="6B91C87F" w14:textId="37C02F30" w:rsidR="00493FF7" w:rsidRDefault="00493FF7" w:rsidP="00493FF7">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Section 8 of the Instrument provides the method of calculating the completion rate risk factor value for the provider, for the purposes of step 4 of the method statement in subsection 11(2) of the Act.</w:t>
      </w:r>
    </w:p>
    <w:p w14:paraId="3060D8D8" w14:textId="09B178E6" w:rsidR="00145B81" w:rsidRDefault="00493FF7" w:rsidP="00145B81">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 8(1) provides that the risk factor value for the completion rate risk factor for a leviable provider is zero if the provider did not report any units of study for the calendar year beginning on 1 January </w:t>
      </w:r>
      <w:r w:rsidR="00D701C2">
        <w:rPr>
          <w:rFonts w:asciiTheme="minorHAnsi" w:hAnsiTheme="minorHAnsi" w:cstheme="minorHAnsi"/>
        </w:rPr>
        <w:t>202</w:t>
      </w:r>
      <w:r w:rsidR="000D5C8B">
        <w:rPr>
          <w:rFonts w:asciiTheme="minorHAnsi" w:hAnsiTheme="minorHAnsi" w:cstheme="minorHAnsi"/>
        </w:rPr>
        <w:t>4</w:t>
      </w:r>
      <w:r w:rsidR="00D701C2">
        <w:rPr>
          <w:rFonts w:asciiTheme="minorHAnsi" w:hAnsiTheme="minorHAnsi" w:cstheme="minorHAnsi"/>
        </w:rPr>
        <w:t xml:space="preserve"> </w:t>
      </w:r>
      <w:r>
        <w:rPr>
          <w:rFonts w:asciiTheme="minorHAnsi" w:hAnsiTheme="minorHAnsi" w:cstheme="minorHAnsi"/>
        </w:rPr>
        <w:t xml:space="preserve">(previous calendar year) in its </w:t>
      </w:r>
      <w:r w:rsidR="00942EA0">
        <w:rPr>
          <w:rFonts w:asciiTheme="minorHAnsi" w:hAnsiTheme="minorHAnsi" w:cstheme="minorHAnsi"/>
        </w:rPr>
        <w:t>PIR</w:t>
      </w:r>
      <w:r>
        <w:rPr>
          <w:rFonts w:asciiTheme="minorHAnsi" w:hAnsiTheme="minorHAnsi" w:cstheme="minorHAnsi"/>
        </w:rPr>
        <w:t xml:space="preserve"> information</w:t>
      </w:r>
      <w:r w:rsidR="002B59E5">
        <w:rPr>
          <w:rFonts w:asciiTheme="minorHAnsi" w:hAnsiTheme="minorHAnsi" w:cstheme="minorHAnsi"/>
        </w:rPr>
        <w:t>.</w:t>
      </w:r>
      <w:r w:rsidR="002B59E5" w:rsidRPr="002B59E5">
        <w:rPr>
          <w:rFonts w:asciiTheme="minorHAnsi" w:hAnsiTheme="minorHAnsi" w:cstheme="minorHAnsi"/>
        </w:rPr>
        <w:t xml:space="preserve"> </w:t>
      </w:r>
      <w:r w:rsidR="002B59E5">
        <w:rPr>
          <w:rFonts w:asciiTheme="minorHAnsi" w:hAnsiTheme="minorHAnsi" w:cstheme="minorHAnsi"/>
        </w:rPr>
        <w:t xml:space="preserve">For example, the provider may not have delivered any units of study in 2024 and therefore, there were no units to report. </w:t>
      </w:r>
      <w:r w:rsidR="00145B81">
        <w:rPr>
          <w:rFonts w:asciiTheme="minorHAnsi" w:hAnsiTheme="minorHAnsi" w:cstheme="minorHAnsi"/>
        </w:rPr>
        <w:t xml:space="preserve">If the provider did report units of study for the previous calendar year, the risk factor value will depend on the provider’s completion rate percentage (as set out in the table in subsection 8(1)). </w:t>
      </w:r>
    </w:p>
    <w:p w14:paraId="74A9C36D" w14:textId="7877C9EC" w:rsidR="00145B81" w:rsidRPr="0004009B" w:rsidRDefault="16502639" w:rsidP="6F084190">
      <w:pPr>
        <w:pStyle w:val="ListParagraph"/>
        <w:keepNext/>
        <w:numPr>
          <w:ilvl w:val="0"/>
          <w:numId w:val="1"/>
        </w:numPr>
        <w:spacing w:before="360" w:after="160" w:line="259" w:lineRule="auto"/>
        <w:rPr>
          <w:rFonts w:asciiTheme="minorHAnsi" w:hAnsiTheme="minorHAnsi"/>
        </w:rPr>
      </w:pPr>
      <w:r w:rsidRPr="6F084190">
        <w:rPr>
          <w:rFonts w:asciiTheme="minorHAnsi" w:hAnsiTheme="minorHAnsi"/>
        </w:rPr>
        <w:t xml:space="preserve">The table in subsection 8(1) provides that the risk factor value for a leviable provider is 0.0 if </w:t>
      </w:r>
      <w:r w:rsidR="2F92B092" w:rsidRPr="6F084190">
        <w:rPr>
          <w:rFonts w:asciiTheme="minorHAnsi" w:hAnsiTheme="minorHAnsi"/>
        </w:rPr>
        <w:t>its</w:t>
      </w:r>
      <w:r w:rsidRPr="6F084190">
        <w:rPr>
          <w:rFonts w:asciiTheme="minorHAnsi" w:hAnsiTheme="minorHAnsi"/>
        </w:rPr>
        <w:t xml:space="preserve"> completion rate percentage (as determined under subsection 8(2)) is 85% or more</w:t>
      </w:r>
      <w:r w:rsidR="4A6793F8" w:rsidRPr="6F084190">
        <w:rPr>
          <w:rFonts w:asciiTheme="minorHAnsi" w:hAnsiTheme="minorHAnsi"/>
        </w:rPr>
        <w:t>;</w:t>
      </w:r>
      <w:r w:rsidRPr="6F084190">
        <w:rPr>
          <w:rFonts w:asciiTheme="minorHAnsi" w:hAnsiTheme="minorHAnsi"/>
        </w:rPr>
        <w:t xml:space="preserve"> 1.0 if </w:t>
      </w:r>
      <w:r w:rsidR="2F92B092" w:rsidRPr="6F084190">
        <w:rPr>
          <w:rFonts w:asciiTheme="minorHAnsi" w:hAnsiTheme="minorHAnsi"/>
        </w:rPr>
        <w:t>its</w:t>
      </w:r>
      <w:r w:rsidRPr="6F084190">
        <w:rPr>
          <w:rFonts w:asciiTheme="minorHAnsi" w:hAnsiTheme="minorHAnsi"/>
        </w:rPr>
        <w:t xml:space="preserve"> completion rate percentage is 60% or more but less than 85%</w:t>
      </w:r>
      <w:r w:rsidR="4495C3BD" w:rsidRPr="6F084190">
        <w:rPr>
          <w:rFonts w:asciiTheme="minorHAnsi" w:hAnsiTheme="minorHAnsi"/>
        </w:rPr>
        <w:t>;</w:t>
      </w:r>
      <w:r w:rsidRPr="6F084190">
        <w:rPr>
          <w:rFonts w:asciiTheme="minorHAnsi" w:hAnsiTheme="minorHAnsi"/>
        </w:rPr>
        <w:t xml:space="preserve"> 2.5 if </w:t>
      </w:r>
      <w:r w:rsidR="2F92B092" w:rsidRPr="6F084190">
        <w:rPr>
          <w:rFonts w:asciiTheme="minorHAnsi" w:hAnsiTheme="minorHAnsi"/>
        </w:rPr>
        <w:t>its</w:t>
      </w:r>
      <w:r w:rsidRPr="6F084190">
        <w:rPr>
          <w:rFonts w:asciiTheme="minorHAnsi" w:hAnsiTheme="minorHAnsi"/>
        </w:rPr>
        <w:t xml:space="preserve"> completion rate percentage is 35% or more but less than 60%</w:t>
      </w:r>
      <w:r w:rsidR="4A6793F8" w:rsidRPr="6F084190">
        <w:rPr>
          <w:rFonts w:asciiTheme="minorHAnsi" w:hAnsiTheme="minorHAnsi"/>
        </w:rPr>
        <w:t>;</w:t>
      </w:r>
      <w:r w:rsidRPr="6F084190">
        <w:rPr>
          <w:rFonts w:asciiTheme="minorHAnsi" w:hAnsiTheme="minorHAnsi"/>
        </w:rPr>
        <w:t xml:space="preserve"> and 3.5 if </w:t>
      </w:r>
      <w:r w:rsidR="2F92B092" w:rsidRPr="6F084190">
        <w:rPr>
          <w:rFonts w:asciiTheme="minorHAnsi" w:hAnsiTheme="minorHAnsi"/>
        </w:rPr>
        <w:t>its</w:t>
      </w:r>
      <w:r w:rsidRPr="6F084190">
        <w:rPr>
          <w:rFonts w:asciiTheme="minorHAnsi" w:hAnsiTheme="minorHAnsi"/>
        </w:rPr>
        <w:t xml:space="preserve"> completion rate percentage is 0% or more but less than 35%. </w:t>
      </w:r>
      <w:r w:rsidR="2F92B092" w:rsidRPr="6F084190">
        <w:rPr>
          <w:rFonts w:asciiTheme="minorHAnsi" w:hAnsiTheme="minorHAnsi"/>
        </w:rPr>
        <w:t xml:space="preserve">The risk factor values for leviable providers have </w:t>
      </w:r>
      <w:r w:rsidR="60D27F5A" w:rsidRPr="6F084190">
        <w:rPr>
          <w:rFonts w:asciiTheme="minorHAnsi" w:hAnsiTheme="minorHAnsi"/>
        </w:rPr>
        <w:t xml:space="preserve">remained the same </w:t>
      </w:r>
      <w:r w:rsidR="40FF3312" w:rsidRPr="6F084190">
        <w:rPr>
          <w:rFonts w:asciiTheme="minorHAnsi" w:hAnsiTheme="minorHAnsi"/>
        </w:rPr>
        <w:t>from</w:t>
      </w:r>
      <w:r w:rsidR="2F92B092" w:rsidRPr="6F084190">
        <w:rPr>
          <w:rFonts w:asciiTheme="minorHAnsi" w:hAnsiTheme="minorHAnsi"/>
        </w:rPr>
        <w:t xml:space="preserve"> 202</w:t>
      </w:r>
      <w:r w:rsidR="00FC28E1">
        <w:rPr>
          <w:rFonts w:asciiTheme="minorHAnsi" w:hAnsiTheme="minorHAnsi"/>
        </w:rPr>
        <w:t>4</w:t>
      </w:r>
      <w:r w:rsidR="00482750">
        <w:rPr>
          <w:rFonts w:asciiTheme="minorHAnsi" w:hAnsiTheme="minorHAnsi"/>
        </w:rPr>
        <w:t>,</w:t>
      </w:r>
      <w:r w:rsidR="2CEBD266" w:rsidRPr="6F084190">
        <w:rPr>
          <w:rFonts w:asciiTheme="minorHAnsi" w:hAnsiTheme="minorHAnsi"/>
        </w:rPr>
        <w:t xml:space="preserve"> which</w:t>
      </w:r>
      <w:r w:rsidR="5DB907CD" w:rsidRPr="6F084190">
        <w:rPr>
          <w:rFonts w:asciiTheme="minorHAnsi" w:hAnsiTheme="minorHAnsi"/>
        </w:rPr>
        <w:t xml:space="preserve"> reflects the </w:t>
      </w:r>
      <w:r w:rsidR="327C5130" w:rsidRPr="6F084190">
        <w:rPr>
          <w:rFonts w:asciiTheme="minorHAnsi" w:hAnsiTheme="minorHAnsi"/>
        </w:rPr>
        <w:t>advice</w:t>
      </w:r>
      <w:r w:rsidR="5DB907CD" w:rsidRPr="6F084190">
        <w:rPr>
          <w:rFonts w:asciiTheme="minorHAnsi" w:hAnsiTheme="minorHAnsi"/>
        </w:rPr>
        <w:t xml:space="preserve"> of the Australian Government Actuary</w:t>
      </w:r>
      <w:r w:rsidR="114CFAFC" w:rsidRPr="6F084190">
        <w:rPr>
          <w:rFonts w:asciiTheme="minorHAnsi" w:hAnsiTheme="minorHAnsi"/>
        </w:rPr>
        <w:t xml:space="preserve"> and the TPS Advisory Board</w:t>
      </w:r>
      <w:r w:rsidR="5DB907CD" w:rsidRPr="6F084190">
        <w:rPr>
          <w:rFonts w:asciiTheme="minorHAnsi" w:hAnsiTheme="minorHAnsi"/>
        </w:rPr>
        <w:t xml:space="preserve">. </w:t>
      </w:r>
    </w:p>
    <w:p w14:paraId="7318F81E" w14:textId="268A4FAF" w:rsidR="00707F4E" w:rsidRDefault="00707F4E" w:rsidP="00145B81">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Subsection 8(2) provides a formula for calculating a leviable provider’s completion rate percentage</w:t>
      </w:r>
      <w:r w:rsidR="00AE535A">
        <w:rPr>
          <w:rFonts w:asciiTheme="minorHAnsi" w:hAnsiTheme="minorHAnsi" w:cstheme="minorHAnsi"/>
        </w:rPr>
        <w:t>, which is relevant for determining the completion rate risk factor</w:t>
      </w:r>
      <w:r w:rsidR="00482750">
        <w:rPr>
          <w:rFonts w:asciiTheme="minorHAnsi" w:hAnsiTheme="minorHAnsi" w:cstheme="minorHAnsi"/>
        </w:rPr>
        <w:t xml:space="preserve"> value</w:t>
      </w:r>
      <w:r w:rsidR="00AE535A">
        <w:rPr>
          <w:rFonts w:asciiTheme="minorHAnsi" w:hAnsiTheme="minorHAnsi" w:cstheme="minorHAnsi"/>
        </w:rPr>
        <w:t xml:space="preserve"> for a leviable provider. The leviable provider’s completion rate percentage will be calculated by reference to data reported by the provider in </w:t>
      </w:r>
      <w:r w:rsidR="00166932">
        <w:rPr>
          <w:rFonts w:asciiTheme="minorHAnsi" w:hAnsiTheme="minorHAnsi" w:cstheme="minorHAnsi"/>
        </w:rPr>
        <w:t xml:space="preserve">its </w:t>
      </w:r>
      <w:r w:rsidR="0099148A">
        <w:rPr>
          <w:rFonts w:asciiTheme="minorHAnsi" w:hAnsiTheme="minorHAnsi" w:cstheme="minorHAnsi"/>
        </w:rPr>
        <w:t>PIR</w:t>
      </w:r>
      <w:r w:rsidR="00AE535A">
        <w:rPr>
          <w:rFonts w:asciiTheme="minorHAnsi" w:hAnsiTheme="minorHAnsi" w:cstheme="minorHAnsi"/>
        </w:rPr>
        <w:t xml:space="preserve"> information (as defined in section 4 of the Instrument). </w:t>
      </w:r>
      <w:r w:rsidR="00350777">
        <w:rPr>
          <w:rFonts w:asciiTheme="minorHAnsi" w:hAnsiTheme="minorHAnsi" w:cstheme="minorHAnsi"/>
        </w:rPr>
        <w:t xml:space="preserve">The number of withdrawn students has been removed from the denominator of the completion rate calculation (and from the corresponding definitions) </w:t>
      </w:r>
      <w:proofErr w:type="gramStart"/>
      <w:r w:rsidR="00350777">
        <w:rPr>
          <w:rFonts w:asciiTheme="minorHAnsi" w:hAnsiTheme="minorHAnsi" w:cstheme="minorHAnsi"/>
        </w:rPr>
        <w:t>on the basis of</w:t>
      </w:r>
      <w:proofErr w:type="gramEnd"/>
      <w:r w:rsidR="00350777">
        <w:rPr>
          <w:rFonts w:asciiTheme="minorHAnsi" w:hAnsiTheme="minorHAnsi" w:cstheme="minorHAnsi"/>
        </w:rPr>
        <w:t xml:space="preserve"> Board and AGA advice that it is reasonable to do so because </w:t>
      </w:r>
      <w:r w:rsidR="00350777" w:rsidRPr="0035501F">
        <w:rPr>
          <w:rFonts w:asciiTheme="minorHAnsi" w:hAnsiTheme="minorHAnsi" w:cstheme="minorHAnsi"/>
        </w:rPr>
        <w:t xml:space="preserve">withdrawn students no longer qualify for </w:t>
      </w:r>
      <w:r w:rsidR="0099148A">
        <w:rPr>
          <w:rFonts w:asciiTheme="minorHAnsi" w:hAnsiTheme="minorHAnsi" w:cstheme="minorHAnsi"/>
        </w:rPr>
        <w:t>tuition protection</w:t>
      </w:r>
      <w:r w:rsidR="00350777" w:rsidRPr="0035501F">
        <w:rPr>
          <w:rFonts w:asciiTheme="minorHAnsi" w:hAnsiTheme="minorHAnsi" w:cstheme="minorHAnsi"/>
        </w:rPr>
        <w:t xml:space="preserve"> assistance</w:t>
      </w:r>
      <w:r w:rsidR="00350777">
        <w:rPr>
          <w:rFonts w:asciiTheme="minorHAnsi" w:hAnsiTheme="minorHAnsi" w:cstheme="minorHAnsi"/>
        </w:rPr>
        <w:t>.</w:t>
      </w:r>
    </w:p>
    <w:p w14:paraId="61F2C110" w14:textId="48673C93" w:rsidR="00AE535A" w:rsidRDefault="00AE535A" w:rsidP="00AE535A">
      <w:pPr>
        <w:keepNext/>
        <w:spacing w:before="360" w:after="160" w:line="259" w:lineRule="auto"/>
        <w:rPr>
          <w:rFonts w:asciiTheme="minorHAnsi" w:hAnsiTheme="minorHAnsi" w:cstheme="minorHAnsi"/>
        </w:rPr>
      </w:pPr>
      <w:r>
        <w:rPr>
          <w:rFonts w:asciiTheme="minorHAnsi" w:hAnsiTheme="minorHAnsi" w:cstheme="minorHAnsi"/>
          <w:b/>
          <w:bCs/>
          <w:u w:val="single"/>
        </w:rPr>
        <w:t xml:space="preserve">Section 9: Risk factor – non-compliance history and registration renewal </w:t>
      </w:r>
    </w:p>
    <w:p w14:paraId="24C5718B" w14:textId="0EAFB05E" w:rsidR="00AE535A" w:rsidRDefault="00AE535A" w:rsidP="00AE535A">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Section 9 of the Instrument provides the method of calculating the non-compliance history and registration renewal risk factor value for the provider, for the purposes of step 4 of the method statement in subsection 11(2) of the Act.</w:t>
      </w:r>
      <w:r w:rsidR="008355E0" w:rsidRPr="008355E0">
        <w:t xml:space="preserve"> </w:t>
      </w:r>
      <w:r w:rsidR="008355E0" w:rsidRPr="008355E0">
        <w:rPr>
          <w:rFonts w:asciiTheme="minorHAnsi" w:hAnsiTheme="minorHAnsi" w:cstheme="minorHAnsi"/>
        </w:rPr>
        <w:t xml:space="preserve">The purpose of the non-compliance history and registration renewal risk factor is to assess the risk of a provider based on their history of non-compliance related to the late payment of </w:t>
      </w:r>
      <w:r w:rsidR="008355E0" w:rsidRPr="008355E0">
        <w:rPr>
          <w:rFonts w:asciiTheme="minorHAnsi" w:hAnsiTheme="minorHAnsi" w:cstheme="minorHAnsi"/>
        </w:rPr>
        <w:lastRenderedPageBreak/>
        <w:t>other charges and payments; and the renewal of their registration as a registered higher education provider under the TEQSA Act.</w:t>
      </w:r>
    </w:p>
    <w:p w14:paraId="3236E612" w14:textId="73C91CDA" w:rsidR="00BE6FA9" w:rsidRDefault="00BE6FA9" w:rsidP="00BE6FA9">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Subsection 9(1) provides that the risk factor value for the non-compliance and registration renewal risk factor for a leviable provider is</w:t>
      </w:r>
      <w:r w:rsidR="00FE4541">
        <w:rPr>
          <w:rFonts w:asciiTheme="minorHAnsi" w:hAnsiTheme="minorHAnsi" w:cstheme="minorHAnsi"/>
        </w:rPr>
        <w:t xml:space="preserve"> as set out in the table in subsection 9(1). The table provides that the risk factor value for the non-compliance and registration renewal risk factor for a leviable provider is</w:t>
      </w:r>
      <w:r>
        <w:rPr>
          <w:rFonts w:asciiTheme="minorHAnsi" w:hAnsiTheme="minorHAnsi" w:cstheme="minorHAnsi"/>
        </w:rPr>
        <w:t xml:space="preserve">: </w:t>
      </w:r>
    </w:p>
    <w:p w14:paraId="6C0B5FC1" w14:textId="51C1D7C9" w:rsidR="00BE6FA9" w:rsidRDefault="00FE4541" w:rsidP="00BE6FA9">
      <w:pPr>
        <w:pStyle w:val="ListParagraph"/>
        <w:keepNext/>
        <w:numPr>
          <w:ilvl w:val="3"/>
          <w:numId w:val="1"/>
        </w:numPr>
        <w:spacing w:before="360" w:after="160" w:line="259" w:lineRule="auto"/>
        <w:ind w:left="1777"/>
        <w:rPr>
          <w:rFonts w:asciiTheme="minorHAnsi" w:hAnsiTheme="minorHAnsi" w:cstheme="minorHAnsi"/>
        </w:rPr>
      </w:pPr>
      <w:r>
        <w:rPr>
          <w:rFonts w:asciiTheme="minorHAnsi" w:hAnsiTheme="minorHAnsi" w:cstheme="minorHAnsi"/>
        </w:rPr>
        <w:t>2.0 if the leviable provider has a weighted late payment measure of 30 days or more (as worked out under subsection 9(3)</w:t>
      </w:r>
      <w:proofErr w:type="gramStart"/>
      <w:r w:rsidR="005E2885">
        <w:rPr>
          <w:rFonts w:asciiTheme="minorHAnsi" w:hAnsiTheme="minorHAnsi" w:cstheme="minorHAnsi"/>
        </w:rPr>
        <w:t>)</w:t>
      </w:r>
      <w:r w:rsidR="00111B16">
        <w:rPr>
          <w:rFonts w:asciiTheme="minorHAnsi" w:hAnsiTheme="minorHAnsi" w:cstheme="minorHAnsi"/>
        </w:rPr>
        <w:t>;</w:t>
      </w:r>
      <w:proofErr w:type="gramEnd"/>
    </w:p>
    <w:p w14:paraId="168A3CA0" w14:textId="2A07EF4D" w:rsidR="00FE4541" w:rsidRDefault="00FE4541" w:rsidP="00BE6FA9">
      <w:pPr>
        <w:pStyle w:val="ListParagraph"/>
        <w:keepNext/>
        <w:numPr>
          <w:ilvl w:val="3"/>
          <w:numId w:val="1"/>
        </w:numPr>
        <w:spacing w:before="360" w:after="160" w:line="259" w:lineRule="auto"/>
        <w:ind w:left="1777"/>
        <w:rPr>
          <w:rFonts w:asciiTheme="minorHAnsi" w:hAnsiTheme="minorHAnsi" w:cstheme="minorHAnsi"/>
        </w:rPr>
      </w:pPr>
      <w:r>
        <w:rPr>
          <w:rFonts w:asciiTheme="minorHAnsi" w:hAnsiTheme="minorHAnsi" w:cstheme="minorHAnsi"/>
        </w:rPr>
        <w:t xml:space="preserve">0.9 if the leviable provider has a weighted late payment measure of 15 days or more </w:t>
      </w:r>
      <w:r w:rsidR="00D64140">
        <w:rPr>
          <w:rFonts w:asciiTheme="minorHAnsi" w:hAnsiTheme="minorHAnsi" w:cstheme="minorHAnsi"/>
        </w:rPr>
        <w:t>but</w:t>
      </w:r>
      <w:r>
        <w:rPr>
          <w:rFonts w:asciiTheme="minorHAnsi" w:hAnsiTheme="minorHAnsi" w:cstheme="minorHAnsi"/>
        </w:rPr>
        <w:t xml:space="preserve"> less than 30 </w:t>
      </w:r>
      <w:proofErr w:type="gramStart"/>
      <w:r>
        <w:rPr>
          <w:rFonts w:asciiTheme="minorHAnsi" w:hAnsiTheme="minorHAnsi" w:cstheme="minorHAnsi"/>
        </w:rPr>
        <w:t>days</w:t>
      </w:r>
      <w:r w:rsidR="006A2C14">
        <w:rPr>
          <w:rFonts w:asciiTheme="minorHAnsi" w:hAnsiTheme="minorHAnsi" w:cstheme="minorHAnsi"/>
        </w:rPr>
        <w:t>;</w:t>
      </w:r>
      <w:proofErr w:type="gramEnd"/>
      <w:r>
        <w:rPr>
          <w:rFonts w:asciiTheme="minorHAnsi" w:hAnsiTheme="minorHAnsi" w:cstheme="minorHAnsi"/>
        </w:rPr>
        <w:t xml:space="preserve"> </w:t>
      </w:r>
    </w:p>
    <w:p w14:paraId="4C99BC9B" w14:textId="563D6133" w:rsidR="00FE4541" w:rsidRDefault="00FE4541" w:rsidP="00BE6FA9">
      <w:pPr>
        <w:pStyle w:val="ListParagraph"/>
        <w:keepNext/>
        <w:numPr>
          <w:ilvl w:val="3"/>
          <w:numId w:val="1"/>
        </w:numPr>
        <w:spacing w:before="360" w:after="160" w:line="259" w:lineRule="auto"/>
        <w:ind w:left="1777"/>
        <w:rPr>
          <w:rFonts w:asciiTheme="minorHAnsi" w:hAnsiTheme="minorHAnsi" w:cstheme="minorHAnsi"/>
        </w:rPr>
      </w:pPr>
      <w:r>
        <w:rPr>
          <w:rFonts w:asciiTheme="minorHAnsi" w:hAnsiTheme="minorHAnsi" w:cstheme="minorHAnsi"/>
        </w:rPr>
        <w:t xml:space="preserve">0.7 if the leviable provider has a weighted late payment measure of 1 day or more but less than 15 </w:t>
      </w:r>
      <w:proofErr w:type="gramStart"/>
      <w:r>
        <w:rPr>
          <w:rFonts w:asciiTheme="minorHAnsi" w:hAnsiTheme="minorHAnsi" w:cstheme="minorHAnsi"/>
        </w:rPr>
        <w:t>days</w:t>
      </w:r>
      <w:r w:rsidR="006A2C14">
        <w:rPr>
          <w:rFonts w:asciiTheme="minorHAnsi" w:hAnsiTheme="minorHAnsi" w:cstheme="minorHAnsi"/>
        </w:rPr>
        <w:t>;</w:t>
      </w:r>
      <w:proofErr w:type="gramEnd"/>
      <w:r>
        <w:rPr>
          <w:rFonts w:asciiTheme="minorHAnsi" w:hAnsiTheme="minorHAnsi" w:cstheme="minorHAnsi"/>
        </w:rPr>
        <w:t xml:space="preserve"> </w:t>
      </w:r>
    </w:p>
    <w:p w14:paraId="691359A8" w14:textId="4483FD1F" w:rsidR="00FE4541" w:rsidRPr="001853C2" w:rsidRDefault="00FE4541" w:rsidP="00D64140">
      <w:pPr>
        <w:pStyle w:val="ListParagraph"/>
        <w:keepNext/>
        <w:numPr>
          <w:ilvl w:val="3"/>
          <w:numId w:val="1"/>
        </w:numPr>
        <w:spacing w:before="360" w:after="160" w:line="259" w:lineRule="auto"/>
        <w:ind w:left="1777"/>
        <w:rPr>
          <w:rFonts w:asciiTheme="minorHAnsi" w:hAnsiTheme="minorHAnsi" w:cstheme="minorHAnsi"/>
        </w:rPr>
      </w:pPr>
      <w:r>
        <w:rPr>
          <w:rFonts w:asciiTheme="minorHAnsi" w:hAnsiTheme="minorHAnsi" w:cstheme="minorHAnsi"/>
        </w:rPr>
        <w:t>1.0 if the leviable provider applied under section 35 of the TEQSA Act to renew the provider’s registration and</w:t>
      </w:r>
      <w:r w:rsidR="008E5E27">
        <w:rPr>
          <w:rFonts w:asciiTheme="minorHAnsi" w:hAnsiTheme="minorHAnsi" w:cstheme="minorHAnsi"/>
        </w:rPr>
        <w:t>, due to risk management reasons,</w:t>
      </w:r>
      <w:r>
        <w:rPr>
          <w:rFonts w:asciiTheme="minorHAnsi" w:hAnsiTheme="minorHAnsi" w:cstheme="minorHAnsi"/>
        </w:rPr>
        <w:t xml:space="preserve"> the period for which the registration was renewed is less than the maximum period specified in subsection 36(4) of the TEQSA Act</w:t>
      </w:r>
      <w:r w:rsidR="006A2C14">
        <w:rPr>
          <w:rFonts w:asciiTheme="minorHAnsi" w:hAnsiTheme="minorHAnsi" w:cstheme="minorHAnsi"/>
        </w:rPr>
        <w:t>;</w:t>
      </w:r>
      <w:r w:rsidR="006169DF">
        <w:rPr>
          <w:rFonts w:asciiTheme="minorHAnsi" w:hAnsiTheme="minorHAnsi" w:cstheme="minorHAnsi"/>
        </w:rPr>
        <w:t xml:space="preserve"> or</w:t>
      </w:r>
      <w:r w:rsidR="00D64140">
        <w:rPr>
          <w:rFonts w:asciiTheme="minorHAnsi" w:hAnsiTheme="minorHAnsi" w:cstheme="minorHAnsi"/>
        </w:rPr>
        <w:t xml:space="preserve"> </w:t>
      </w:r>
    </w:p>
    <w:p w14:paraId="593595AD" w14:textId="3398E448" w:rsidR="00FE4541" w:rsidRDefault="00FE4541" w:rsidP="00BE6FA9">
      <w:pPr>
        <w:pStyle w:val="ListParagraph"/>
        <w:keepNext/>
        <w:numPr>
          <w:ilvl w:val="3"/>
          <w:numId w:val="1"/>
        </w:numPr>
        <w:spacing w:before="360" w:after="160" w:line="259" w:lineRule="auto"/>
        <w:ind w:left="1777"/>
        <w:rPr>
          <w:rFonts w:asciiTheme="minorHAnsi" w:hAnsiTheme="minorHAnsi" w:cstheme="minorHAnsi"/>
        </w:rPr>
      </w:pPr>
      <w:r>
        <w:rPr>
          <w:rFonts w:asciiTheme="minorHAnsi" w:hAnsiTheme="minorHAnsi" w:cstheme="minorHAnsi"/>
        </w:rPr>
        <w:t>0.0 if the leviable provider applied under section 35 of the TEQSA Act to renew the provider’s registration and was renewed for the maximum period specified in subsection 36(4) of the TEQSA Act</w:t>
      </w:r>
      <w:r w:rsidR="0054420F">
        <w:rPr>
          <w:rFonts w:asciiTheme="minorHAnsi" w:hAnsiTheme="minorHAnsi" w:cstheme="minorHAnsi"/>
        </w:rPr>
        <w:t xml:space="preserve"> or the </w:t>
      </w:r>
      <w:r w:rsidR="008B3522">
        <w:rPr>
          <w:rFonts w:asciiTheme="minorHAnsi" w:hAnsiTheme="minorHAnsi" w:cstheme="minorHAnsi"/>
        </w:rPr>
        <w:t>leviable provider</w:t>
      </w:r>
      <w:r w:rsidR="003B43D4">
        <w:rPr>
          <w:rFonts w:asciiTheme="minorHAnsi" w:hAnsiTheme="minorHAnsi" w:cstheme="minorHAnsi"/>
        </w:rPr>
        <w:t xml:space="preserve"> has a weighted late payment measure of less than 1 day.</w:t>
      </w:r>
    </w:p>
    <w:p w14:paraId="681E03BF" w14:textId="603ECEAA" w:rsidR="00FE4541" w:rsidRDefault="00FE4541" w:rsidP="004729F0">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Subsection 9(2) provides that</w:t>
      </w:r>
      <w:r w:rsidR="006169DF">
        <w:rPr>
          <w:rFonts w:asciiTheme="minorHAnsi" w:hAnsiTheme="minorHAnsi" w:cstheme="minorHAnsi"/>
        </w:rPr>
        <w:t>,</w:t>
      </w:r>
      <w:r>
        <w:rPr>
          <w:rFonts w:asciiTheme="minorHAnsi" w:hAnsiTheme="minorHAnsi" w:cstheme="minorHAnsi"/>
        </w:rPr>
        <w:t xml:space="preserve"> where more than one item in the table in subsection (1) applies, the risk factor value for the non-compliance history and registration renewal risk factor is the sum of the applicable risk factor values. </w:t>
      </w:r>
    </w:p>
    <w:p w14:paraId="7376A483" w14:textId="02B889E6" w:rsidR="00FE4541" w:rsidRDefault="00FE4541" w:rsidP="004729F0">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 9(3) provides the method for determining a leviable provider’s weighted late payment measure, which is relevant for determining the non-compliance and registration renewal risk factor </w:t>
      </w:r>
      <w:r w:rsidR="00482750">
        <w:rPr>
          <w:rFonts w:asciiTheme="minorHAnsi" w:hAnsiTheme="minorHAnsi" w:cstheme="minorHAnsi"/>
        </w:rPr>
        <w:t xml:space="preserve">value </w:t>
      </w:r>
      <w:r>
        <w:rPr>
          <w:rFonts w:asciiTheme="minorHAnsi" w:hAnsiTheme="minorHAnsi" w:cstheme="minorHAnsi"/>
        </w:rPr>
        <w:t xml:space="preserve">for a leviable provider. </w:t>
      </w:r>
    </w:p>
    <w:p w14:paraId="6C001EFF" w14:textId="559FCB69" w:rsidR="008355E0" w:rsidRDefault="008355E0" w:rsidP="008355E0">
      <w:pPr>
        <w:spacing w:before="360" w:after="160" w:line="259" w:lineRule="auto"/>
        <w:rPr>
          <w:rFonts w:asciiTheme="minorHAnsi" w:hAnsiTheme="minorHAnsi" w:cstheme="minorHAnsi"/>
          <w:b/>
          <w:bCs/>
          <w:u w:val="single"/>
        </w:rPr>
      </w:pPr>
      <w:r>
        <w:rPr>
          <w:rFonts w:asciiTheme="minorHAnsi" w:hAnsiTheme="minorHAnsi" w:cstheme="minorHAnsi"/>
          <w:b/>
          <w:bCs/>
        </w:rPr>
        <w:t>PART 3 – SPECIAL TUITION PROTECTION COMPONENT</w:t>
      </w:r>
    </w:p>
    <w:p w14:paraId="5BB21DF6" w14:textId="1CA0F326" w:rsidR="008355E0" w:rsidRPr="000C310A" w:rsidRDefault="008355E0" w:rsidP="008355E0">
      <w:pPr>
        <w:pStyle w:val="Heading3"/>
        <w:spacing w:before="240"/>
        <w:rPr>
          <w:b/>
          <w:bCs/>
        </w:rPr>
      </w:pPr>
      <w:r w:rsidRPr="008C5CE9">
        <w:rPr>
          <w:b/>
          <w:bCs/>
        </w:rPr>
        <w:t xml:space="preserve">Section </w:t>
      </w:r>
      <w:r>
        <w:rPr>
          <w:b/>
          <w:bCs/>
        </w:rPr>
        <w:t>10</w:t>
      </w:r>
      <w:r w:rsidRPr="008C5CE9">
        <w:rPr>
          <w:b/>
          <w:bCs/>
        </w:rPr>
        <w:t xml:space="preserve">: </w:t>
      </w:r>
      <w:r>
        <w:rPr>
          <w:b/>
          <w:bCs/>
        </w:rPr>
        <w:t xml:space="preserve">Special tuition protection component </w:t>
      </w:r>
    </w:p>
    <w:p w14:paraId="6CAEC313" w14:textId="393920D8" w:rsidR="008355E0" w:rsidRDefault="008355E0" w:rsidP="004729F0">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Section 12 of the Act deals with the special tuition protection component of the levy, and provides that a leviable provider’s (other than leviable providers that are new providers for the year) special tuition protection component is the amount equal to the total amount of assistance paid to the provider under sections 96-1 and 110-1 of the </w:t>
      </w:r>
      <w:r>
        <w:rPr>
          <w:rFonts w:asciiTheme="minorHAnsi" w:hAnsiTheme="minorHAnsi" w:cstheme="minorHAnsi"/>
          <w:i/>
          <w:iCs/>
        </w:rPr>
        <w:t xml:space="preserve">Higher Education Support Act 2003 </w:t>
      </w:r>
      <w:r>
        <w:rPr>
          <w:rFonts w:asciiTheme="minorHAnsi" w:hAnsiTheme="minorHAnsi" w:cstheme="minorHAnsi"/>
        </w:rPr>
        <w:t>in the previous year, multiplied by the</w:t>
      </w:r>
      <w:r w:rsidR="005131FD">
        <w:rPr>
          <w:rFonts w:asciiTheme="minorHAnsi" w:hAnsiTheme="minorHAnsi" w:cstheme="minorHAnsi"/>
        </w:rPr>
        <w:t xml:space="preserve"> </w:t>
      </w:r>
      <w:r>
        <w:rPr>
          <w:rFonts w:asciiTheme="minorHAnsi" w:hAnsiTheme="minorHAnsi" w:cstheme="minorHAnsi"/>
        </w:rPr>
        <w:lastRenderedPageBreak/>
        <w:t xml:space="preserve">percentage determined in the Instrument for the purposes of subsection 12(2) of the Act. </w:t>
      </w:r>
    </w:p>
    <w:p w14:paraId="5B3453FC" w14:textId="2781F838" w:rsidR="008355E0" w:rsidRDefault="008355E0" w:rsidP="004729F0">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Section 10 </w:t>
      </w:r>
      <w:r w:rsidR="0072334A">
        <w:rPr>
          <w:rFonts w:asciiTheme="minorHAnsi" w:hAnsiTheme="minorHAnsi" w:cstheme="minorHAnsi"/>
        </w:rPr>
        <w:t xml:space="preserve">specifies </w:t>
      </w:r>
      <w:r>
        <w:rPr>
          <w:rFonts w:asciiTheme="minorHAnsi" w:hAnsiTheme="minorHAnsi" w:cstheme="minorHAnsi"/>
        </w:rPr>
        <w:t>that the percentage for the purposes of subsection 12(2) of the Act is 0.</w:t>
      </w:r>
      <w:r w:rsidR="0052086E">
        <w:rPr>
          <w:rFonts w:asciiTheme="minorHAnsi" w:hAnsiTheme="minorHAnsi" w:cstheme="minorHAnsi"/>
        </w:rPr>
        <w:t>10</w:t>
      </w:r>
      <w:r>
        <w:rPr>
          <w:rFonts w:asciiTheme="minorHAnsi" w:hAnsiTheme="minorHAnsi" w:cstheme="minorHAnsi"/>
        </w:rPr>
        <w:t>%.</w:t>
      </w:r>
    </w:p>
    <w:p w14:paraId="4B4024A8" w14:textId="77777777" w:rsidR="00C127E9" w:rsidRDefault="00C127E9" w:rsidP="00C127E9">
      <w:pPr>
        <w:keepNext/>
        <w:spacing w:before="360" w:after="160" w:line="259" w:lineRule="auto"/>
        <w:rPr>
          <w:rFonts w:asciiTheme="minorHAnsi" w:hAnsiTheme="minorHAnsi" w:cstheme="minorHAnsi"/>
          <w:b/>
          <w:bCs/>
          <w:u w:val="single"/>
        </w:rPr>
      </w:pPr>
      <w:r>
        <w:rPr>
          <w:rFonts w:asciiTheme="minorHAnsi" w:hAnsiTheme="minorHAnsi" w:cstheme="minorHAnsi"/>
          <w:b/>
          <w:bCs/>
        </w:rPr>
        <w:t xml:space="preserve">SCHEDULE 1 – REPEALS </w:t>
      </w:r>
    </w:p>
    <w:p w14:paraId="76CB1014" w14:textId="6BD6BCB1" w:rsidR="00C127E9" w:rsidRPr="000C310A" w:rsidRDefault="00C127E9" w:rsidP="00C127E9">
      <w:pPr>
        <w:pStyle w:val="Heading3"/>
        <w:spacing w:before="240"/>
        <w:rPr>
          <w:b/>
          <w:bCs/>
        </w:rPr>
      </w:pPr>
      <w:r>
        <w:rPr>
          <w:b/>
          <w:bCs/>
        </w:rPr>
        <w:t>Item 1</w:t>
      </w:r>
    </w:p>
    <w:p w14:paraId="6734C14E" w14:textId="3A3F6762" w:rsidR="00C127E9" w:rsidRPr="004C3861" w:rsidRDefault="00C127E9" w:rsidP="004729F0">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Item 1 repeal</w:t>
      </w:r>
      <w:r w:rsidR="00D701C2">
        <w:rPr>
          <w:rFonts w:asciiTheme="minorHAnsi" w:hAnsiTheme="minorHAnsi" w:cstheme="minorHAnsi"/>
        </w:rPr>
        <w:t>s</w:t>
      </w:r>
      <w:r>
        <w:rPr>
          <w:rFonts w:asciiTheme="minorHAnsi" w:hAnsiTheme="minorHAnsi" w:cstheme="minorHAnsi"/>
        </w:rPr>
        <w:t xml:space="preserve"> </w:t>
      </w:r>
      <w:r>
        <w:rPr>
          <w:rFonts w:asciiTheme="minorHAnsi" w:hAnsiTheme="minorHAnsi" w:cstheme="minorHAnsi"/>
          <w:iCs/>
        </w:rPr>
        <w:t xml:space="preserve">the </w:t>
      </w:r>
      <w:r w:rsidR="00214E73" w:rsidRPr="004729F0">
        <w:rPr>
          <w:rFonts w:asciiTheme="minorHAnsi" w:hAnsiTheme="minorHAnsi" w:cstheme="minorHAnsi"/>
          <w:iCs/>
        </w:rPr>
        <w:t>F</w:t>
      </w:r>
      <w:r w:rsidR="00994D20" w:rsidRPr="004729F0">
        <w:rPr>
          <w:rFonts w:asciiTheme="minorHAnsi" w:hAnsiTheme="minorHAnsi" w:cstheme="minorHAnsi"/>
          <w:iCs/>
        </w:rPr>
        <w:t xml:space="preserve">ormer </w:t>
      </w:r>
      <w:r w:rsidR="00214E73">
        <w:rPr>
          <w:rFonts w:asciiTheme="minorHAnsi" w:hAnsiTheme="minorHAnsi" w:cstheme="minorHAnsi"/>
          <w:iCs/>
        </w:rPr>
        <w:t>I</w:t>
      </w:r>
      <w:r w:rsidR="00994D20" w:rsidRPr="004729F0">
        <w:rPr>
          <w:rFonts w:asciiTheme="minorHAnsi" w:hAnsiTheme="minorHAnsi" w:cstheme="minorHAnsi"/>
          <w:iCs/>
        </w:rPr>
        <w:t>nstrument</w:t>
      </w:r>
      <w:r w:rsidR="000B6B65" w:rsidRPr="001853C2">
        <w:rPr>
          <w:rFonts w:asciiTheme="minorHAnsi" w:hAnsiTheme="minorHAnsi" w:cstheme="minorHAnsi"/>
          <w:iCs/>
        </w:rPr>
        <w:t>,</w:t>
      </w:r>
      <w:r>
        <w:rPr>
          <w:rFonts w:asciiTheme="minorHAnsi" w:hAnsiTheme="minorHAnsi" w:cstheme="minorHAnsi"/>
          <w:i/>
        </w:rPr>
        <w:t xml:space="preserve"> </w:t>
      </w:r>
      <w:r>
        <w:rPr>
          <w:rFonts w:asciiTheme="minorHAnsi" w:hAnsiTheme="minorHAnsi" w:cstheme="minorHAnsi"/>
          <w:iCs/>
        </w:rPr>
        <w:t xml:space="preserve">from 1 August </w:t>
      </w:r>
      <w:r w:rsidR="00D701C2">
        <w:rPr>
          <w:rFonts w:asciiTheme="minorHAnsi" w:hAnsiTheme="minorHAnsi" w:cstheme="minorHAnsi"/>
          <w:iCs/>
        </w:rPr>
        <w:t>202</w:t>
      </w:r>
      <w:r w:rsidR="007F4D77">
        <w:rPr>
          <w:rFonts w:asciiTheme="minorHAnsi" w:hAnsiTheme="minorHAnsi" w:cstheme="minorHAnsi"/>
          <w:iCs/>
        </w:rPr>
        <w:t>5</w:t>
      </w:r>
      <w:r>
        <w:rPr>
          <w:rFonts w:asciiTheme="minorHAnsi" w:hAnsiTheme="minorHAnsi" w:cstheme="minorHAnsi"/>
          <w:iCs/>
        </w:rPr>
        <w:t xml:space="preserve">. </w:t>
      </w:r>
    </w:p>
    <w:p w14:paraId="33810B1D" w14:textId="77777777" w:rsidR="008355E0" w:rsidRPr="008355E0" w:rsidRDefault="008355E0" w:rsidP="008355E0">
      <w:pPr>
        <w:keepNext/>
        <w:spacing w:before="360" w:after="160" w:line="259" w:lineRule="auto"/>
        <w:rPr>
          <w:rFonts w:asciiTheme="minorHAnsi" w:hAnsiTheme="minorHAnsi" w:cstheme="minorHAnsi"/>
        </w:rPr>
      </w:pPr>
    </w:p>
    <w:sectPr w:rsidR="008355E0" w:rsidRPr="008355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6F22" w14:textId="77777777" w:rsidR="006B1E06" w:rsidRDefault="006B1E06" w:rsidP="00783FAB">
      <w:pPr>
        <w:spacing w:after="0" w:line="240" w:lineRule="auto"/>
      </w:pPr>
      <w:r>
        <w:separator/>
      </w:r>
    </w:p>
  </w:endnote>
  <w:endnote w:type="continuationSeparator" w:id="0">
    <w:p w14:paraId="76339B1F" w14:textId="77777777" w:rsidR="006B1E06" w:rsidRDefault="006B1E06" w:rsidP="00783FAB">
      <w:pPr>
        <w:spacing w:after="0" w:line="240" w:lineRule="auto"/>
      </w:pPr>
      <w:r>
        <w:continuationSeparator/>
      </w:r>
    </w:p>
  </w:endnote>
  <w:endnote w:type="continuationNotice" w:id="1">
    <w:p w14:paraId="19B7850D" w14:textId="77777777" w:rsidR="006B1E06" w:rsidRDefault="006B1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FC35" w14:textId="77777777" w:rsidR="006B1E06" w:rsidRDefault="006B1E06" w:rsidP="00783FAB">
      <w:pPr>
        <w:spacing w:after="0" w:line="240" w:lineRule="auto"/>
      </w:pPr>
      <w:r>
        <w:separator/>
      </w:r>
    </w:p>
  </w:footnote>
  <w:footnote w:type="continuationSeparator" w:id="0">
    <w:p w14:paraId="4BE1B571" w14:textId="77777777" w:rsidR="006B1E06" w:rsidRDefault="006B1E06" w:rsidP="00783FAB">
      <w:pPr>
        <w:spacing w:after="0" w:line="240" w:lineRule="auto"/>
      </w:pPr>
      <w:r>
        <w:continuationSeparator/>
      </w:r>
    </w:p>
  </w:footnote>
  <w:footnote w:type="continuationNotice" w:id="1">
    <w:p w14:paraId="254EC18F" w14:textId="77777777" w:rsidR="006B1E06" w:rsidRDefault="006B1E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C9B"/>
    <w:multiLevelType w:val="hybridMultilevel"/>
    <w:tmpl w:val="3DDC9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36B01"/>
    <w:multiLevelType w:val="hybridMultilevel"/>
    <w:tmpl w:val="A98E3D8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E3DBC"/>
    <w:multiLevelType w:val="hybridMultilevel"/>
    <w:tmpl w:val="DC00907C"/>
    <w:lvl w:ilvl="0" w:tplc="FFFFFFFF">
      <w:start w:val="1"/>
      <w:numFmt w:val="decimal"/>
      <w:suff w:val="space"/>
      <w:lvlText w:val="%1."/>
      <w:lvlJc w:val="left"/>
      <w:pPr>
        <w:ind w:left="720" w:hanging="360"/>
      </w:pPr>
      <w:rPr>
        <w:rFonts w:hint="default"/>
        <w:i w:val="0"/>
        <w:color w:val="auto"/>
      </w:rPr>
    </w:lvl>
    <w:lvl w:ilvl="1" w:tplc="FFFFFFFF">
      <w:start w:val="1"/>
      <w:numFmt w:val="bullet"/>
      <w:lvlText w:val=""/>
      <w:lvlJc w:val="left"/>
      <w:pPr>
        <w:ind w:left="720" w:hanging="360"/>
      </w:pPr>
      <w:rPr>
        <w:rFonts w:ascii="Symbol" w:hAnsi="Symbol" w:hint="default"/>
      </w:rPr>
    </w:lvl>
    <w:lvl w:ilvl="2" w:tplc="FFFFFFFF">
      <w:start w:val="21"/>
      <w:numFmt w:val="decimal"/>
      <w:lvlText w:val="%3."/>
      <w:lvlJc w:val="left"/>
      <w:pPr>
        <w:ind w:left="720" w:hanging="360"/>
      </w:pPr>
      <w:rPr>
        <w:rFont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5D45C7"/>
    <w:multiLevelType w:val="hybridMultilevel"/>
    <w:tmpl w:val="34AE67DA"/>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670DC8"/>
    <w:multiLevelType w:val="hybridMultilevel"/>
    <w:tmpl w:val="DC00907C"/>
    <w:lvl w:ilvl="0" w:tplc="B156C2D2">
      <w:start w:val="1"/>
      <w:numFmt w:val="decimal"/>
      <w:suff w:val="space"/>
      <w:lvlText w:val="%1."/>
      <w:lvlJc w:val="left"/>
      <w:pPr>
        <w:ind w:left="720" w:hanging="360"/>
      </w:pPr>
      <w:rPr>
        <w:rFonts w:hint="default"/>
        <w:i w:val="0"/>
        <w:color w:val="auto"/>
      </w:rPr>
    </w:lvl>
    <w:lvl w:ilvl="1" w:tplc="0C090001">
      <w:start w:val="1"/>
      <w:numFmt w:val="bullet"/>
      <w:lvlText w:val=""/>
      <w:lvlJc w:val="left"/>
      <w:pPr>
        <w:ind w:left="720" w:hanging="360"/>
      </w:pPr>
      <w:rPr>
        <w:rFonts w:ascii="Symbol" w:hAnsi="Symbol" w:hint="default"/>
      </w:rPr>
    </w:lvl>
    <w:lvl w:ilvl="2" w:tplc="CCBA853A">
      <w:start w:val="21"/>
      <w:numFmt w:val="decimal"/>
      <w:lvlText w:val="%3."/>
      <w:lvlJc w:val="left"/>
      <w:pPr>
        <w:ind w:left="720" w:hanging="360"/>
      </w:pPr>
      <w:rPr>
        <w:rFonts w:hint="default"/>
      </w:rPr>
    </w:lvl>
    <w:lvl w:ilvl="3" w:tplc="0C090003">
      <w:start w:val="1"/>
      <w:numFmt w:val="bullet"/>
      <w:lvlText w:val="o"/>
      <w:lvlJc w:val="left"/>
      <w:pPr>
        <w:ind w:left="2880" w:hanging="360"/>
      </w:pPr>
      <w:rPr>
        <w:rFonts w:ascii="Courier New" w:hAnsi="Courier New" w:cs="Courier New" w:hint="default"/>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447628B"/>
    <w:multiLevelType w:val="hybridMultilevel"/>
    <w:tmpl w:val="442016B8"/>
    <w:lvl w:ilvl="0" w:tplc="CCBA853A">
      <w:start w:val="2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346A8F"/>
    <w:multiLevelType w:val="hybridMultilevel"/>
    <w:tmpl w:val="77322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9A7975"/>
    <w:multiLevelType w:val="hybridMultilevel"/>
    <w:tmpl w:val="BEC62178"/>
    <w:lvl w:ilvl="0" w:tplc="FFFFFFFF">
      <w:start w:val="2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213177"/>
    <w:multiLevelType w:val="hybridMultilevel"/>
    <w:tmpl w:val="61CEA98C"/>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5E2988"/>
    <w:multiLevelType w:val="hybridMultilevel"/>
    <w:tmpl w:val="BC1C216C"/>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9F5BFE"/>
    <w:multiLevelType w:val="hybridMultilevel"/>
    <w:tmpl w:val="E6608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1734367">
    <w:abstractNumId w:val="4"/>
  </w:num>
  <w:num w:numId="2" w16cid:durableId="459298183">
    <w:abstractNumId w:val="5"/>
  </w:num>
  <w:num w:numId="3" w16cid:durableId="1384137855">
    <w:abstractNumId w:val="6"/>
  </w:num>
  <w:num w:numId="4" w16cid:durableId="1209608718">
    <w:abstractNumId w:val="1"/>
  </w:num>
  <w:num w:numId="5" w16cid:durableId="1298534925">
    <w:abstractNumId w:val="10"/>
  </w:num>
  <w:num w:numId="6" w16cid:durableId="783691329">
    <w:abstractNumId w:val="3"/>
  </w:num>
  <w:num w:numId="7" w16cid:durableId="94831575">
    <w:abstractNumId w:val="11"/>
  </w:num>
  <w:num w:numId="8" w16cid:durableId="1542522200">
    <w:abstractNumId w:val="7"/>
  </w:num>
  <w:num w:numId="9" w16cid:durableId="303968699">
    <w:abstractNumId w:val="2"/>
  </w:num>
  <w:num w:numId="10" w16cid:durableId="1303777788">
    <w:abstractNumId w:val="9"/>
  </w:num>
  <w:num w:numId="11" w16cid:durableId="749304349">
    <w:abstractNumId w:val="0"/>
  </w:num>
  <w:num w:numId="12" w16cid:durableId="776296163">
    <w:abstractNumId w:val="12"/>
  </w:num>
  <w:num w:numId="13" w16cid:durableId="162519278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4FD"/>
    <w:rsid w:val="000036EB"/>
    <w:rsid w:val="0000395C"/>
    <w:rsid w:val="00004024"/>
    <w:rsid w:val="00011E4D"/>
    <w:rsid w:val="000138CF"/>
    <w:rsid w:val="000140D5"/>
    <w:rsid w:val="000146FA"/>
    <w:rsid w:val="0001515F"/>
    <w:rsid w:val="0001554B"/>
    <w:rsid w:val="00016AFF"/>
    <w:rsid w:val="000171F5"/>
    <w:rsid w:val="00017F54"/>
    <w:rsid w:val="00022F0E"/>
    <w:rsid w:val="000305EA"/>
    <w:rsid w:val="00031E3C"/>
    <w:rsid w:val="00032CB3"/>
    <w:rsid w:val="00036FAE"/>
    <w:rsid w:val="00037E7C"/>
    <w:rsid w:val="0004009B"/>
    <w:rsid w:val="000415F0"/>
    <w:rsid w:val="000439F3"/>
    <w:rsid w:val="00044508"/>
    <w:rsid w:val="00046A63"/>
    <w:rsid w:val="00047668"/>
    <w:rsid w:val="00047A2A"/>
    <w:rsid w:val="00047B0C"/>
    <w:rsid w:val="0005020B"/>
    <w:rsid w:val="00050F0D"/>
    <w:rsid w:val="000520E5"/>
    <w:rsid w:val="00057815"/>
    <w:rsid w:val="00057A1E"/>
    <w:rsid w:val="000614A1"/>
    <w:rsid w:val="00061969"/>
    <w:rsid w:val="00062794"/>
    <w:rsid w:val="00063D5B"/>
    <w:rsid w:val="00064197"/>
    <w:rsid w:val="0006484E"/>
    <w:rsid w:val="000668B0"/>
    <w:rsid w:val="0007074D"/>
    <w:rsid w:val="00073A45"/>
    <w:rsid w:val="00074D13"/>
    <w:rsid w:val="00076A7C"/>
    <w:rsid w:val="00076E76"/>
    <w:rsid w:val="0008184F"/>
    <w:rsid w:val="00083F41"/>
    <w:rsid w:val="000846B7"/>
    <w:rsid w:val="00095531"/>
    <w:rsid w:val="000A2A28"/>
    <w:rsid w:val="000A2D3A"/>
    <w:rsid w:val="000A3124"/>
    <w:rsid w:val="000A35D6"/>
    <w:rsid w:val="000A50E0"/>
    <w:rsid w:val="000B1BE1"/>
    <w:rsid w:val="000B3914"/>
    <w:rsid w:val="000B5E70"/>
    <w:rsid w:val="000B6430"/>
    <w:rsid w:val="000B6B65"/>
    <w:rsid w:val="000B7BAD"/>
    <w:rsid w:val="000C1DE4"/>
    <w:rsid w:val="000C224C"/>
    <w:rsid w:val="000C310A"/>
    <w:rsid w:val="000C34FD"/>
    <w:rsid w:val="000C3FA3"/>
    <w:rsid w:val="000C4D6B"/>
    <w:rsid w:val="000C5F00"/>
    <w:rsid w:val="000D1472"/>
    <w:rsid w:val="000D5C8B"/>
    <w:rsid w:val="000D5E6D"/>
    <w:rsid w:val="000E0822"/>
    <w:rsid w:val="000E3516"/>
    <w:rsid w:val="000E4870"/>
    <w:rsid w:val="000E57DB"/>
    <w:rsid w:val="000E6FD6"/>
    <w:rsid w:val="000E7542"/>
    <w:rsid w:val="000F0B07"/>
    <w:rsid w:val="000F1811"/>
    <w:rsid w:val="000F37A8"/>
    <w:rsid w:val="000F4B7B"/>
    <w:rsid w:val="000F70D0"/>
    <w:rsid w:val="000F7A8C"/>
    <w:rsid w:val="0010142B"/>
    <w:rsid w:val="00103015"/>
    <w:rsid w:val="00103253"/>
    <w:rsid w:val="001042BA"/>
    <w:rsid w:val="00104C83"/>
    <w:rsid w:val="00106166"/>
    <w:rsid w:val="0011015F"/>
    <w:rsid w:val="00111B16"/>
    <w:rsid w:val="00114B18"/>
    <w:rsid w:val="00120A34"/>
    <w:rsid w:val="00122657"/>
    <w:rsid w:val="00122DFA"/>
    <w:rsid w:val="00123EA3"/>
    <w:rsid w:val="00124260"/>
    <w:rsid w:val="00125A8E"/>
    <w:rsid w:val="0012674B"/>
    <w:rsid w:val="00127CD8"/>
    <w:rsid w:val="001301AD"/>
    <w:rsid w:val="00131F46"/>
    <w:rsid w:val="0013347C"/>
    <w:rsid w:val="001334D9"/>
    <w:rsid w:val="001350D6"/>
    <w:rsid w:val="001377D9"/>
    <w:rsid w:val="00137ACD"/>
    <w:rsid w:val="00140692"/>
    <w:rsid w:val="00140DAD"/>
    <w:rsid w:val="00140E3D"/>
    <w:rsid w:val="0014135F"/>
    <w:rsid w:val="001417A8"/>
    <w:rsid w:val="001421FE"/>
    <w:rsid w:val="001437EA"/>
    <w:rsid w:val="001443E7"/>
    <w:rsid w:val="00144950"/>
    <w:rsid w:val="00144AEC"/>
    <w:rsid w:val="00145B81"/>
    <w:rsid w:val="00145BE1"/>
    <w:rsid w:val="0015276C"/>
    <w:rsid w:val="00152947"/>
    <w:rsid w:val="0015508C"/>
    <w:rsid w:val="00156162"/>
    <w:rsid w:val="00160153"/>
    <w:rsid w:val="00161A1F"/>
    <w:rsid w:val="00161E59"/>
    <w:rsid w:val="0016440F"/>
    <w:rsid w:val="001658B5"/>
    <w:rsid w:val="00166932"/>
    <w:rsid w:val="0017006A"/>
    <w:rsid w:val="00171552"/>
    <w:rsid w:val="00173A64"/>
    <w:rsid w:val="00173E0C"/>
    <w:rsid w:val="0018392E"/>
    <w:rsid w:val="001848BF"/>
    <w:rsid w:val="001853C2"/>
    <w:rsid w:val="00185491"/>
    <w:rsid w:val="00186967"/>
    <w:rsid w:val="00195030"/>
    <w:rsid w:val="00195F72"/>
    <w:rsid w:val="0019628F"/>
    <w:rsid w:val="00197C3F"/>
    <w:rsid w:val="001A2FE9"/>
    <w:rsid w:val="001A4389"/>
    <w:rsid w:val="001B27F3"/>
    <w:rsid w:val="001B3C7A"/>
    <w:rsid w:val="001B5C77"/>
    <w:rsid w:val="001B78D5"/>
    <w:rsid w:val="001C3E23"/>
    <w:rsid w:val="001C6B7E"/>
    <w:rsid w:val="001C6FB3"/>
    <w:rsid w:val="001C7820"/>
    <w:rsid w:val="001D00E3"/>
    <w:rsid w:val="001D0AF3"/>
    <w:rsid w:val="001D1216"/>
    <w:rsid w:val="001D1D8A"/>
    <w:rsid w:val="001D36EE"/>
    <w:rsid w:val="001D39AC"/>
    <w:rsid w:val="001E016A"/>
    <w:rsid w:val="001E07CE"/>
    <w:rsid w:val="001E1FB0"/>
    <w:rsid w:val="001E52EB"/>
    <w:rsid w:val="001E5A0B"/>
    <w:rsid w:val="001F127D"/>
    <w:rsid w:val="001F3626"/>
    <w:rsid w:val="001F4B37"/>
    <w:rsid w:val="001F4C46"/>
    <w:rsid w:val="001F7336"/>
    <w:rsid w:val="00200358"/>
    <w:rsid w:val="002005CD"/>
    <w:rsid w:val="00201F75"/>
    <w:rsid w:val="00202EC1"/>
    <w:rsid w:val="00204283"/>
    <w:rsid w:val="00204EEF"/>
    <w:rsid w:val="00205DBD"/>
    <w:rsid w:val="00207297"/>
    <w:rsid w:val="00207852"/>
    <w:rsid w:val="00210935"/>
    <w:rsid w:val="00212BE6"/>
    <w:rsid w:val="00212F85"/>
    <w:rsid w:val="0021337D"/>
    <w:rsid w:val="00214E73"/>
    <w:rsid w:val="00216A1C"/>
    <w:rsid w:val="002205D2"/>
    <w:rsid w:val="00223908"/>
    <w:rsid w:val="00223F82"/>
    <w:rsid w:val="00224C52"/>
    <w:rsid w:val="0022570C"/>
    <w:rsid w:val="00232304"/>
    <w:rsid w:val="00232B24"/>
    <w:rsid w:val="0023426E"/>
    <w:rsid w:val="002361F9"/>
    <w:rsid w:val="002378EE"/>
    <w:rsid w:val="002405C3"/>
    <w:rsid w:val="002445E3"/>
    <w:rsid w:val="00247EBF"/>
    <w:rsid w:val="002501C8"/>
    <w:rsid w:val="00251FB6"/>
    <w:rsid w:val="0025548C"/>
    <w:rsid w:val="00261499"/>
    <w:rsid w:val="00262F91"/>
    <w:rsid w:val="002636E7"/>
    <w:rsid w:val="00263D94"/>
    <w:rsid w:val="00264FB6"/>
    <w:rsid w:val="002672A4"/>
    <w:rsid w:val="002747E8"/>
    <w:rsid w:val="00274EEA"/>
    <w:rsid w:val="002759C4"/>
    <w:rsid w:val="0027686D"/>
    <w:rsid w:val="002808A9"/>
    <w:rsid w:val="002812E5"/>
    <w:rsid w:val="002824A8"/>
    <w:rsid w:val="002836C2"/>
    <w:rsid w:val="00284C9D"/>
    <w:rsid w:val="00285592"/>
    <w:rsid w:val="00292863"/>
    <w:rsid w:val="00294430"/>
    <w:rsid w:val="00296CA7"/>
    <w:rsid w:val="00296FAF"/>
    <w:rsid w:val="002975AE"/>
    <w:rsid w:val="00297EAB"/>
    <w:rsid w:val="002A15F1"/>
    <w:rsid w:val="002A3F89"/>
    <w:rsid w:val="002A4961"/>
    <w:rsid w:val="002A67BF"/>
    <w:rsid w:val="002B313C"/>
    <w:rsid w:val="002B59E5"/>
    <w:rsid w:val="002B5C28"/>
    <w:rsid w:val="002B6E45"/>
    <w:rsid w:val="002C1F84"/>
    <w:rsid w:val="002C40FB"/>
    <w:rsid w:val="002D0C69"/>
    <w:rsid w:val="002D1504"/>
    <w:rsid w:val="002D564A"/>
    <w:rsid w:val="002D6863"/>
    <w:rsid w:val="002D6F14"/>
    <w:rsid w:val="002D7665"/>
    <w:rsid w:val="002E12E6"/>
    <w:rsid w:val="002E4002"/>
    <w:rsid w:val="002F6432"/>
    <w:rsid w:val="002F76C6"/>
    <w:rsid w:val="003012F3"/>
    <w:rsid w:val="00302F91"/>
    <w:rsid w:val="00304A88"/>
    <w:rsid w:val="00304E64"/>
    <w:rsid w:val="00307358"/>
    <w:rsid w:val="0031070C"/>
    <w:rsid w:val="003108BE"/>
    <w:rsid w:val="003129B6"/>
    <w:rsid w:val="00313612"/>
    <w:rsid w:val="00316053"/>
    <w:rsid w:val="003170AC"/>
    <w:rsid w:val="0032263F"/>
    <w:rsid w:val="00326C24"/>
    <w:rsid w:val="0033070E"/>
    <w:rsid w:val="00331390"/>
    <w:rsid w:val="003324CE"/>
    <w:rsid w:val="00335E77"/>
    <w:rsid w:val="00343022"/>
    <w:rsid w:val="003440C7"/>
    <w:rsid w:val="00347536"/>
    <w:rsid w:val="00350777"/>
    <w:rsid w:val="00350779"/>
    <w:rsid w:val="00353D81"/>
    <w:rsid w:val="00354743"/>
    <w:rsid w:val="0035728A"/>
    <w:rsid w:val="00361025"/>
    <w:rsid w:val="00363D1A"/>
    <w:rsid w:val="00365D2C"/>
    <w:rsid w:val="00367C2D"/>
    <w:rsid w:val="0037028F"/>
    <w:rsid w:val="003719BF"/>
    <w:rsid w:val="003737D0"/>
    <w:rsid w:val="00375010"/>
    <w:rsid w:val="0037728A"/>
    <w:rsid w:val="00377427"/>
    <w:rsid w:val="00386B68"/>
    <w:rsid w:val="00386E17"/>
    <w:rsid w:val="0038758C"/>
    <w:rsid w:val="003913F1"/>
    <w:rsid w:val="00391549"/>
    <w:rsid w:val="0039210F"/>
    <w:rsid w:val="00393A61"/>
    <w:rsid w:val="00394454"/>
    <w:rsid w:val="00395655"/>
    <w:rsid w:val="003A0965"/>
    <w:rsid w:val="003A373E"/>
    <w:rsid w:val="003A3D0E"/>
    <w:rsid w:val="003A4424"/>
    <w:rsid w:val="003A530C"/>
    <w:rsid w:val="003A5841"/>
    <w:rsid w:val="003A5958"/>
    <w:rsid w:val="003A5A93"/>
    <w:rsid w:val="003A730A"/>
    <w:rsid w:val="003A7B17"/>
    <w:rsid w:val="003B1DFB"/>
    <w:rsid w:val="003B29B0"/>
    <w:rsid w:val="003B2DA8"/>
    <w:rsid w:val="003B3044"/>
    <w:rsid w:val="003B43D4"/>
    <w:rsid w:val="003B6329"/>
    <w:rsid w:val="003B6C2D"/>
    <w:rsid w:val="003C0D20"/>
    <w:rsid w:val="003C16A9"/>
    <w:rsid w:val="003C1D92"/>
    <w:rsid w:val="003C202D"/>
    <w:rsid w:val="003C3453"/>
    <w:rsid w:val="003C44E6"/>
    <w:rsid w:val="003D0952"/>
    <w:rsid w:val="003D2C06"/>
    <w:rsid w:val="003D2C2B"/>
    <w:rsid w:val="003D47C4"/>
    <w:rsid w:val="003D7CE2"/>
    <w:rsid w:val="003E1B97"/>
    <w:rsid w:val="003E1F5E"/>
    <w:rsid w:val="003E40E5"/>
    <w:rsid w:val="003E4413"/>
    <w:rsid w:val="003E511C"/>
    <w:rsid w:val="003E5B26"/>
    <w:rsid w:val="003F09F7"/>
    <w:rsid w:val="003F1AA1"/>
    <w:rsid w:val="003F24BC"/>
    <w:rsid w:val="003F4E02"/>
    <w:rsid w:val="003F5DEC"/>
    <w:rsid w:val="00402CC7"/>
    <w:rsid w:val="00402D70"/>
    <w:rsid w:val="00403ACE"/>
    <w:rsid w:val="00403CE4"/>
    <w:rsid w:val="004075A3"/>
    <w:rsid w:val="00410A3F"/>
    <w:rsid w:val="0041144F"/>
    <w:rsid w:val="004143B1"/>
    <w:rsid w:val="00414B74"/>
    <w:rsid w:val="00415A55"/>
    <w:rsid w:val="004228EE"/>
    <w:rsid w:val="00425A1E"/>
    <w:rsid w:val="00425FCB"/>
    <w:rsid w:val="00427EA0"/>
    <w:rsid w:val="00430F1B"/>
    <w:rsid w:val="00431174"/>
    <w:rsid w:val="004327E1"/>
    <w:rsid w:val="00434240"/>
    <w:rsid w:val="00434641"/>
    <w:rsid w:val="00434CDD"/>
    <w:rsid w:val="004355D0"/>
    <w:rsid w:val="004355E8"/>
    <w:rsid w:val="00436435"/>
    <w:rsid w:val="0043726D"/>
    <w:rsid w:val="00445460"/>
    <w:rsid w:val="00446B03"/>
    <w:rsid w:val="0044797F"/>
    <w:rsid w:val="00455C2A"/>
    <w:rsid w:val="004607E9"/>
    <w:rsid w:val="004623E1"/>
    <w:rsid w:val="004625E3"/>
    <w:rsid w:val="00463ADB"/>
    <w:rsid w:val="00465AC5"/>
    <w:rsid w:val="00466C18"/>
    <w:rsid w:val="004729F0"/>
    <w:rsid w:val="00472F61"/>
    <w:rsid w:val="00481CA6"/>
    <w:rsid w:val="00481DE1"/>
    <w:rsid w:val="00482750"/>
    <w:rsid w:val="00484DBC"/>
    <w:rsid w:val="00490BA0"/>
    <w:rsid w:val="00493FF7"/>
    <w:rsid w:val="00494834"/>
    <w:rsid w:val="0049486C"/>
    <w:rsid w:val="0049690E"/>
    <w:rsid w:val="004A2E96"/>
    <w:rsid w:val="004A2F70"/>
    <w:rsid w:val="004A409F"/>
    <w:rsid w:val="004A48D9"/>
    <w:rsid w:val="004A6B2D"/>
    <w:rsid w:val="004B176B"/>
    <w:rsid w:val="004B1BB4"/>
    <w:rsid w:val="004B1C97"/>
    <w:rsid w:val="004B2956"/>
    <w:rsid w:val="004B2C3F"/>
    <w:rsid w:val="004B3D3D"/>
    <w:rsid w:val="004B3D95"/>
    <w:rsid w:val="004B5A0B"/>
    <w:rsid w:val="004B61FB"/>
    <w:rsid w:val="004C3628"/>
    <w:rsid w:val="004C3856"/>
    <w:rsid w:val="004C4A0E"/>
    <w:rsid w:val="004C6E17"/>
    <w:rsid w:val="004D4BEF"/>
    <w:rsid w:val="004D50AE"/>
    <w:rsid w:val="004D5695"/>
    <w:rsid w:val="004D665B"/>
    <w:rsid w:val="004D7B86"/>
    <w:rsid w:val="004E028C"/>
    <w:rsid w:val="004E5155"/>
    <w:rsid w:val="004F41C9"/>
    <w:rsid w:val="004F53E6"/>
    <w:rsid w:val="004F54FF"/>
    <w:rsid w:val="004F6E86"/>
    <w:rsid w:val="00503218"/>
    <w:rsid w:val="00505440"/>
    <w:rsid w:val="00505873"/>
    <w:rsid w:val="00506F28"/>
    <w:rsid w:val="00510E42"/>
    <w:rsid w:val="00513007"/>
    <w:rsid w:val="005131FD"/>
    <w:rsid w:val="005146EC"/>
    <w:rsid w:val="00515BBE"/>
    <w:rsid w:val="005169CB"/>
    <w:rsid w:val="00517337"/>
    <w:rsid w:val="005173FC"/>
    <w:rsid w:val="00517DFB"/>
    <w:rsid w:val="0052086E"/>
    <w:rsid w:val="00523938"/>
    <w:rsid w:val="00524226"/>
    <w:rsid w:val="00527330"/>
    <w:rsid w:val="00530ABF"/>
    <w:rsid w:val="00531DEB"/>
    <w:rsid w:val="00535388"/>
    <w:rsid w:val="00536596"/>
    <w:rsid w:val="005366FF"/>
    <w:rsid w:val="0053719D"/>
    <w:rsid w:val="00537A32"/>
    <w:rsid w:val="005407AA"/>
    <w:rsid w:val="0054420F"/>
    <w:rsid w:val="0054602B"/>
    <w:rsid w:val="00546375"/>
    <w:rsid w:val="005465F2"/>
    <w:rsid w:val="005502E8"/>
    <w:rsid w:val="0055120C"/>
    <w:rsid w:val="0056099A"/>
    <w:rsid w:val="0056189F"/>
    <w:rsid w:val="005620CA"/>
    <w:rsid w:val="00571E44"/>
    <w:rsid w:val="00572401"/>
    <w:rsid w:val="005732E6"/>
    <w:rsid w:val="00574CA0"/>
    <w:rsid w:val="00576B6A"/>
    <w:rsid w:val="00577373"/>
    <w:rsid w:val="00577C30"/>
    <w:rsid w:val="005812FF"/>
    <w:rsid w:val="005819C8"/>
    <w:rsid w:val="0058422E"/>
    <w:rsid w:val="00584B84"/>
    <w:rsid w:val="00586A0A"/>
    <w:rsid w:val="005879DB"/>
    <w:rsid w:val="005905A0"/>
    <w:rsid w:val="00591EC0"/>
    <w:rsid w:val="00597535"/>
    <w:rsid w:val="005A3370"/>
    <w:rsid w:val="005A4F94"/>
    <w:rsid w:val="005A54B4"/>
    <w:rsid w:val="005A5BD9"/>
    <w:rsid w:val="005A6082"/>
    <w:rsid w:val="005A7050"/>
    <w:rsid w:val="005B3CBC"/>
    <w:rsid w:val="005B510A"/>
    <w:rsid w:val="005B754F"/>
    <w:rsid w:val="005C0740"/>
    <w:rsid w:val="005C18D0"/>
    <w:rsid w:val="005C265A"/>
    <w:rsid w:val="005C7853"/>
    <w:rsid w:val="005D7D42"/>
    <w:rsid w:val="005E05F9"/>
    <w:rsid w:val="005E2026"/>
    <w:rsid w:val="005E2885"/>
    <w:rsid w:val="005F224B"/>
    <w:rsid w:val="005F4914"/>
    <w:rsid w:val="005F5678"/>
    <w:rsid w:val="005F5DF6"/>
    <w:rsid w:val="005F5FA1"/>
    <w:rsid w:val="005F7273"/>
    <w:rsid w:val="005F7D42"/>
    <w:rsid w:val="0060088C"/>
    <w:rsid w:val="00604F05"/>
    <w:rsid w:val="00611D31"/>
    <w:rsid w:val="006137AA"/>
    <w:rsid w:val="00615744"/>
    <w:rsid w:val="00615C4C"/>
    <w:rsid w:val="006169DF"/>
    <w:rsid w:val="006202A1"/>
    <w:rsid w:val="006221D0"/>
    <w:rsid w:val="0062319E"/>
    <w:rsid w:val="0062410A"/>
    <w:rsid w:val="00625432"/>
    <w:rsid w:val="00626112"/>
    <w:rsid w:val="00626E42"/>
    <w:rsid w:val="0062740C"/>
    <w:rsid w:val="00627EDA"/>
    <w:rsid w:val="00630E58"/>
    <w:rsid w:val="00632364"/>
    <w:rsid w:val="006323A6"/>
    <w:rsid w:val="00634453"/>
    <w:rsid w:val="00636200"/>
    <w:rsid w:val="00643216"/>
    <w:rsid w:val="00644B57"/>
    <w:rsid w:val="00645DC7"/>
    <w:rsid w:val="0064724F"/>
    <w:rsid w:val="006507CB"/>
    <w:rsid w:val="0065085F"/>
    <w:rsid w:val="00651D68"/>
    <w:rsid w:val="00652D30"/>
    <w:rsid w:val="00656314"/>
    <w:rsid w:val="0066142F"/>
    <w:rsid w:val="00661BE8"/>
    <w:rsid w:val="00665A0E"/>
    <w:rsid w:val="00667B6F"/>
    <w:rsid w:val="00667F82"/>
    <w:rsid w:val="006700AA"/>
    <w:rsid w:val="00677A0D"/>
    <w:rsid w:val="00682860"/>
    <w:rsid w:val="00683087"/>
    <w:rsid w:val="00684802"/>
    <w:rsid w:val="00685653"/>
    <w:rsid w:val="00687A84"/>
    <w:rsid w:val="006930D1"/>
    <w:rsid w:val="006931AD"/>
    <w:rsid w:val="006940BB"/>
    <w:rsid w:val="00696CF0"/>
    <w:rsid w:val="00697001"/>
    <w:rsid w:val="00697239"/>
    <w:rsid w:val="00697315"/>
    <w:rsid w:val="0069735C"/>
    <w:rsid w:val="006A1788"/>
    <w:rsid w:val="006A2C14"/>
    <w:rsid w:val="006A57FD"/>
    <w:rsid w:val="006A666D"/>
    <w:rsid w:val="006B0E65"/>
    <w:rsid w:val="006B1E06"/>
    <w:rsid w:val="006B21D0"/>
    <w:rsid w:val="006B2D99"/>
    <w:rsid w:val="006B6B9A"/>
    <w:rsid w:val="006B6E38"/>
    <w:rsid w:val="006B6F29"/>
    <w:rsid w:val="006C11BE"/>
    <w:rsid w:val="006D2F9C"/>
    <w:rsid w:val="006D3958"/>
    <w:rsid w:val="006D58E2"/>
    <w:rsid w:val="006D7B6B"/>
    <w:rsid w:val="006E3838"/>
    <w:rsid w:val="006E3C40"/>
    <w:rsid w:val="006E7699"/>
    <w:rsid w:val="006F27AC"/>
    <w:rsid w:val="006F3E5C"/>
    <w:rsid w:val="006F5369"/>
    <w:rsid w:val="006F627D"/>
    <w:rsid w:val="00701CB8"/>
    <w:rsid w:val="00701E47"/>
    <w:rsid w:val="007071BE"/>
    <w:rsid w:val="00707E57"/>
    <w:rsid w:val="00707F49"/>
    <w:rsid w:val="00707F4E"/>
    <w:rsid w:val="007103B5"/>
    <w:rsid w:val="00711D53"/>
    <w:rsid w:val="0071293A"/>
    <w:rsid w:val="00720FC9"/>
    <w:rsid w:val="007213BB"/>
    <w:rsid w:val="0072334A"/>
    <w:rsid w:val="0072675F"/>
    <w:rsid w:val="0072758F"/>
    <w:rsid w:val="00727D1B"/>
    <w:rsid w:val="007314EF"/>
    <w:rsid w:val="0073763E"/>
    <w:rsid w:val="00737DC7"/>
    <w:rsid w:val="007452A0"/>
    <w:rsid w:val="00745FCA"/>
    <w:rsid w:val="00747943"/>
    <w:rsid w:val="00747B79"/>
    <w:rsid w:val="00752BD5"/>
    <w:rsid w:val="00753090"/>
    <w:rsid w:val="0075573F"/>
    <w:rsid w:val="00755E36"/>
    <w:rsid w:val="00756861"/>
    <w:rsid w:val="00756D99"/>
    <w:rsid w:val="00756F20"/>
    <w:rsid w:val="00760772"/>
    <w:rsid w:val="00760DDE"/>
    <w:rsid w:val="007620AE"/>
    <w:rsid w:val="00763A79"/>
    <w:rsid w:val="0077075D"/>
    <w:rsid w:val="00772715"/>
    <w:rsid w:val="00774144"/>
    <w:rsid w:val="0077536C"/>
    <w:rsid w:val="007804AD"/>
    <w:rsid w:val="00782538"/>
    <w:rsid w:val="007828DD"/>
    <w:rsid w:val="00783FAB"/>
    <w:rsid w:val="00785B13"/>
    <w:rsid w:val="00791AAC"/>
    <w:rsid w:val="00795969"/>
    <w:rsid w:val="007A2294"/>
    <w:rsid w:val="007A3936"/>
    <w:rsid w:val="007A3BF0"/>
    <w:rsid w:val="007A6AF0"/>
    <w:rsid w:val="007A7E7B"/>
    <w:rsid w:val="007B44CD"/>
    <w:rsid w:val="007B4836"/>
    <w:rsid w:val="007C5020"/>
    <w:rsid w:val="007D12B2"/>
    <w:rsid w:val="007D1F16"/>
    <w:rsid w:val="007D3286"/>
    <w:rsid w:val="007D385E"/>
    <w:rsid w:val="007D4E08"/>
    <w:rsid w:val="007D70C1"/>
    <w:rsid w:val="007E00A8"/>
    <w:rsid w:val="007E16D6"/>
    <w:rsid w:val="007E1EAE"/>
    <w:rsid w:val="007E2197"/>
    <w:rsid w:val="007E3446"/>
    <w:rsid w:val="007E3447"/>
    <w:rsid w:val="007E36E5"/>
    <w:rsid w:val="007E52AA"/>
    <w:rsid w:val="007E6EC6"/>
    <w:rsid w:val="007F214E"/>
    <w:rsid w:val="007F4D77"/>
    <w:rsid w:val="007F5181"/>
    <w:rsid w:val="007F563E"/>
    <w:rsid w:val="007F6D5C"/>
    <w:rsid w:val="007F72FE"/>
    <w:rsid w:val="008015F9"/>
    <w:rsid w:val="00803447"/>
    <w:rsid w:val="008035CF"/>
    <w:rsid w:val="0080510C"/>
    <w:rsid w:val="0080584E"/>
    <w:rsid w:val="00805FEB"/>
    <w:rsid w:val="00807415"/>
    <w:rsid w:val="00811E34"/>
    <w:rsid w:val="00812C37"/>
    <w:rsid w:val="008134D5"/>
    <w:rsid w:val="008135B0"/>
    <w:rsid w:val="00813A38"/>
    <w:rsid w:val="008219DD"/>
    <w:rsid w:val="00823B66"/>
    <w:rsid w:val="00824A98"/>
    <w:rsid w:val="00825CD6"/>
    <w:rsid w:val="008271AD"/>
    <w:rsid w:val="008310AA"/>
    <w:rsid w:val="008316AD"/>
    <w:rsid w:val="0083306B"/>
    <w:rsid w:val="00834114"/>
    <w:rsid w:val="00834A72"/>
    <w:rsid w:val="008355E0"/>
    <w:rsid w:val="00842861"/>
    <w:rsid w:val="00843A0F"/>
    <w:rsid w:val="00844D23"/>
    <w:rsid w:val="008517D8"/>
    <w:rsid w:val="00855239"/>
    <w:rsid w:val="008560BD"/>
    <w:rsid w:val="00856BC4"/>
    <w:rsid w:val="008623AD"/>
    <w:rsid w:val="008625D5"/>
    <w:rsid w:val="008633DB"/>
    <w:rsid w:val="00863803"/>
    <w:rsid w:val="00864D9C"/>
    <w:rsid w:val="00867101"/>
    <w:rsid w:val="0087146E"/>
    <w:rsid w:val="00872436"/>
    <w:rsid w:val="0087372B"/>
    <w:rsid w:val="008755D8"/>
    <w:rsid w:val="00877A0A"/>
    <w:rsid w:val="00877C12"/>
    <w:rsid w:val="00880D86"/>
    <w:rsid w:val="00884039"/>
    <w:rsid w:val="0088497A"/>
    <w:rsid w:val="00887C10"/>
    <w:rsid w:val="00890979"/>
    <w:rsid w:val="008916DE"/>
    <w:rsid w:val="008921DA"/>
    <w:rsid w:val="00893693"/>
    <w:rsid w:val="008936ED"/>
    <w:rsid w:val="008950FE"/>
    <w:rsid w:val="008966CD"/>
    <w:rsid w:val="00897DA7"/>
    <w:rsid w:val="008A1095"/>
    <w:rsid w:val="008A1F97"/>
    <w:rsid w:val="008A6224"/>
    <w:rsid w:val="008B2AB2"/>
    <w:rsid w:val="008B3522"/>
    <w:rsid w:val="008B478B"/>
    <w:rsid w:val="008B61B7"/>
    <w:rsid w:val="008C2D31"/>
    <w:rsid w:val="008C48EF"/>
    <w:rsid w:val="008C4917"/>
    <w:rsid w:val="008C497B"/>
    <w:rsid w:val="008C5CE9"/>
    <w:rsid w:val="008C76FD"/>
    <w:rsid w:val="008D15C2"/>
    <w:rsid w:val="008D2A05"/>
    <w:rsid w:val="008D3E90"/>
    <w:rsid w:val="008D72EA"/>
    <w:rsid w:val="008D7625"/>
    <w:rsid w:val="008E1444"/>
    <w:rsid w:val="008E30D6"/>
    <w:rsid w:val="008E30D9"/>
    <w:rsid w:val="008E4A96"/>
    <w:rsid w:val="008E5E27"/>
    <w:rsid w:val="008E68D3"/>
    <w:rsid w:val="008E79A4"/>
    <w:rsid w:val="008E79DF"/>
    <w:rsid w:val="008F002D"/>
    <w:rsid w:val="008F43E8"/>
    <w:rsid w:val="00900FAC"/>
    <w:rsid w:val="00901CCF"/>
    <w:rsid w:val="00902A26"/>
    <w:rsid w:val="00903257"/>
    <w:rsid w:val="009048A2"/>
    <w:rsid w:val="00905C61"/>
    <w:rsid w:val="0090678F"/>
    <w:rsid w:val="00907D61"/>
    <w:rsid w:val="00910064"/>
    <w:rsid w:val="0091084D"/>
    <w:rsid w:val="00910CB8"/>
    <w:rsid w:val="009112A2"/>
    <w:rsid w:val="009114DC"/>
    <w:rsid w:val="00911D92"/>
    <w:rsid w:val="009121D3"/>
    <w:rsid w:val="00913B3A"/>
    <w:rsid w:val="00915BA0"/>
    <w:rsid w:val="009176F5"/>
    <w:rsid w:val="0092001A"/>
    <w:rsid w:val="00921A39"/>
    <w:rsid w:val="0092496E"/>
    <w:rsid w:val="00926295"/>
    <w:rsid w:val="00926CA5"/>
    <w:rsid w:val="00933AD6"/>
    <w:rsid w:val="00940EA4"/>
    <w:rsid w:val="009421AA"/>
    <w:rsid w:val="00942EA0"/>
    <w:rsid w:val="0094476A"/>
    <w:rsid w:val="00947710"/>
    <w:rsid w:val="0094774B"/>
    <w:rsid w:val="00947872"/>
    <w:rsid w:val="0095234F"/>
    <w:rsid w:val="00952C07"/>
    <w:rsid w:val="009535C2"/>
    <w:rsid w:val="009563CB"/>
    <w:rsid w:val="00956431"/>
    <w:rsid w:val="00957CC5"/>
    <w:rsid w:val="009674DC"/>
    <w:rsid w:val="00970AAB"/>
    <w:rsid w:val="00974504"/>
    <w:rsid w:val="00975823"/>
    <w:rsid w:val="00975A4A"/>
    <w:rsid w:val="00976413"/>
    <w:rsid w:val="009767B4"/>
    <w:rsid w:val="00977D37"/>
    <w:rsid w:val="009807AE"/>
    <w:rsid w:val="00990334"/>
    <w:rsid w:val="00991158"/>
    <w:rsid w:val="0099148A"/>
    <w:rsid w:val="0099199E"/>
    <w:rsid w:val="00992654"/>
    <w:rsid w:val="0099402F"/>
    <w:rsid w:val="00994D20"/>
    <w:rsid w:val="00994E86"/>
    <w:rsid w:val="00995C44"/>
    <w:rsid w:val="009A04A5"/>
    <w:rsid w:val="009A35A0"/>
    <w:rsid w:val="009A7CFA"/>
    <w:rsid w:val="009B0C51"/>
    <w:rsid w:val="009B2183"/>
    <w:rsid w:val="009B29AC"/>
    <w:rsid w:val="009B4B7F"/>
    <w:rsid w:val="009C0F35"/>
    <w:rsid w:val="009C10C1"/>
    <w:rsid w:val="009C4F55"/>
    <w:rsid w:val="009C5C97"/>
    <w:rsid w:val="009C5E5D"/>
    <w:rsid w:val="009C77AB"/>
    <w:rsid w:val="009D0999"/>
    <w:rsid w:val="009D1E92"/>
    <w:rsid w:val="009D23FB"/>
    <w:rsid w:val="009D5ED3"/>
    <w:rsid w:val="009D7562"/>
    <w:rsid w:val="009D7D67"/>
    <w:rsid w:val="009E0803"/>
    <w:rsid w:val="009E0F52"/>
    <w:rsid w:val="009E2E1E"/>
    <w:rsid w:val="009E350C"/>
    <w:rsid w:val="009E7C1C"/>
    <w:rsid w:val="009E7C75"/>
    <w:rsid w:val="009F13BF"/>
    <w:rsid w:val="009F1D34"/>
    <w:rsid w:val="009F4C47"/>
    <w:rsid w:val="009F528F"/>
    <w:rsid w:val="009F6AC9"/>
    <w:rsid w:val="009F6F9C"/>
    <w:rsid w:val="00A00FF8"/>
    <w:rsid w:val="00A03A52"/>
    <w:rsid w:val="00A06BB6"/>
    <w:rsid w:val="00A06EB6"/>
    <w:rsid w:val="00A105DA"/>
    <w:rsid w:val="00A20031"/>
    <w:rsid w:val="00A202D5"/>
    <w:rsid w:val="00A20B5F"/>
    <w:rsid w:val="00A21A4C"/>
    <w:rsid w:val="00A21EE2"/>
    <w:rsid w:val="00A23CDC"/>
    <w:rsid w:val="00A24596"/>
    <w:rsid w:val="00A24B24"/>
    <w:rsid w:val="00A25E6C"/>
    <w:rsid w:val="00A40E3D"/>
    <w:rsid w:val="00A40EA6"/>
    <w:rsid w:val="00A46B61"/>
    <w:rsid w:val="00A47C4E"/>
    <w:rsid w:val="00A52753"/>
    <w:rsid w:val="00A550E8"/>
    <w:rsid w:val="00A556D1"/>
    <w:rsid w:val="00A56008"/>
    <w:rsid w:val="00A56E8B"/>
    <w:rsid w:val="00A56F0D"/>
    <w:rsid w:val="00A63146"/>
    <w:rsid w:val="00A71133"/>
    <w:rsid w:val="00A71C96"/>
    <w:rsid w:val="00A7209C"/>
    <w:rsid w:val="00A74EE0"/>
    <w:rsid w:val="00A761C7"/>
    <w:rsid w:val="00A77D42"/>
    <w:rsid w:val="00A82E17"/>
    <w:rsid w:val="00A83981"/>
    <w:rsid w:val="00A85075"/>
    <w:rsid w:val="00A871B2"/>
    <w:rsid w:val="00A90245"/>
    <w:rsid w:val="00A90472"/>
    <w:rsid w:val="00A90649"/>
    <w:rsid w:val="00A906B2"/>
    <w:rsid w:val="00A9281B"/>
    <w:rsid w:val="00A93A40"/>
    <w:rsid w:val="00A93F1F"/>
    <w:rsid w:val="00A94E72"/>
    <w:rsid w:val="00AA12F7"/>
    <w:rsid w:val="00AA3173"/>
    <w:rsid w:val="00AA3A3E"/>
    <w:rsid w:val="00AB19B6"/>
    <w:rsid w:val="00AB6F61"/>
    <w:rsid w:val="00AB7AAE"/>
    <w:rsid w:val="00AC20E1"/>
    <w:rsid w:val="00AC6ABA"/>
    <w:rsid w:val="00AD1A42"/>
    <w:rsid w:val="00AD1C80"/>
    <w:rsid w:val="00AD2E24"/>
    <w:rsid w:val="00AD3413"/>
    <w:rsid w:val="00AD5627"/>
    <w:rsid w:val="00AD65C9"/>
    <w:rsid w:val="00AD6639"/>
    <w:rsid w:val="00AE3131"/>
    <w:rsid w:val="00AE438E"/>
    <w:rsid w:val="00AE4A25"/>
    <w:rsid w:val="00AE535A"/>
    <w:rsid w:val="00AE5CCB"/>
    <w:rsid w:val="00AE6F75"/>
    <w:rsid w:val="00AE7179"/>
    <w:rsid w:val="00AF0256"/>
    <w:rsid w:val="00AF431F"/>
    <w:rsid w:val="00AF5320"/>
    <w:rsid w:val="00AF58D0"/>
    <w:rsid w:val="00AF5D85"/>
    <w:rsid w:val="00AF6215"/>
    <w:rsid w:val="00AF6F6E"/>
    <w:rsid w:val="00B00A18"/>
    <w:rsid w:val="00B07284"/>
    <w:rsid w:val="00B11323"/>
    <w:rsid w:val="00B13A2F"/>
    <w:rsid w:val="00B145D2"/>
    <w:rsid w:val="00B14939"/>
    <w:rsid w:val="00B15187"/>
    <w:rsid w:val="00B178D3"/>
    <w:rsid w:val="00B22F73"/>
    <w:rsid w:val="00B2457A"/>
    <w:rsid w:val="00B339F8"/>
    <w:rsid w:val="00B343E2"/>
    <w:rsid w:val="00B4065C"/>
    <w:rsid w:val="00B43512"/>
    <w:rsid w:val="00B45DE6"/>
    <w:rsid w:val="00B4700B"/>
    <w:rsid w:val="00B52CD8"/>
    <w:rsid w:val="00B604EB"/>
    <w:rsid w:val="00B60EC9"/>
    <w:rsid w:val="00B6108C"/>
    <w:rsid w:val="00B63441"/>
    <w:rsid w:val="00B67F7B"/>
    <w:rsid w:val="00B71302"/>
    <w:rsid w:val="00B73932"/>
    <w:rsid w:val="00B739E2"/>
    <w:rsid w:val="00B801B2"/>
    <w:rsid w:val="00B8151D"/>
    <w:rsid w:val="00B819AA"/>
    <w:rsid w:val="00B81B19"/>
    <w:rsid w:val="00B95E77"/>
    <w:rsid w:val="00BA0B48"/>
    <w:rsid w:val="00BA1060"/>
    <w:rsid w:val="00BA18E6"/>
    <w:rsid w:val="00BA2601"/>
    <w:rsid w:val="00BA3B3A"/>
    <w:rsid w:val="00BA54AA"/>
    <w:rsid w:val="00BA62B8"/>
    <w:rsid w:val="00BA75EE"/>
    <w:rsid w:val="00BA7A46"/>
    <w:rsid w:val="00BB2109"/>
    <w:rsid w:val="00BB2C6B"/>
    <w:rsid w:val="00BB38D4"/>
    <w:rsid w:val="00BB4D85"/>
    <w:rsid w:val="00BB61E4"/>
    <w:rsid w:val="00BB631E"/>
    <w:rsid w:val="00BB71A8"/>
    <w:rsid w:val="00BC3C90"/>
    <w:rsid w:val="00BC4B6E"/>
    <w:rsid w:val="00BC4BD5"/>
    <w:rsid w:val="00BC50A3"/>
    <w:rsid w:val="00BD29BB"/>
    <w:rsid w:val="00BD41D4"/>
    <w:rsid w:val="00BD465A"/>
    <w:rsid w:val="00BD47A9"/>
    <w:rsid w:val="00BD5316"/>
    <w:rsid w:val="00BD5A86"/>
    <w:rsid w:val="00BD6AC2"/>
    <w:rsid w:val="00BD7EEA"/>
    <w:rsid w:val="00BE214C"/>
    <w:rsid w:val="00BE5401"/>
    <w:rsid w:val="00BE68F9"/>
    <w:rsid w:val="00BE6FA9"/>
    <w:rsid w:val="00BE7320"/>
    <w:rsid w:val="00BF2A9B"/>
    <w:rsid w:val="00BF3DAE"/>
    <w:rsid w:val="00BF5343"/>
    <w:rsid w:val="00BF57AE"/>
    <w:rsid w:val="00C014AF"/>
    <w:rsid w:val="00C02595"/>
    <w:rsid w:val="00C02BB4"/>
    <w:rsid w:val="00C1208E"/>
    <w:rsid w:val="00C12197"/>
    <w:rsid w:val="00C127E9"/>
    <w:rsid w:val="00C1330A"/>
    <w:rsid w:val="00C13C2B"/>
    <w:rsid w:val="00C145EB"/>
    <w:rsid w:val="00C16A5E"/>
    <w:rsid w:val="00C17698"/>
    <w:rsid w:val="00C22494"/>
    <w:rsid w:val="00C2416A"/>
    <w:rsid w:val="00C25E69"/>
    <w:rsid w:val="00C3060A"/>
    <w:rsid w:val="00C30E45"/>
    <w:rsid w:val="00C325A5"/>
    <w:rsid w:val="00C35AD4"/>
    <w:rsid w:val="00C36A15"/>
    <w:rsid w:val="00C3701B"/>
    <w:rsid w:val="00C37043"/>
    <w:rsid w:val="00C4300F"/>
    <w:rsid w:val="00C44292"/>
    <w:rsid w:val="00C45661"/>
    <w:rsid w:val="00C4607D"/>
    <w:rsid w:val="00C464AF"/>
    <w:rsid w:val="00C47B3C"/>
    <w:rsid w:val="00C5010C"/>
    <w:rsid w:val="00C54341"/>
    <w:rsid w:val="00C62BC1"/>
    <w:rsid w:val="00C64879"/>
    <w:rsid w:val="00C667D8"/>
    <w:rsid w:val="00C66953"/>
    <w:rsid w:val="00C70FAB"/>
    <w:rsid w:val="00C73133"/>
    <w:rsid w:val="00C731FA"/>
    <w:rsid w:val="00C75CB7"/>
    <w:rsid w:val="00C7617C"/>
    <w:rsid w:val="00C82C91"/>
    <w:rsid w:val="00C83FDA"/>
    <w:rsid w:val="00C846A2"/>
    <w:rsid w:val="00C90E38"/>
    <w:rsid w:val="00C90EFC"/>
    <w:rsid w:val="00C90FC4"/>
    <w:rsid w:val="00C93B97"/>
    <w:rsid w:val="00C954B7"/>
    <w:rsid w:val="00C9591A"/>
    <w:rsid w:val="00CA3254"/>
    <w:rsid w:val="00CA46AC"/>
    <w:rsid w:val="00CA4F71"/>
    <w:rsid w:val="00CA640D"/>
    <w:rsid w:val="00CA7362"/>
    <w:rsid w:val="00CB0D05"/>
    <w:rsid w:val="00CB13F4"/>
    <w:rsid w:val="00CB337B"/>
    <w:rsid w:val="00CB45D5"/>
    <w:rsid w:val="00CB73E1"/>
    <w:rsid w:val="00CB7A83"/>
    <w:rsid w:val="00CC15BA"/>
    <w:rsid w:val="00CC228B"/>
    <w:rsid w:val="00CC3AE0"/>
    <w:rsid w:val="00CC3C0B"/>
    <w:rsid w:val="00CC3CD3"/>
    <w:rsid w:val="00CC4501"/>
    <w:rsid w:val="00CC4C35"/>
    <w:rsid w:val="00CC4C6D"/>
    <w:rsid w:val="00CD20F8"/>
    <w:rsid w:val="00CD3705"/>
    <w:rsid w:val="00CD3DBA"/>
    <w:rsid w:val="00CD53B5"/>
    <w:rsid w:val="00CD6E72"/>
    <w:rsid w:val="00CE15A8"/>
    <w:rsid w:val="00CE1C5A"/>
    <w:rsid w:val="00CE1E1E"/>
    <w:rsid w:val="00CE3EA5"/>
    <w:rsid w:val="00CE47A4"/>
    <w:rsid w:val="00CE72A7"/>
    <w:rsid w:val="00CF0CF8"/>
    <w:rsid w:val="00CF1C96"/>
    <w:rsid w:val="00CF5A8C"/>
    <w:rsid w:val="00D010D3"/>
    <w:rsid w:val="00D05A8C"/>
    <w:rsid w:val="00D119DD"/>
    <w:rsid w:val="00D14A9D"/>
    <w:rsid w:val="00D17A67"/>
    <w:rsid w:val="00D17FC6"/>
    <w:rsid w:val="00D217D1"/>
    <w:rsid w:val="00D236C0"/>
    <w:rsid w:val="00D2517F"/>
    <w:rsid w:val="00D322BC"/>
    <w:rsid w:val="00D32FA8"/>
    <w:rsid w:val="00D3758C"/>
    <w:rsid w:val="00D46134"/>
    <w:rsid w:val="00D468A9"/>
    <w:rsid w:val="00D50946"/>
    <w:rsid w:val="00D51DBA"/>
    <w:rsid w:val="00D5387E"/>
    <w:rsid w:val="00D56A3B"/>
    <w:rsid w:val="00D6141C"/>
    <w:rsid w:val="00D61A73"/>
    <w:rsid w:val="00D63270"/>
    <w:rsid w:val="00D63CDD"/>
    <w:rsid w:val="00D64140"/>
    <w:rsid w:val="00D6472B"/>
    <w:rsid w:val="00D647F5"/>
    <w:rsid w:val="00D659C1"/>
    <w:rsid w:val="00D65F8C"/>
    <w:rsid w:val="00D66B65"/>
    <w:rsid w:val="00D67F1B"/>
    <w:rsid w:val="00D701C2"/>
    <w:rsid w:val="00D70EAE"/>
    <w:rsid w:val="00D723C2"/>
    <w:rsid w:val="00D73415"/>
    <w:rsid w:val="00D74B9B"/>
    <w:rsid w:val="00D773CB"/>
    <w:rsid w:val="00D808B0"/>
    <w:rsid w:val="00D8103E"/>
    <w:rsid w:val="00D818BA"/>
    <w:rsid w:val="00D83D46"/>
    <w:rsid w:val="00D842A2"/>
    <w:rsid w:val="00D84946"/>
    <w:rsid w:val="00D8767F"/>
    <w:rsid w:val="00D8790D"/>
    <w:rsid w:val="00D90173"/>
    <w:rsid w:val="00D93741"/>
    <w:rsid w:val="00D95099"/>
    <w:rsid w:val="00D96C27"/>
    <w:rsid w:val="00DA2ACA"/>
    <w:rsid w:val="00DA552F"/>
    <w:rsid w:val="00DB1C9E"/>
    <w:rsid w:val="00DB2434"/>
    <w:rsid w:val="00DB461B"/>
    <w:rsid w:val="00DB4D35"/>
    <w:rsid w:val="00DB6247"/>
    <w:rsid w:val="00DC3E8C"/>
    <w:rsid w:val="00DC4B5E"/>
    <w:rsid w:val="00DD1234"/>
    <w:rsid w:val="00DD3357"/>
    <w:rsid w:val="00DD3588"/>
    <w:rsid w:val="00DD408F"/>
    <w:rsid w:val="00DD4F30"/>
    <w:rsid w:val="00DD5F43"/>
    <w:rsid w:val="00DD651A"/>
    <w:rsid w:val="00DD6C4A"/>
    <w:rsid w:val="00DD6C7A"/>
    <w:rsid w:val="00DD7496"/>
    <w:rsid w:val="00DD7B03"/>
    <w:rsid w:val="00DE02BB"/>
    <w:rsid w:val="00DE1334"/>
    <w:rsid w:val="00DE1864"/>
    <w:rsid w:val="00DE49E1"/>
    <w:rsid w:val="00DE4D61"/>
    <w:rsid w:val="00DE5F92"/>
    <w:rsid w:val="00DE715E"/>
    <w:rsid w:val="00DE7C37"/>
    <w:rsid w:val="00DF13F3"/>
    <w:rsid w:val="00DF28B2"/>
    <w:rsid w:val="00DF3683"/>
    <w:rsid w:val="00DF3B18"/>
    <w:rsid w:val="00DF46B2"/>
    <w:rsid w:val="00DF61B7"/>
    <w:rsid w:val="00E01C32"/>
    <w:rsid w:val="00E01F85"/>
    <w:rsid w:val="00E07B6C"/>
    <w:rsid w:val="00E1257E"/>
    <w:rsid w:val="00E14AD6"/>
    <w:rsid w:val="00E154DA"/>
    <w:rsid w:val="00E155C7"/>
    <w:rsid w:val="00E22341"/>
    <w:rsid w:val="00E24231"/>
    <w:rsid w:val="00E24E50"/>
    <w:rsid w:val="00E251EE"/>
    <w:rsid w:val="00E278C4"/>
    <w:rsid w:val="00E302D5"/>
    <w:rsid w:val="00E3315D"/>
    <w:rsid w:val="00E33927"/>
    <w:rsid w:val="00E33FED"/>
    <w:rsid w:val="00E36B43"/>
    <w:rsid w:val="00E43542"/>
    <w:rsid w:val="00E4378F"/>
    <w:rsid w:val="00E52D55"/>
    <w:rsid w:val="00E53D50"/>
    <w:rsid w:val="00E5541C"/>
    <w:rsid w:val="00E554CE"/>
    <w:rsid w:val="00E55D04"/>
    <w:rsid w:val="00E60A2A"/>
    <w:rsid w:val="00E62C51"/>
    <w:rsid w:val="00E631F9"/>
    <w:rsid w:val="00E662FD"/>
    <w:rsid w:val="00E6745E"/>
    <w:rsid w:val="00E72FD0"/>
    <w:rsid w:val="00E757D0"/>
    <w:rsid w:val="00E767BE"/>
    <w:rsid w:val="00E7687A"/>
    <w:rsid w:val="00E76C11"/>
    <w:rsid w:val="00E8671C"/>
    <w:rsid w:val="00E90298"/>
    <w:rsid w:val="00E916A2"/>
    <w:rsid w:val="00E91930"/>
    <w:rsid w:val="00E92ADE"/>
    <w:rsid w:val="00E9692B"/>
    <w:rsid w:val="00E97274"/>
    <w:rsid w:val="00E97788"/>
    <w:rsid w:val="00EA6D4F"/>
    <w:rsid w:val="00EA716A"/>
    <w:rsid w:val="00EA7EA8"/>
    <w:rsid w:val="00EB408A"/>
    <w:rsid w:val="00EB48A8"/>
    <w:rsid w:val="00EB4C14"/>
    <w:rsid w:val="00EB5D3B"/>
    <w:rsid w:val="00EC0A15"/>
    <w:rsid w:val="00EC1B4F"/>
    <w:rsid w:val="00EC6528"/>
    <w:rsid w:val="00ED092A"/>
    <w:rsid w:val="00ED0E6C"/>
    <w:rsid w:val="00EE0901"/>
    <w:rsid w:val="00EE412B"/>
    <w:rsid w:val="00EE4F3B"/>
    <w:rsid w:val="00EF0D46"/>
    <w:rsid w:val="00EF1C0E"/>
    <w:rsid w:val="00EF4ACB"/>
    <w:rsid w:val="00EF6138"/>
    <w:rsid w:val="00EF6286"/>
    <w:rsid w:val="00EF6438"/>
    <w:rsid w:val="00F00674"/>
    <w:rsid w:val="00F03635"/>
    <w:rsid w:val="00F0455E"/>
    <w:rsid w:val="00F053F0"/>
    <w:rsid w:val="00F0609A"/>
    <w:rsid w:val="00F1133D"/>
    <w:rsid w:val="00F1230D"/>
    <w:rsid w:val="00F14605"/>
    <w:rsid w:val="00F14BCE"/>
    <w:rsid w:val="00F21042"/>
    <w:rsid w:val="00F21FAC"/>
    <w:rsid w:val="00F3264E"/>
    <w:rsid w:val="00F36014"/>
    <w:rsid w:val="00F36E18"/>
    <w:rsid w:val="00F37BC2"/>
    <w:rsid w:val="00F40579"/>
    <w:rsid w:val="00F41207"/>
    <w:rsid w:val="00F416B6"/>
    <w:rsid w:val="00F41926"/>
    <w:rsid w:val="00F43DAD"/>
    <w:rsid w:val="00F45416"/>
    <w:rsid w:val="00F45857"/>
    <w:rsid w:val="00F45DC0"/>
    <w:rsid w:val="00F5028C"/>
    <w:rsid w:val="00F513EB"/>
    <w:rsid w:val="00F519E8"/>
    <w:rsid w:val="00F5236B"/>
    <w:rsid w:val="00F5252A"/>
    <w:rsid w:val="00F53369"/>
    <w:rsid w:val="00F54266"/>
    <w:rsid w:val="00F552D2"/>
    <w:rsid w:val="00F5679F"/>
    <w:rsid w:val="00F609C6"/>
    <w:rsid w:val="00F60D6A"/>
    <w:rsid w:val="00F60F15"/>
    <w:rsid w:val="00F617FD"/>
    <w:rsid w:val="00F62708"/>
    <w:rsid w:val="00F6460E"/>
    <w:rsid w:val="00F64CB4"/>
    <w:rsid w:val="00F65889"/>
    <w:rsid w:val="00F72398"/>
    <w:rsid w:val="00F73C71"/>
    <w:rsid w:val="00F74CC9"/>
    <w:rsid w:val="00F77106"/>
    <w:rsid w:val="00F850CE"/>
    <w:rsid w:val="00F85681"/>
    <w:rsid w:val="00F85B48"/>
    <w:rsid w:val="00F861AE"/>
    <w:rsid w:val="00F86E01"/>
    <w:rsid w:val="00F871D7"/>
    <w:rsid w:val="00F87FB6"/>
    <w:rsid w:val="00F90098"/>
    <w:rsid w:val="00F9205E"/>
    <w:rsid w:val="00F92FA5"/>
    <w:rsid w:val="00F93368"/>
    <w:rsid w:val="00F935BD"/>
    <w:rsid w:val="00F96889"/>
    <w:rsid w:val="00FA4A67"/>
    <w:rsid w:val="00FA6309"/>
    <w:rsid w:val="00FA6319"/>
    <w:rsid w:val="00FB14CA"/>
    <w:rsid w:val="00FB21D0"/>
    <w:rsid w:val="00FB46DD"/>
    <w:rsid w:val="00FB656A"/>
    <w:rsid w:val="00FB7019"/>
    <w:rsid w:val="00FB79F9"/>
    <w:rsid w:val="00FB7A20"/>
    <w:rsid w:val="00FB7C30"/>
    <w:rsid w:val="00FC1179"/>
    <w:rsid w:val="00FC1F96"/>
    <w:rsid w:val="00FC28E1"/>
    <w:rsid w:val="00FC297A"/>
    <w:rsid w:val="00FC522B"/>
    <w:rsid w:val="00FC69B2"/>
    <w:rsid w:val="00FD0A30"/>
    <w:rsid w:val="00FD11DC"/>
    <w:rsid w:val="00FD1A80"/>
    <w:rsid w:val="00FD204D"/>
    <w:rsid w:val="00FE1B76"/>
    <w:rsid w:val="00FE2E65"/>
    <w:rsid w:val="00FE2F0A"/>
    <w:rsid w:val="00FE4541"/>
    <w:rsid w:val="00FE615F"/>
    <w:rsid w:val="00FF0350"/>
    <w:rsid w:val="00FF0B27"/>
    <w:rsid w:val="00FF22FF"/>
    <w:rsid w:val="00FF2A10"/>
    <w:rsid w:val="00FF557B"/>
    <w:rsid w:val="00FF57B7"/>
    <w:rsid w:val="00FF6494"/>
    <w:rsid w:val="00FF6E25"/>
    <w:rsid w:val="00FF7D9B"/>
    <w:rsid w:val="08E8E6C3"/>
    <w:rsid w:val="0991DF87"/>
    <w:rsid w:val="0FC85359"/>
    <w:rsid w:val="114CFAFC"/>
    <w:rsid w:val="1521C108"/>
    <w:rsid w:val="16502639"/>
    <w:rsid w:val="1751D004"/>
    <w:rsid w:val="195692B3"/>
    <w:rsid w:val="1CF55423"/>
    <w:rsid w:val="2CEBD266"/>
    <w:rsid w:val="2F92B092"/>
    <w:rsid w:val="327C5130"/>
    <w:rsid w:val="352248BF"/>
    <w:rsid w:val="3AC64DB8"/>
    <w:rsid w:val="3B8D82B3"/>
    <w:rsid w:val="40FF3312"/>
    <w:rsid w:val="4495C3BD"/>
    <w:rsid w:val="4A6793F8"/>
    <w:rsid w:val="4B9BDBFB"/>
    <w:rsid w:val="4E4CE062"/>
    <w:rsid w:val="4E746A5C"/>
    <w:rsid w:val="55EF6802"/>
    <w:rsid w:val="57B3F859"/>
    <w:rsid w:val="5DB907CD"/>
    <w:rsid w:val="60D27F5A"/>
    <w:rsid w:val="6F084190"/>
    <w:rsid w:val="77166A13"/>
    <w:rsid w:val="7A6A1B51"/>
    <w:rsid w:val="7B59F30F"/>
    <w:rsid w:val="7BA75E33"/>
    <w:rsid w:val="7C8DAAA4"/>
    <w:rsid w:val="7FE7BD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F5FB386B-9071-4AA4-B099-62CF4683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character" w:styleId="Mention">
    <w:name w:val="Mention"/>
    <w:basedOn w:val="DefaultParagraphFont"/>
    <w:uiPriority w:val="99"/>
    <w:unhideWhenUsed/>
    <w:rsid w:val="00BA3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255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95c80d-1bfc-4284-8ead-90dee9a0b47f" xsi:nil="true"/>
    <lcf76f155ced4ddcb4097134ff3c332f xmlns="21934866-407e-4eb7-84a5-689e8997aac6">
      <Terms xmlns="http://schemas.microsoft.com/office/infopath/2007/PartnerControls"/>
    </lcf76f155ced4ddcb4097134ff3c332f>
    <LocationandLinks xmlns="21934866-407e-4eb7-84a5-689e8997aac6" xsi:nil="true"/>
  </documentManagement>
</p:properties>
</file>

<file path=customXml/itemProps1.xml><?xml version="1.0" encoding="utf-8"?>
<ds:datastoreItem xmlns:ds="http://schemas.openxmlformats.org/officeDocument/2006/customXml" ds:itemID="{D3E0FB55-FF34-40A0-86AA-64086FCBF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1d95c80d-1bfc-4284-8ead-90dee9a0b47f"/>
    <ds:schemaRef ds:uri="21934866-407e-4eb7-84a5-689e8997aa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21521</CharactersWithSpaces>
  <SharedDoc>false</SharedDoc>
  <HLinks>
    <vt:vector size="6" baseType="variant">
      <vt:variant>
        <vt:i4>3014666</vt:i4>
      </vt:variant>
      <vt:variant>
        <vt:i4>0</vt:i4>
      </vt:variant>
      <vt:variant>
        <vt:i4>0</vt:i4>
      </vt:variant>
      <vt:variant>
        <vt:i4>5</vt:i4>
      </vt:variant>
      <vt:variant>
        <vt:lpwstr>mailto:Jessie.Reynolds@education.gov.au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LEE,Yo-Ru</cp:lastModifiedBy>
  <cp:revision>7</cp:revision>
  <cp:lastPrinted>2025-06-30T04:47:00Z</cp:lastPrinted>
  <dcterms:created xsi:type="dcterms:W3CDTF">2025-06-18T08:12:00Z</dcterms:created>
  <dcterms:modified xsi:type="dcterms:W3CDTF">2025-07-28T01:18:00Z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y fmtid="{D5CDD505-2E9C-101B-9397-08002B2CF9AE}" pid="18" name="MediaServiceImageTags">
    <vt:lpwstr/>
  </property>
</Properties>
</file>