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3F99" w14:textId="77777777" w:rsidR="001525D0" w:rsidRPr="00C0014E" w:rsidRDefault="001525D0" w:rsidP="001525D0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val="en-AU" w:eastAsia="en-AU"/>
        </w:rPr>
        <w:drawing>
          <wp:inline distT="0" distB="0" distL="0" distR="0" wp14:anchorId="4F223DC5" wp14:editId="7EC66F40">
            <wp:extent cx="2657475" cy="438150"/>
            <wp:effectExtent l="0" t="0" r="9525" b="0"/>
            <wp:docPr id="1910512463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12463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B9C9" w14:textId="77777777" w:rsidR="001525D0" w:rsidRPr="006153A1" w:rsidRDefault="001525D0" w:rsidP="001525D0">
      <w:pPr>
        <w:pBdr>
          <w:bottom w:val="single" w:sz="4" w:space="1" w:color="auto"/>
        </w:pBdr>
        <w:rPr>
          <w:b/>
          <w:bCs/>
        </w:rPr>
      </w:pPr>
    </w:p>
    <w:p w14:paraId="36640865" w14:textId="77777777" w:rsidR="001525D0" w:rsidRDefault="001525D0" w:rsidP="001525D0">
      <w:pPr>
        <w:pBdr>
          <w:bottom w:val="single" w:sz="4" w:space="1" w:color="auto"/>
        </w:pBdr>
        <w:rPr>
          <w:b/>
          <w:bCs/>
          <w:sz w:val="20"/>
        </w:rPr>
      </w:pPr>
      <w:r w:rsidRPr="5AF92461">
        <w:rPr>
          <w:b/>
          <w:bCs/>
          <w:sz w:val="20"/>
        </w:rPr>
        <w:t>Food Standards (Application A1307 – Milk fat globule membrane as a nutritive substance in infant formula products) Variation</w:t>
      </w:r>
    </w:p>
    <w:p w14:paraId="36A2E342" w14:textId="77777777" w:rsidR="001525D0" w:rsidRPr="00C0014E" w:rsidRDefault="001525D0" w:rsidP="001525D0">
      <w:pPr>
        <w:pBdr>
          <w:bottom w:val="single" w:sz="4" w:space="1" w:color="auto"/>
        </w:pBdr>
        <w:rPr>
          <w:b/>
          <w:sz w:val="20"/>
        </w:rPr>
      </w:pPr>
    </w:p>
    <w:p w14:paraId="21F52947" w14:textId="77777777" w:rsidR="001525D0" w:rsidRPr="008F2616" w:rsidRDefault="001525D0" w:rsidP="001525D0">
      <w:pPr>
        <w:rPr>
          <w:sz w:val="20"/>
        </w:rPr>
      </w:pPr>
    </w:p>
    <w:p w14:paraId="553D5B83" w14:textId="77777777" w:rsidR="001525D0" w:rsidRPr="008F2616" w:rsidRDefault="001525D0" w:rsidP="001525D0">
      <w:pPr>
        <w:rPr>
          <w:sz w:val="20"/>
          <w:szCs w:val="20"/>
        </w:rPr>
      </w:pPr>
      <w:r w:rsidRPr="3322D3B1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3322D3B1">
        <w:rPr>
          <w:i/>
          <w:iCs/>
          <w:sz w:val="20"/>
          <w:szCs w:val="20"/>
        </w:rPr>
        <w:t>Food Standards Australia New Zealand Act 1991</w:t>
      </w:r>
      <w:r w:rsidRPr="3322D3B1">
        <w:rPr>
          <w:sz w:val="20"/>
          <w:szCs w:val="20"/>
        </w:rPr>
        <w:t>.  The variation commences on the date specified in clause 3 of this variation.</w:t>
      </w:r>
    </w:p>
    <w:p w14:paraId="2DEC9ED0" w14:textId="77777777" w:rsidR="001525D0" w:rsidRPr="008F2616" w:rsidRDefault="001525D0" w:rsidP="001525D0">
      <w:pPr>
        <w:rPr>
          <w:sz w:val="20"/>
        </w:rPr>
      </w:pPr>
    </w:p>
    <w:p w14:paraId="303C513B" w14:textId="77777777" w:rsidR="00477C14" w:rsidRPr="008F2616" w:rsidRDefault="002C17AD" w:rsidP="00477C14">
      <w:pPr>
        <w:rPr>
          <w:sz w:val="20"/>
        </w:rPr>
      </w:pPr>
      <w:r w:rsidRPr="00D82FFF">
        <w:rPr>
          <w:sz w:val="20"/>
          <w:szCs w:val="20"/>
          <w:lang w:bidi="ar-SA"/>
        </w:rPr>
        <w:t>Dated</w:t>
      </w:r>
      <w:r>
        <w:rPr>
          <w:sz w:val="20"/>
          <w:szCs w:val="20"/>
          <w:lang w:bidi="ar-SA"/>
        </w:rPr>
        <w:t xml:space="preserve"> </w:t>
      </w:r>
      <w:r w:rsidR="00477C14">
        <w:rPr>
          <w:sz w:val="20"/>
          <w:szCs w:val="20"/>
        </w:rPr>
        <w:t>10 July 2025</w:t>
      </w:r>
    </w:p>
    <w:p w14:paraId="150522EC" w14:textId="77777777" w:rsidR="00477C14" w:rsidRPr="008F2616" w:rsidRDefault="00477C14" w:rsidP="00477C14">
      <w:pPr>
        <w:rPr>
          <w:sz w:val="20"/>
        </w:rPr>
      </w:pPr>
    </w:p>
    <w:p w14:paraId="477AA50E" w14:textId="2207CBC2" w:rsidR="00477C14" w:rsidRDefault="0029430E" w:rsidP="00477C14">
      <w:pPr>
        <w:rPr>
          <w:sz w:val="20"/>
        </w:rPr>
      </w:pPr>
      <w:r>
        <w:rPr>
          <w:noProof/>
          <w:sz w:val="20"/>
          <w14:ligatures w14:val="standardContextual"/>
        </w:rPr>
        <w:drawing>
          <wp:inline distT="0" distB="0" distL="0" distR="0" wp14:anchorId="20208DF2" wp14:editId="29124F40">
            <wp:extent cx="1228713" cy="314325"/>
            <wp:effectExtent l="0" t="0" r="0" b="0"/>
            <wp:docPr id="1146140009" name="Picture 1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40009" name="Picture 1" descr="The Signature of the delegate of the Board of Food Standards Australia New Zeala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14" cy="3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EF8A" w14:textId="77777777" w:rsidR="00477C14" w:rsidRPr="008F2616" w:rsidRDefault="00477C14" w:rsidP="00477C14">
      <w:pPr>
        <w:rPr>
          <w:sz w:val="20"/>
        </w:rPr>
      </w:pPr>
    </w:p>
    <w:p w14:paraId="32B73584" w14:textId="365A47EE" w:rsidR="001525D0" w:rsidRPr="008F2616" w:rsidRDefault="002C17AD" w:rsidP="001525D0">
      <w:pPr>
        <w:rPr>
          <w:sz w:val="20"/>
        </w:rPr>
      </w:pPr>
      <w:r>
        <w:rPr>
          <w:sz w:val="20"/>
        </w:rPr>
        <w:t>Christel Leemhuis, General Manager, Public Health</w:t>
      </w:r>
    </w:p>
    <w:p w14:paraId="398CCC9D" w14:textId="77777777" w:rsidR="001525D0" w:rsidRPr="008F2616" w:rsidRDefault="001525D0" w:rsidP="001525D0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9927DB2" w14:textId="77777777" w:rsidR="001525D0" w:rsidRDefault="001525D0" w:rsidP="001525D0">
      <w:pPr>
        <w:rPr>
          <w:sz w:val="20"/>
        </w:rPr>
      </w:pPr>
    </w:p>
    <w:p w14:paraId="33ED0DA0" w14:textId="77777777" w:rsidR="001525D0" w:rsidRDefault="001525D0" w:rsidP="001525D0">
      <w:pPr>
        <w:rPr>
          <w:sz w:val="20"/>
        </w:rPr>
      </w:pPr>
    </w:p>
    <w:p w14:paraId="2830858C" w14:textId="77777777" w:rsidR="001525D0" w:rsidRDefault="001525D0" w:rsidP="001525D0">
      <w:pPr>
        <w:rPr>
          <w:sz w:val="20"/>
        </w:rPr>
      </w:pPr>
    </w:p>
    <w:p w14:paraId="68801E34" w14:textId="77777777" w:rsidR="001525D0" w:rsidRDefault="001525D0" w:rsidP="001525D0">
      <w:pPr>
        <w:rPr>
          <w:sz w:val="20"/>
        </w:rPr>
      </w:pPr>
    </w:p>
    <w:p w14:paraId="1613A2A2" w14:textId="77777777" w:rsidR="001525D0" w:rsidRDefault="001525D0" w:rsidP="001525D0">
      <w:pPr>
        <w:rPr>
          <w:sz w:val="20"/>
        </w:rPr>
      </w:pPr>
    </w:p>
    <w:p w14:paraId="0A52F05B" w14:textId="77777777" w:rsidR="001525D0" w:rsidRPr="00360C8F" w:rsidRDefault="001525D0" w:rsidP="0015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2ADB7BD2" w14:textId="77777777" w:rsidR="001525D0" w:rsidRPr="00360C8F" w:rsidRDefault="001525D0" w:rsidP="0015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4129F9EF" w14:textId="1C6ED8BF" w:rsidR="001525D0" w:rsidRPr="00360C8F" w:rsidRDefault="001525D0" w:rsidP="0015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FSC </w:t>
      </w:r>
      <w:r w:rsidR="002C17AD" w:rsidRPr="00BD1C0D">
        <w:rPr>
          <w:sz w:val="20"/>
          <w:szCs w:val="20"/>
          <w:lang w:val="en-AU" w:bidi="ar-SA"/>
        </w:rPr>
        <w:t>180 on 22 July 2025</w:t>
      </w:r>
      <w:r w:rsidR="002C17AD">
        <w:rPr>
          <w:sz w:val="20"/>
          <w:szCs w:val="20"/>
          <w:lang w:val="en-AU" w:bidi="ar-SA"/>
        </w:rPr>
        <w:t>.</w:t>
      </w:r>
      <w:r w:rsidR="002C17AD" w:rsidRPr="00360C8F">
        <w:rPr>
          <w:sz w:val="20"/>
          <w:lang w:val="en-AU"/>
        </w:rPr>
        <w:t xml:space="preserve"> </w:t>
      </w:r>
      <w:r w:rsidRPr="00360C8F">
        <w:rPr>
          <w:sz w:val="20"/>
          <w:lang w:val="en-AU"/>
        </w:rPr>
        <w:t xml:space="preserve">This means that this date is the gazettal date for the purposes of clause 3 of the variation. </w:t>
      </w:r>
    </w:p>
    <w:p w14:paraId="02662D14" w14:textId="77777777" w:rsidR="001525D0" w:rsidRDefault="001525D0" w:rsidP="001525D0">
      <w:pPr>
        <w:rPr>
          <w:sz w:val="20"/>
        </w:rPr>
      </w:pPr>
    </w:p>
    <w:p w14:paraId="24DC1748" w14:textId="77777777" w:rsidR="001525D0" w:rsidRDefault="001525D0" w:rsidP="001525D0">
      <w:pPr>
        <w:widowControl/>
        <w:rPr>
          <w:sz w:val="20"/>
        </w:rPr>
      </w:pPr>
      <w:r>
        <w:rPr>
          <w:sz w:val="20"/>
        </w:rPr>
        <w:br w:type="page"/>
      </w:r>
    </w:p>
    <w:p w14:paraId="2A75F5C8" w14:textId="77777777" w:rsidR="001525D0" w:rsidRPr="005F585D" w:rsidRDefault="001525D0" w:rsidP="001525D0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0A62D539" w14:textId="77777777" w:rsidR="001525D0" w:rsidRPr="00F618DF" w:rsidRDefault="001525D0" w:rsidP="001525D0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(Application A</w:t>
      </w:r>
      <w:r>
        <w:rPr>
          <w:i/>
        </w:rPr>
        <w:t>1307</w:t>
      </w:r>
      <w:r w:rsidRPr="00792F7C">
        <w:rPr>
          <w:i/>
        </w:rPr>
        <w:t xml:space="preserve"> –</w:t>
      </w:r>
      <w:r>
        <w:rPr>
          <w:i/>
        </w:rPr>
        <w:t xml:space="preserve"> Milk fat globule membrane as a nutritive substance in infant formula products</w:t>
      </w:r>
      <w:r w:rsidRPr="00792F7C">
        <w:rPr>
          <w:i/>
        </w:rPr>
        <w:t>) Variation</w:t>
      </w:r>
      <w:r w:rsidRPr="00F618DF">
        <w:t>.</w:t>
      </w:r>
    </w:p>
    <w:p w14:paraId="0C9A9DD6" w14:textId="77777777" w:rsidR="001525D0" w:rsidRPr="00D433B1" w:rsidRDefault="001525D0" w:rsidP="001525D0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133C97">
        <w:rPr>
          <w:color w:val="000000" w:themeColor="text1"/>
        </w:rPr>
        <w:t>Standards</w:t>
      </w:r>
      <w:r w:rsidRPr="00D433B1">
        <w:t xml:space="preserve"> in the </w:t>
      </w:r>
      <w:r w:rsidRPr="00C51355">
        <w:rPr>
          <w:i/>
        </w:rPr>
        <w:t>Australia New Zealand Food Standards Code</w:t>
      </w:r>
    </w:p>
    <w:p w14:paraId="22A5E213" w14:textId="77777777" w:rsidR="001525D0" w:rsidRDefault="001525D0" w:rsidP="001525D0">
      <w:pPr>
        <w:pStyle w:val="FSCDraftingitem"/>
      </w:pPr>
      <w:r>
        <w:t>The Schedule varies</w:t>
      </w:r>
      <w:r w:rsidRPr="00133C97">
        <w:t xml:space="preserve"> Standards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50DEC9BE" w14:textId="77777777" w:rsidR="001525D0" w:rsidRPr="00D433B1" w:rsidRDefault="001525D0" w:rsidP="001525D0">
      <w:pPr>
        <w:pStyle w:val="FSCDraftingitemheading"/>
      </w:pPr>
      <w:r w:rsidRPr="00D433B1">
        <w:t>3</w:t>
      </w:r>
      <w:r w:rsidRPr="00D433B1">
        <w:tab/>
        <w:t>Commencement</w:t>
      </w:r>
    </w:p>
    <w:p w14:paraId="0DEE6BDF" w14:textId="77777777" w:rsidR="001525D0" w:rsidRPr="00202CAE" w:rsidRDefault="001525D0" w:rsidP="001525D0">
      <w:pPr>
        <w:pStyle w:val="FSCDraftingitemheading"/>
        <w:rPr>
          <w:b w:val="0"/>
        </w:rPr>
      </w:pPr>
      <w:r w:rsidRPr="00202CAE">
        <w:rPr>
          <w:b w:val="0"/>
        </w:rPr>
        <w:t>The variation commences on the date of gazettal.</w:t>
      </w:r>
      <w:r w:rsidRPr="00202CAE">
        <w:rPr>
          <w:b w:val="0"/>
        </w:rPr>
        <w:tab/>
      </w:r>
    </w:p>
    <w:p w14:paraId="0EAD086E" w14:textId="77777777" w:rsidR="001525D0" w:rsidRPr="00D433B1" w:rsidRDefault="001525D0" w:rsidP="001525D0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1F292334" w14:textId="77777777" w:rsidR="001525D0" w:rsidRDefault="001525D0" w:rsidP="001525D0">
      <w:pPr>
        <w:pStyle w:val="FSCDraftingitemheading"/>
        <w:rPr>
          <w:lang w:bidi="en-US"/>
        </w:rPr>
      </w:pPr>
      <w:r>
        <w:rPr>
          <w:lang w:bidi="en-US"/>
        </w:rPr>
        <w:t>Schedule 3—Identity and purity</w:t>
      </w:r>
    </w:p>
    <w:p w14:paraId="0838410F" w14:textId="77777777" w:rsidR="001525D0" w:rsidRDefault="001525D0" w:rsidP="001525D0">
      <w:pPr>
        <w:pStyle w:val="FSCDraftingitemheading"/>
        <w:rPr>
          <w:rFonts w:eastAsiaTheme="minorEastAsia"/>
        </w:rPr>
      </w:pPr>
      <w:r w:rsidRPr="3322D3B1">
        <w:rPr>
          <w:lang w:bidi="en-US"/>
        </w:rPr>
        <w:t>[1]</w:t>
      </w:r>
      <w:r>
        <w:tab/>
      </w:r>
      <w:r w:rsidRPr="3322D3B1">
        <w:rPr>
          <w:lang w:bidi="en-US"/>
        </w:rPr>
        <w:t>Subsection S3—2(2) (table</w:t>
      </w:r>
      <w:r w:rsidRPr="3322D3B1">
        <w:rPr>
          <w:rFonts w:eastAsiaTheme="minorEastAsia"/>
        </w:rPr>
        <w:t xml:space="preserve">) </w:t>
      </w:r>
    </w:p>
    <w:p w14:paraId="712494A5" w14:textId="77777777" w:rsidR="001525D0" w:rsidRDefault="001525D0" w:rsidP="001525D0">
      <w:pPr>
        <w:pStyle w:val="FSCDraftingitem"/>
      </w:pPr>
      <w:r>
        <w:tab/>
        <w:t>Insert:</w:t>
      </w:r>
    </w:p>
    <w:tbl>
      <w:tblPr>
        <w:tblStyle w:val="TableGrid2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1525D0" w:rsidRPr="00F67923" w14:paraId="71119452" w14:textId="77777777" w:rsidTr="00BE3FE1">
        <w:trPr>
          <w:cantSplit/>
          <w:jc w:val="center"/>
        </w:trPr>
        <w:tc>
          <w:tcPr>
            <w:tcW w:w="4254" w:type="dxa"/>
            <w:hideMark/>
          </w:tcPr>
          <w:p w14:paraId="236760A0" w14:textId="77777777" w:rsidR="001525D0" w:rsidRPr="002C17AD" w:rsidRDefault="001525D0" w:rsidP="00BE3FE1">
            <w:pPr>
              <w:pStyle w:val="FSCtblMain"/>
              <w:rPr>
                <w:i/>
                <w:iCs/>
                <w:szCs w:val="18"/>
              </w:rPr>
            </w:pPr>
            <w:r w:rsidRPr="002C17AD">
              <w:rPr>
                <w:rFonts w:eastAsiaTheme="minorHAnsi"/>
                <w:szCs w:val="18"/>
              </w:rPr>
              <w:t xml:space="preserve">Bovine milk fat globule membrane-enriched whey protein concentrate </w:t>
            </w:r>
          </w:p>
        </w:tc>
        <w:tc>
          <w:tcPr>
            <w:tcW w:w="2550" w:type="dxa"/>
            <w:hideMark/>
          </w:tcPr>
          <w:p w14:paraId="4FF29624" w14:textId="77777777" w:rsidR="001525D0" w:rsidRPr="002C17AD" w:rsidRDefault="001525D0" w:rsidP="00BE3FE1">
            <w:pPr>
              <w:pStyle w:val="FSCtblMain"/>
              <w:rPr>
                <w:szCs w:val="18"/>
              </w:rPr>
            </w:pPr>
            <w:r w:rsidRPr="002C17AD">
              <w:rPr>
                <w:szCs w:val="18"/>
              </w:rPr>
              <w:t>section S3—53</w:t>
            </w:r>
          </w:p>
          <w:p w14:paraId="2876CFE0" w14:textId="77777777" w:rsidR="001525D0" w:rsidRPr="002C17AD" w:rsidRDefault="001525D0" w:rsidP="00BE3FE1">
            <w:pPr>
              <w:pStyle w:val="FSCtblMain"/>
              <w:rPr>
                <w:szCs w:val="18"/>
              </w:rPr>
            </w:pPr>
          </w:p>
        </w:tc>
      </w:tr>
    </w:tbl>
    <w:p w14:paraId="4A7406B9" w14:textId="77777777" w:rsidR="001525D0" w:rsidRDefault="001525D0" w:rsidP="001525D0">
      <w:pPr>
        <w:pStyle w:val="FSCDraftingitemheading"/>
        <w:rPr>
          <w:color w:val="000000" w:themeColor="text1"/>
          <w:lang w:bidi="en-US"/>
        </w:rPr>
      </w:pPr>
      <w:r w:rsidRPr="3322D3B1">
        <w:t>[2]</w:t>
      </w:r>
      <w:r>
        <w:tab/>
      </w:r>
      <w:r w:rsidRPr="3322D3B1">
        <w:t xml:space="preserve">After </w:t>
      </w:r>
      <w:r w:rsidRPr="3322D3B1">
        <w:rPr>
          <w:color w:val="000000" w:themeColor="text1"/>
          <w:lang w:bidi="en-US"/>
        </w:rPr>
        <w:t>section S3—52</w:t>
      </w:r>
    </w:p>
    <w:p w14:paraId="6032C7A3" w14:textId="77777777" w:rsidR="001525D0" w:rsidRDefault="001525D0" w:rsidP="001525D0">
      <w:pPr>
        <w:pStyle w:val="FSCDraftingitem"/>
        <w:tabs>
          <w:tab w:val="left" w:pos="3750"/>
        </w:tabs>
        <w:rPr>
          <w:lang w:bidi="en-US"/>
        </w:rPr>
      </w:pPr>
      <w:r>
        <w:rPr>
          <w:lang w:bidi="en-US"/>
        </w:rPr>
        <w:tab/>
      </w:r>
      <w:r w:rsidRPr="3322D3B1">
        <w:rPr>
          <w:lang w:bidi="en-US"/>
        </w:rPr>
        <w:t>Insert:</w:t>
      </w:r>
      <w:r>
        <w:rPr>
          <w:lang w:bidi="en-US"/>
        </w:rPr>
        <w:tab/>
      </w:r>
    </w:p>
    <w:p w14:paraId="1721AFA7" w14:textId="157C129B" w:rsidR="001525D0" w:rsidRPr="00305F78" w:rsidRDefault="001525D0" w:rsidP="001525D0">
      <w:pPr>
        <w:pStyle w:val="FSCh5Section"/>
        <w:rPr>
          <w:szCs w:val="22"/>
          <w:lang w:bidi="en-US"/>
        </w:rPr>
      </w:pPr>
      <w:bookmarkStart w:id="0" w:name="_Hlk132904640"/>
      <w:r w:rsidRPr="00305F78">
        <w:rPr>
          <w:szCs w:val="22"/>
        </w:rPr>
        <w:t>S3—</w:t>
      </w:r>
      <w:bookmarkEnd w:id="0"/>
      <w:r w:rsidRPr="00305F78">
        <w:rPr>
          <w:szCs w:val="22"/>
        </w:rPr>
        <w:t>53</w:t>
      </w:r>
      <w:r w:rsidRPr="00305F78">
        <w:rPr>
          <w:szCs w:val="22"/>
        </w:rPr>
        <w:tab/>
        <w:t>Specification for bovine milk fat globule membrane-enriched whey protein concentrate</w:t>
      </w:r>
      <w:r w:rsidRPr="00305F78">
        <w:rPr>
          <w:i/>
          <w:iCs/>
          <w:szCs w:val="22"/>
        </w:rPr>
        <w:t xml:space="preserve"> </w:t>
      </w:r>
    </w:p>
    <w:p w14:paraId="025C61AE" w14:textId="77777777" w:rsidR="001525D0" w:rsidRPr="008D3589" w:rsidRDefault="001525D0" w:rsidP="001525D0">
      <w:pPr>
        <w:pStyle w:val="FSCtMain"/>
        <w:rPr>
          <w:szCs w:val="20"/>
        </w:rPr>
      </w:pPr>
      <w:r w:rsidRPr="008D3589">
        <w:rPr>
          <w:szCs w:val="20"/>
        </w:rPr>
        <w:tab/>
        <w:t>(1)</w:t>
      </w:r>
      <w:r w:rsidRPr="008D3589">
        <w:rPr>
          <w:szCs w:val="20"/>
        </w:rPr>
        <w:tab/>
        <w:t xml:space="preserve">In this section, bovine milk fat globule membrane-enriched whey protein concentrate is a preparation of cow’s milk consisting of lipids and proteins. </w:t>
      </w:r>
    </w:p>
    <w:p w14:paraId="2D1BF2AE" w14:textId="77777777" w:rsidR="001525D0" w:rsidRPr="008D3589" w:rsidRDefault="001525D0" w:rsidP="001525D0">
      <w:pPr>
        <w:pStyle w:val="FSCtMain"/>
        <w:ind w:left="1700" w:hanging="1700"/>
        <w:rPr>
          <w:szCs w:val="20"/>
        </w:rPr>
      </w:pPr>
      <w:r w:rsidRPr="008D3589">
        <w:rPr>
          <w:szCs w:val="20"/>
        </w:rPr>
        <w:tab/>
        <w:t>(2)</w:t>
      </w:r>
      <w:r w:rsidRPr="008D3589">
        <w:rPr>
          <w:szCs w:val="20"/>
        </w:rPr>
        <w:tab/>
        <w:t>For bovine milk fat globule membrane-enriched whey protein concentrate, the specifications are the following:</w:t>
      </w:r>
    </w:p>
    <w:p w14:paraId="2439C5F8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(a)</w:t>
      </w:r>
      <w:r w:rsidRPr="008D3589">
        <w:rPr>
          <w:szCs w:val="20"/>
        </w:rPr>
        <w:tab/>
        <w:t xml:space="preserve">description—off white </w:t>
      </w:r>
      <w:proofErr w:type="gramStart"/>
      <w:r w:rsidRPr="008D3589">
        <w:rPr>
          <w:szCs w:val="20"/>
        </w:rPr>
        <w:t>powder;</w:t>
      </w:r>
      <w:proofErr w:type="gramEnd"/>
    </w:p>
    <w:p w14:paraId="576C93E2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(b)</w:t>
      </w:r>
      <w:r w:rsidRPr="008D3589">
        <w:rPr>
          <w:szCs w:val="20"/>
        </w:rPr>
        <w:tab/>
        <w:t xml:space="preserve">total protein—not less than 69.0% and not more than </w:t>
      </w:r>
      <w:proofErr w:type="gramStart"/>
      <w:r w:rsidRPr="008D3589">
        <w:rPr>
          <w:szCs w:val="20"/>
        </w:rPr>
        <w:t>76.0%;</w:t>
      </w:r>
      <w:proofErr w:type="gramEnd"/>
    </w:p>
    <w:p w14:paraId="7B72284E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(c)</w:t>
      </w:r>
      <w:r w:rsidRPr="008D3589">
        <w:rPr>
          <w:szCs w:val="20"/>
        </w:rPr>
        <w:tab/>
        <w:t xml:space="preserve">lactose—not more than </w:t>
      </w:r>
      <w:proofErr w:type="gramStart"/>
      <w:r w:rsidRPr="008D3589">
        <w:rPr>
          <w:szCs w:val="20"/>
        </w:rPr>
        <w:t>2.0%;</w:t>
      </w:r>
      <w:proofErr w:type="gramEnd"/>
    </w:p>
    <w:p w14:paraId="6581250E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(d)</w:t>
      </w:r>
      <w:r w:rsidRPr="008D3589">
        <w:rPr>
          <w:szCs w:val="20"/>
        </w:rPr>
        <w:tab/>
        <w:t xml:space="preserve">fat—not less than 16.0% and not more than </w:t>
      </w:r>
      <w:proofErr w:type="gramStart"/>
      <w:r w:rsidRPr="008D3589">
        <w:rPr>
          <w:szCs w:val="20"/>
        </w:rPr>
        <w:t>22.0%;</w:t>
      </w:r>
      <w:proofErr w:type="gramEnd"/>
    </w:p>
    <w:p w14:paraId="26777982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(e)</w:t>
      </w:r>
      <w:r w:rsidRPr="008D3589">
        <w:rPr>
          <w:szCs w:val="20"/>
        </w:rPr>
        <w:tab/>
        <w:t xml:space="preserve">phospholipids—not less than 6.0% and not more than </w:t>
      </w:r>
      <w:proofErr w:type="gramStart"/>
      <w:r w:rsidRPr="008D3589">
        <w:rPr>
          <w:szCs w:val="20"/>
        </w:rPr>
        <w:t>10.0%;</w:t>
      </w:r>
      <w:proofErr w:type="gramEnd"/>
    </w:p>
    <w:p w14:paraId="507D2786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(f)</w:t>
      </w:r>
      <w:r w:rsidRPr="008D3589">
        <w:rPr>
          <w:szCs w:val="20"/>
        </w:rPr>
        <w:tab/>
        <w:t xml:space="preserve">sphingomyelin—not less than 1.3% and not more than </w:t>
      </w:r>
      <w:proofErr w:type="gramStart"/>
      <w:r w:rsidRPr="008D3589">
        <w:rPr>
          <w:szCs w:val="20"/>
        </w:rPr>
        <w:t>2.3%;</w:t>
      </w:r>
      <w:proofErr w:type="gramEnd"/>
    </w:p>
    <w:p w14:paraId="6C621B77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(g)</w:t>
      </w:r>
      <w:r w:rsidRPr="008D3589">
        <w:rPr>
          <w:szCs w:val="20"/>
        </w:rPr>
        <w:tab/>
        <w:t xml:space="preserve">ash—not more than </w:t>
      </w:r>
      <w:proofErr w:type="gramStart"/>
      <w:r w:rsidRPr="008D3589">
        <w:rPr>
          <w:szCs w:val="20"/>
        </w:rPr>
        <w:t>3.0%;</w:t>
      </w:r>
      <w:proofErr w:type="gramEnd"/>
    </w:p>
    <w:p w14:paraId="0AC491A1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(h)</w:t>
      </w:r>
      <w:r w:rsidRPr="008D3589">
        <w:rPr>
          <w:szCs w:val="20"/>
        </w:rPr>
        <w:tab/>
        <w:t xml:space="preserve">moisture—not more than </w:t>
      </w:r>
      <w:proofErr w:type="gramStart"/>
      <w:r w:rsidRPr="008D3589">
        <w:rPr>
          <w:szCs w:val="20"/>
        </w:rPr>
        <w:t>5.0%;</w:t>
      </w:r>
      <w:proofErr w:type="gramEnd"/>
    </w:p>
    <w:p w14:paraId="32138875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(i)</w:t>
      </w:r>
      <w:r w:rsidRPr="008D3589">
        <w:rPr>
          <w:szCs w:val="20"/>
        </w:rPr>
        <w:tab/>
        <w:t>arsenic—not more than 0.2 mg/</w:t>
      </w:r>
      <w:proofErr w:type="gramStart"/>
      <w:r w:rsidRPr="008D3589">
        <w:rPr>
          <w:szCs w:val="20"/>
        </w:rPr>
        <w:t>kg;</w:t>
      </w:r>
      <w:proofErr w:type="gramEnd"/>
    </w:p>
    <w:p w14:paraId="3266C879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(j)</w:t>
      </w:r>
      <w:r w:rsidRPr="008D3589">
        <w:rPr>
          <w:szCs w:val="20"/>
        </w:rPr>
        <w:tab/>
        <w:t>cadmium—not more than 0.1 mg/</w:t>
      </w:r>
      <w:proofErr w:type="gramStart"/>
      <w:r w:rsidRPr="008D3589">
        <w:rPr>
          <w:szCs w:val="20"/>
        </w:rPr>
        <w:t>kg;</w:t>
      </w:r>
      <w:proofErr w:type="gramEnd"/>
    </w:p>
    <w:p w14:paraId="2C2586E0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(k)</w:t>
      </w:r>
      <w:r w:rsidRPr="008D3589">
        <w:rPr>
          <w:szCs w:val="20"/>
        </w:rPr>
        <w:tab/>
        <w:t>lead—not more than 0.05 mg/</w:t>
      </w:r>
      <w:proofErr w:type="gramStart"/>
      <w:r w:rsidRPr="008D3589">
        <w:rPr>
          <w:szCs w:val="20"/>
        </w:rPr>
        <w:t>kg;</w:t>
      </w:r>
      <w:proofErr w:type="gramEnd"/>
    </w:p>
    <w:p w14:paraId="36B40CB4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(l)</w:t>
      </w:r>
      <w:r w:rsidRPr="008D3589">
        <w:rPr>
          <w:szCs w:val="20"/>
        </w:rPr>
        <w:tab/>
        <w:t>mercury—not more than 0.02 mg/</w:t>
      </w:r>
      <w:proofErr w:type="gramStart"/>
      <w:r w:rsidRPr="008D3589">
        <w:rPr>
          <w:szCs w:val="20"/>
        </w:rPr>
        <w:t>kg;</w:t>
      </w:r>
      <w:proofErr w:type="gramEnd"/>
    </w:p>
    <w:p w14:paraId="34581A40" w14:textId="77777777" w:rsidR="001525D0" w:rsidRPr="008D3589" w:rsidRDefault="001525D0" w:rsidP="001525D0">
      <w:pPr>
        <w:pStyle w:val="FSCtPara"/>
        <w:tabs>
          <w:tab w:val="clear" w:pos="1701"/>
        </w:tabs>
        <w:ind w:hanging="567"/>
        <w:rPr>
          <w:szCs w:val="20"/>
        </w:rPr>
      </w:pPr>
      <w:r w:rsidRPr="008D3589">
        <w:rPr>
          <w:szCs w:val="20"/>
        </w:rPr>
        <w:t>(m)</w:t>
      </w:r>
      <w:r w:rsidRPr="008D3589">
        <w:rPr>
          <w:szCs w:val="20"/>
        </w:rPr>
        <w:tab/>
        <w:t>microbial limits:</w:t>
      </w:r>
    </w:p>
    <w:p w14:paraId="32F3E051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(i)</w:t>
      </w:r>
      <w:r w:rsidRPr="008D3589">
        <w:rPr>
          <w:szCs w:val="20"/>
        </w:rPr>
        <w:tab/>
        <w:t xml:space="preserve">total plate count (30°C)—not more than 10000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</w:t>
      </w:r>
      <w:proofErr w:type="gramStart"/>
      <w:r w:rsidRPr="008D3589">
        <w:rPr>
          <w:szCs w:val="20"/>
        </w:rPr>
        <w:t>g;</w:t>
      </w:r>
      <w:proofErr w:type="gramEnd"/>
    </w:p>
    <w:p w14:paraId="50F15FD0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(ii)</w:t>
      </w:r>
      <w:r w:rsidRPr="008D3589">
        <w:rPr>
          <w:szCs w:val="20"/>
        </w:rPr>
        <w:tab/>
        <w:t xml:space="preserve">total plate count (55°C)—not more than 1000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</w:t>
      </w:r>
      <w:proofErr w:type="gramStart"/>
      <w:r w:rsidRPr="008D3589">
        <w:rPr>
          <w:szCs w:val="20"/>
        </w:rPr>
        <w:t>g;</w:t>
      </w:r>
      <w:proofErr w:type="gramEnd"/>
    </w:p>
    <w:p w14:paraId="56F586FA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(iii)</w:t>
      </w:r>
      <w:r w:rsidRPr="008D3589">
        <w:rPr>
          <w:szCs w:val="20"/>
        </w:rPr>
        <w:tab/>
      </w:r>
      <w:r w:rsidRPr="008D3589">
        <w:rPr>
          <w:i/>
          <w:szCs w:val="20"/>
        </w:rPr>
        <w:t>Bacillus cereus</w:t>
      </w:r>
      <w:r w:rsidRPr="008D3589">
        <w:rPr>
          <w:szCs w:val="20"/>
        </w:rPr>
        <w:t xml:space="preserve">—not more than 50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</w:t>
      </w:r>
      <w:proofErr w:type="gramStart"/>
      <w:r w:rsidRPr="008D3589">
        <w:rPr>
          <w:szCs w:val="20"/>
        </w:rPr>
        <w:t>g;</w:t>
      </w:r>
      <w:proofErr w:type="gramEnd"/>
    </w:p>
    <w:p w14:paraId="24480B8D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(iv)</w:t>
      </w:r>
      <w:r w:rsidRPr="008D3589">
        <w:rPr>
          <w:szCs w:val="20"/>
        </w:rPr>
        <w:tab/>
        <w:t xml:space="preserve">Sulphite-reducing </w:t>
      </w:r>
      <w:r w:rsidRPr="008D3589">
        <w:rPr>
          <w:i/>
          <w:szCs w:val="20"/>
        </w:rPr>
        <w:t>Clostridia</w:t>
      </w:r>
      <w:r w:rsidRPr="008D3589">
        <w:rPr>
          <w:szCs w:val="20"/>
        </w:rPr>
        <w:t xml:space="preserve">—not more than 10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</w:t>
      </w:r>
      <w:proofErr w:type="gramStart"/>
      <w:r w:rsidRPr="008D3589">
        <w:rPr>
          <w:szCs w:val="20"/>
        </w:rPr>
        <w:t>g;</w:t>
      </w:r>
      <w:proofErr w:type="gramEnd"/>
    </w:p>
    <w:p w14:paraId="7AEFD4D2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(v)</w:t>
      </w:r>
      <w:r w:rsidRPr="008D3589">
        <w:rPr>
          <w:szCs w:val="20"/>
        </w:rPr>
        <w:tab/>
      </w:r>
      <w:r w:rsidRPr="008D3589">
        <w:rPr>
          <w:i/>
          <w:szCs w:val="20"/>
        </w:rPr>
        <w:t>Enterobacteriaceae</w:t>
      </w:r>
      <w:r w:rsidRPr="008D3589">
        <w:rPr>
          <w:szCs w:val="20"/>
        </w:rPr>
        <w:t xml:space="preserve">—not more than 10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</w:t>
      </w:r>
      <w:proofErr w:type="gramStart"/>
      <w:r w:rsidRPr="008D3589">
        <w:rPr>
          <w:szCs w:val="20"/>
        </w:rPr>
        <w:t>g;</w:t>
      </w:r>
      <w:proofErr w:type="gramEnd"/>
    </w:p>
    <w:p w14:paraId="5DC469C2" w14:textId="77777777" w:rsidR="001525D0" w:rsidRPr="008D3589" w:rsidRDefault="001525D0" w:rsidP="001525D0">
      <w:pPr>
        <w:pStyle w:val="FSCtSubpara"/>
        <w:ind w:left="2694" w:hanging="426"/>
        <w:rPr>
          <w:szCs w:val="20"/>
        </w:rPr>
      </w:pPr>
      <w:r w:rsidRPr="008D3589">
        <w:rPr>
          <w:szCs w:val="20"/>
        </w:rPr>
        <w:t>(vi)</w:t>
      </w:r>
      <w:r w:rsidRPr="008D3589">
        <w:rPr>
          <w:szCs w:val="20"/>
        </w:rPr>
        <w:tab/>
        <w:t xml:space="preserve">Coagulase-positive </w:t>
      </w:r>
      <w:r w:rsidRPr="008D3589">
        <w:rPr>
          <w:i/>
          <w:iCs w:val="0"/>
          <w:szCs w:val="20"/>
        </w:rPr>
        <w:t>staphylococci</w:t>
      </w:r>
      <w:r w:rsidRPr="008D3589">
        <w:rPr>
          <w:szCs w:val="20"/>
        </w:rPr>
        <w:t xml:space="preserve">—absent in 1 </w:t>
      </w:r>
      <w:proofErr w:type="gramStart"/>
      <w:r w:rsidRPr="008D3589">
        <w:rPr>
          <w:szCs w:val="20"/>
        </w:rPr>
        <w:t>g;</w:t>
      </w:r>
      <w:proofErr w:type="gramEnd"/>
    </w:p>
    <w:p w14:paraId="531A1FDA" w14:textId="77777777" w:rsidR="001525D0" w:rsidRPr="00CE0098" w:rsidRDefault="001525D0" w:rsidP="001525D0">
      <w:pPr>
        <w:pStyle w:val="FSCtSubpara"/>
        <w:ind w:left="2694" w:hanging="426"/>
        <w:rPr>
          <w:color w:val="000000"/>
          <w:shd w:val="clear" w:color="auto" w:fill="FFFFFF"/>
        </w:rPr>
      </w:pPr>
      <w:r w:rsidRPr="008D3589">
        <w:rPr>
          <w:szCs w:val="20"/>
        </w:rPr>
        <w:t>(vii)</w:t>
      </w:r>
      <w:r w:rsidRPr="008D3589">
        <w:rPr>
          <w:szCs w:val="20"/>
        </w:rPr>
        <w:tab/>
        <w:t xml:space="preserve">Yeast and moulds—not more than 10 </w:t>
      </w:r>
      <w:proofErr w:type="spellStart"/>
      <w:r w:rsidRPr="008D3589">
        <w:rPr>
          <w:szCs w:val="20"/>
        </w:rPr>
        <w:t>cfu</w:t>
      </w:r>
      <w:proofErr w:type="spellEnd"/>
      <w:r w:rsidRPr="008D3589">
        <w:rPr>
          <w:szCs w:val="20"/>
        </w:rPr>
        <w:t>/g.</w:t>
      </w:r>
      <w:r w:rsidRPr="3322D3B1">
        <w:br w:type="page"/>
      </w:r>
    </w:p>
    <w:p w14:paraId="2C44C903" w14:textId="77777777" w:rsidR="001525D0" w:rsidRPr="00DC13E5" w:rsidRDefault="001525D0" w:rsidP="001525D0">
      <w:pPr>
        <w:pStyle w:val="FSCDraftingitemheading"/>
      </w:pPr>
      <w:r w:rsidRPr="00DC13E5">
        <w:lastRenderedPageBreak/>
        <w:t>Schedule 29</w:t>
      </w:r>
      <w:r w:rsidRPr="00DC13E5">
        <w:rPr>
          <w:rFonts w:cs="Arial"/>
          <w:bCs/>
          <w:shd w:val="clear" w:color="auto" w:fill="FFFFFF"/>
        </w:rPr>
        <w:t>—</w:t>
      </w:r>
      <w:r w:rsidRPr="00DC13E5">
        <w:t>Special purpose foods</w:t>
      </w:r>
    </w:p>
    <w:p w14:paraId="65E03142" w14:textId="77777777" w:rsidR="001525D0" w:rsidRDefault="001525D0" w:rsidP="001525D0">
      <w:pPr>
        <w:pStyle w:val="FSCDraftingitemheading"/>
      </w:pPr>
      <w:r w:rsidRPr="3322D3B1">
        <w:rPr>
          <w:rFonts w:cs="Arial"/>
        </w:rPr>
        <w:t>[3]</w:t>
      </w:r>
      <w:r>
        <w:tab/>
      </w:r>
      <w:r w:rsidRPr="3322D3B1">
        <w:rPr>
          <w:rFonts w:cs="Arial"/>
        </w:rPr>
        <w:t xml:space="preserve">Section </w:t>
      </w:r>
      <w:r w:rsidRPr="3322D3B1">
        <w:t>S29—7 (table)</w:t>
      </w:r>
    </w:p>
    <w:p w14:paraId="64CEA184" w14:textId="77777777" w:rsidR="001525D0" w:rsidRDefault="001525D0" w:rsidP="001525D0">
      <w:pPr>
        <w:pStyle w:val="FSCDraftingitem"/>
      </w:pPr>
      <w:r>
        <w:tab/>
        <w:t>Insert:</w:t>
      </w:r>
    </w:p>
    <w:tbl>
      <w:tblPr>
        <w:tblW w:w="55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278"/>
        <w:gridCol w:w="1399"/>
      </w:tblGrid>
      <w:tr w:rsidR="001525D0" w:rsidRPr="00DC13E5" w14:paraId="39CCA322" w14:textId="77777777" w:rsidTr="00BE3FE1">
        <w:trPr>
          <w:jc w:val="center"/>
        </w:trPr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3E69" w14:textId="77777777" w:rsidR="001525D0" w:rsidRPr="00DC13E5" w:rsidRDefault="001525D0" w:rsidP="00BE3FE1">
            <w:pPr>
              <w:pStyle w:val="FSCtblMain"/>
              <w:rPr>
                <w:lang w:val="en-AU"/>
              </w:rPr>
            </w:pPr>
            <w:r>
              <w:rPr>
                <w:lang w:val="en-AU"/>
              </w:rPr>
              <w:t>Milk fat globule membrane-enriched whey protein concentrate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2CD8" w14:textId="77777777" w:rsidR="001525D0" w:rsidRPr="00DC13E5" w:rsidRDefault="001525D0" w:rsidP="00BE3FE1">
            <w:pPr>
              <w:pStyle w:val="FSCtblMain"/>
              <w:rPr>
                <w:lang w:val="en-AU"/>
              </w:rPr>
            </w:pPr>
            <w:r>
              <w:rPr>
                <w:lang w:val="en-AU"/>
              </w:rPr>
              <w:t>0.14 g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271F" w14:textId="77777777" w:rsidR="001525D0" w:rsidRPr="00DC13E5" w:rsidRDefault="001525D0" w:rsidP="00BE3FE1">
            <w:pPr>
              <w:pStyle w:val="FSCtblMain"/>
              <w:rPr>
                <w:lang w:val="en-AU"/>
              </w:rPr>
            </w:pPr>
            <w:r>
              <w:t>0.28</w:t>
            </w:r>
            <w:r w:rsidRPr="00DC13E5">
              <w:t xml:space="preserve"> g</w:t>
            </w:r>
          </w:p>
        </w:tc>
      </w:tr>
    </w:tbl>
    <w:p w14:paraId="7A9B2524" w14:textId="77777777" w:rsidR="001525D0" w:rsidRDefault="001525D0" w:rsidP="001525D0">
      <w:pPr>
        <w:pStyle w:val="FSCDraftingitemheading"/>
      </w:pPr>
      <w:r w:rsidRPr="3322D3B1">
        <w:t>[4]</w:t>
      </w:r>
      <w:r>
        <w:tab/>
      </w:r>
      <w:r w:rsidRPr="3322D3B1">
        <w:t>Section S29—8 (table)</w:t>
      </w:r>
    </w:p>
    <w:p w14:paraId="2CECD575" w14:textId="77777777" w:rsidR="001525D0" w:rsidRDefault="001525D0" w:rsidP="001525D0">
      <w:pPr>
        <w:pStyle w:val="FSCDraftingitem"/>
      </w:pPr>
      <w:r>
        <w:rPr>
          <w:b/>
          <w:bCs/>
        </w:rPr>
        <w:tab/>
      </w:r>
      <w:r>
        <w:t>Insert: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776"/>
        <w:gridCol w:w="1997"/>
        <w:gridCol w:w="1543"/>
      </w:tblGrid>
      <w:tr w:rsidR="001525D0" w:rsidRPr="00DC13E5" w14:paraId="32866131" w14:textId="77777777" w:rsidTr="00BE3FE1">
        <w:trPr>
          <w:jc w:val="center"/>
        </w:trPr>
        <w:tc>
          <w:tcPr>
            <w:tcW w:w="20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BB41" w14:textId="77777777" w:rsidR="001525D0" w:rsidRPr="00DC13E5" w:rsidRDefault="001525D0" w:rsidP="00BE3FE1">
            <w:pPr>
              <w:pStyle w:val="FSCtblMain"/>
              <w:rPr>
                <w:lang w:val="en-AU"/>
              </w:rPr>
            </w:pPr>
            <w:r>
              <w:rPr>
                <w:lang w:val="en-AU"/>
              </w:rPr>
              <w:t>Milk fat globule membrane-enriched whey protein concentrate</w:t>
            </w:r>
          </w:p>
        </w:tc>
        <w:tc>
          <w:tcPr>
            <w:tcW w:w="9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669D" w14:textId="77777777" w:rsidR="001525D0" w:rsidRPr="00DC13E5" w:rsidRDefault="001525D0" w:rsidP="00BE3FE1">
            <w:pPr>
              <w:pStyle w:val="FSCtblMain"/>
              <w:rPr>
                <w:szCs w:val="18"/>
                <w:lang w:val="en-AU"/>
              </w:rPr>
            </w:pPr>
            <w:r w:rsidRPr="00713852">
              <w:rPr>
                <w:lang w:val="en-AU"/>
              </w:rPr>
              <w:t>0.1</w:t>
            </w:r>
            <w:r>
              <w:rPr>
                <w:lang w:val="en-AU"/>
              </w:rPr>
              <w:t>4</w:t>
            </w:r>
            <w:r w:rsidRPr="00713852">
              <w:rPr>
                <w:lang w:val="en-AU"/>
              </w:rPr>
              <w:t xml:space="preserve"> g</w:t>
            </w:r>
          </w:p>
        </w:tc>
        <w:tc>
          <w:tcPr>
            <w:tcW w:w="11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8C7" w14:textId="77777777" w:rsidR="001525D0" w:rsidRPr="00DC13E5" w:rsidRDefault="001525D0" w:rsidP="00BE3FE1">
            <w:pPr>
              <w:pStyle w:val="FSCtblMain"/>
              <w:rPr>
                <w:szCs w:val="18"/>
                <w:lang w:val="en-AU"/>
              </w:rPr>
            </w:pPr>
            <w:r w:rsidRPr="00713852">
              <w:rPr>
                <w:lang w:val="en-AU"/>
              </w:rPr>
              <w:t>0.28 g</w:t>
            </w:r>
          </w:p>
        </w:tc>
        <w:tc>
          <w:tcPr>
            <w:tcW w:w="855" w:type="pct"/>
          </w:tcPr>
          <w:p w14:paraId="7BFCF66B" w14:textId="77777777" w:rsidR="001525D0" w:rsidRPr="00DC13E5" w:rsidRDefault="001525D0" w:rsidP="00BE3FE1">
            <w:pPr>
              <w:spacing w:before="60" w:after="60"/>
              <w:ind w:left="140"/>
              <w:rPr>
                <w:rFonts w:cs="Arial"/>
                <w:sz w:val="18"/>
                <w:szCs w:val="18"/>
              </w:rPr>
            </w:pPr>
          </w:p>
        </w:tc>
      </w:tr>
    </w:tbl>
    <w:p w14:paraId="684B6FD6" w14:textId="77777777" w:rsidR="001525D0" w:rsidRDefault="001525D0" w:rsidP="001525D0">
      <w:pPr>
        <w:pStyle w:val="FSCDraftingitemheading"/>
      </w:pPr>
      <w:r w:rsidRPr="3322D3B1">
        <w:t>[5]</w:t>
      </w:r>
      <w:r>
        <w:tab/>
      </w:r>
      <w:r w:rsidRPr="3322D3B1">
        <w:t>Section S29—9 (table)</w:t>
      </w:r>
    </w:p>
    <w:p w14:paraId="310E592F" w14:textId="77777777" w:rsidR="001525D0" w:rsidRDefault="001525D0" w:rsidP="001525D0">
      <w:pPr>
        <w:pStyle w:val="FSCDraftingitem"/>
      </w:pPr>
      <w:r>
        <w:tab/>
        <w:t>Insert:</w:t>
      </w:r>
    </w:p>
    <w:tbl>
      <w:tblPr>
        <w:tblW w:w="63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3554"/>
      </w:tblGrid>
      <w:tr w:rsidR="001525D0" w:rsidRPr="0044504B" w14:paraId="0FFB147F" w14:textId="77777777" w:rsidTr="00BE3FE1">
        <w:trPr>
          <w:jc w:val="center"/>
        </w:trPr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1DE5" w14:textId="77777777" w:rsidR="001525D0" w:rsidRPr="0044504B" w:rsidRDefault="001525D0" w:rsidP="00BE3FE1">
            <w:pPr>
              <w:pStyle w:val="FSCtblMain"/>
              <w:rPr>
                <w:lang w:val="en-AU"/>
              </w:rPr>
            </w:pPr>
            <w:r>
              <w:rPr>
                <w:lang w:val="en-AU"/>
              </w:rPr>
              <w:t>Milk fat globule membrane-enriched whey protein concentrate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880C" w14:textId="77777777" w:rsidR="001525D0" w:rsidRPr="0044504B" w:rsidRDefault="001525D0" w:rsidP="00BE3FE1">
            <w:pPr>
              <w:pStyle w:val="FSCtblMain"/>
              <w:rPr>
                <w:szCs w:val="18"/>
                <w:lang w:val="en-AU"/>
              </w:rPr>
            </w:pPr>
            <w:r w:rsidRPr="00117B62">
              <w:rPr>
                <w:lang w:val="en-AU"/>
              </w:rPr>
              <w:t>Bovine milk fat globule membrane-enriched whey protein concentrate</w:t>
            </w:r>
          </w:p>
        </w:tc>
      </w:tr>
    </w:tbl>
    <w:p w14:paraId="2E4E0156" w14:textId="77777777" w:rsidR="001525D0" w:rsidRDefault="001525D0" w:rsidP="001525D0">
      <w:pPr>
        <w:pStyle w:val="FSCDraftingitemheading"/>
      </w:pPr>
      <w:r w:rsidRPr="3322D3B1">
        <w:t>[6]</w:t>
      </w:r>
      <w:r>
        <w:tab/>
      </w:r>
      <w:r w:rsidRPr="3322D3B1">
        <w:t>Section S29—9A (table)</w:t>
      </w:r>
    </w:p>
    <w:p w14:paraId="019618BD" w14:textId="77777777" w:rsidR="001525D0" w:rsidRDefault="001525D0" w:rsidP="001525D0">
      <w:pPr>
        <w:pStyle w:val="FSCDraftingitem"/>
      </w:pPr>
      <w:r>
        <w:tab/>
        <w:t>Insert: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688"/>
        <w:gridCol w:w="3261"/>
      </w:tblGrid>
      <w:tr w:rsidR="001525D0" w:rsidRPr="007E4C88" w14:paraId="4D30EF2F" w14:textId="77777777" w:rsidTr="00BE3FE1">
        <w:trPr>
          <w:cantSplit/>
          <w:trHeight w:val="283"/>
          <w:tblHeader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ABA0" w14:textId="77777777" w:rsidR="001525D0" w:rsidRPr="007E4C88" w:rsidRDefault="001525D0" w:rsidP="00BE3FE1">
            <w:pPr>
              <w:pStyle w:val="FSCtblMain"/>
            </w:pPr>
            <w:r>
              <w:rPr>
                <w:lang w:val="en-AU"/>
              </w:rPr>
              <w:t>Milk fat globule membrane-enriched whey protein concentrate</w:t>
            </w:r>
          </w:p>
        </w:tc>
        <w:tc>
          <w:tcPr>
            <w:tcW w:w="3686" w:type="dxa"/>
            <w:shd w:val="clear" w:color="auto" w:fill="auto"/>
            <w:hideMark/>
          </w:tcPr>
          <w:p w14:paraId="03A81656" w14:textId="77777777" w:rsidR="001525D0" w:rsidRPr="007E4C88" w:rsidRDefault="001525D0" w:rsidP="00BE3FE1">
            <w:pPr>
              <w:pStyle w:val="FSCtblMain"/>
            </w:pPr>
            <w:r>
              <w:rPr>
                <w:lang w:val="en-AU"/>
              </w:rPr>
              <w:t>Bovine milk fat globule membrane-enriched whey protein concentrate</w:t>
            </w:r>
          </w:p>
        </w:tc>
        <w:tc>
          <w:tcPr>
            <w:tcW w:w="3260" w:type="dxa"/>
            <w:shd w:val="clear" w:color="auto" w:fill="auto"/>
            <w:hideMark/>
          </w:tcPr>
          <w:p w14:paraId="626D8DF9" w14:textId="77777777" w:rsidR="001525D0" w:rsidRPr="00A02AD7" w:rsidRDefault="001525D0" w:rsidP="001525D0">
            <w:pPr>
              <w:pStyle w:val="FSCtblMain"/>
              <w:numPr>
                <w:ilvl w:val="0"/>
                <w:numId w:val="1"/>
              </w:numPr>
              <w:rPr>
                <w:rStyle w:val="normaltextrun"/>
              </w:rPr>
            </w:pPr>
            <w:r w:rsidRPr="3322D3B1">
              <w:t xml:space="preserve">During the exclusive use period, may only be sold under the brand </w:t>
            </w:r>
            <w:proofErr w:type="spellStart"/>
            <w:r w:rsidRPr="3322D3B1">
              <w:rPr>
                <w:rStyle w:val="normaltextrun"/>
                <w:color w:val="000000"/>
                <w:shd w:val="clear" w:color="auto" w:fill="FFFFFF"/>
              </w:rPr>
              <w:t>Lacprodan</w:t>
            </w:r>
            <w:proofErr w:type="spellEnd"/>
            <w:r w:rsidRPr="3322D3B1">
              <w:rPr>
                <w:rStyle w:val="normaltextrun"/>
                <w:color w:val="000000"/>
                <w:shd w:val="clear" w:color="auto" w:fill="FFFFFF"/>
              </w:rPr>
              <w:t>® MFGM-10 for *use as a nutritive substance in an infant formula product.</w:t>
            </w:r>
          </w:p>
          <w:p w14:paraId="1FEC7428" w14:textId="77777777" w:rsidR="001525D0" w:rsidRPr="007E4C88" w:rsidRDefault="001525D0" w:rsidP="001525D0">
            <w:pPr>
              <w:pStyle w:val="FSCtblMain"/>
              <w:numPr>
                <w:ilvl w:val="0"/>
                <w:numId w:val="1"/>
              </w:numPr>
            </w:pPr>
            <w:r w:rsidRPr="00A02AD7">
              <w:rPr>
                <w:lang w:val="en-AU"/>
              </w:rPr>
              <w:t xml:space="preserve">For the purposes of condition </w:t>
            </w:r>
            <w:r>
              <w:rPr>
                <w:lang w:val="en-AU"/>
              </w:rPr>
              <w:t>1</w:t>
            </w:r>
            <w:r w:rsidRPr="00A02AD7">
              <w:rPr>
                <w:lang w:val="en-AU"/>
              </w:rPr>
              <w:t xml:space="preserve"> above, </w:t>
            </w:r>
            <w:r w:rsidRPr="00A02AD7">
              <w:rPr>
                <w:b/>
                <w:bCs/>
                <w:lang w:val="en-AU"/>
              </w:rPr>
              <w:t>exclusive use period</w:t>
            </w:r>
            <w:r w:rsidRPr="00A02AD7">
              <w:rPr>
                <w:lang w:val="en-AU"/>
              </w:rPr>
              <w:t xml:space="preserve"> means the period commencing on the date of gazettal of the </w:t>
            </w:r>
            <w:r w:rsidRPr="00A02AD7">
              <w:rPr>
                <w:i/>
                <w:iCs/>
                <w:lang w:val="en-AU"/>
              </w:rPr>
              <w:t xml:space="preserve">Food Standards (Application A1307 – Milk fat globule membrane as a nutritive substance in </w:t>
            </w:r>
            <w:r>
              <w:rPr>
                <w:i/>
                <w:iCs/>
                <w:lang w:val="en-AU"/>
              </w:rPr>
              <w:t>i</w:t>
            </w:r>
            <w:r w:rsidRPr="00A02AD7">
              <w:rPr>
                <w:i/>
                <w:iCs/>
                <w:lang w:val="en-AU"/>
              </w:rPr>
              <w:t xml:space="preserve">nfant </w:t>
            </w:r>
            <w:r>
              <w:rPr>
                <w:i/>
                <w:iCs/>
                <w:lang w:val="en-AU"/>
              </w:rPr>
              <w:t>f</w:t>
            </w:r>
            <w:r w:rsidRPr="00A02AD7">
              <w:rPr>
                <w:i/>
                <w:iCs/>
                <w:lang w:val="en-AU"/>
              </w:rPr>
              <w:t xml:space="preserve">ormula </w:t>
            </w:r>
            <w:r>
              <w:rPr>
                <w:i/>
                <w:iCs/>
                <w:lang w:val="en-AU"/>
              </w:rPr>
              <w:t>p</w:t>
            </w:r>
            <w:r w:rsidRPr="00A02AD7">
              <w:rPr>
                <w:i/>
                <w:iCs/>
                <w:lang w:val="en-AU"/>
              </w:rPr>
              <w:t>roducts) Variation</w:t>
            </w:r>
            <w:r w:rsidRPr="00A02AD7">
              <w:rPr>
                <w:lang w:val="en-AU"/>
              </w:rPr>
              <w:t xml:space="preserve"> and ending 15 months after that date.</w:t>
            </w:r>
          </w:p>
        </w:tc>
      </w:tr>
    </w:tbl>
    <w:p w14:paraId="6954B0F1" w14:textId="77777777" w:rsidR="001525D0" w:rsidRDefault="001525D0" w:rsidP="001525D0">
      <w:pPr>
        <w:pStyle w:val="FSCDraftingitem"/>
      </w:pPr>
    </w:p>
    <w:p w14:paraId="711509B4" w14:textId="77777777" w:rsidR="001525D0" w:rsidRPr="00795D86" w:rsidRDefault="001525D0" w:rsidP="001525D0">
      <w:pPr>
        <w:rPr>
          <w:lang w:bidi="ar-SA"/>
        </w:rPr>
      </w:pPr>
    </w:p>
    <w:p w14:paraId="67CA6E90" w14:textId="77777777" w:rsidR="001525D0" w:rsidRDefault="001525D0"/>
    <w:sectPr w:rsidR="00152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8721" w14:textId="77777777" w:rsidR="001525D0" w:rsidRDefault="001525D0" w:rsidP="001525D0">
      <w:r>
        <w:separator/>
      </w:r>
    </w:p>
  </w:endnote>
  <w:endnote w:type="continuationSeparator" w:id="0">
    <w:p w14:paraId="6CE3FC93" w14:textId="77777777" w:rsidR="001525D0" w:rsidRDefault="001525D0" w:rsidP="0015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68B8" w14:textId="77777777" w:rsidR="001525D0" w:rsidRDefault="001525D0" w:rsidP="001525D0">
      <w:r>
        <w:separator/>
      </w:r>
    </w:p>
  </w:footnote>
  <w:footnote w:type="continuationSeparator" w:id="0">
    <w:p w14:paraId="570E2623" w14:textId="77777777" w:rsidR="001525D0" w:rsidRDefault="001525D0" w:rsidP="0015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72E73"/>
    <w:multiLevelType w:val="multilevel"/>
    <w:tmpl w:val="E4648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5888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D0"/>
    <w:rsid w:val="0002760C"/>
    <w:rsid w:val="00075E29"/>
    <w:rsid w:val="00142AFB"/>
    <w:rsid w:val="001525D0"/>
    <w:rsid w:val="0029430E"/>
    <w:rsid w:val="002C17AD"/>
    <w:rsid w:val="00305F78"/>
    <w:rsid w:val="00335CE4"/>
    <w:rsid w:val="00383575"/>
    <w:rsid w:val="00417535"/>
    <w:rsid w:val="00477C14"/>
    <w:rsid w:val="004A23E2"/>
    <w:rsid w:val="004F09B8"/>
    <w:rsid w:val="005135BE"/>
    <w:rsid w:val="006A2943"/>
    <w:rsid w:val="007E161F"/>
    <w:rsid w:val="00893D25"/>
    <w:rsid w:val="008D3589"/>
    <w:rsid w:val="00A82BA7"/>
    <w:rsid w:val="00B35EB8"/>
    <w:rsid w:val="00D558E4"/>
    <w:rsid w:val="00D8622D"/>
    <w:rsid w:val="00DA5C1B"/>
    <w:rsid w:val="00DA79F2"/>
    <w:rsid w:val="00E56A1C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A6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D0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D0"/>
    <w:rPr>
      <w:b/>
      <w:bCs/>
      <w:smallCaps/>
      <w:color w:val="0F4761" w:themeColor="accent1" w:themeShade="BF"/>
      <w:spacing w:val="5"/>
    </w:rPr>
  </w:style>
  <w:style w:type="paragraph" w:customStyle="1" w:styleId="FSCDraftingitem">
    <w:name w:val="FSC_Drafting_item"/>
    <w:basedOn w:val="Normal"/>
    <w:uiPriority w:val="99"/>
    <w:qFormat/>
    <w:rsid w:val="001525D0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1525D0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1525D0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1525D0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aliases w:val="t2_Para"/>
    <w:basedOn w:val="FSCtMain"/>
    <w:qFormat/>
    <w:rsid w:val="001525D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1525D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blMain">
    <w:name w:val="FSC_tbl_Main"/>
    <w:basedOn w:val="Normal"/>
    <w:rsid w:val="001525D0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character" w:customStyle="1" w:styleId="normaltextrun">
    <w:name w:val="normaltextrun"/>
    <w:basedOn w:val="DefaultParagraphFont"/>
    <w:rsid w:val="001525D0"/>
  </w:style>
  <w:style w:type="table" w:customStyle="1" w:styleId="TableGrid2">
    <w:name w:val="Table Grid2"/>
    <w:basedOn w:val="TableNormal"/>
    <w:next w:val="TableGrid"/>
    <w:uiPriority w:val="59"/>
    <w:rsid w:val="001525D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5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7AD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7AD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f2eb31-52fc-4c6c-90a7-671d50ad8124">
      <Value>137</Value>
      <Value>3</Value>
    </TaxCatchAll>
    <jf6c16bbf41b473ebe1e583d28d77907 xmlns="96f2eb31-52fc-4c6c-90a7-671d50ad8124" xsi:nil="true"/>
    <pb940a55b18746cdbb1d76ca362c0586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Related_x0020_project xmlns="96f2eb31-52fc-4c6c-90a7-671d50ad8124" xsi:nil="true"/>
    <m5a168ed04b248b3bef91ad6e7b635a1 xmlns="96f2eb31-52fc-4c6c-90a7-671d50ad8124" xsi:nil="true"/>
  </documentManagement>
</p:properties>
</file>

<file path=customXml/itemProps1.xml><?xml version="1.0" encoding="utf-8"?>
<ds:datastoreItem xmlns:ds="http://schemas.openxmlformats.org/officeDocument/2006/customXml" ds:itemID="{E1B1C814-A835-41C8-B59D-177EB4DD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B5395-0173-40C3-B094-F3CB88E12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8C120-25D1-4393-8E30-68BFA814C26F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96f2eb31-52fc-4c6c-90a7-671d50ad81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2999</Characters>
  <Application>Microsoft Office Word</Application>
  <DocSecurity>0</DocSecurity>
  <Lines>115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2025-07-17T06:04:00Z</dcterms:created>
  <dcterms:modified xsi:type="dcterms:W3CDTF">2025-07-17T06:05:00Z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2025-07-17T06:03:30Z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ing_FileId">
    <vt:lpwstr>E0D4DDBD1F2E43CE9A6DD312BC1B8927</vt:lpwstr>
  </property>
  <property fmtid="{D5CDD505-2E9C-101B-9397-08002B2CF9AE}" pid="10" name="PM_ProtectiveMarkingValue_Footer">
    <vt:lpwstr>UNOFFICIAL</vt:lpwstr>
  </property>
  <property fmtid="{D5CDD505-2E9C-101B-9397-08002B2CF9AE}" pid="11" name="PM_Originator_Hash_SHA1">
    <vt:lpwstr>D2A877FB021B1F23B5F94F499200193157B57536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138B921C878C3B17C7F05800009E5A76</vt:lpwstr>
  </property>
  <property fmtid="{D5CDD505-2E9C-101B-9397-08002B2CF9AE}" pid="18" name="PM_Hash_Salt">
    <vt:lpwstr>56DD318744AC9E242B32089ADF1D1C6E</vt:lpwstr>
  </property>
  <property fmtid="{D5CDD505-2E9C-101B-9397-08002B2CF9AE}" pid="19" name="PM_Hash_SHA1">
    <vt:lpwstr>2F5CE0C9E8DD50DBD9D5B151D077BA7C56AC9DF3</vt:lpwstr>
  </property>
  <property fmtid="{D5CDD505-2E9C-101B-9397-08002B2CF9AE}" pid="20" name="PM_SecurityClassification_Prev">
    <vt:lpwstr>UNOFFICIAL</vt:lpwstr>
  </property>
  <property fmtid="{D5CDD505-2E9C-101B-9397-08002B2CF9AE}" pid="21" name="PM_Qualifier_Prev">
    <vt:lpwstr/>
  </property>
  <property fmtid="{D5CDD505-2E9C-101B-9397-08002B2CF9AE}" pid="22" name="PM_Qualifier">
    <vt:lpwstr/>
  </property>
  <property fmtid="{D5CDD505-2E9C-101B-9397-08002B2CF9AE}" pid="23" name="PMHMAC">
    <vt:lpwstr>v=2022.1;a=SHA256;h=B473E2038A284A9830D55B65901F551EFF9018A34607D0B54B2765BAE3BF8D16</vt:lpwstr>
  </property>
  <property fmtid="{D5CDD505-2E9C-101B-9397-08002B2CF9AE}" pid="24" name="PM_Namespace">
    <vt:lpwstr>gov.au</vt:lpwstr>
  </property>
  <property fmtid="{D5CDD505-2E9C-101B-9397-08002B2CF9AE}" pid="25" name="PM_Version">
    <vt:lpwstr>2018.4</vt:lpwstr>
  </property>
  <property fmtid="{D5CDD505-2E9C-101B-9397-08002B2CF9AE}" pid="26" name="PM_SecurityClassification">
    <vt:lpwstr>UNOFFICIAL</vt:lpwstr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ContentTypeId">
    <vt:lpwstr>0x010100F5F252698E4843DFA3EBBF7EC57E522A00A82EA18720279D4AB40E5AD2685E4CFA</vt:lpwstr>
  </property>
  <property fmtid="{D5CDD505-2E9C-101B-9397-08002B2CF9AE}" pid="32" name="pb940a55b18746cdbb1d76ca362c05860">
    <vt:lpwstr>Instruments|4a8ff5e5-1f0e-4751-ab44-bc0d33b46a80</vt:lpwstr>
  </property>
  <property fmtid="{D5CDD505-2E9C-101B-9397-08002B2CF9AE}" pid="33" name="h46016694f704d158a57d0b5238c000e0">
    <vt:lpwstr/>
  </property>
  <property fmtid="{D5CDD505-2E9C-101B-9397-08002B2CF9AE}" pid="34" name="Data_x0020_Privacy">
    <vt:lpwstr/>
  </property>
  <property fmtid="{D5CDD505-2E9C-101B-9397-08002B2CF9AE}" pid="36" name="MediaServiceImageTags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  <property fmtid="{D5CDD505-2E9C-101B-9397-08002B2CF9AE}" pid="48" name="Data Privacy">
    <vt:lpwstr/>
  </property>
  <property fmtid="{D5CDD505-2E9C-101B-9397-08002B2CF9AE}" pid="49" name="Data Accessibility">
    <vt:lpwstr/>
  </property>
  <property fmtid="{D5CDD505-2E9C-101B-9397-08002B2CF9AE}" pid="50" name="Data Category">
    <vt:lpwstr/>
  </property>
</Properties>
</file>