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0EEB" w14:textId="77777777"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213E6D7" w14:textId="77777777" w:rsidR="00C74A16" w:rsidRPr="006A75AF" w:rsidRDefault="003A7F0E" w:rsidP="00C74A16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5AF3D588" w:rsidR="00E82AAF" w:rsidRPr="006A75AF" w:rsidRDefault="000F334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3F58C9">
        <w:rPr>
          <w:i/>
          <w:sz w:val="24"/>
          <w:szCs w:val="24"/>
        </w:rPr>
        <w:t>POCA Programs</w:t>
      </w:r>
      <w:r w:rsidR="00D22A53">
        <w:rPr>
          <w:i/>
          <w:sz w:val="24"/>
          <w:szCs w:val="24"/>
        </w:rPr>
        <w:t xml:space="preserve"> 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FB37E1">
        <w:rPr>
          <w:i/>
          <w:sz w:val="24"/>
          <w:szCs w:val="24"/>
        </w:rPr>
        <w:t>5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C63995">
      <w:pPr>
        <w:pStyle w:val="Heading3"/>
        <w:spacing w:before="360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20111145" w14:textId="64625DED" w:rsidR="00146FAF" w:rsidRPr="00146FAF" w:rsidRDefault="00633F46" w:rsidP="00C63995">
      <w:pPr>
        <w:pStyle w:val="BodyText"/>
        <w:spacing w:after="120"/>
        <w:rPr>
          <w:szCs w:val="24"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Act</w:t>
      </w:r>
      <w:r w:rsidR="00590036" w:rsidRPr="006A75AF">
        <w:t xml:space="preserve">) </w:t>
      </w:r>
      <w:r w:rsidR="008A26C4" w:rsidRPr="006A75AF">
        <w:t xml:space="preserve">to </w:t>
      </w:r>
      <w:r w:rsidR="00F12FEE">
        <w:t xml:space="preserve">vary </w:t>
      </w:r>
      <w:r w:rsidR="00D22A53">
        <w:t xml:space="preserve">the </w:t>
      </w:r>
      <w:r w:rsidR="00847FF2" w:rsidRPr="00D22A53">
        <w:rPr>
          <w:i/>
        </w:rPr>
        <w:t xml:space="preserve">PGPA Act </w:t>
      </w:r>
      <w:r w:rsidR="00B9240B">
        <w:rPr>
          <w:i/>
        </w:rPr>
        <w:t xml:space="preserve">Determination </w:t>
      </w:r>
      <w:r w:rsidR="00847FF2" w:rsidRPr="00D22A53">
        <w:rPr>
          <w:i/>
        </w:rPr>
        <w:t>(</w:t>
      </w:r>
      <w:r w:rsidR="00B9240B">
        <w:rPr>
          <w:i/>
        </w:rPr>
        <w:t>POCA Programs Special Account 2018</w:t>
      </w:r>
      <w:r w:rsidR="00847FF2" w:rsidRPr="00D22A53">
        <w:rPr>
          <w:i/>
        </w:rPr>
        <w:t xml:space="preserve">) </w:t>
      </w:r>
      <w:r w:rsidR="00847FF2">
        <w:t>(</w:t>
      </w:r>
      <w:r w:rsidR="00847FF2" w:rsidRPr="00847FF2">
        <w:rPr>
          <w:b/>
        </w:rPr>
        <w:t>the principal determination</w:t>
      </w:r>
      <w:r w:rsidR="00847FF2">
        <w:t>). The principal determination establishe</w:t>
      </w:r>
      <w:r w:rsidR="00C12BA7">
        <w:t>s</w:t>
      </w:r>
      <w:r w:rsidR="00847FF2">
        <w:t xml:space="preserve"> the </w:t>
      </w:r>
      <w:r w:rsidR="00B9240B">
        <w:rPr>
          <w:i/>
        </w:rPr>
        <w:t>POCA Programs Special Account 2018</w:t>
      </w:r>
      <w:r w:rsidR="00D22A53">
        <w:t xml:space="preserve"> (</w:t>
      </w:r>
      <w:r w:rsidR="00D22A53" w:rsidRPr="00D22A53">
        <w:rPr>
          <w:b/>
        </w:rPr>
        <w:t>the special account</w:t>
      </w:r>
      <w:r w:rsidR="00D22A53">
        <w:t>).</w:t>
      </w:r>
      <w:r w:rsidR="0068716F" w:rsidRPr="006A75AF">
        <w:t xml:space="preserve"> </w:t>
      </w:r>
      <w:r w:rsidR="00146FAF">
        <w:t xml:space="preserve">This determination amends the principal determination following </w:t>
      </w:r>
      <w:r w:rsidR="00C63995" w:rsidRPr="00DC3B4B">
        <w:rPr>
          <w:szCs w:val="24"/>
        </w:rPr>
        <w:t xml:space="preserve">the </w:t>
      </w:r>
      <w:r w:rsidR="00C63995">
        <w:rPr>
          <w:szCs w:val="24"/>
        </w:rPr>
        <w:t xml:space="preserve">commencement of the new </w:t>
      </w:r>
      <w:r w:rsidR="00C63995" w:rsidRPr="00DC3B4B">
        <w:rPr>
          <w:szCs w:val="24"/>
        </w:rPr>
        <w:t xml:space="preserve">Administrative Arrangements Order </w:t>
      </w:r>
      <w:r w:rsidR="00C63995">
        <w:rPr>
          <w:szCs w:val="24"/>
        </w:rPr>
        <w:t>on</w:t>
      </w:r>
      <w:r w:rsidR="00C63995" w:rsidRPr="00DC3B4B">
        <w:rPr>
          <w:szCs w:val="24"/>
        </w:rPr>
        <w:t xml:space="preserve"> 13</w:t>
      </w:r>
      <w:r w:rsidR="00C63995">
        <w:rPr>
          <w:szCs w:val="24"/>
        </w:rPr>
        <w:t xml:space="preserve"> May 2025</w:t>
      </w:r>
      <w:r w:rsidR="00146FAF" w:rsidRPr="00146FAF">
        <w:rPr>
          <w:szCs w:val="24"/>
        </w:rPr>
        <w:t xml:space="preserve"> (</w:t>
      </w:r>
      <w:r w:rsidR="00146FAF" w:rsidRPr="00DC7E39">
        <w:rPr>
          <w:b/>
          <w:szCs w:val="24"/>
        </w:rPr>
        <w:t>AAO</w:t>
      </w:r>
      <w:r w:rsidR="00146FAF" w:rsidRPr="00146FAF">
        <w:rPr>
          <w:szCs w:val="24"/>
        </w:rPr>
        <w:t>).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>The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 xml:space="preserve">AAO transferred responsibility for </w:t>
      </w:r>
      <w:r w:rsidR="00E642BA">
        <w:rPr>
          <w:szCs w:val="24"/>
        </w:rPr>
        <w:t xml:space="preserve">the subject matter of the special account </w:t>
      </w:r>
      <w:r w:rsidR="00146FAF" w:rsidRPr="00146FAF">
        <w:rPr>
          <w:szCs w:val="24"/>
        </w:rPr>
        <w:t>from the Attorney-General</w:t>
      </w:r>
      <w:r w:rsidR="00370728">
        <w:rPr>
          <w:szCs w:val="24"/>
        </w:rPr>
        <w:t xml:space="preserve"> to the Minister for Home Affairs</w:t>
      </w:r>
      <w:r w:rsidR="00146FAF">
        <w:rPr>
          <w:szCs w:val="24"/>
        </w:rPr>
        <w:t>.</w:t>
      </w:r>
    </w:p>
    <w:p w14:paraId="5D1BE6A6" w14:textId="19B2BC9D" w:rsidR="00D22A53" w:rsidRDefault="00D22A53" w:rsidP="00C63995">
      <w:pPr>
        <w:pStyle w:val="BodyText"/>
        <w:spacing w:before="120" w:after="120"/>
      </w:pPr>
      <w:r w:rsidRPr="00146FAF">
        <w:rPr>
          <w:szCs w:val="24"/>
        </w:rPr>
        <w:t>The determina</w:t>
      </w:r>
      <w:r>
        <w:t xml:space="preserve">tion </w:t>
      </w:r>
      <w:r w:rsidR="00C235BB">
        <w:t>amends</w:t>
      </w:r>
      <w:r w:rsidR="00C235BB" w:rsidRPr="00945A09">
        <w:t xml:space="preserve"> </w:t>
      </w:r>
      <w:r w:rsidR="00945A09">
        <w:t>the principal determination to</w:t>
      </w:r>
      <w:r w:rsidR="00FB37E1">
        <w:t xml:space="preserve"> </w:t>
      </w:r>
      <w:r w:rsidR="00945A09">
        <w:t>u</w:t>
      </w:r>
      <w:r>
        <w:t xml:space="preserve">pdate the accountable authority </w:t>
      </w:r>
      <w:r w:rsidR="00C235BB">
        <w:t xml:space="preserve">responsible for </w:t>
      </w:r>
      <w:r>
        <w:t>the special account.</w:t>
      </w:r>
    </w:p>
    <w:p w14:paraId="3CBE0BCB" w14:textId="50C98E2F" w:rsidR="00D22A53" w:rsidRDefault="00D22A53" w:rsidP="00C63995">
      <w:pPr>
        <w:pStyle w:val="BodyText"/>
        <w:spacing w:before="120" w:after="120"/>
      </w:pPr>
      <w:r>
        <w:t xml:space="preserve">These minor </w:t>
      </w:r>
      <w:r w:rsidRPr="00945A09">
        <w:rPr>
          <w:szCs w:val="24"/>
        </w:rPr>
        <w:t xml:space="preserve">administrative amendments to the </w:t>
      </w:r>
      <w:r w:rsidR="00373B56">
        <w:rPr>
          <w:szCs w:val="24"/>
        </w:rPr>
        <w:t>principal determination</w:t>
      </w:r>
      <w:r w:rsidRPr="00945A09">
        <w:rPr>
          <w:szCs w:val="24"/>
        </w:rPr>
        <w:t xml:space="preserve"> </w:t>
      </w:r>
      <w:r w:rsidR="00945A09" w:rsidRPr="00945A09">
        <w:rPr>
          <w:szCs w:val="24"/>
        </w:rPr>
        <w:t xml:space="preserve">reflect </w:t>
      </w:r>
      <w:bookmarkStart w:id="2" w:name="_Hlk201658998"/>
      <w:r w:rsidR="00C2223D" w:rsidRPr="00945A09">
        <w:rPr>
          <w:szCs w:val="24"/>
        </w:rPr>
        <w:t xml:space="preserve">the </w:t>
      </w:r>
      <w:r w:rsidR="00C2223D">
        <w:rPr>
          <w:szCs w:val="24"/>
        </w:rPr>
        <w:t>AAO on 13 May 2025</w:t>
      </w:r>
      <w:bookmarkEnd w:id="2"/>
      <w:r w:rsidR="00945A09" w:rsidRPr="00945A09">
        <w:rPr>
          <w:szCs w:val="24"/>
        </w:rPr>
        <w:t xml:space="preserve"> </w:t>
      </w:r>
      <w:r w:rsidR="00AA38A3">
        <w:rPr>
          <w:szCs w:val="24"/>
        </w:rPr>
        <w:t xml:space="preserve">by </w:t>
      </w:r>
      <w:r w:rsidR="00373B56">
        <w:rPr>
          <w:szCs w:val="24"/>
        </w:rPr>
        <w:t>making</w:t>
      </w:r>
      <w:r w:rsidRPr="00945A09">
        <w:rPr>
          <w:szCs w:val="24"/>
        </w:rPr>
        <w:t xml:space="preserve"> the </w:t>
      </w:r>
      <w:r w:rsidR="00502ED4">
        <w:rPr>
          <w:szCs w:val="24"/>
        </w:rPr>
        <w:t>S</w:t>
      </w:r>
      <w:r w:rsidR="00945A09" w:rsidRPr="00945A09">
        <w:rPr>
          <w:szCs w:val="24"/>
        </w:rPr>
        <w:t>ecretary of the</w:t>
      </w:r>
      <w:r w:rsidR="009E449E">
        <w:rPr>
          <w:szCs w:val="24"/>
        </w:rPr>
        <w:t xml:space="preserve"> Department of</w:t>
      </w:r>
      <w:r w:rsidR="00945A09" w:rsidRPr="00945A09">
        <w:rPr>
          <w:szCs w:val="24"/>
        </w:rPr>
        <w:t xml:space="preserve"> </w:t>
      </w:r>
      <w:r w:rsidR="00D80E90">
        <w:rPr>
          <w:szCs w:val="24"/>
        </w:rPr>
        <w:t>Home Affairs</w:t>
      </w:r>
      <w:r w:rsidR="009E449E">
        <w:rPr>
          <w:szCs w:val="24"/>
        </w:rPr>
        <w:t xml:space="preserve"> </w:t>
      </w:r>
      <w:r w:rsidR="00945A09">
        <w:t>responsible for the special account.</w:t>
      </w:r>
    </w:p>
    <w:p w14:paraId="1A2B7508" w14:textId="77777777" w:rsidR="00273E35" w:rsidRPr="006A75AF" w:rsidRDefault="00737093" w:rsidP="00C63995">
      <w:pPr>
        <w:pStyle w:val="Heading3"/>
        <w:spacing w:before="360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C63995">
      <w:pPr>
        <w:pStyle w:val="BodyText"/>
        <w:spacing w:before="120" w:after="120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C63995">
      <w:pPr>
        <w:pStyle w:val="BodyText"/>
        <w:spacing w:before="120" w:after="120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C63995">
      <w:pPr>
        <w:pStyle w:val="BodyText"/>
        <w:spacing w:before="120" w:after="120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C63995">
      <w:pPr>
        <w:pStyle w:val="BodyText"/>
        <w:numPr>
          <w:ilvl w:val="0"/>
          <w:numId w:val="32"/>
        </w:numPr>
        <w:spacing w:before="120" w:after="120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C63995">
      <w:pPr>
        <w:pStyle w:val="BodyText"/>
        <w:numPr>
          <w:ilvl w:val="0"/>
          <w:numId w:val="32"/>
        </w:numPr>
        <w:spacing w:before="120" w:after="120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C63995">
      <w:pPr>
        <w:pStyle w:val="Heading3"/>
        <w:spacing w:before="360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D6307C1" w14:textId="734CFE0C" w:rsidR="0060562B" w:rsidRPr="001D750E" w:rsidRDefault="002A7FD7" w:rsidP="00C63995">
      <w:pPr>
        <w:pStyle w:val="BodyText"/>
        <w:spacing w:before="120" w:after="120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C63995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</w:t>
      </w:r>
      <w:proofErr w:type="gramStart"/>
      <w:r w:rsidRPr="001D750E">
        <w:rPr>
          <w:sz w:val="24"/>
          <w:szCs w:val="24"/>
        </w:rPr>
        <w:t>Finance Minister</w:t>
      </w:r>
      <w:proofErr w:type="gramEnd"/>
      <w:r w:rsidRPr="001D750E">
        <w:rPr>
          <w:sz w:val="24"/>
          <w:szCs w:val="24"/>
        </w:rPr>
        <w:t xml:space="preserve">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C63995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lastRenderedPageBreak/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04757B71" w:rsidR="00370E0A" w:rsidRPr="001D750E" w:rsidRDefault="00B2599A" w:rsidP="00C63995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</w:t>
      </w:r>
      <w:r w:rsidR="00370E0A" w:rsidRPr="003C7229">
        <w:rPr>
          <w:sz w:val="24"/>
          <w:szCs w:val="24"/>
        </w:rPr>
        <w:t>tion</w:t>
      </w:r>
      <w:r w:rsidR="00370E0A" w:rsidRPr="008611D2">
        <w:rPr>
          <w:sz w:val="24"/>
          <w:szCs w:val="24"/>
        </w:rPr>
        <w:t>.</w:t>
      </w:r>
      <w:r w:rsidR="00D5023A" w:rsidRPr="008611D2">
        <w:rPr>
          <w:sz w:val="24"/>
          <w:szCs w:val="24"/>
        </w:rPr>
        <w:t xml:space="preserve"> This determination </w:t>
      </w:r>
      <w:r w:rsidR="0081024F" w:rsidRPr="008611D2">
        <w:rPr>
          <w:sz w:val="24"/>
          <w:szCs w:val="24"/>
        </w:rPr>
        <w:t xml:space="preserve">specifies that it will commence on the </w:t>
      </w:r>
      <w:r w:rsidR="004D458A" w:rsidRPr="008611D2">
        <w:rPr>
          <w:sz w:val="24"/>
          <w:szCs w:val="24"/>
        </w:rPr>
        <w:t xml:space="preserve">later of the </w:t>
      </w:r>
      <w:r w:rsidR="0081024F" w:rsidRPr="008611D2">
        <w:rPr>
          <w:sz w:val="24"/>
          <w:szCs w:val="24"/>
        </w:rPr>
        <w:t>day immediately after the last day on which it could have been disallowed</w:t>
      </w:r>
      <w:r w:rsidR="004D458A" w:rsidRPr="008611D2">
        <w:rPr>
          <w:sz w:val="24"/>
          <w:szCs w:val="24"/>
        </w:rPr>
        <w:t xml:space="preserve"> or </w:t>
      </w:r>
      <w:r w:rsidR="008611D2">
        <w:rPr>
          <w:sz w:val="24"/>
          <w:szCs w:val="24"/>
        </w:rPr>
        <w:t>1 September</w:t>
      </w:r>
      <w:r w:rsidR="004D458A" w:rsidRPr="008611D2">
        <w:rPr>
          <w:sz w:val="24"/>
          <w:szCs w:val="24"/>
        </w:rPr>
        <w:t xml:space="preserve"> 2025</w:t>
      </w:r>
      <w:r w:rsidR="0081024F" w:rsidRPr="008611D2">
        <w:rPr>
          <w:sz w:val="24"/>
          <w:szCs w:val="24"/>
        </w:rPr>
        <w:t>.</w:t>
      </w:r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C63995">
      <w:pPr>
        <w:pStyle w:val="Heading3"/>
        <w:keepLines/>
        <w:spacing w:before="360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C63995">
      <w:pPr>
        <w:keepNext/>
        <w:keepLines/>
        <w:spacing w:before="120" w:after="120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C63995">
      <w:pPr>
        <w:pStyle w:val="Heading3"/>
        <w:spacing w:before="360"/>
        <w:rPr>
          <w:i/>
        </w:rPr>
      </w:pPr>
      <w:r w:rsidRPr="001D750E">
        <w:rPr>
          <w:i/>
        </w:rPr>
        <w:t>Consultation</w:t>
      </w:r>
    </w:p>
    <w:p w14:paraId="51187965" w14:textId="3546ECD5" w:rsidR="0068716F" w:rsidRDefault="00192DF5" w:rsidP="00C63995">
      <w:pPr>
        <w:pStyle w:val="BodyText"/>
        <w:spacing w:after="240"/>
      </w:pPr>
      <w:r>
        <w:t xml:space="preserve">The </w:t>
      </w:r>
      <w:r w:rsidR="00631BC6">
        <w:t>Department of</w:t>
      </w:r>
      <w:r w:rsidR="00D80E90">
        <w:t xml:space="preserve"> Home Affairs</w:t>
      </w:r>
      <w:r w:rsidR="00631BC6">
        <w:t xml:space="preserve"> </w:t>
      </w:r>
      <w:r w:rsidR="00D80E90">
        <w:t>were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6922EC8" w:rsidR="00CE0AB2" w:rsidRPr="006D49FD" w:rsidRDefault="00572CDE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404">
    <w:abstractNumId w:val="1"/>
  </w:num>
  <w:num w:numId="2" w16cid:durableId="1170870451">
    <w:abstractNumId w:val="16"/>
  </w:num>
  <w:num w:numId="3" w16cid:durableId="679698157">
    <w:abstractNumId w:val="32"/>
  </w:num>
  <w:num w:numId="4" w16cid:durableId="1036468108">
    <w:abstractNumId w:val="14"/>
  </w:num>
  <w:num w:numId="5" w16cid:durableId="376663982">
    <w:abstractNumId w:val="19"/>
  </w:num>
  <w:num w:numId="6" w16cid:durableId="1478499350">
    <w:abstractNumId w:val="2"/>
  </w:num>
  <w:num w:numId="7" w16cid:durableId="1561331320">
    <w:abstractNumId w:val="21"/>
  </w:num>
  <w:num w:numId="8" w16cid:durableId="1285231659">
    <w:abstractNumId w:val="34"/>
  </w:num>
  <w:num w:numId="9" w16cid:durableId="1246959217">
    <w:abstractNumId w:val="20"/>
  </w:num>
  <w:num w:numId="10" w16cid:durableId="209921015">
    <w:abstractNumId w:val="35"/>
  </w:num>
  <w:num w:numId="11" w16cid:durableId="286668289">
    <w:abstractNumId w:val="10"/>
  </w:num>
  <w:num w:numId="12" w16cid:durableId="72162666">
    <w:abstractNumId w:val="9"/>
  </w:num>
  <w:num w:numId="13" w16cid:durableId="1192651913">
    <w:abstractNumId w:val="15"/>
  </w:num>
  <w:num w:numId="14" w16cid:durableId="1005091968">
    <w:abstractNumId w:val="5"/>
  </w:num>
  <w:num w:numId="15" w16cid:durableId="1971132735">
    <w:abstractNumId w:val="24"/>
  </w:num>
  <w:num w:numId="16" w16cid:durableId="1921061830">
    <w:abstractNumId w:val="11"/>
  </w:num>
  <w:num w:numId="17" w16cid:durableId="201140725">
    <w:abstractNumId w:val="22"/>
  </w:num>
  <w:num w:numId="18" w16cid:durableId="15229218">
    <w:abstractNumId w:val="8"/>
  </w:num>
  <w:num w:numId="19" w16cid:durableId="1751586093">
    <w:abstractNumId w:val="25"/>
  </w:num>
  <w:num w:numId="20" w16cid:durableId="1612279040">
    <w:abstractNumId w:val="31"/>
  </w:num>
  <w:num w:numId="21" w16cid:durableId="1755861208">
    <w:abstractNumId w:val="30"/>
  </w:num>
  <w:num w:numId="22" w16cid:durableId="1968394584">
    <w:abstractNumId w:val="17"/>
  </w:num>
  <w:num w:numId="23" w16cid:durableId="1572929622">
    <w:abstractNumId w:val="27"/>
  </w:num>
  <w:num w:numId="24" w16cid:durableId="996104695">
    <w:abstractNumId w:val="28"/>
  </w:num>
  <w:num w:numId="25" w16cid:durableId="892932211">
    <w:abstractNumId w:val="23"/>
  </w:num>
  <w:num w:numId="26" w16cid:durableId="1632664122">
    <w:abstractNumId w:val="6"/>
  </w:num>
  <w:num w:numId="27" w16cid:durableId="1313024573">
    <w:abstractNumId w:val="33"/>
  </w:num>
  <w:num w:numId="28" w16cid:durableId="657851522">
    <w:abstractNumId w:val="7"/>
  </w:num>
  <w:num w:numId="29" w16cid:durableId="26833141">
    <w:abstractNumId w:val="18"/>
  </w:num>
  <w:num w:numId="30" w16cid:durableId="1726175917">
    <w:abstractNumId w:val="26"/>
  </w:num>
  <w:num w:numId="31" w16cid:durableId="269514831">
    <w:abstractNumId w:val="29"/>
  </w:num>
  <w:num w:numId="32" w16cid:durableId="1553153727">
    <w:abstractNumId w:val="4"/>
  </w:num>
  <w:num w:numId="33" w16cid:durableId="1979875176">
    <w:abstractNumId w:val="36"/>
  </w:num>
  <w:num w:numId="34" w16cid:durableId="1304505808">
    <w:abstractNumId w:val="13"/>
  </w:num>
  <w:num w:numId="35" w16cid:durableId="1889955811">
    <w:abstractNumId w:val="12"/>
  </w:num>
  <w:num w:numId="36" w16cid:durableId="1741097052">
    <w:abstractNumId w:val="0"/>
  </w:num>
  <w:num w:numId="37" w16cid:durableId="25115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69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C40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C71"/>
    <w:rsid w:val="00146FAF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2DF5"/>
    <w:rsid w:val="00193511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1F6A40"/>
    <w:rsid w:val="002003FA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2EAB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C7D49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214F"/>
    <w:rsid w:val="00335424"/>
    <w:rsid w:val="003432DA"/>
    <w:rsid w:val="00343AC3"/>
    <w:rsid w:val="00345E56"/>
    <w:rsid w:val="00346038"/>
    <w:rsid w:val="0035216B"/>
    <w:rsid w:val="00364593"/>
    <w:rsid w:val="00370479"/>
    <w:rsid w:val="00370728"/>
    <w:rsid w:val="00370E0A"/>
    <w:rsid w:val="00373B56"/>
    <w:rsid w:val="00373BDA"/>
    <w:rsid w:val="00375DFE"/>
    <w:rsid w:val="00377C45"/>
    <w:rsid w:val="003811B3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C71AD"/>
    <w:rsid w:val="003C7229"/>
    <w:rsid w:val="003D2902"/>
    <w:rsid w:val="003D3AE3"/>
    <w:rsid w:val="003D702D"/>
    <w:rsid w:val="003D7F26"/>
    <w:rsid w:val="003E2BBB"/>
    <w:rsid w:val="003F58C9"/>
    <w:rsid w:val="003F6F38"/>
    <w:rsid w:val="003F7998"/>
    <w:rsid w:val="0040171D"/>
    <w:rsid w:val="00402FD8"/>
    <w:rsid w:val="00404205"/>
    <w:rsid w:val="004077C4"/>
    <w:rsid w:val="00416E3C"/>
    <w:rsid w:val="00421747"/>
    <w:rsid w:val="00421DE2"/>
    <w:rsid w:val="00423BAD"/>
    <w:rsid w:val="004260F8"/>
    <w:rsid w:val="00426532"/>
    <w:rsid w:val="00430105"/>
    <w:rsid w:val="00434B14"/>
    <w:rsid w:val="004459DA"/>
    <w:rsid w:val="00450591"/>
    <w:rsid w:val="0045109E"/>
    <w:rsid w:val="004510A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C03"/>
    <w:rsid w:val="0048707B"/>
    <w:rsid w:val="00487551"/>
    <w:rsid w:val="004876C4"/>
    <w:rsid w:val="004903B3"/>
    <w:rsid w:val="0049205A"/>
    <w:rsid w:val="004920D0"/>
    <w:rsid w:val="00492280"/>
    <w:rsid w:val="00495F0B"/>
    <w:rsid w:val="004A04AF"/>
    <w:rsid w:val="004A31B6"/>
    <w:rsid w:val="004B1F89"/>
    <w:rsid w:val="004B379B"/>
    <w:rsid w:val="004B4939"/>
    <w:rsid w:val="004C4218"/>
    <w:rsid w:val="004C599B"/>
    <w:rsid w:val="004C5C3C"/>
    <w:rsid w:val="004C6029"/>
    <w:rsid w:val="004D1D6C"/>
    <w:rsid w:val="004D2DA6"/>
    <w:rsid w:val="004D458A"/>
    <w:rsid w:val="004D5DE2"/>
    <w:rsid w:val="004D6F68"/>
    <w:rsid w:val="004D795E"/>
    <w:rsid w:val="004E0AE7"/>
    <w:rsid w:val="004F2250"/>
    <w:rsid w:val="004F3784"/>
    <w:rsid w:val="004F43E8"/>
    <w:rsid w:val="004F443E"/>
    <w:rsid w:val="004F69A4"/>
    <w:rsid w:val="005008DE"/>
    <w:rsid w:val="00502ED4"/>
    <w:rsid w:val="00504B6C"/>
    <w:rsid w:val="00505CD9"/>
    <w:rsid w:val="0050744C"/>
    <w:rsid w:val="005107F2"/>
    <w:rsid w:val="005107F5"/>
    <w:rsid w:val="0051082A"/>
    <w:rsid w:val="00510D5B"/>
    <w:rsid w:val="0051562C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5870"/>
    <w:rsid w:val="005863CD"/>
    <w:rsid w:val="00590036"/>
    <w:rsid w:val="00590182"/>
    <w:rsid w:val="00593A9F"/>
    <w:rsid w:val="00593DD1"/>
    <w:rsid w:val="0059535D"/>
    <w:rsid w:val="00597360"/>
    <w:rsid w:val="005A201A"/>
    <w:rsid w:val="005A2E0A"/>
    <w:rsid w:val="005A660F"/>
    <w:rsid w:val="005A6C7F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1BC6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143A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6122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08E7"/>
    <w:rsid w:val="007349EE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34CF"/>
    <w:rsid w:val="007E4163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11D2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29C7"/>
    <w:rsid w:val="008C4A8C"/>
    <w:rsid w:val="008C5565"/>
    <w:rsid w:val="008C5A70"/>
    <w:rsid w:val="008C6B94"/>
    <w:rsid w:val="008D0E3E"/>
    <w:rsid w:val="008D675F"/>
    <w:rsid w:val="008D76FA"/>
    <w:rsid w:val="008F0A3F"/>
    <w:rsid w:val="008F24EC"/>
    <w:rsid w:val="008F2D62"/>
    <w:rsid w:val="008F3048"/>
    <w:rsid w:val="009077D1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5A09"/>
    <w:rsid w:val="00946EF7"/>
    <w:rsid w:val="00957A4C"/>
    <w:rsid w:val="009619A3"/>
    <w:rsid w:val="0096309B"/>
    <w:rsid w:val="009636CF"/>
    <w:rsid w:val="00976513"/>
    <w:rsid w:val="0098142E"/>
    <w:rsid w:val="0098177B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A72D8"/>
    <w:rsid w:val="009B14C2"/>
    <w:rsid w:val="009B1885"/>
    <w:rsid w:val="009B6B2F"/>
    <w:rsid w:val="009B6EE3"/>
    <w:rsid w:val="009C1F3A"/>
    <w:rsid w:val="009C238A"/>
    <w:rsid w:val="009C325E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449E"/>
    <w:rsid w:val="009E70F6"/>
    <w:rsid w:val="009F0010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AD6"/>
    <w:rsid w:val="00A166B7"/>
    <w:rsid w:val="00A215BE"/>
    <w:rsid w:val="00A217E1"/>
    <w:rsid w:val="00A24ADC"/>
    <w:rsid w:val="00A338A9"/>
    <w:rsid w:val="00A35C0B"/>
    <w:rsid w:val="00A369D5"/>
    <w:rsid w:val="00A44E95"/>
    <w:rsid w:val="00A47645"/>
    <w:rsid w:val="00A47D3D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2A90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8A3"/>
    <w:rsid w:val="00AA3A07"/>
    <w:rsid w:val="00AA4A0C"/>
    <w:rsid w:val="00AB14C4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7AFA"/>
    <w:rsid w:val="00B43064"/>
    <w:rsid w:val="00B43397"/>
    <w:rsid w:val="00B4613A"/>
    <w:rsid w:val="00B4639D"/>
    <w:rsid w:val="00B47A0D"/>
    <w:rsid w:val="00B53522"/>
    <w:rsid w:val="00B617FB"/>
    <w:rsid w:val="00B745E0"/>
    <w:rsid w:val="00B75889"/>
    <w:rsid w:val="00B766E7"/>
    <w:rsid w:val="00B828CD"/>
    <w:rsid w:val="00B833E9"/>
    <w:rsid w:val="00B8562B"/>
    <w:rsid w:val="00B9180C"/>
    <w:rsid w:val="00B9240B"/>
    <w:rsid w:val="00B948DF"/>
    <w:rsid w:val="00B956D2"/>
    <w:rsid w:val="00B96461"/>
    <w:rsid w:val="00BA0B8D"/>
    <w:rsid w:val="00BA782C"/>
    <w:rsid w:val="00BB0035"/>
    <w:rsid w:val="00BB3704"/>
    <w:rsid w:val="00BB43E3"/>
    <w:rsid w:val="00BB62C6"/>
    <w:rsid w:val="00BB73CB"/>
    <w:rsid w:val="00BC65C0"/>
    <w:rsid w:val="00BD0759"/>
    <w:rsid w:val="00BD0819"/>
    <w:rsid w:val="00BD2856"/>
    <w:rsid w:val="00BD376E"/>
    <w:rsid w:val="00BD66C3"/>
    <w:rsid w:val="00BE0A72"/>
    <w:rsid w:val="00BE4509"/>
    <w:rsid w:val="00BE62F5"/>
    <w:rsid w:val="00BF1493"/>
    <w:rsid w:val="00BF1ECF"/>
    <w:rsid w:val="00BF2411"/>
    <w:rsid w:val="00C0116D"/>
    <w:rsid w:val="00C03EB1"/>
    <w:rsid w:val="00C06629"/>
    <w:rsid w:val="00C10264"/>
    <w:rsid w:val="00C108EE"/>
    <w:rsid w:val="00C1168D"/>
    <w:rsid w:val="00C12BA7"/>
    <w:rsid w:val="00C133EA"/>
    <w:rsid w:val="00C1586E"/>
    <w:rsid w:val="00C174D5"/>
    <w:rsid w:val="00C207F3"/>
    <w:rsid w:val="00C20806"/>
    <w:rsid w:val="00C2223D"/>
    <w:rsid w:val="00C22CB2"/>
    <w:rsid w:val="00C22DF4"/>
    <w:rsid w:val="00C235BB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3995"/>
    <w:rsid w:val="00C655A3"/>
    <w:rsid w:val="00C659F6"/>
    <w:rsid w:val="00C6793A"/>
    <w:rsid w:val="00C71080"/>
    <w:rsid w:val="00C73650"/>
    <w:rsid w:val="00C74A16"/>
    <w:rsid w:val="00C756AE"/>
    <w:rsid w:val="00C770BC"/>
    <w:rsid w:val="00C775C5"/>
    <w:rsid w:val="00C80E2C"/>
    <w:rsid w:val="00C82233"/>
    <w:rsid w:val="00C8365E"/>
    <w:rsid w:val="00C84220"/>
    <w:rsid w:val="00C92341"/>
    <w:rsid w:val="00C93D4D"/>
    <w:rsid w:val="00CA138D"/>
    <w:rsid w:val="00CA3A05"/>
    <w:rsid w:val="00CA5542"/>
    <w:rsid w:val="00CB0645"/>
    <w:rsid w:val="00CB29EE"/>
    <w:rsid w:val="00CB2C4C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04E1A"/>
    <w:rsid w:val="00D10360"/>
    <w:rsid w:val="00D147FB"/>
    <w:rsid w:val="00D149EF"/>
    <w:rsid w:val="00D1572B"/>
    <w:rsid w:val="00D16FBB"/>
    <w:rsid w:val="00D21590"/>
    <w:rsid w:val="00D22820"/>
    <w:rsid w:val="00D22A53"/>
    <w:rsid w:val="00D244C4"/>
    <w:rsid w:val="00D24AB2"/>
    <w:rsid w:val="00D24DEB"/>
    <w:rsid w:val="00D24E87"/>
    <w:rsid w:val="00D252D2"/>
    <w:rsid w:val="00D27837"/>
    <w:rsid w:val="00D3235E"/>
    <w:rsid w:val="00D35F07"/>
    <w:rsid w:val="00D36A12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5CE5"/>
    <w:rsid w:val="00D63E96"/>
    <w:rsid w:val="00D676E6"/>
    <w:rsid w:val="00D72328"/>
    <w:rsid w:val="00D76603"/>
    <w:rsid w:val="00D77EC0"/>
    <w:rsid w:val="00D80E90"/>
    <w:rsid w:val="00D81DD0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D53"/>
    <w:rsid w:val="00DC7E39"/>
    <w:rsid w:val="00DC7FBA"/>
    <w:rsid w:val="00DD06F0"/>
    <w:rsid w:val="00DD0AB8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DF5CA7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2BA"/>
    <w:rsid w:val="00E64871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C1C0A"/>
    <w:rsid w:val="00EC50BA"/>
    <w:rsid w:val="00ED1AE1"/>
    <w:rsid w:val="00ED3447"/>
    <w:rsid w:val="00ED3DED"/>
    <w:rsid w:val="00ED6833"/>
    <w:rsid w:val="00EE0FAC"/>
    <w:rsid w:val="00EE1A1F"/>
    <w:rsid w:val="00EE4E98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FEE"/>
    <w:rsid w:val="00F15F3B"/>
    <w:rsid w:val="00F1729C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10FF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4537"/>
    <w:rsid w:val="00F869BC"/>
    <w:rsid w:val="00F86A8E"/>
    <w:rsid w:val="00F8778B"/>
    <w:rsid w:val="00F94F71"/>
    <w:rsid w:val="00FA06E6"/>
    <w:rsid w:val="00FA355D"/>
    <w:rsid w:val="00FA62D0"/>
    <w:rsid w:val="00FB0D27"/>
    <w:rsid w:val="00FB237C"/>
    <w:rsid w:val="00FB3257"/>
    <w:rsid w:val="00FB37E1"/>
    <w:rsid w:val="00FB3B80"/>
    <w:rsid w:val="00FB49B0"/>
    <w:rsid w:val="00FB6A7C"/>
    <w:rsid w:val="00FB6D64"/>
    <w:rsid w:val="00FB6D77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 D o c u m e n t s ! 4 6 4 1 4 7 8 7 . 3 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FIN34055-1565050583-65997</_dlc_DocId>
    <_dlc_DocIdUrl xmlns="6a7e9632-768a-49bf-85ac-c69233ab2a52">
      <Url>https://financegovau.sharepoint.com/sites/M365_DoF_50034055/_layouts/15/DocIdRedir.aspx?ID=FIN34055-1565050583-65997</Url>
      <Description>FIN34055-1565050583-65997</Description>
    </_dlc_DocIdUrl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0341E1-44C1-4419-A3BB-F07BB31E3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82B0-9972-4654-B50C-90676F73D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ACE44-D883-40DA-A552-F09867E6F194}"/>
</file>

<file path=customXml/itemProps4.xml><?xml version="1.0" encoding="utf-8"?>
<ds:datastoreItem xmlns:ds="http://schemas.openxmlformats.org/officeDocument/2006/customXml" ds:itemID="{12A33599-B611-42A1-8A8F-FADD7E9EC5E7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0F4150A6-DCF0-4BE5-8FB8-B2DC793E7D4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5003BC0-B3E0-4704-B8AC-CBCFC0FF9E5D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3AE85A5-2167-47D1-AD04-7E363F9ACE4C}"/>
</file>

<file path=customXml/itemProps7.xml><?xml version="1.0" encoding="utf-8"?>
<ds:datastoreItem xmlns:ds="http://schemas.openxmlformats.org/officeDocument/2006/customXml" ds:itemID="{E5C6920B-68F9-4632-8001-F517C9469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3572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keywords>[SEC=OFFICIAL]</cp:keywords>
  <cp:lastModifiedBy>Everest, Megan</cp:lastModifiedBy>
  <cp:revision>2</cp:revision>
  <cp:lastPrinted>2022-11-22T03:59:00Z</cp:lastPrinted>
  <dcterms:created xsi:type="dcterms:W3CDTF">2025-07-01T03:15:00Z</dcterms:created>
  <dcterms:modified xsi:type="dcterms:W3CDTF">2025-07-01T03:15:00Z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v=2022.1;a=SHA256;h=F4CE25B8FBE7F26430409098C8A2F9D6A8319124B371863F7943D16D7857C0D9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2025-06-06T06:05:00Z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F97411D05C6FA9DD60E28EB580CA4477912002EF9339C166A05CCAD4B78CDFB3</vt:lpwstr>
  </property>
  <property fmtid="{D5CDD505-2E9C-101B-9397-08002B2CF9AE}" pid="21" name="MSIP_Label_87d6481e-ccdd-4ab6-8b26-05a0df5699e7_SetDate">
    <vt:lpwstr>2025-06-06T06:05:00Z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9274b45a9b654df08478b821c29ef651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69C001C617DC5D0771332935BD9FA8A6FE8BF0E2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CB5E687FE0A948378C4C17BDEF8D81D2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A439E4A65278C275008EA7810DC2B2DA</vt:lpwstr>
  </property>
  <property fmtid="{D5CDD505-2E9C-101B-9397-08002B2CF9AE}" pid="37" name="PM_Hash_Salt">
    <vt:lpwstr>09743331DD91CC898756682026D1637B</vt:lpwstr>
  </property>
  <property fmtid="{D5CDD505-2E9C-101B-9397-08002B2CF9AE}" pid="38" name="PM_Hash_SHA1">
    <vt:lpwstr>9402B7F0039A108AAE5E1DF244D41984DEF6B373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i4>1</vt:i4>
  </property>
  <property fmtid="{D5CDD505-2E9C-101B-9397-08002B2CF9AE}" pid="44" name="_dlc_DocIdItemGuid">
    <vt:lpwstr>726f0480-ee53-4957-b0ff-bf1b530d380c</vt:lpwstr>
  </property>
  <property fmtid="{D5CDD505-2E9C-101B-9397-08002B2CF9AE}" pid="45" name="About Entity">
    <vt:i4>2</vt:i4>
  </property>
  <property fmtid="{D5CDD505-2E9C-101B-9397-08002B2CF9AE}" pid="46" name="Initiating Entity">
    <vt:i4>2</vt:i4>
  </property>
</Properties>
</file>