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AA06" w14:textId="3C7E2DB0" w:rsidR="00715914" w:rsidRPr="003D009E" w:rsidRDefault="0078164B" w:rsidP="00715914">
      <w:pPr>
        <w:rPr>
          <w:sz w:val="28"/>
        </w:rPr>
      </w:pPr>
      <w:r>
        <w:rPr>
          <w:sz w:val="28"/>
        </w:rPr>
        <w:t xml:space="preserve"> </w:t>
      </w:r>
      <w:r w:rsidR="00DA186E" w:rsidRPr="003D009E">
        <w:rPr>
          <w:noProof/>
          <w:lang w:eastAsia="en-AU"/>
        </w:rPr>
        <w:drawing>
          <wp:inline distT="0" distB="0" distL="0" distR="0" wp14:anchorId="11504054" wp14:editId="4CD7D83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5278A7D" w14:textId="77777777" w:rsidR="00715914" w:rsidRPr="003D009E" w:rsidRDefault="00715914" w:rsidP="00715914">
      <w:pPr>
        <w:rPr>
          <w:sz w:val="19"/>
        </w:rPr>
      </w:pPr>
    </w:p>
    <w:p w14:paraId="48F89CE0" w14:textId="77777777" w:rsidR="00554826" w:rsidRPr="003D009E" w:rsidRDefault="00E57804" w:rsidP="00554826">
      <w:pPr>
        <w:pStyle w:val="ShortT"/>
      </w:pPr>
      <w:r w:rsidRPr="003D009E">
        <w:t>Biosecurity</w:t>
      </w:r>
      <w:r w:rsidR="00554826" w:rsidRPr="003D009E">
        <w:t xml:space="preserve"> (</w:t>
      </w:r>
      <w:r w:rsidRPr="003D009E">
        <w:t>Entry Requirements</w:t>
      </w:r>
      <w:r w:rsidR="00554826" w:rsidRPr="003D009E">
        <w:t xml:space="preserve">) </w:t>
      </w:r>
      <w:r w:rsidRPr="003D009E">
        <w:t>Determination 2025</w:t>
      </w:r>
    </w:p>
    <w:p w14:paraId="04A71173" w14:textId="14FD4DEB" w:rsidR="00554826" w:rsidRPr="003D009E" w:rsidRDefault="00554826" w:rsidP="00554826">
      <w:pPr>
        <w:pStyle w:val="SignCoverPageStart"/>
        <w:spacing w:before="240"/>
        <w:ind w:right="91"/>
        <w:rPr>
          <w:szCs w:val="22"/>
        </w:rPr>
      </w:pPr>
      <w:r w:rsidRPr="003D009E">
        <w:rPr>
          <w:szCs w:val="22"/>
        </w:rPr>
        <w:t xml:space="preserve">I, </w:t>
      </w:r>
      <w:r w:rsidR="002E2510" w:rsidRPr="003D009E">
        <w:rPr>
          <w:szCs w:val="22"/>
        </w:rPr>
        <w:t>Mark Butler</w:t>
      </w:r>
      <w:r w:rsidRPr="003D009E">
        <w:rPr>
          <w:szCs w:val="22"/>
        </w:rPr>
        <w:t xml:space="preserve">, </w:t>
      </w:r>
      <w:r w:rsidR="002E2510" w:rsidRPr="003D009E">
        <w:rPr>
          <w:szCs w:val="22"/>
        </w:rPr>
        <w:t>Minister for Health and Ageing</w:t>
      </w:r>
      <w:r w:rsidRPr="003D009E">
        <w:rPr>
          <w:szCs w:val="22"/>
        </w:rPr>
        <w:t xml:space="preserve">, make the following </w:t>
      </w:r>
      <w:r w:rsidR="00E57804" w:rsidRPr="003D009E">
        <w:rPr>
          <w:szCs w:val="22"/>
        </w:rPr>
        <w:t>determination</w:t>
      </w:r>
      <w:r w:rsidRPr="003D009E">
        <w:rPr>
          <w:szCs w:val="22"/>
        </w:rPr>
        <w:t>.</w:t>
      </w:r>
    </w:p>
    <w:p w14:paraId="1855149D" w14:textId="4D78AF05" w:rsidR="00554826" w:rsidRPr="003D009E" w:rsidRDefault="00554826" w:rsidP="00554826">
      <w:pPr>
        <w:keepNext/>
        <w:spacing w:before="300" w:line="240" w:lineRule="atLeast"/>
        <w:ind w:right="397"/>
        <w:jc w:val="both"/>
        <w:rPr>
          <w:szCs w:val="22"/>
        </w:rPr>
      </w:pPr>
      <w:r w:rsidRPr="003D009E">
        <w:rPr>
          <w:szCs w:val="22"/>
        </w:rPr>
        <w:t>Dated</w:t>
      </w:r>
      <w:r w:rsidRPr="003D009E">
        <w:rPr>
          <w:szCs w:val="22"/>
        </w:rPr>
        <w:tab/>
      </w:r>
      <w:r w:rsidRPr="003D009E">
        <w:rPr>
          <w:szCs w:val="22"/>
        </w:rPr>
        <w:tab/>
      </w:r>
      <w:r w:rsidRPr="003D009E">
        <w:rPr>
          <w:szCs w:val="22"/>
        </w:rPr>
        <w:tab/>
      </w:r>
      <w:r w:rsidRPr="003D009E">
        <w:rPr>
          <w:szCs w:val="22"/>
        </w:rPr>
        <w:tab/>
      </w:r>
      <w:r w:rsidR="00FB285A" w:rsidRPr="003D009E">
        <w:rPr>
          <w:szCs w:val="22"/>
        </w:rPr>
        <w:t>26 June 2025</w:t>
      </w:r>
    </w:p>
    <w:p w14:paraId="1304887B" w14:textId="779C7EDE" w:rsidR="00554826" w:rsidRPr="003D009E" w:rsidRDefault="002E2510" w:rsidP="00554826">
      <w:pPr>
        <w:keepNext/>
        <w:tabs>
          <w:tab w:val="left" w:pos="3402"/>
        </w:tabs>
        <w:spacing w:before="1440" w:line="300" w:lineRule="atLeast"/>
        <w:ind w:right="397"/>
        <w:rPr>
          <w:b/>
          <w:szCs w:val="22"/>
        </w:rPr>
      </w:pPr>
      <w:r w:rsidRPr="003D009E">
        <w:rPr>
          <w:szCs w:val="22"/>
        </w:rPr>
        <w:t xml:space="preserve">Mark Butler </w:t>
      </w:r>
      <w:r w:rsidR="00554826" w:rsidRPr="003D009E">
        <w:rPr>
          <w:szCs w:val="22"/>
        </w:rPr>
        <w:t xml:space="preserve"> </w:t>
      </w:r>
    </w:p>
    <w:p w14:paraId="2FF48810" w14:textId="49BBF7F8" w:rsidR="00554826" w:rsidRPr="003D009E" w:rsidRDefault="002E2510" w:rsidP="00554826">
      <w:pPr>
        <w:pStyle w:val="SignCoverPageEnd"/>
        <w:ind w:right="91"/>
        <w:rPr>
          <w:sz w:val="22"/>
        </w:rPr>
      </w:pPr>
      <w:r w:rsidRPr="003D009E">
        <w:rPr>
          <w:sz w:val="22"/>
        </w:rPr>
        <w:t>Minister for Health</w:t>
      </w:r>
      <w:r w:rsidR="0078164B" w:rsidRPr="003D009E">
        <w:rPr>
          <w:sz w:val="22"/>
        </w:rPr>
        <w:t xml:space="preserve"> and</w:t>
      </w:r>
      <w:r w:rsidRPr="003D009E">
        <w:rPr>
          <w:sz w:val="22"/>
        </w:rPr>
        <w:t xml:space="preserve"> Ageing</w:t>
      </w:r>
    </w:p>
    <w:p w14:paraId="53149C30" w14:textId="77777777" w:rsidR="00554826" w:rsidRPr="003D009E" w:rsidRDefault="00554826" w:rsidP="00554826"/>
    <w:p w14:paraId="58B8B720" w14:textId="77777777" w:rsidR="00554826" w:rsidRPr="003D009E" w:rsidRDefault="00554826" w:rsidP="00554826"/>
    <w:p w14:paraId="415630B9" w14:textId="77777777" w:rsidR="00F6696E" w:rsidRPr="003D009E" w:rsidRDefault="00F6696E" w:rsidP="00F6696E"/>
    <w:p w14:paraId="22980AD7" w14:textId="77777777" w:rsidR="00F6696E" w:rsidRPr="003D009E" w:rsidRDefault="00F6696E" w:rsidP="00F6696E">
      <w:pPr>
        <w:sectPr w:rsidR="00F6696E" w:rsidRPr="003D009E" w:rsidSect="00F6696E">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4" w:right="1797" w:bottom="1440" w:left="1797" w:header="720" w:footer="989" w:gutter="0"/>
          <w:pgNumType w:start="1"/>
          <w:cols w:space="708"/>
          <w:titlePg/>
          <w:docGrid w:linePitch="360"/>
        </w:sectPr>
      </w:pPr>
    </w:p>
    <w:p w14:paraId="3DE4A795" w14:textId="77777777" w:rsidR="007500C8" w:rsidRPr="003D009E" w:rsidRDefault="00715914" w:rsidP="00715914">
      <w:pPr>
        <w:outlineLvl w:val="0"/>
        <w:rPr>
          <w:sz w:val="36"/>
        </w:rPr>
      </w:pPr>
      <w:r w:rsidRPr="003D009E">
        <w:rPr>
          <w:sz w:val="36"/>
        </w:rPr>
        <w:lastRenderedPageBreak/>
        <w:t>Contents</w:t>
      </w:r>
    </w:p>
    <w:p w14:paraId="648328B2" w14:textId="01C8808B" w:rsidR="00C86F00" w:rsidRPr="003D009E" w:rsidRDefault="00B418CB">
      <w:pPr>
        <w:pStyle w:val="TOC2"/>
        <w:rPr>
          <w:rFonts w:asciiTheme="minorHAnsi" w:eastAsiaTheme="minorEastAsia" w:hAnsiTheme="minorHAnsi" w:cstheme="minorBidi"/>
          <w:b w:val="0"/>
          <w:noProof/>
          <w:kern w:val="0"/>
          <w:sz w:val="22"/>
          <w:szCs w:val="22"/>
        </w:rPr>
      </w:pPr>
      <w:r w:rsidRPr="003D009E">
        <w:rPr>
          <w:rFonts w:eastAsiaTheme="minorHAnsi"/>
          <w:sz w:val="18"/>
        </w:rPr>
        <w:fldChar w:fldCharType="begin"/>
      </w:r>
      <w:r w:rsidRPr="003D009E">
        <w:instrText xml:space="preserve"> TOC \o "1-9" </w:instrText>
      </w:r>
      <w:r w:rsidRPr="003D009E">
        <w:rPr>
          <w:rFonts w:eastAsiaTheme="minorHAnsi"/>
          <w:sz w:val="18"/>
        </w:rPr>
        <w:fldChar w:fldCharType="separate"/>
      </w:r>
      <w:r w:rsidR="00C86F00" w:rsidRPr="003D009E">
        <w:rPr>
          <w:noProof/>
        </w:rPr>
        <w:t>Part 1—Preliminary</w:t>
      </w:r>
      <w:r w:rsidR="00C86F00" w:rsidRPr="003D009E">
        <w:rPr>
          <w:noProof/>
        </w:rPr>
        <w:tab/>
      </w:r>
      <w:r w:rsidR="00C86F00" w:rsidRPr="003D009E">
        <w:rPr>
          <w:noProof/>
        </w:rPr>
        <w:fldChar w:fldCharType="begin"/>
      </w:r>
      <w:r w:rsidR="00C86F00" w:rsidRPr="003D009E">
        <w:rPr>
          <w:noProof/>
        </w:rPr>
        <w:instrText xml:space="preserve"> PAGEREF _Toc200470601 \h </w:instrText>
      </w:r>
      <w:r w:rsidR="00C86F00" w:rsidRPr="003D009E">
        <w:rPr>
          <w:noProof/>
        </w:rPr>
      </w:r>
      <w:r w:rsidR="00C86F00" w:rsidRPr="003D009E">
        <w:rPr>
          <w:noProof/>
        </w:rPr>
        <w:fldChar w:fldCharType="separate"/>
      </w:r>
      <w:r w:rsidR="00FB6DC5" w:rsidRPr="003D009E">
        <w:rPr>
          <w:noProof/>
        </w:rPr>
        <w:t>1</w:t>
      </w:r>
      <w:r w:rsidR="00C86F00" w:rsidRPr="003D009E">
        <w:rPr>
          <w:noProof/>
        </w:rPr>
        <w:fldChar w:fldCharType="end"/>
      </w:r>
    </w:p>
    <w:p w14:paraId="16BD20CA" w14:textId="5CEC51EA" w:rsidR="00C86F00" w:rsidRPr="003D009E" w:rsidRDefault="00C86F00">
      <w:pPr>
        <w:pStyle w:val="TOC5"/>
        <w:rPr>
          <w:rFonts w:asciiTheme="minorHAnsi" w:eastAsiaTheme="minorEastAsia" w:hAnsiTheme="minorHAnsi" w:cstheme="minorBidi"/>
          <w:noProof/>
          <w:kern w:val="0"/>
          <w:sz w:val="22"/>
          <w:szCs w:val="22"/>
        </w:rPr>
      </w:pPr>
      <w:r w:rsidRPr="003D009E">
        <w:rPr>
          <w:noProof/>
        </w:rPr>
        <w:t>1  Name</w:t>
      </w:r>
      <w:r w:rsidRPr="003D009E">
        <w:rPr>
          <w:noProof/>
        </w:rPr>
        <w:tab/>
      </w:r>
      <w:r w:rsidRPr="003D009E">
        <w:rPr>
          <w:noProof/>
        </w:rPr>
        <w:fldChar w:fldCharType="begin"/>
      </w:r>
      <w:r w:rsidRPr="003D009E">
        <w:rPr>
          <w:noProof/>
        </w:rPr>
        <w:instrText xml:space="preserve"> PAGEREF _Toc200470602 \h </w:instrText>
      </w:r>
      <w:r w:rsidRPr="003D009E">
        <w:rPr>
          <w:noProof/>
        </w:rPr>
      </w:r>
      <w:r w:rsidRPr="003D009E">
        <w:rPr>
          <w:noProof/>
        </w:rPr>
        <w:fldChar w:fldCharType="separate"/>
      </w:r>
      <w:r w:rsidR="00FB6DC5" w:rsidRPr="003D009E">
        <w:rPr>
          <w:noProof/>
        </w:rPr>
        <w:t>1</w:t>
      </w:r>
      <w:r w:rsidRPr="003D009E">
        <w:rPr>
          <w:noProof/>
        </w:rPr>
        <w:fldChar w:fldCharType="end"/>
      </w:r>
    </w:p>
    <w:p w14:paraId="709F9CFA" w14:textId="77E5703E" w:rsidR="00C86F00" w:rsidRPr="003D009E" w:rsidRDefault="00C86F00">
      <w:pPr>
        <w:pStyle w:val="TOC5"/>
        <w:rPr>
          <w:rFonts w:asciiTheme="minorHAnsi" w:eastAsiaTheme="minorEastAsia" w:hAnsiTheme="minorHAnsi" w:cstheme="minorBidi"/>
          <w:noProof/>
          <w:kern w:val="0"/>
          <w:sz w:val="22"/>
          <w:szCs w:val="22"/>
        </w:rPr>
      </w:pPr>
      <w:r w:rsidRPr="003D009E">
        <w:rPr>
          <w:noProof/>
        </w:rPr>
        <w:t>2  Commencement</w:t>
      </w:r>
      <w:r w:rsidRPr="003D009E">
        <w:rPr>
          <w:noProof/>
        </w:rPr>
        <w:tab/>
      </w:r>
      <w:r w:rsidRPr="003D009E">
        <w:rPr>
          <w:noProof/>
        </w:rPr>
        <w:fldChar w:fldCharType="begin"/>
      </w:r>
      <w:r w:rsidRPr="003D009E">
        <w:rPr>
          <w:noProof/>
        </w:rPr>
        <w:instrText xml:space="preserve"> PAGEREF _Toc200470603 \h </w:instrText>
      </w:r>
      <w:r w:rsidRPr="003D009E">
        <w:rPr>
          <w:noProof/>
        </w:rPr>
      </w:r>
      <w:r w:rsidRPr="003D009E">
        <w:rPr>
          <w:noProof/>
        </w:rPr>
        <w:fldChar w:fldCharType="separate"/>
      </w:r>
      <w:r w:rsidR="00FB6DC5" w:rsidRPr="003D009E">
        <w:rPr>
          <w:noProof/>
        </w:rPr>
        <w:t>1</w:t>
      </w:r>
      <w:r w:rsidRPr="003D009E">
        <w:rPr>
          <w:noProof/>
        </w:rPr>
        <w:fldChar w:fldCharType="end"/>
      </w:r>
    </w:p>
    <w:p w14:paraId="36561A7B" w14:textId="58128351" w:rsidR="00C86F00" w:rsidRPr="003D009E" w:rsidRDefault="00C86F00">
      <w:pPr>
        <w:pStyle w:val="TOC5"/>
        <w:rPr>
          <w:rFonts w:asciiTheme="minorHAnsi" w:eastAsiaTheme="minorEastAsia" w:hAnsiTheme="minorHAnsi" w:cstheme="minorBidi"/>
          <w:noProof/>
          <w:kern w:val="0"/>
          <w:sz w:val="22"/>
          <w:szCs w:val="22"/>
        </w:rPr>
      </w:pPr>
      <w:r w:rsidRPr="003D009E">
        <w:rPr>
          <w:noProof/>
        </w:rPr>
        <w:t>3  Authority</w:t>
      </w:r>
      <w:r w:rsidRPr="003D009E">
        <w:rPr>
          <w:noProof/>
        </w:rPr>
        <w:tab/>
      </w:r>
      <w:r w:rsidRPr="003D009E">
        <w:rPr>
          <w:noProof/>
        </w:rPr>
        <w:fldChar w:fldCharType="begin"/>
      </w:r>
      <w:r w:rsidRPr="003D009E">
        <w:rPr>
          <w:noProof/>
        </w:rPr>
        <w:instrText xml:space="preserve"> PAGEREF _Toc200470604 \h </w:instrText>
      </w:r>
      <w:r w:rsidRPr="003D009E">
        <w:rPr>
          <w:noProof/>
        </w:rPr>
      </w:r>
      <w:r w:rsidRPr="003D009E">
        <w:rPr>
          <w:noProof/>
        </w:rPr>
        <w:fldChar w:fldCharType="separate"/>
      </w:r>
      <w:r w:rsidR="00FB6DC5" w:rsidRPr="003D009E">
        <w:rPr>
          <w:noProof/>
        </w:rPr>
        <w:t>1</w:t>
      </w:r>
      <w:r w:rsidRPr="003D009E">
        <w:rPr>
          <w:noProof/>
        </w:rPr>
        <w:fldChar w:fldCharType="end"/>
      </w:r>
    </w:p>
    <w:p w14:paraId="2042BDAC" w14:textId="37F2DB20" w:rsidR="00C86F00" w:rsidRPr="003D009E" w:rsidRDefault="00C86F00">
      <w:pPr>
        <w:pStyle w:val="TOC5"/>
        <w:rPr>
          <w:rFonts w:asciiTheme="minorHAnsi" w:eastAsiaTheme="minorEastAsia" w:hAnsiTheme="minorHAnsi" w:cstheme="minorBidi"/>
          <w:noProof/>
          <w:kern w:val="0"/>
          <w:sz w:val="22"/>
          <w:szCs w:val="22"/>
        </w:rPr>
      </w:pPr>
      <w:r w:rsidRPr="003D009E">
        <w:rPr>
          <w:noProof/>
        </w:rPr>
        <w:t>4  Definitions</w:t>
      </w:r>
      <w:r w:rsidRPr="003D009E">
        <w:rPr>
          <w:noProof/>
        </w:rPr>
        <w:tab/>
      </w:r>
      <w:r w:rsidRPr="003D009E">
        <w:rPr>
          <w:noProof/>
        </w:rPr>
        <w:fldChar w:fldCharType="begin"/>
      </w:r>
      <w:r w:rsidRPr="003D009E">
        <w:rPr>
          <w:noProof/>
        </w:rPr>
        <w:instrText xml:space="preserve"> PAGEREF _Toc200470605 \h </w:instrText>
      </w:r>
      <w:r w:rsidRPr="003D009E">
        <w:rPr>
          <w:noProof/>
        </w:rPr>
      </w:r>
      <w:r w:rsidRPr="003D009E">
        <w:rPr>
          <w:noProof/>
        </w:rPr>
        <w:fldChar w:fldCharType="separate"/>
      </w:r>
      <w:r w:rsidR="00FB6DC5" w:rsidRPr="003D009E">
        <w:rPr>
          <w:noProof/>
        </w:rPr>
        <w:t>1</w:t>
      </w:r>
      <w:r w:rsidRPr="003D009E">
        <w:rPr>
          <w:noProof/>
        </w:rPr>
        <w:fldChar w:fldCharType="end"/>
      </w:r>
    </w:p>
    <w:p w14:paraId="3B7332EC" w14:textId="2B548292" w:rsidR="00C86F00" w:rsidRPr="003D009E" w:rsidRDefault="00C86F00">
      <w:pPr>
        <w:pStyle w:val="TOC5"/>
        <w:rPr>
          <w:rFonts w:asciiTheme="minorHAnsi" w:eastAsiaTheme="minorEastAsia" w:hAnsiTheme="minorHAnsi" w:cstheme="minorBidi"/>
          <w:noProof/>
          <w:kern w:val="0"/>
          <w:sz w:val="22"/>
          <w:szCs w:val="22"/>
        </w:rPr>
      </w:pPr>
      <w:r w:rsidRPr="003D009E">
        <w:rPr>
          <w:noProof/>
        </w:rPr>
        <w:t>5  Schedules</w:t>
      </w:r>
      <w:r w:rsidRPr="003D009E">
        <w:rPr>
          <w:noProof/>
        </w:rPr>
        <w:tab/>
      </w:r>
      <w:r w:rsidRPr="003D009E">
        <w:rPr>
          <w:noProof/>
        </w:rPr>
        <w:fldChar w:fldCharType="begin"/>
      </w:r>
      <w:r w:rsidRPr="003D009E">
        <w:rPr>
          <w:noProof/>
        </w:rPr>
        <w:instrText xml:space="preserve"> PAGEREF _Toc200470606 \h </w:instrText>
      </w:r>
      <w:r w:rsidRPr="003D009E">
        <w:rPr>
          <w:noProof/>
        </w:rPr>
      </w:r>
      <w:r w:rsidRPr="003D009E">
        <w:rPr>
          <w:noProof/>
        </w:rPr>
        <w:fldChar w:fldCharType="separate"/>
      </w:r>
      <w:r w:rsidR="00FB6DC5" w:rsidRPr="003D009E">
        <w:rPr>
          <w:noProof/>
        </w:rPr>
        <w:t>2</w:t>
      </w:r>
      <w:r w:rsidRPr="003D009E">
        <w:rPr>
          <w:noProof/>
        </w:rPr>
        <w:fldChar w:fldCharType="end"/>
      </w:r>
    </w:p>
    <w:p w14:paraId="4D754D7E" w14:textId="03B6C4B1" w:rsidR="00C86F00" w:rsidRPr="003D009E" w:rsidRDefault="00C86F00">
      <w:pPr>
        <w:pStyle w:val="TOC2"/>
        <w:rPr>
          <w:rFonts w:asciiTheme="minorHAnsi" w:eastAsiaTheme="minorEastAsia" w:hAnsiTheme="minorHAnsi" w:cstheme="minorBidi"/>
          <w:b w:val="0"/>
          <w:noProof/>
          <w:kern w:val="0"/>
          <w:sz w:val="22"/>
          <w:szCs w:val="22"/>
        </w:rPr>
      </w:pPr>
      <w:r w:rsidRPr="003D009E">
        <w:rPr>
          <w:noProof/>
        </w:rPr>
        <w:t>Part 2—Requirements relating to yellow fever</w:t>
      </w:r>
      <w:r w:rsidRPr="003D009E">
        <w:rPr>
          <w:noProof/>
        </w:rPr>
        <w:tab/>
      </w:r>
      <w:r w:rsidRPr="003D009E">
        <w:rPr>
          <w:noProof/>
        </w:rPr>
        <w:fldChar w:fldCharType="begin"/>
      </w:r>
      <w:r w:rsidRPr="003D009E">
        <w:rPr>
          <w:noProof/>
        </w:rPr>
        <w:instrText xml:space="preserve"> PAGEREF _Toc200470607 \h </w:instrText>
      </w:r>
      <w:r w:rsidRPr="003D009E">
        <w:rPr>
          <w:noProof/>
        </w:rPr>
      </w:r>
      <w:r w:rsidRPr="003D009E">
        <w:rPr>
          <w:noProof/>
        </w:rPr>
        <w:fldChar w:fldCharType="separate"/>
      </w:r>
      <w:r w:rsidR="00FB6DC5" w:rsidRPr="003D009E">
        <w:rPr>
          <w:noProof/>
        </w:rPr>
        <w:t>3</w:t>
      </w:r>
      <w:r w:rsidRPr="003D009E">
        <w:rPr>
          <w:noProof/>
        </w:rPr>
        <w:fldChar w:fldCharType="end"/>
      </w:r>
    </w:p>
    <w:p w14:paraId="282AB8BC" w14:textId="61F1677F" w:rsidR="00C86F00" w:rsidRPr="003D009E" w:rsidRDefault="00C86F00">
      <w:pPr>
        <w:pStyle w:val="TOC5"/>
        <w:rPr>
          <w:rFonts w:asciiTheme="minorHAnsi" w:eastAsiaTheme="minorEastAsia" w:hAnsiTheme="minorHAnsi" w:cstheme="minorBidi"/>
          <w:noProof/>
          <w:kern w:val="0"/>
          <w:sz w:val="22"/>
          <w:szCs w:val="22"/>
        </w:rPr>
      </w:pPr>
      <w:r w:rsidRPr="003D009E">
        <w:rPr>
          <w:noProof/>
        </w:rPr>
        <w:t>6  Initial screening—information relating to travel in yellow fever risk regions</w:t>
      </w:r>
      <w:r w:rsidRPr="003D009E">
        <w:rPr>
          <w:noProof/>
        </w:rPr>
        <w:tab/>
      </w:r>
      <w:r w:rsidRPr="003D009E">
        <w:rPr>
          <w:noProof/>
        </w:rPr>
        <w:fldChar w:fldCharType="begin"/>
      </w:r>
      <w:r w:rsidRPr="003D009E">
        <w:rPr>
          <w:noProof/>
        </w:rPr>
        <w:instrText xml:space="preserve"> PAGEREF _Toc200470608 \h </w:instrText>
      </w:r>
      <w:r w:rsidRPr="003D009E">
        <w:rPr>
          <w:noProof/>
        </w:rPr>
      </w:r>
      <w:r w:rsidRPr="003D009E">
        <w:rPr>
          <w:noProof/>
        </w:rPr>
        <w:fldChar w:fldCharType="separate"/>
      </w:r>
      <w:r w:rsidR="00FB6DC5" w:rsidRPr="003D009E">
        <w:rPr>
          <w:noProof/>
        </w:rPr>
        <w:t>3</w:t>
      </w:r>
      <w:r w:rsidRPr="003D009E">
        <w:rPr>
          <w:noProof/>
        </w:rPr>
        <w:fldChar w:fldCharType="end"/>
      </w:r>
    </w:p>
    <w:p w14:paraId="09FDD599" w14:textId="2AA7DA26" w:rsidR="00C86F00" w:rsidRPr="003D009E" w:rsidRDefault="00C86F00" w:rsidP="000E2A54">
      <w:pPr>
        <w:pStyle w:val="TOC5"/>
        <w:ind w:left="1560" w:hanging="142"/>
        <w:rPr>
          <w:rFonts w:asciiTheme="minorHAnsi" w:eastAsiaTheme="minorEastAsia" w:hAnsiTheme="minorHAnsi" w:cstheme="minorBidi"/>
          <w:noProof/>
          <w:kern w:val="0"/>
          <w:sz w:val="22"/>
          <w:szCs w:val="22"/>
        </w:rPr>
      </w:pPr>
      <w:r w:rsidRPr="003D009E">
        <w:rPr>
          <w:noProof/>
        </w:rPr>
        <w:t>7  Secondary screening—information relating to stays in yellow fever risk countries or areas</w:t>
      </w:r>
      <w:r w:rsidRPr="003D009E">
        <w:rPr>
          <w:noProof/>
        </w:rPr>
        <w:tab/>
      </w:r>
      <w:r w:rsidRPr="003D009E">
        <w:rPr>
          <w:noProof/>
        </w:rPr>
        <w:fldChar w:fldCharType="begin"/>
      </w:r>
      <w:r w:rsidRPr="003D009E">
        <w:rPr>
          <w:noProof/>
        </w:rPr>
        <w:instrText xml:space="preserve"> PAGEREF _Toc200470609 \h </w:instrText>
      </w:r>
      <w:r w:rsidRPr="003D009E">
        <w:rPr>
          <w:noProof/>
        </w:rPr>
      </w:r>
      <w:r w:rsidRPr="003D009E">
        <w:rPr>
          <w:noProof/>
        </w:rPr>
        <w:fldChar w:fldCharType="separate"/>
      </w:r>
      <w:r w:rsidR="00FB6DC5" w:rsidRPr="003D009E">
        <w:rPr>
          <w:noProof/>
        </w:rPr>
        <w:t>3</w:t>
      </w:r>
      <w:r w:rsidRPr="003D009E">
        <w:rPr>
          <w:noProof/>
        </w:rPr>
        <w:fldChar w:fldCharType="end"/>
      </w:r>
    </w:p>
    <w:p w14:paraId="69F80521" w14:textId="3DC51CB4" w:rsidR="00C86F00" w:rsidRPr="003D009E" w:rsidRDefault="00C86F00" w:rsidP="000E2A54">
      <w:pPr>
        <w:pStyle w:val="TOC5"/>
        <w:ind w:left="1560" w:hanging="142"/>
        <w:rPr>
          <w:rFonts w:asciiTheme="minorHAnsi" w:eastAsiaTheme="minorEastAsia" w:hAnsiTheme="minorHAnsi" w:cstheme="minorBidi"/>
          <w:noProof/>
          <w:kern w:val="0"/>
          <w:sz w:val="22"/>
          <w:szCs w:val="22"/>
        </w:rPr>
      </w:pPr>
      <w:r w:rsidRPr="003D009E">
        <w:rPr>
          <w:noProof/>
        </w:rPr>
        <w:t>8  Vaccination certificates and travel history—individuals who have stayed in yellow fever risk countries or areas</w:t>
      </w:r>
      <w:r w:rsidRPr="003D009E">
        <w:rPr>
          <w:noProof/>
        </w:rPr>
        <w:tab/>
      </w:r>
      <w:r w:rsidRPr="003D009E">
        <w:rPr>
          <w:noProof/>
        </w:rPr>
        <w:fldChar w:fldCharType="begin"/>
      </w:r>
      <w:r w:rsidRPr="003D009E">
        <w:rPr>
          <w:noProof/>
        </w:rPr>
        <w:instrText xml:space="preserve"> PAGEREF _Toc200470610 \h </w:instrText>
      </w:r>
      <w:r w:rsidRPr="003D009E">
        <w:rPr>
          <w:noProof/>
        </w:rPr>
      </w:r>
      <w:r w:rsidRPr="003D009E">
        <w:rPr>
          <w:noProof/>
        </w:rPr>
        <w:fldChar w:fldCharType="separate"/>
      </w:r>
      <w:r w:rsidR="00FB6DC5" w:rsidRPr="003D009E">
        <w:rPr>
          <w:noProof/>
        </w:rPr>
        <w:t>4</w:t>
      </w:r>
      <w:r w:rsidRPr="003D009E">
        <w:rPr>
          <w:noProof/>
        </w:rPr>
        <w:fldChar w:fldCharType="end"/>
      </w:r>
    </w:p>
    <w:p w14:paraId="6AE9A5D1" w14:textId="4CF7B8F7" w:rsidR="00C86F00" w:rsidRPr="003D009E" w:rsidRDefault="00C86F00">
      <w:pPr>
        <w:pStyle w:val="TOC2"/>
        <w:rPr>
          <w:rFonts w:asciiTheme="minorHAnsi" w:eastAsiaTheme="minorEastAsia" w:hAnsiTheme="minorHAnsi" w:cstheme="minorBidi"/>
          <w:b w:val="0"/>
          <w:noProof/>
          <w:kern w:val="0"/>
          <w:sz w:val="22"/>
          <w:szCs w:val="22"/>
        </w:rPr>
      </w:pPr>
      <w:r w:rsidRPr="003D009E">
        <w:rPr>
          <w:noProof/>
        </w:rPr>
        <w:t>Part 3—Screening</w:t>
      </w:r>
      <w:r w:rsidRPr="003D009E">
        <w:rPr>
          <w:noProof/>
        </w:rPr>
        <w:tab/>
      </w:r>
      <w:r w:rsidRPr="003D009E">
        <w:rPr>
          <w:noProof/>
        </w:rPr>
        <w:fldChar w:fldCharType="begin"/>
      </w:r>
      <w:r w:rsidRPr="003D009E">
        <w:rPr>
          <w:noProof/>
        </w:rPr>
        <w:instrText xml:space="preserve"> PAGEREF _Toc200470611 \h </w:instrText>
      </w:r>
      <w:r w:rsidRPr="003D009E">
        <w:rPr>
          <w:noProof/>
        </w:rPr>
      </w:r>
      <w:r w:rsidRPr="003D009E">
        <w:rPr>
          <w:noProof/>
        </w:rPr>
        <w:fldChar w:fldCharType="separate"/>
      </w:r>
      <w:r w:rsidR="00FB6DC5" w:rsidRPr="003D009E">
        <w:rPr>
          <w:noProof/>
        </w:rPr>
        <w:t>6</w:t>
      </w:r>
      <w:r w:rsidRPr="003D009E">
        <w:rPr>
          <w:noProof/>
        </w:rPr>
        <w:fldChar w:fldCharType="end"/>
      </w:r>
    </w:p>
    <w:p w14:paraId="208B332C" w14:textId="7CE9ADC2" w:rsidR="00C86F00" w:rsidRPr="003D009E" w:rsidRDefault="00C86F00">
      <w:pPr>
        <w:pStyle w:val="TOC5"/>
        <w:rPr>
          <w:rFonts w:asciiTheme="minorHAnsi" w:eastAsiaTheme="minorEastAsia" w:hAnsiTheme="minorHAnsi" w:cstheme="minorBidi"/>
          <w:noProof/>
          <w:kern w:val="0"/>
          <w:sz w:val="22"/>
          <w:szCs w:val="22"/>
        </w:rPr>
      </w:pPr>
      <w:r w:rsidRPr="003D009E">
        <w:rPr>
          <w:noProof/>
        </w:rPr>
        <w:t>9  Individuals who may be, or may have been, infected with listed human disease</w:t>
      </w:r>
      <w:r w:rsidRPr="003D009E">
        <w:rPr>
          <w:noProof/>
        </w:rPr>
        <w:tab/>
      </w:r>
      <w:r w:rsidRPr="003D009E">
        <w:rPr>
          <w:noProof/>
        </w:rPr>
        <w:fldChar w:fldCharType="begin"/>
      </w:r>
      <w:r w:rsidRPr="003D009E">
        <w:rPr>
          <w:noProof/>
        </w:rPr>
        <w:instrText xml:space="preserve"> PAGEREF _Toc200470612 \h </w:instrText>
      </w:r>
      <w:r w:rsidRPr="003D009E">
        <w:rPr>
          <w:noProof/>
        </w:rPr>
      </w:r>
      <w:r w:rsidRPr="003D009E">
        <w:rPr>
          <w:noProof/>
        </w:rPr>
        <w:fldChar w:fldCharType="separate"/>
      </w:r>
      <w:r w:rsidR="00FB6DC5" w:rsidRPr="003D009E">
        <w:rPr>
          <w:noProof/>
        </w:rPr>
        <w:t>6</w:t>
      </w:r>
      <w:r w:rsidRPr="003D009E">
        <w:rPr>
          <w:noProof/>
        </w:rPr>
        <w:fldChar w:fldCharType="end"/>
      </w:r>
    </w:p>
    <w:p w14:paraId="1736D65C" w14:textId="639240DA" w:rsidR="00C86F00" w:rsidRPr="003D009E" w:rsidRDefault="00C86F00">
      <w:pPr>
        <w:pStyle w:val="TOC2"/>
        <w:rPr>
          <w:rFonts w:asciiTheme="minorHAnsi" w:eastAsiaTheme="minorEastAsia" w:hAnsiTheme="minorHAnsi" w:cstheme="minorBidi"/>
          <w:b w:val="0"/>
          <w:noProof/>
          <w:kern w:val="0"/>
          <w:sz w:val="22"/>
          <w:szCs w:val="22"/>
        </w:rPr>
      </w:pPr>
      <w:r w:rsidRPr="003D009E">
        <w:rPr>
          <w:noProof/>
        </w:rPr>
        <w:t>Part 4—Travel history declarations</w:t>
      </w:r>
      <w:r w:rsidRPr="003D009E">
        <w:rPr>
          <w:noProof/>
        </w:rPr>
        <w:tab/>
      </w:r>
      <w:r w:rsidRPr="003D009E">
        <w:rPr>
          <w:noProof/>
        </w:rPr>
        <w:fldChar w:fldCharType="begin"/>
      </w:r>
      <w:r w:rsidRPr="003D009E">
        <w:rPr>
          <w:noProof/>
        </w:rPr>
        <w:instrText xml:space="preserve"> PAGEREF _Toc200470613 \h </w:instrText>
      </w:r>
      <w:r w:rsidRPr="003D009E">
        <w:rPr>
          <w:noProof/>
        </w:rPr>
      </w:r>
      <w:r w:rsidRPr="003D009E">
        <w:rPr>
          <w:noProof/>
        </w:rPr>
        <w:fldChar w:fldCharType="separate"/>
      </w:r>
      <w:r w:rsidR="00FB6DC5" w:rsidRPr="003D009E">
        <w:rPr>
          <w:noProof/>
        </w:rPr>
        <w:t>7</w:t>
      </w:r>
      <w:r w:rsidRPr="003D009E">
        <w:rPr>
          <w:noProof/>
        </w:rPr>
        <w:fldChar w:fldCharType="end"/>
      </w:r>
    </w:p>
    <w:p w14:paraId="2DCA43D1" w14:textId="26D0B4C2" w:rsidR="00C86F00" w:rsidRPr="003D009E" w:rsidRDefault="00C86F00">
      <w:pPr>
        <w:pStyle w:val="TOC5"/>
        <w:rPr>
          <w:rFonts w:asciiTheme="minorHAnsi" w:eastAsiaTheme="minorEastAsia" w:hAnsiTheme="minorHAnsi" w:cstheme="minorBidi"/>
          <w:noProof/>
          <w:kern w:val="0"/>
          <w:sz w:val="22"/>
          <w:szCs w:val="22"/>
        </w:rPr>
      </w:pPr>
      <w:r w:rsidRPr="003D009E">
        <w:rPr>
          <w:noProof/>
        </w:rPr>
        <w:t>10  Providing travel history declaration on request</w:t>
      </w:r>
      <w:r w:rsidRPr="003D009E">
        <w:rPr>
          <w:noProof/>
        </w:rPr>
        <w:tab/>
      </w:r>
      <w:r w:rsidRPr="003D009E">
        <w:rPr>
          <w:noProof/>
        </w:rPr>
        <w:fldChar w:fldCharType="begin"/>
      </w:r>
      <w:r w:rsidRPr="003D009E">
        <w:rPr>
          <w:noProof/>
        </w:rPr>
        <w:instrText xml:space="preserve"> PAGEREF _Toc200470614 \h </w:instrText>
      </w:r>
      <w:r w:rsidRPr="003D009E">
        <w:rPr>
          <w:noProof/>
        </w:rPr>
      </w:r>
      <w:r w:rsidRPr="003D009E">
        <w:rPr>
          <w:noProof/>
        </w:rPr>
        <w:fldChar w:fldCharType="separate"/>
      </w:r>
      <w:r w:rsidR="00FB6DC5" w:rsidRPr="003D009E">
        <w:rPr>
          <w:noProof/>
        </w:rPr>
        <w:t>7</w:t>
      </w:r>
      <w:r w:rsidRPr="003D009E">
        <w:rPr>
          <w:noProof/>
        </w:rPr>
        <w:fldChar w:fldCharType="end"/>
      </w:r>
    </w:p>
    <w:p w14:paraId="43986BD6" w14:textId="09E6EA17" w:rsidR="00C86F00" w:rsidRPr="003D009E" w:rsidRDefault="00C86F00">
      <w:pPr>
        <w:pStyle w:val="TOC6"/>
        <w:rPr>
          <w:rFonts w:asciiTheme="minorHAnsi" w:eastAsiaTheme="minorEastAsia" w:hAnsiTheme="minorHAnsi" w:cstheme="minorBidi"/>
          <w:b w:val="0"/>
          <w:noProof/>
          <w:kern w:val="0"/>
          <w:sz w:val="22"/>
          <w:szCs w:val="22"/>
        </w:rPr>
      </w:pPr>
      <w:r w:rsidRPr="003D009E">
        <w:rPr>
          <w:noProof/>
        </w:rPr>
        <w:t>Schedule 1—Yellow fever risk countries and areas</w:t>
      </w:r>
      <w:r w:rsidRPr="003D009E">
        <w:rPr>
          <w:noProof/>
        </w:rPr>
        <w:tab/>
      </w:r>
      <w:r w:rsidRPr="003D009E">
        <w:rPr>
          <w:noProof/>
        </w:rPr>
        <w:fldChar w:fldCharType="begin"/>
      </w:r>
      <w:r w:rsidRPr="003D009E">
        <w:rPr>
          <w:noProof/>
        </w:rPr>
        <w:instrText xml:space="preserve"> PAGEREF _Toc200470615 \h </w:instrText>
      </w:r>
      <w:r w:rsidRPr="003D009E">
        <w:rPr>
          <w:noProof/>
        </w:rPr>
      </w:r>
      <w:r w:rsidRPr="003D009E">
        <w:rPr>
          <w:noProof/>
        </w:rPr>
        <w:fldChar w:fldCharType="separate"/>
      </w:r>
      <w:r w:rsidR="00FB6DC5" w:rsidRPr="003D009E">
        <w:rPr>
          <w:noProof/>
        </w:rPr>
        <w:t>8</w:t>
      </w:r>
      <w:r w:rsidRPr="003D009E">
        <w:rPr>
          <w:noProof/>
        </w:rPr>
        <w:fldChar w:fldCharType="end"/>
      </w:r>
    </w:p>
    <w:p w14:paraId="496DD273" w14:textId="2AEE7B31" w:rsidR="00C86F00" w:rsidRPr="003D009E" w:rsidRDefault="00C86F00">
      <w:pPr>
        <w:pStyle w:val="TOC6"/>
        <w:rPr>
          <w:rFonts w:asciiTheme="minorHAnsi" w:eastAsiaTheme="minorEastAsia" w:hAnsiTheme="minorHAnsi" w:cstheme="minorBidi"/>
          <w:b w:val="0"/>
          <w:noProof/>
          <w:kern w:val="0"/>
          <w:sz w:val="22"/>
          <w:szCs w:val="22"/>
        </w:rPr>
      </w:pPr>
      <w:r w:rsidRPr="003D009E">
        <w:rPr>
          <w:noProof/>
        </w:rPr>
        <w:t>Schedule 2— Repeals</w:t>
      </w:r>
      <w:r w:rsidRPr="003D009E">
        <w:rPr>
          <w:noProof/>
        </w:rPr>
        <w:tab/>
      </w:r>
      <w:r w:rsidRPr="003D009E">
        <w:rPr>
          <w:noProof/>
        </w:rPr>
        <w:fldChar w:fldCharType="begin"/>
      </w:r>
      <w:r w:rsidRPr="003D009E">
        <w:rPr>
          <w:noProof/>
        </w:rPr>
        <w:instrText xml:space="preserve"> PAGEREF _Toc200470616 \h </w:instrText>
      </w:r>
      <w:r w:rsidRPr="003D009E">
        <w:rPr>
          <w:noProof/>
        </w:rPr>
      </w:r>
      <w:r w:rsidRPr="003D009E">
        <w:rPr>
          <w:noProof/>
        </w:rPr>
        <w:fldChar w:fldCharType="separate"/>
      </w:r>
      <w:r w:rsidR="00FB6DC5" w:rsidRPr="003D009E">
        <w:rPr>
          <w:noProof/>
        </w:rPr>
        <w:t>10</w:t>
      </w:r>
      <w:r w:rsidRPr="003D009E">
        <w:rPr>
          <w:noProof/>
        </w:rPr>
        <w:fldChar w:fldCharType="end"/>
      </w:r>
    </w:p>
    <w:p w14:paraId="152F5A39" w14:textId="7B2DCC7D" w:rsidR="00C86F00" w:rsidRPr="003D009E" w:rsidRDefault="00C86F00">
      <w:pPr>
        <w:pStyle w:val="TOC9"/>
        <w:rPr>
          <w:rFonts w:asciiTheme="minorHAnsi" w:eastAsiaTheme="minorEastAsia" w:hAnsiTheme="minorHAnsi" w:cstheme="minorBidi"/>
          <w:i w:val="0"/>
          <w:noProof/>
          <w:kern w:val="0"/>
          <w:sz w:val="22"/>
          <w:szCs w:val="22"/>
        </w:rPr>
      </w:pPr>
      <w:r w:rsidRPr="003D009E">
        <w:rPr>
          <w:noProof/>
        </w:rPr>
        <w:t>Biosecurity (Entry Requirements) Determination 2016</w:t>
      </w:r>
      <w:r w:rsidRPr="003D009E">
        <w:rPr>
          <w:noProof/>
        </w:rPr>
        <w:tab/>
      </w:r>
      <w:r w:rsidRPr="003D009E">
        <w:rPr>
          <w:noProof/>
        </w:rPr>
        <w:fldChar w:fldCharType="begin"/>
      </w:r>
      <w:r w:rsidRPr="003D009E">
        <w:rPr>
          <w:noProof/>
        </w:rPr>
        <w:instrText xml:space="preserve"> PAGEREF _Toc200470617 \h </w:instrText>
      </w:r>
      <w:r w:rsidRPr="003D009E">
        <w:rPr>
          <w:noProof/>
        </w:rPr>
      </w:r>
      <w:r w:rsidRPr="003D009E">
        <w:rPr>
          <w:noProof/>
        </w:rPr>
        <w:fldChar w:fldCharType="separate"/>
      </w:r>
      <w:r w:rsidR="00FB6DC5" w:rsidRPr="003D009E">
        <w:rPr>
          <w:noProof/>
        </w:rPr>
        <w:t>10</w:t>
      </w:r>
      <w:r w:rsidRPr="003D009E">
        <w:rPr>
          <w:noProof/>
        </w:rPr>
        <w:fldChar w:fldCharType="end"/>
      </w:r>
    </w:p>
    <w:p w14:paraId="0E59C95B" w14:textId="54293A28" w:rsidR="00F6696E" w:rsidRPr="003D009E" w:rsidRDefault="00B418CB" w:rsidP="00F6696E">
      <w:pPr>
        <w:outlineLvl w:val="0"/>
      </w:pPr>
      <w:r w:rsidRPr="003D009E">
        <w:fldChar w:fldCharType="end"/>
      </w:r>
    </w:p>
    <w:p w14:paraId="258E5744" w14:textId="77777777" w:rsidR="00F6696E" w:rsidRPr="003D009E" w:rsidRDefault="00F6696E" w:rsidP="00F6696E">
      <w:pPr>
        <w:outlineLvl w:val="0"/>
        <w:rPr>
          <w:sz w:val="20"/>
        </w:rPr>
      </w:pPr>
    </w:p>
    <w:p w14:paraId="60B68FD0" w14:textId="0F5C9DA6" w:rsidR="008A61AE" w:rsidRPr="003D009E" w:rsidRDefault="008A61AE" w:rsidP="00F6696E"/>
    <w:p w14:paraId="11589E47" w14:textId="77777777" w:rsidR="008A61AE" w:rsidRPr="003D009E" w:rsidRDefault="008A61AE" w:rsidP="008A61AE"/>
    <w:p w14:paraId="5A95851F" w14:textId="77777777" w:rsidR="008A61AE" w:rsidRPr="003D009E" w:rsidRDefault="008A61AE" w:rsidP="008A61AE"/>
    <w:p w14:paraId="4671EBE7" w14:textId="77777777" w:rsidR="008A61AE" w:rsidRPr="003D009E" w:rsidRDefault="008A61AE" w:rsidP="008A61AE"/>
    <w:p w14:paraId="6F189B34" w14:textId="5F61314F" w:rsidR="008A61AE" w:rsidRPr="003D009E" w:rsidRDefault="008A61AE" w:rsidP="008A61AE">
      <w:pPr>
        <w:tabs>
          <w:tab w:val="left" w:pos="3315"/>
        </w:tabs>
      </w:pPr>
      <w:r w:rsidRPr="003D009E">
        <w:tab/>
      </w:r>
    </w:p>
    <w:p w14:paraId="33954763" w14:textId="570C2E22" w:rsidR="00F6696E" w:rsidRPr="003D009E" w:rsidRDefault="008A61AE" w:rsidP="008A61AE">
      <w:pPr>
        <w:tabs>
          <w:tab w:val="left" w:pos="3315"/>
        </w:tabs>
        <w:sectPr w:rsidR="00F6696E" w:rsidRPr="003D009E" w:rsidSect="001016FB">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r w:rsidRPr="003D009E">
        <w:tab/>
      </w:r>
    </w:p>
    <w:p w14:paraId="56B7FCAC" w14:textId="77777777" w:rsidR="00E57804" w:rsidRPr="003D009E" w:rsidRDefault="00E57804" w:rsidP="00E57804">
      <w:pPr>
        <w:pStyle w:val="ActHead2"/>
        <w:pageBreakBefore/>
      </w:pPr>
      <w:bookmarkStart w:id="0" w:name="_Toc150527361"/>
      <w:bookmarkStart w:id="1" w:name="_Toc200470601"/>
      <w:r w:rsidRPr="003D009E">
        <w:rPr>
          <w:rStyle w:val="CharPartNo"/>
        </w:rPr>
        <w:lastRenderedPageBreak/>
        <w:t>Part 1</w:t>
      </w:r>
      <w:r w:rsidRPr="003D009E">
        <w:t>—</w:t>
      </w:r>
      <w:r w:rsidRPr="003D009E">
        <w:rPr>
          <w:rStyle w:val="CharPartText"/>
        </w:rPr>
        <w:t>Preliminary</w:t>
      </w:r>
      <w:bookmarkEnd w:id="0"/>
      <w:bookmarkEnd w:id="1"/>
    </w:p>
    <w:p w14:paraId="6B6531B7" w14:textId="77777777" w:rsidR="00554826" w:rsidRPr="003D009E" w:rsidRDefault="00554826" w:rsidP="00554826">
      <w:pPr>
        <w:pStyle w:val="ActHead5"/>
      </w:pPr>
      <w:bookmarkStart w:id="2" w:name="_Toc200470602"/>
      <w:proofErr w:type="gramStart"/>
      <w:r w:rsidRPr="003D009E">
        <w:t>1  Name</w:t>
      </w:r>
      <w:bookmarkEnd w:id="2"/>
      <w:proofErr w:type="gramEnd"/>
    </w:p>
    <w:p w14:paraId="24313484" w14:textId="77777777" w:rsidR="00554826" w:rsidRPr="003D009E" w:rsidRDefault="00554826" w:rsidP="00554826">
      <w:pPr>
        <w:pStyle w:val="subsection"/>
      </w:pPr>
      <w:r w:rsidRPr="003D009E">
        <w:tab/>
      </w:r>
      <w:r w:rsidRPr="003D009E">
        <w:tab/>
        <w:t xml:space="preserve">This instrument is the </w:t>
      </w:r>
      <w:bookmarkStart w:id="3" w:name="BKCheck15B_3"/>
      <w:bookmarkEnd w:id="3"/>
      <w:r w:rsidR="00E57804" w:rsidRPr="003D009E">
        <w:rPr>
          <w:i/>
          <w:noProof/>
        </w:rPr>
        <w:t>Biosecurity (Entry Requirements) Determination 2025</w:t>
      </w:r>
      <w:r w:rsidRPr="003D009E">
        <w:t>.</w:t>
      </w:r>
    </w:p>
    <w:p w14:paraId="0EB86953" w14:textId="77777777" w:rsidR="00554826" w:rsidRPr="003D009E" w:rsidRDefault="00554826" w:rsidP="00554826">
      <w:pPr>
        <w:pStyle w:val="ActHead5"/>
      </w:pPr>
      <w:bookmarkStart w:id="4" w:name="_Toc200470603"/>
      <w:proofErr w:type="gramStart"/>
      <w:r w:rsidRPr="003D009E">
        <w:t>2  Commencement</w:t>
      </w:r>
      <w:bookmarkEnd w:id="4"/>
      <w:proofErr w:type="gramEnd"/>
    </w:p>
    <w:p w14:paraId="53AD3F90" w14:textId="77777777" w:rsidR="00554826" w:rsidRPr="003D009E" w:rsidRDefault="00554826" w:rsidP="00554826">
      <w:pPr>
        <w:pStyle w:val="subsection"/>
      </w:pPr>
      <w:r w:rsidRPr="003D009E">
        <w:tab/>
      </w:r>
      <w:r w:rsidRPr="003D009E">
        <w:tab/>
        <w:t>This instrument commences</w:t>
      </w:r>
      <w:r w:rsidR="00E57804" w:rsidRPr="003D009E">
        <w:t xml:space="preserve"> on the day after this instrument is registered</w:t>
      </w:r>
      <w:r w:rsidRPr="003D009E">
        <w:t>.</w:t>
      </w:r>
    </w:p>
    <w:p w14:paraId="386C49CF" w14:textId="77777777" w:rsidR="00554826" w:rsidRPr="003D009E" w:rsidRDefault="00554826" w:rsidP="00554826">
      <w:pPr>
        <w:pStyle w:val="ActHead5"/>
      </w:pPr>
      <w:bookmarkStart w:id="5" w:name="_Toc200470604"/>
      <w:proofErr w:type="gramStart"/>
      <w:r w:rsidRPr="003D009E">
        <w:t>3  Authority</w:t>
      </w:r>
      <w:bookmarkEnd w:id="5"/>
      <w:proofErr w:type="gramEnd"/>
    </w:p>
    <w:p w14:paraId="2D586384" w14:textId="77777777" w:rsidR="00554826" w:rsidRPr="003D009E" w:rsidRDefault="00554826" w:rsidP="00554826">
      <w:pPr>
        <w:pStyle w:val="subsection"/>
      </w:pPr>
      <w:r w:rsidRPr="003D009E">
        <w:tab/>
      </w:r>
      <w:r w:rsidRPr="003D009E">
        <w:tab/>
        <w:t xml:space="preserve">This instrument is made under </w:t>
      </w:r>
      <w:r w:rsidR="00E57804" w:rsidRPr="003D009E">
        <w:t xml:space="preserve">subsection 44(2) of the </w:t>
      </w:r>
      <w:r w:rsidR="00E57804" w:rsidRPr="003D009E">
        <w:rPr>
          <w:i/>
        </w:rPr>
        <w:t>Biosecurity Act 2015</w:t>
      </w:r>
      <w:r w:rsidRPr="003D009E">
        <w:t>.</w:t>
      </w:r>
    </w:p>
    <w:p w14:paraId="32EE8636" w14:textId="77777777" w:rsidR="00554826" w:rsidRPr="003D009E" w:rsidRDefault="00554826" w:rsidP="00554826">
      <w:pPr>
        <w:pStyle w:val="ActHead5"/>
      </w:pPr>
      <w:bookmarkStart w:id="6" w:name="_Toc200470605"/>
      <w:proofErr w:type="gramStart"/>
      <w:r w:rsidRPr="003D009E">
        <w:t>4  Definitions</w:t>
      </w:r>
      <w:bookmarkEnd w:id="6"/>
      <w:proofErr w:type="gramEnd"/>
    </w:p>
    <w:p w14:paraId="039F957F" w14:textId="77777777" w:rsidR="00554826" w:rsidRPr="003D009E" w:rsidRDefault="00554826" w:rsidP="00554826">
      <w:pPr>
        <w:pStyle w:val="notetext"/>
      </w:pPr>
      <w:r w:rsidRPr="003D009E">
        <w:t>Note:</w:t>
      </w:r>
      <w:r w:rsidRPr="003D009E">
        <w:tab/>
        <w:t>A number of expressions used in this instrument are defined in the Act, including the following:</w:t>
      </w:r>
    </w:p>
    <w:p w14:paraId="1C36CE61" w14:textId="77777777" w:rsidR="00E57804" w:rsidRPr="003D009E" w:rsidRDefault="00E57804" w:rsidP="00E57804">
      <w:pPr>
        <w:pStyle w:val="notepara"/>
      </w:pPr>
      <w:r w:rsidRPr="003D009E">
        <w:t>(a)</w:t>
      </w:r>
      <w:r w:rsidRPr="003D009E">
        <w:tab/>
        <w:t>Australian territory;</w:t>
      </w:r>
    </w:p>
    <w:p w14:paraId="7D981D47" w14:textId="77777777" w:rsidR="00E57804" w:rsidRPr="003D009E" w:rsidRDefault="00E57804" w:rsidP="00E57804">
      <w:pPr>
        <w:pStyle w:val="notepara"/>
      </w:pPr>
      <w:r w:rsidRPr="003D009E">
        <w:t>(b)</w:t>
      </w:r>
      <w:r w:rsidRPr="003D009E">
        <w:tab/>
        <w:t>International Health Regulations;</w:t>
      </w:r>
    </w:p>
    <w:p w14:paraId="4FA815EB" w14:textId="77777777" w:rsidR="00E57804" w:rsidRPr="003D009E" w:rsidRDefault="00E57804" w:rsidP="00E57804">
      <w:pPr>
        <w:pStyle w:val="notepara"/>
      </w:pPr>
      <w:r w:rsidRPr="003D009E">
        <w:t>(c)</w:t>
      </w:r>
      <w:r w:rsidRPr="003D009E">
        <w:tab/>
        <w:t>landing place;</w:t>
      </w:r>
    </w:p>
    <w:p w14:paraId="7E5DAC36" w14:textId="77777777" w:rsidR="00E57804" w:rsidRPr="003D009E" w:rsidRDefault="00E57804" w:rsidP="00E57804">
      <w:pPr>
        <w:pStyle w:val="notepara"/>
      </w:pPr>
      <w:r w:rsidRPr="003D009E">
        <w:t>(d)</w:t>
      </w:r>
      <w:r w:rsidRPr="003D009E">
        <w:tab/>
        <w:t>port.</w:t>
      </w:r>
    </w:p>
    <w:p w14:paraId="6AA49DA2" w14:textId="77777777" w:rsidR="00554826" w:rsidRPr="003D009E" w:rsidRDefault="00554826" w:rsidP="00554826">
      <w:pPr>
        <w:pStyle w:val="subsection"/>
      </w:pPr>
      <w:r w:rsidRPr="003D009E">
        <w:tab/>
      </w:r>
      <w:r w:rsidRPr="003D009E">
        <w:tab/>
        <w:t>In this instrument:</w:t>
      </w:r>
    </w:p>
    <w:p w14:paraId="4840402B" w14:textId="7DDFA362" w:rsidR="00E57804" w:rsidRPr="003D009E" w:rsidRDefault="00E57804" w:rsidP="00E57804">
      <w:pPr>
        <w:pStyle w:val="Definition"/>
      </w:pPr>
      <w:bookmarkStart w:id="7" w:name="_Toc454781205"/>
      <w:r w:rsidRPr="003D009E">
        <w:rPr>
          <w:b/>
          <w:i/>
        </w:rPr>
        <w:t>Act</w:t>
      </w:r>
      <w:r w:rsidRPr="003D009E">
        <w:t xml:space="preserve"> means the </w:t>
      </w:r>
      <w:r w:rsidRPr="003D009E">
        <w:rPr>
          <w:i/>
        </w:rPr>
        <w:t>Biosecurity Act 2015</w:t>
      </w:r>
      <w:r w:rsidRPr="003D009E">
        <w:t>.</w:t>
      </w:r>
    </w:p>
    <w:p w14:paraId="63EA962C" w14:textId="77777777" w:rsidR="00E57804" w:rsidRPr="003D009E" w:rsidRDefault="00E57804" w:rsidP="00E57804">
      <w:pPr>
        <w:pStyle w:val="Definition"/>
      </w:pPr>
      <w:r w:rsidRPr="003D009E">
        <w:rPr>
          <w:b/>
          <w:i/>
        </w:rPr>
        <w:t>Australia Travel Declaration</w:t>
      </w:r>
      <w:r w:rsidRPr="003D009E">
        <w:t>, in relation to an individual who is entering Australian territory at a landing place or port, means the digital declaration known by that name that is:</w:t>
      </w:r>
    </w:p>
    <w:p w14:paraId="39900D0C" w14:textId="77777777" w:rsidR="00E57804" w:rsidRPr="003D009E" w:rsidRDefault="00E57804" w:rsidP="00E57804">
      <w:pPr>
        <w:pStyle w:val="paragraph"/>
      </w:pPr>
      <w:r w:rsidRPr="003D009E">
        <w:tab/>
        <w:t>(a)</w:t>
      </w:r>
      <w:r w:rsidRPr="003D009E">
        <w:tab/>
        <w:t>submitted by the person in respect of that entry to the departmental system operated by the Home Affairs Department that processes such declarations; or</w:t>
      </w:r>
    </w:p>
    <w:p w14:paraId="665150E3" w14:textId="77777777" w:rsidR="00E57804" w:rsidRPr="003D009E" w:rsidRDefault="00E57804" w:rsidP="00E57804">
      <w:pPr>
        <w:pStyle w:val="paragraph"/>
      </w:pPr>
      <w:r w:rsidRPr="003D009E">
        <w:tab/>
        <w:t>(b)</w:t>
      </w:r>
      <w:r w:rsidRPr="003D009E">
        <w:tab/>
        <w:t>if the person has submitted one or more subsequent declarations in respect of that entry—the most recently submitted declaration.</w:t>
      </w:r>
    </w:p>
    <w:p w14:paraId="5898F1E6" w14:textId="77777777" w:rsidR="00E57804" w:rsidRPr="003D009E" w:rsidRDefault="00E57804" w:rsidP="00E57804">
      <w:pPr>
        <w:pStyle w:val="Definition"/>
      </w:pPr>
      <w:r w:rsidRPr="003D009E">
        <w:rPr>
          <w:b/>
          <w:i/>
        </w:rPr>
        <w:t xml:space="preserve">Australia Travel Declaration pass </w:t>
      </w:r>
      <w:r w:rsidRPr="003D009E">
        <w:t>means a digital pass received by an individual after submitting an Australia Travel Declaration in respect of the individual’s entry into Australian territory at a landing place or port.</w:t>
      </w:r>
    </w:p>
    <w:p w14:paraId="7E84F1CC" w14:textId="77777777" w:rsidR="00E57804" w:rsidRPr="003D009E" w:rsidRDefault="00E57804" w:rsidP="00E57804">
      <w:pPr>
        <w:pStyle w:val="Definition"/>
        <w:rPr>
          <w:u w:val="single"/>
        </w:rPr>
      </w:pPr>
      <w:r w:rsidRPr="003D009E">
        <w:rPr>
          <w:b/>
          <w:i/>
        </w:rPr>
        <w:t xml:space="preserve">authorised system </w:t>
      </w:r>
      <w:r w:rsidRPr="003D009E">
        <w:t xml:space="preserve">means an automated system authorised in writing by the Home Affairs Minister, or by the Secretary of the Home Affairs Department, for the purposes of a provision of the </w:t>
      </w:r>
      <w:r w:rsidRPr="003D009E">
        <w:rPr>
          <w:i/>
        </w:rPr>
        <w:t>Migration Act 1958</w:t>
      </w:r>
      <w:r w:rsidRPr="003D009E">
        <w:t>.</w:t>
      </w:r>
      <w:r w:rsidRPr="003D009E">
        <w:rPr>
          <w:u w:val="single"/>
        </w:rPr>
        <w:t xml:space="preserve"> </w:t>
      </w:r>
    </w:p>
    <w:p w14:paraId="4D3D18DE" w14:textId="77777777" w:rsidR="00E57804" w:rsidRPr="003D009E" w:rsidRDefault="00E57804" w:rsidP="00E57804">
      <w:pPr>
        <w:pStyle w:val="Definition"/>
      </w:pPr>
      <w:r w:rsidRPr="003D009E">
        <w:rPr>
          <w:b/>
          <w:i/>
        </w:rPr>
        <w:t>designated yellow fever vaccination centre</w:t>
      </w:r>
      <w:r w:rsidRPr="003D009E">
        <w:t xml:space="preserve"> means a vaccination centre approved by the health administration authority of a country to administer vaccinations against yellow fever.</w:t>
      </w:r>
    </w:p>
    <w:p w14:paraId="3BEFDCEF" w14:textId="77777777" w:rsidR="00E57804" w:rsidRPr="003D009E" w:rsidRDefault="00E57804" w:rsidP="00E57804">
      <w:pPr>
        <w:pStyle w:val="Definition"/>
      </w:pPr>
      <w:r w:rsidRPr="003D009E">
        <w:rPr>
          <w:b/>
          <w:i/>
        </w:rPr>
        <w:t>health administration authority</w:t>
      </w:r>
      <w:r w:rsidRPr="003D009E">
        <w:t>, of a country, means a government authority responsible for the administration of health in the country, including the implementation of measures set out in the International Health Regulations.</w:t>
      </w:r>
    </w:p>
    <w:p w14:paraId="7BFB7FF5" w14:textId="77777777" w:rsidR="00E57804" w:rsidRPr="003D009E" w:rsidRDefault="00E57804" w:rsidP="00E57804">
      <w:pPr>
        <w:pStyle w:val="Definition"/>
      </w:pPr>
      <w:r w:rsidRPr="003D009E">
        <w:rPr>
          <w:b/>
          <w:i/>
        </w:rPr>
        <w:lastRenderedPageBreak/>
        <w:t>Home Affairs Department</w:t>
      </w:r>
      <w:r w:rsidRPr="003D009E">
        <w:t xml:space="preserve"> means the Department administered by the Home Affairs Minister.</w:t>
      </w:r>
    </w:p>
    <w:p w14:paraId="7A68D09D" w14:textId="77777777" w:rsidR="00E57804" w:rsidRPr="003D009E" w:rsidRDefault="00E57804" w:rsidP="00E57804">
      <w:pPr>
        <w:pStyle w:val="Definition"/>
      </w:pPr>
      <w:r w:rsidRPr="003D009E">
        <w:rPr>
          <w:b/>
          <w:i/>
        </w:rPr>
        <w:t xml:space="preserve">Home Affairs Minister </w:t>
      </w:r>
      <w:r w:rsidRPr="003D009E">
        <w:t xml:space="preserve">means the Minister administering the </w:t>
      </w:r>
      <w:r w:rsidRPr="003D009E">
        <w:rPr>
          <w:i/>
        </w:rPr>
        <w:t>Australian Border Force Act 2015</w:t>
      </w:r>
      <w:r w:rsidRPr="003D009E">
        <w:t>.</w:t>
      </w:r>
    </w:p>
    <w:p w14:paraId="2218058E" w14:textId="77777777" w:rsidR="00E57804" w:rsidRPr="003D009E" w:rsidRDefault="00E57804" w:rsidP="00E57804">
      <w:pPr>
        <w:pStyle w:val="Definition"/>
      </w:pPr>
      <w:r w:rsidRPr="003D009E">
        <w:rPr>
          <w:b/>
          <w:i/>
        </w:rPr>
        <w:t>international vaccination certificate</w:t>
      </w:r>
      <w:r w:rsidRPr="003D009E">
        <w:t xml:space="preserve"> means a certificate:</w:t>
      </w:r>
    </w:p>
    <w:p w14:paraId="0E99EF6E" w14:textId="77777777" w:rsidR="00E57804" w:rsidRPr="003D009E" w:rsidRDefault="00E57804" w:rsidP="00E57804">
      <w:pPr>
        <w:pStyle w:val="paragraph"/>
      </w:pPr>
      <w:r w:rsidRPr="003D009E">
        <w:tab/>
        <w:t>(a)</w:t>
      </w:r>
      <w:r w:rsidRPr="003D009E">
        <w:tab/>
        <w:t>conforming with the model international certificate of vaccination mentioned in annex 6 of the International Health Regulations; and</w:t>
      </w:r>
    </w:p>
    <w:p w14:paraId="42831671" w14:textId="5E0ECA12" w:rsidR="00E57804" w:rsidRPr="003D009E" w:rsidRDefault="00E57804" w:rsidP="00E57804">
      <w:pPr>
        <w:pStyle w:val="paragraph"/>
      </w:pPr>
      <w:r w:rsidRPr="003D009E">
        <w:tab/>
        <w:t>(b)</w:t>
      </w:r>
      <w:r w:rsidRPr="003D009E">
        <w:tab/>
        <w:t>that contains the information mentioned in subsection </w:t>
      </w:r>
      <w:r w:rsidR="00CC07A4" w:rsidRPr="003D009E">
        <w:t>8</w:t>
      </w:r>
      <w:r w:rsidRPr="003D009E">
        <w:t>(3).</w:t>
      </w:r>
    </w:p>
    <w:p w14:paraId="3A00D1D4" w14:textId="77777777" w:rsidR="00E57804" w:rsidRPr="003D009E" w:rsidRDefault="00E57804" w:rsidP="00E57804">
      <w:pPr>
        <w:pStyle w:val="Definition"/>
      </w:pPr>
      <w:r w:rsidRPr="003D009E">
        <w:rPr>
          <w:b/>
          <w:i/>
        </w:rPr>
        <w:t xml:space="preserve">passenger card </w:t>
      </w:r>
      <w:r w:rsidRPr="003D009E">
        <w:t>means</w:t>
      </w:r>
      <w:r w:rsidRPr="003D009E">
        <w:rPr>
          <w:b/>
        </w:rPr>
        <w:t xml:space="preserve"> </w:t>
      </w:r>
      <w:r w:rsidRPr="003D009E">
        <w:t xml:space="preserve">a card, known as a passenger card, for the giving of information, in the form of answers to questions on a form, by individuals travelling to Australia. </w:t>
      </w:r>
    </w:p>
    <w:p w14:paraId="4C7E979E" w14:textId="77777777" w:rsidR="00E57804" w:rsidRPr="003D009E" w:rsidRDefault="00E57804" w:rsidP="00E57804">
      <w:pPr>
        <w:pStyle w:val="Definition"/>
      </w:pPr>
      <w:r w:rsidRPr="003D009E">
        <w:rPr>
          <w:b/>
          <w:i/>
        </w:rPr>
        <w:t>relevant official</w:t>
      </w:r>
      <w:r w:rsidRPr="003D009E">
        <w:t xml:space="preserve"> means any of the following:</w:t>
      </w:r>
    </w:p>
    <w:p w14:paraId="2F8B6DED" w14:textId="77777777" w:rsidR="00E57804" w:rsidRPr="003D009E" w:rsidRDefault="00E57804" w:rsidP="00E57804">
      <w:pPr>
        <w:pStyle w:val="paragraph"/>
      </w:pPr>
      <w:r w:rsidRPr="003D009E">
        <w:tab/>
        <w:t>(a)</w:t>
      </w:r>
      <w:r w:rsidRPr="003D009E">
        <w:tab/>
        <w:t>a biosecurity officer;</w:t>
      </w:r>
    </w:p>
    <w:p w14:paraId="1304FBA9" w14:textId="77777777" w:rsidR="00E57804" w:rsidRPr="003D009E" w:rsidRDefault="00E57804" w:rsidP="00E57804">
      <w:pPr>
        <w:pStyle w:val="paragraph"/>
      </w:pPr>
      <w:r w:rsidRPr="003D009E">
        <w:tab/>
        <w:t>(b)</w:t>
      </w:r>
      <w:r w:rsidRPr="003D009E">
        <w:tab/>
        <w:t>a chief human biosecurity officer;</w:t>
      </w:r>
    </w:p>
    <w:p w14:paraId="41373EB6" w14:textId="77777777" w:rsidR="00E57804" w:rsidRPr="003D009E" w:rsidRDefault="00E57804" w:rsidP="00E57804">
      <w:pPr>
        <w:pStyle w:val="paragraph"/>
      </w:pPr>
      <w:r w:rsidRPr="003D009E">
        <w:tab/>
        <w:t>(c)</w:t>
      </w:r>
      <w:r w:rsidRPr="003D009E">
        <w:tab/>
        <w:t>a human biosecurity officer;</w:t>
      </w:r>
    </w:p>
    <w:p w14:paraId="7F6DAE6B" w14:textId="77777777" w:rsidR="00E57804" w:rsidRPr="003D009E" w:rsidRDefault="00E57804" w:rsidP="00E57804">
      <w:pPr>
        <w:pStyle w:val="paragraph"/>
      </w:pPr>
      <w:r w:rsidRPr="003D009E">
        <w:tab/>
        <w:t>(d)</w:t>
      </w:r>
      <w:r w:rsidRPr="003D009E">
        <w:tab/>
        <w:t>an APS employee in the Agriculture Department;</w:t>
      </w:r>
    </w:p>
    <w:p w14:paraId="2DC94B10" w14:textId="77777777" w:rsidR="00E57804" w:rsidRPr="003D009E" w:rsidRDefault="00E57804" w:rsidP="00E57804">
      <w:pPr>
        <w:pStyle w:val="paragraph"/>
      </w:pPr>
      <w:r w:rsidRPr="003D009E">
        <w:tab/>
        <w:t>(e)</w:t>
      </w:r>
      <w:r w:rsidRPr="003D009E">
        <w:tab/>
        <w:t>an APS employee in the Home Affairs Department.</w:t>
      </w:r>
    </w:p>
    <w:p w14:paraId="1E5178F6" w14:textId="77777777" w:rsidR="00E57804" w:rsidRPr="003D009E" w:rsidRDefault="00E57804" w:rsidP="00E57804">
      <w:pPr>
        <w:pStyle w:val="Definition"/>
      </w:pPr>
      <w:proofErr w:type="spellStart"/>
      <w:r w:rsidRPr="003D009E">
        <w:rPr>
          <w:b/>
          <w:i/>
        </w:rPr>
        <w:t>SmartGate</w:t>
      </w:r>
      <w:proofErr w:type="spellEnd"/>
      <w:r w:rsidRPr="003D009E">
        <w:rPr>
          <w:b/>
          <w:i/>
        </w:rPr>
        <w:t xml:space="preserve"> </w:t>
      </w:r>
      <w:r w:rsidRPr="003D009E">
        <w:t xml:space="preserve">means an automated border control point system of that name that is an authorised system for the purposes of section 166 of the </w:t>
      </w:r>
      <w:r w:rsidRPr="003D009E">
        <w:rPr>
          <w:i/>
        </w:rPr>
        <w:t>Migration Act 1958</w:t>
      </w:r>
      <w:r w:rsidRPr="003D009E">
        <w:t xml:space="preserve">. </w:t>
      </w:r>
    </w:p>
    <w:p w14:paraId="369A282B" w14:textId="778874DE" w:rsidR="00E57804" w:rsidRPr="003D009E" w:rsidRDefault="00E57804" w:rsidP="00E57804">
      <w:pPr>
        <w:pStyle w:val="Definition"/>
      </w:pPr>
      <w:r w:rsidRPr="003D009E">
        <w:rPr>
          <w:b/>
          <w:i/>
        </w:rPr>
        <w:t>yellow fever risk country or area</w:t>
      </w:r>
      <w:r w:rsidRPr="003D009E">
        <w:t xml:space="preserve"> means a country or area specified in Schedule 1.</w:t>
      </w:r>
    </w:p>
    <w:p w14:paraId="0C24B787" w14:textId="786B035B" w:rsidR="00DE33CD" w:rsidRPr="003D009E" w:rsidRDefault="002E2510" w:rsidP="00DE33CD">
      <w:pPr>
        <w:pStyle w:val="ActHead5"/>
      </w:pPr>
      <w:bookmarkStart w:id="8" w:name="_Toc200470606"/>
      <w:proofErr w:type="gramStart"/>
      <w:r w:rsidRPr="003D009E">
        <w:t>5</w:t>
      </w:r>
      <w:r w:rsidR="00DE33CD" w:rsidRPr="003D009E">
        <w:t xml:space="preserve">  Schedules</w:t>
      </w:r>
      <w:bookmarkEnd w:id="8"/>
      <w:proofErr w:type="gramEnd"/>
    </w:p>
    <w:p w14:paraId="77A16326" w14:textId="13DB8C36" w:rsidR="00DE33CD" w:rsidRPr="003D009E" w:rsidRDefault="00DE33CD" w:rsidP="00DE33CD">
      <w:pPr>
        <w:pStyle w:val="subsection"/>
      </w:pPr>
      <w:r w:rsidRPr="003D009E">
        <w:tab/>
      </w:r>
      <w:r w:rsidRPr="003D009E">
        <w:tab/>
        <w:t xml:space="preserve">Each instrument that is specified in Schedule </w:t>
      </w:r>
      <w:r w:rsidR="00C23A0B" w:rsidRPr="003D009E">
        <w:t xml:space="preserve">2 </w:t>
      </w:r>
      <w:r w:rsidRPr="003D009E">
        <w:t>to this instrument is amended or repealed as set out in the applicable items in th</w:t>
      </w:r>
      <w:r w:rsidR="00C23A0B" w:rsidRPr="003D009E">
        <w:t>at</w:t>
      </w:r>
      <w:r w:rsidRPr="003D009E">
        <w:t xml:space="preserve"> Schedule, and any other item in </w:t>
      </w:r>
      <w:r w:rsidR="00C23A0B" w:rsidRPr="003D009E">
        <w:t xml:space="preserve">that </w:t>
      </w:r>
      <w:r w:rsidRPr="003D009E">
        <w:t>Schedule has effect according to its terms.</w:t>
      </w:r>
    </w:p>
    <w:p w14:paraId="5303D94E" w14:textId="45B3F82B" w:rsidR="00E57804" w:rsidRPr="003D009E" w:rsidRDefault="00E57804">
      <w:pPr>
        <w:spacing w:line="240" w:lineRule="auto"/>
        <w:rPr>
          <w:rFonts w:eastAsia="Times New Roman" w:cs="Times New Roman"/>
          <w:b/>
          <w:kern w:val="28"/>
          <w:sz w:val="24"/>
          <w:lang w:eastAsia="en-AU"/>
        </w:rPr>
      </w:pPr>
      <w:r w:rsidRPr="003D009E">
        <w:br w:type="page"/>
      </w:r>
    </w:p>
    <w:p w14:paraId="55B45D73" w14:textId="77777777" w:rsidR="00E57804" w:rsidRPr="003D009E" w:rsidRDefault="00E57804" w:rsidP="00E57804">
      <w:pPr>
        <w:pStyle w:val="ActHead2"/>
        <w:pageBreakBefore/>
      </w:pPr>
      <w:bookmarkStart w:id="9" w:name="_Toc150527365"/>
      <w:bookmarkStart w:id="10" w:name="_Toc200470607"/>
      <w:bookmarkEnd w:id="7"/>
      <w:r w:rsidRPr="003D009E">
        <w:rPr>
          <w:rStyle w:val="CharPartNo"/>
        </w:rPr>
        <w:lastRenderedPageBreak/>
        <w:t>Part 2</w:t>
      </w:r>
      <w:r w:rsidRPr="003D009E">
        <w:t>—</w:t>
      </w:r>
      <w:r w:rsidRPr="003D009E">
        <w:rPr>
          <w:rStyle w:val="CharPartText"/>
        </w:rPr>
        <w:t>Requirements relating to yellow fever</w:t>
      </w:r>
      <w:bookmarkEnd w:id="9"/>
      <w:bookmarkEnd w:id="10"/>
    </w:p>
    <w:p w14:paraId="0371F5FF" w14:textId="77777777" w:rsidR="00E57804" w:rsidRPr="003D009E" w:rsidRDefault="00E57804" w:rsidP="00E57804">
      <w:pPr>
        <w:pStyle w:val="Header"/>
      </w:pPr>
      <w:r w:rsidRPr="003D009E">
        <w:rPr>
          <w:rStyle w:val="CharDivNo"/>
        </w:rPr>
        <w:t xml:space="preserve"> </w:t>
      </w:r>
      <w:r w:rsidRPr="003D009E">
        <w:rPr>
          <w:rStyle w:val="CharDivText"/>
        </w:rPr>
        <w:t xml:space="preserve"> </w:t>
      </w:r>
    </w:p>
    <w:p w14:paraId="45F6FCB8" w14:textId="310F599F" w:rsidR="00E57804" w:rsidRPr="003D009E" w:rsidRDefault="00CC07A4" w:rsidP="00E57804">
      <w:pPr>
        <w:pStyle w:val="ActHead5"/>
      </w:pPr>
      <w:bookmarkStart w:id="11" w:name="_Toc150527366"/>
      <w:bookmarkStart w:id="12" w:name="_Toc200470608"/>
      <w:proofErr w:type="gramStart"/>
      <w:r w:rsidRPr="003D009E">
        <w:rPr>
          <w:rStyle w:val="CharSectno"/>
        </w:rPr>
        <w:t>6</w:t>
      </w:r>
      <w:r w:rsidR="00E57804" w:rsidRPr="003D009E">
        <w:t xml:space="preserve">  Initial</w:t>
      </w:r>
      <w:proofErr w:type="gramEnd"/>
      <w:r w:rsidR="00E57804" w:rsidRPr="003D009E">
        <w:t xml:space="preserve"> screening—information relating to travel in yellow fever risk regions</w:t>
      </w:r>
      <w:bookmarkEnd w:id="11"/>
      <w:bookmarkEnd w:id="12"/>
    </w:p>
    <w:p w14:paraId="2F4A0AD1" w14:textId="77777777" w:rsidR="00E57804" w:rsidRPr="003D009E" w:rsidRDefault="00E57804" w:rsidP="00E57804">
      <w:pPr>
        <w:pStyle w:val="subsection"/>
      </w:pPr>
      <w:r w:rsidRPr="003D009E">
        <w:tab/>
        <w:t>(1)</w:t>
      </w:r>
      <w:r w:rsidRPr="003D009E">
        <w:tab/>
        <w:t>This section applies to an individual who is entering Australian territory at a landing place or port in accordance with Division 2 or 3 of Part 4 of Chapter 4 of the Act.</w:t>
      </w:r>
    </w:p>
    <w:p w14:paraId="468DC3F3" w14:textId="77777777" w:rsidR="00E57804" w:rsidRPr="003D009E" w:rsidRDefault="00E57804" w:rsidP="00E57804">
      <w:pPr>
        <w:pStyle w:val="subsection"/>
      </w:pPr>
      <w:r w:rsidRPr="003D009E">
        <w:tab/>
        <w:t>(2)</w:t>
      </w:r>
      <w:r w:rsidRPr="003D009E">
        <w:tab/>
        <w:t>The individual must provide information to a relevant official about whether the person had been in Africa, South America, Central America or the Caribbean at any time in the 6 days before entering the landing place or port, by:</w:t>
      </w:r>
    </w:p>
    <w:p w14:paraId="47A31AD1" w14:textId="33EEFB9F" w:rsidR="00E57804" w:rsidRPr="003D009E" w:rsidRDefault="00E57804" w:rsidP="00E57804">
      <w:pPr>
        <w:pStyle w:val="paragraph"/>
      </w:pPr>
      <w:r w:rsidRPr="003D009E">
        <w:tab/>
        <w:t>(a)</w:t>
      </w:r>
      <w:r w:rsidRPr="003D009E">
        <w:tab/>
        <w:t xml:space="preserve">providing the official with a passenger card on which the </w:t>
      </w:r>
      <w:r w:rsidR="00964F22" w:rsidRPr="003D009E">
        <w:t>relevant</w:t>
      </w:r>
      <w:r w:rsidRPr="003D009E">
        <w:t xml:space="preserve"> question has been completed; or</w:t>
      </w:r>
    </w:p>
    <w:p w14:paraId="5748A016" w14:textId="77777777" w:rsidR="00E57804" w:rsidRPr="003D009E" w:rsidRDefault="00E57804" w:rsidP="00E57804">
      <w:pPr>
        <w:pStyle w:val="paragraph"/>
      </w:pPr>
      <w:r w:rsidRPr="003D009E">
        <w:tab/>
        <w:t>(b)</w:t>
      </w:r>
      <w:r w:rsidRPr="003D009E">
        <w:tab/>
        <w:t>showing the official the individual’s Australia Travel Declaration pass.</w:t>
      </w:r>
    </w:p>
    <w:p w14:paraId="183255DE" w14:textId="63CEE585" w:rsidR="00E57804" w:rsidRPr="003D009E" w:rsidRDefault="00E57804" w:rsidP="00E57804">
      <w:pPr>
        <w:pStyle w:val="notetext"/>
      </w:pPr>
      <w:r w:rsidRPr="003D009E">
        <w:t xml:space="preserve">Note: </w:t>
      </w:r>
      <w:r w:rsidRPr="003D009E">
        <w:tab/>
        <w:t>An individual may show their Australia Travel Declaration pass in electronic form, such as on a mobile phone or tablet, or on a hard copy print-out of the pass.</w:t>
      </w:r>
    </w:p>
    <w:p w14:paraId="5E14F260" w14:textId="684124CF" w:rsidR="00E57804" w:rsidRPr="003D009E" w:rsidRDefault="00E57804" w:rsidP="00FE737A">
      <w:pPr>
        <w:pStyle w:val="subsection"/>
      </w:pPr>
      <w:r w:rsidRPr="003D009E">
        <w:tab/>
        <w:t>(</w:t>
      </w:r>
      <w:r w:rsidR="00A03F67" w:rsidRPr="003D009E">
        <w:t>3</w:t>
      </w:r>
      <w:r w:rsidRPr="003D009E">
        <w:t>)</w:t>
      </w:r>
      <w:r w:rsidRPr="003D009E">
        <w:tab/>
        <w:t xml:space="preserve">If the individual uses a </w:t>
      </w:r>
      <w:proofErr w:type="spellStart"/>
      <w:r w:rsidRPr="003D009E">
        <w:t>SmartGate</w:t>
      </w:r>
      <w:proofErr w:type="spellEnd"/>
      <w:r w:rsidRPr="003D009E">
        <w:t>, the individual must also</w:t>
      </w:r>
      <w:r w:rsidR="00CA549C" w:rsidRPr="003D009E">
        <w:t xml:space="preserve"> </w:t>
      </w:r>
      <w:r w:rsidRPr="003D009E">
        <w:t xml:space="preserve">provide the information required by subsection (2) by answering the relevant question about the matter when prompted by the </w:t>
      </w:r>
      <w:proofErr w:type="spellStart"/>
      <w:r w:rsidRPr="003D009E">
        <w:t>SmartGate</w:t>
      </w:r>
      <w:proofErr w:type="spellEnd"/>
      <w:r w:rsidRPr="003D009E">
        <w:t>.</w:t>
      </w:r>
    </w:p>
    <w:p w14:paraId="64A326B6" w14:textId="262E18BB" w:rsidR="00FE737A" w:rsidRPr="003D009E" w:rsidRDefault="00FE737A" w:rsidP="00FE737A">
      <w:pPr>
        <w:pStyle w:val="notetext"/>
      </w:pPr>
      <w:r w:rsidRPr="003D009E">
        <w:t xml:space="preserve">Note: </w:t>
      </w:r>
      <w:r w:rsidRPr="003D009E">
        <w:tab/>
        <w:t xml:space="preserve">Subsection </w:t>
      </w:r>
      <w:r w:rsidR="00CC07A4" w:rsidRPr="003D009E">
        <w:t>7</w:t>
      </w:r>
      <w:r w:rsidRPr="003D009E">
        <w:t xml:space="preserve">(2)(a) applies if the person answers ‘yes’ to this question when using the </w:t>
      </w:r>
      <w:proofErr w:type="spellStart"/>
      <w:r w:rsidRPr="003D009E">
        <w:t>SmartGate</w:t>
      </w:r>
      <w:proofErr w:type="spellEnd"/>
      <w:r w:rsidRPr="003D009E">
        <w:t xml:space="preserve">. </w:t>
      </w:r>
    </w:p>
    <w:p w14:paraId="62110C27" w14:textId="77777777" w:rsidR="00E57804" w:rsidRPr="003D009E" w:rsidRDefault="00E57804" w:rsidP="00E57804">
      <w:pPr>
        <w:pStyle w:val="SubsectionHead"/>
      </w:pPr>
      <w:r w:rsidRPr="003D009E">
        <w:t>Where requirements apply</w:t>
      </w:r>
    </w:p>
    <w:p w14:paraId="430C0D8F" w14:textId="701DA312" w:rsidR="00E57804" w:rsidRPr="003D009E" w:rsidRDefault="00E57804" w:rsidP="00E57804">
      <w:pPr>
        <w:pStyle w:val="subsection"/>
      </w:pPr>
      <w:r w:rsidRPr="003D009E">
        <w:tab/>
        <w:t>(</w:t>
      </w:r>
      <w:r w:rsidR="00A03F67" w:rsidRPr="003D009E">
        <w:t>4</w:t>
      </w:r>
      <w:r w:rsidRPr="003D009E">
        <w:t>)</w:t>
      </w:r>
      <w:r w:rsidRPr="003D009E">
        <w:tab/>
        <w:t>The requirements in this section apply at the landing place or port (as applicable).</w:t>
      </w:r>
    </w:p>
    <w:p w14:paraId="4070F52D" w14:textId="77777777" w:rsidR="00E57804" w:rsidRPr="003D009E" w:rsidRDefault="00E57804" w:rsidP="00E57804">
      <w:pPr>
        <w:pStyle w:val="notetext"/>
      </w:pPr>
      <w:r w:rsidRPr="003D009E">
        <w:t>Note 1:</w:t>
      </w:r>
      <w:r w:rsidRPr="003D009E">
        <w:tab/>
        <w:t>An individual who fails to comply with a requirement that applies to the individual under this section may contravene a civil penalty provision (see section 46 of the Act).</w:t>
      </w:r>
    </w:p>
    <w:p w14:paraId="487A8B1A" w14:textId="77777777" w:rsidR="00E57804" w:rsidRPr="003D009E" w:rsidRDefault="00E57804" w:rsidP="00E57804">
      <w:pPr>
        <w:pStyle w:val="notetext"/>
      </w:pPr>
      <w:r w:rsidRPr="003D009E">
        <w:t>Note 2:</w:t>
      </w:r>
      <w:r w:rsidRPr="003D009E">
        <w:tab/>
        <w:t xml:space="preserve">A person may commit an offence or contravene a civil penalty provision if the person provides false or misleading information or documents (see sections 137.1 and 137.2 of the </w:t>
      </w:r>
      <w:r w:rsidRPr="003D009E">
        <w:rPr>
          <w:i/>
        </w:rPr>
        <w:t>Criminal Code</w:t>
      </w:r>
      <w:r w:rsidRPr="003D009E">
        <w:t xml:space="preserve"> and sections 532 and 533 of the Act).</w:t>
      </w:r>
    </w:p>
    <w:p w14:paraId="2037306D" w14:textId="77777777" w:rsidR="00E57804" w:rsidRPr="003D009E" w:rsidRDefault="00E57804" w:rsidP="00E57804">
      <w:pPr>
        <w:pStyle w:val="notetext"/>
      </w:pPr>
      <w:r w:rsidRPr="003D009E">
        <w:t>Note 3:</w:t>
      </w:r>
      <w:r w:rsidRPr="003D009E">
        <w:tab/>
        <w:t>For protections for children or incapable persons who are subject to the requirements in this section, see Subdivision B of Division 2 of Part 1 of Chapter 2 of the Act.</w:t>
      </w:r>
    </w:p>
    <w:p w14:paraId="0049801F" w14:textId="77777777" w:rsidR="00E57804" w:rsidRPr="003D009E" w:rsidRDefault="00E57804" w:rsidP="00E57804">
      <w:pPr>
        <w:pStyle w:val="notetext"/>
      </w:pPr>
      <w:r w:rsidRPr="003D009E">
        <w:t>Note 4:</w:t>
      </w:r>
      <w:r w:rsidRPr="003D009E">
        <w:tab/>
        <w:t>Part 2 of Chapter 11 of the Act deals with confidentiality of personal information collected under the Act.</w:t>
      </w:r>
    </w:p>
    <w:p w14:paraId="1EC4D36B" w14:textId="281ECB2A" w:rsidR="00E57804" w:rsidRPr="003D009E" w:rsidRDefault="00CC07A4" w:rsidP="00E57804">
      <w:pPr>
        <w:pStyle w:val="ActHead5"/>
      </w:pPr>
      <w:bookmarkStart w:id="13" w:name="_Toc150527367"/>
      <w:bookmarkStart w:id="14" w:name="_Toc200470609"/>
      <w:proofErr w:type="gramStart"/>
      <w:r w:rsidRPr="003D009E">
        <w:rPr>
          <w:rStyle w:val="CharSectno"/>
        </w:rPr>
        <w:t>7</w:t>
      </w:r>
      <w:r w:rsidR="00E57804" w:rsidRPr="003D009E">
        <w:t xml:space="preserve">  Secondary</w:t>
      </w:r>
      <w:proofErr w:type="gramEnd"/>
      <w:r w:rsidR="00E57804" w:rsidRPr="003D009E">
        <w:t xml:space="preserve"> screening—information relating to stays in yellow fever risk countries or areas</w:t>
      </w:r>
      <w:bookmarkEnd w:id="13"/>
      <w:bookmarkEnd w:id="14"/>
    </w:p>
    <w:p w14:paraId="7FEF8583" w14:textId="77777777" w:rsidR="00E57804" w:rsidRPr="003D009E" w:rsidRDefault="00E57804" w:rsidP="00E57804">
      <w:pPr>
        <w:pStyle w:val="subsection"/>
      </w:pPr>
      <w:r w:rsidRPr="003D009E">
        <w:tab/>
        <w:t>(1)</w:t>
      </w:r>
      <w:r w:rsidRPr="003D009E">
        <w:tab/>
        <w:t>This section applies to an individual who:</w:t>
      </w:r>
    </w:p>
    <w:p w14:paraId="22E1F26B" w14:textId="77777777" w:rsidR="00E57804" w:rsidRPr="003D009E" w:rsidRDefault="00E57804" w:rsidP="00E57804">
      <w:pPr>
        <w:pStyle w:val="paragraph"/>
      </w:pPr>
      <w:r w:rsidRPr="003D009E">
        <w:tab/>
        <w:t>(a)</w:t>
      </w:r>
      <w:r w:rsidRPr="003D009E">
        <w:tab/>
        <w:t>is entering Australian territory at a landing place or port in accordance with Division 2 or 3 of Part 4 of Chapter 4 of the Act; and</w:t>
      </w:r>
    </w:p>
    <w:p w14:paraId="511DC837" w14:textId="77777777" w:rsidR="00E57804" w:rsidRPr="003D009E" w:rsidRDefault="00E57804" w:rsidP="00E57804">
      <w:pPr>
        <w:pStyle w:val="paragraph"/>
      </w:pPr>
      <w:r w:rsidRPr="003D009E">
        <w:tab/>
        <w:t>(b)</w:t>
      </w:r>
      <w:r w:rsidRPr="003D009E">
        <w:tab/>
        <w:t>had been in Africa, South America, Central America or the Caribbean at any time in the 6 days before entering the landing place or port.</w:t>
      </w:r>
    </w:p>
    <w:p w14:paraId="7E96BB8C" w14:textId="77777777" w:rsidR="00E57804" w:rsidRPr="003D009E" w:rsidRDefault="00E57804" w:rsidP="00E57804">
      <w:pPr>
        <w:pStyle w:val="subsection"/>
      </w:pPr>
      <w:r w:rsidRPr="003D009E">
        <w:tab/>
        <w:t>(2)</w:t>
      </w:r>
      <w:r w:rsidRPr="003D009E">
        <w:tab/>
        <w:t>The individual must provide information about whether the person had stayed overnight or longer in a yellow fever risk country or area at any time in the 6 days before entering the landing place or port, by:</w:t>
      </w:r>
    </w:p>
    <w:p w14:paraId="77A5D454" w14:textId="77777777" w:rsidR="00E57804" w:rsidRPr="003D009E" w:rsidRDefault="00E57804" w:rsidP="00FE737A">
      <w:pPr>
        <w:pStyle w:val="paragraph"/>
      </w:pPr>
      <w:r w:rsidRPr="003D009E">
        <w:lastRenderedPageBreak/>
        <w:tab/>
        <w:t>(a)</w:t>
      </w:r>
      <w:r w:rsidRPr="003D009E">
        <w:tab/>
        <w:t xml:space="preserve">if the individual uses a </w:t>
      </w:r>
      <w:proofErr w:type="spellStart"/>
      <w:r w:rsidRPr="003D009E">
        <w:t>SmartGate</w:t>
      </w:r>
      <w:proofErr w:type="spellEnd"/>
      <w:r w:rsidRPr="003D009E">
        <w:t xml:space="preserve">—answering the relevant question about the matter when prompted by the </w:t>
      </w:r>
      <w:proofErr w:type="spellStart"/>
      <w:r w:rsidRPr="003D009E">
        <w:t>SmartGate</w:t>
      </w:r>
      <w:proofErr w:type="spellEnd"/>
      <w:r w:rsidRPr="003D009E">
        <w:t>; or</w:t>
      </w:r>
    </w:p>
    <w:p w14:paraId="2FCF9F11" w14:textId="77777777" w:rsidR="00E57804" w:rsidRPr="003D009E" w:rsidRDefault="00E57804" w:rsidP="00E57804">
      <w:pPr>
        <w:pStyle w:val="paragraph"/>
      </w:pPr>
      <w:r w:rsidRPr="003D009E">
        <w:tab/>
        <w:t>(b)</w:t>
      </w:r>
      <w:r w:rsidRPr="003D009E">
        <w:tab/>
        <w:t xml:space="preserve">otherwise—declaring the information to a relevant official. </w:t>
      </w:r>
    </w:p>
    <w:p w14:paraId="4B160F17" w14:textId="3955607D" w:rsidR="001016FB" w:rsidRPr="003D009E" w:rsidRDefault="00FE737A" w:rsidP="006779C5">
      <w:pPr>
        <w:pStyle w:val="subsection"/>
      </w:pPr>
      <w:r w:rsidRPr="003D009E">
        <w:tab/>
        <w:t>(</w:t>
      </w:r>
      <w:r w:rsidR="00A03F67" w:rsidRPr="003D009E">
        <w:t>3</w:t>
      </w:r>
      <w:r w:rsidRPr="003D009E">
        <w:t>)</w:t>
      </w:r>
      <w:r w:rsidRPr="003D009E">
        <w:tab/>
      </w:r>
      <w:r w:rsidR="006779C5" w:rsidRPr="003D009E">
        <w:t>I</w:t>
      </w:r>
      <w:r w:rsidRPr="003D009E">
        <w:t>f</w:t>
      </w:r>
      <w:r w:rsidR="001016FB" w:rsidRPr="003D009E">
        <w:t>:</w:t>
      </w:r>
    </w:p>
    <w:p w14:paraId="284DBCE0" w14:textId="77777777" w:rsidR="001016FB" w:rsidRPr="003D009E" w:rsidRDefault="001016FB" w:rsidP="001016FB">
      <w:pPr>
        <w:pStyle w:val="paragraph"/>
      </w:pPr>
      <w:r w:rsidRPr="003D009E">
        <w:tab/>
        <w:t>(a)</w:t>
      </w:r>
      <w:r w:rsidRPr="003D009E">
        <w:tab/>
        <w:t xml:space="preserve">the individual provides the information required by subsection (2) using a </w:t>
      </w:r>
      <w:proofErr w:type="spellStart"/>
      <w:r w:rsidRPr="003D009E">
        <w:t>SmartGate</w:t>
      </w:r>
      <w:proofErr w:type="spellEnd"/>
      <w:r w:rsidR="00EC185C" w:rsidRPr="003D009E">
        <w:t>, in accordance with paragraph (2)(a)</w:t>
      </w:r>
      <w:r w:rsidRPr="003D009E">
        <w:t xml:space="preserve">; and </w:t>
      </w:r>
    </w:p>
    <w:p w14:paraId="495396D8" w14:textId="77777777" w:rsidR="001016FB" w:rsidRPr="003D009E" w:rsidRDefault="001016FB" w:rsidP="001016FB">
      <w:pPr>
        <w:pStyle w:val="paragraph"/>
      </w:pPr>
      <w:r w:rsidRPr="003D009E">
        <w:tab/>
        <w:t>(b)</w:t>
      </w:r>
      <w:r w:rsidRPr="003D009E">
        <w:tab/>
        <w:t xml:space="preserve">upon completion of the process, the </w:t>
      </w:r>
      <w:proofErr w:type="spellStart"/>
      <w:r w:rsidRPr="003D009E">
        <w:t>SmartGate</w:t>
      </w:r>
      <w:proofErr w:type="spellEnd"/>
      <w:r w:rsidRPr="003D009E">
        <w:t xml:space="preserve"> door does not open</w:t>
      </w:r>
      <w:r w:rsidR="00B644A1" w:rsidRPr="003D009E">
        <w:t>,</w:t>
      </w:r>
    </w:p>
    <w:p w14:paraId="26CEC286" w14:textId="60192B61" w:rsidR="001016FB" w:rsidRPr="003D009E" w:rsidRDefault="001016FB" w:rsidP="00254AEB">
      <w:pPr>
        <w:pStyle w:val="subsection2"/>
      </w:pPr>
      <w:r w:rsidRPr="003D009E">
        <w:t>the individual must also declare the information to a relevant official.</w:t>
      </w:r>
    </w:p>
    <w:p w14:paraId="6509514A" w14:textId="3C805877" w:rsidR="00E57804" w:rsidRPr="003D009E" w:rsidRDefault="00E57804" w:rsidP="00E57804">
      <w:pPr>
        <w:pStyle w:val="subsection"/>
      </w:pPr>
      <w:r w:rsidRPr="003D009E">
        <w:tab/>
        <w:t>(</w:t>
      </w:r>
      <w:r w:rsidR="00A03F67" w:rsidRPr="003D009E">
        <w:t>4</w:t>
      </w:r>
      <w:r w:rsidRPr="003D009E">
        <w:t>)</w:t>
      </w:r>
      <w:r w:rsidRPr="003D009E">
        <w:tab/>
        <w:t xml:space="preserve">If the individual makes a declaration as required by paragraph (2)(b) </w:t>
      </w:r>
      <w:r w:rsidR="00271392" w:rsidRPr="003D009E">
        <w:t xml:space="preserve">or </w:t>
      </w:r>
      <w:r w:rsidR="00115F52" w:rsidRPr="003D009E">
        <w:t>sub</w:t>
      </w:r>
      <w:r w:rsidR="008C26BE" w:rsidRPr="003D009E">
        <w:t>section</w:t>
      </w:r>
      <w:r w:rsidR="00271392" w:rsidRPr="003D009E">
        <w:t xml:space="preserve"> </w:t>
      </w:r>
      <w:r w:rsidR="005C3797" w:rsidRPr="003D009E">
        <w:t>(</w:t>
      </w:r>
      <w:r w:rsidR="00A03F67" w:rsidRPr="003D009E">
        <w:t>3</w:t>
      </w:r>
      <w:r w:rsidR="005C3797" w:rsidRPr="003D009E">
        <w:t xml:space="preserve">) </w:t>
      </w:r>
      <w:r w:rsidRPr="003D009E">
        <w:t>orally, the individual must also make the declaration in writing if a relevant official asks the individual to do so.</w:t>
      </w:r>
    </w:p>
    <w:p w14:paraId="31807015" w14:textId="77777777" w:rsidR="00E57804" w:rsidRPr="003D009E" w:rsidRDefault="00E57804" w:rsidP="00E57804">
      <w:pPr>
        <w:pStyle w:val="SubsectionHead"/>
      </w:pPr>
      <w:r w:rsidRPr="003D009E">
        <w:t>Where requirements apply</w:t>
      </w:r>
    </w:p>
    <w:p w14:paraId="27589432" w14:textId="6E11AEDB" w:rsidR="00E57804" w:rsidRPr="003D009E" w:rsidRDefault="00E57804" w:rsidP="00E57804">
      <w:pPr>
        <w:pStyle w:val="subsection"/>
      </w:pPr>
      <w:r w:rsidRPr="003D009E">
        <w:tab/>
        <w:t>(</w:t>
      </w:r>
      <w:r w:rsidR="00A03F67" w:rsidRPr="003D009E">
        <w:t>5</w:t>
      </w:r>
      <w:r w:rsidRPr="003D009E">
        <w:t>)</w:t>
      </w:r>
      <w:r w:rsidRPr="003D009E">
        <w:tab/>
        <w:t>The requirements in this section apply at the landing place or port (as applicable).</w:t>
      </w:r>
    </w:p>
    <w:p w14:paraId="0C3A0F58" w14:textId="77777777" w:rsidR="00E57804" w:rsidRPr="003D009E" w:rsidRDefault="00E57804" w:rsidP="00E57804">
      <w:pPr>
        <w:pStyle w:val="notetext"/>
      </w:pPr>
      <w:r w:rsidRPr="003D009E">
        <w:t>Note 1:</w:t>
      </w:r>
      <w:r w:rsidRPr="003D009E">
        <w:tab/>
        <w:t>An individual who fails to comply with a requirement that applies to the individual under this section may contravene a civil penalty provision (see section 46 of the Act).</w:t>
      </w:r>
    </w:p>
    <w:p w14:paraId="2A6B59E5" w14:textId="77777777" w:rsidR="00E57804" w:rsidRPr="003D009E" w:rsidRDefault="00E57804" w:rsidP="00E57804">
      <w:pPr>
        <w:pStyle w:val="notetext"/>
      </w:pPr>
      <w:r w:rsidRPr="003D009E">
        <w:t>Note 2:</w:t>
      </w:r>
      <w:r w:rsidRPr="003D009E">
        <w:tab/>
        <w:t xml:space="preserve">A person may commit an offence or contravene a civil penalty provision if the person provides false or misleading information or documents (see sections 137.1 and 137.2 of the </w:t>
      </w:r>
      <w:r w:rsidRPr="003D009E">
        <w:rPr>
          <w:i/>
        </w:rPr>
        <w:t>Criminal Code</w:t>
      </w:r>
      <w:r w:rsidRPr="003D009E">
        <w:t xml:space="preserve"> and sections 532 and 533 of the Act).</w:t>
      </w:r>
    </w:p>
    <w:p w14:paraId="73645F22" w14:textId="77777777" w:rsidR="00E57804" w:rsidRPr="003D009E" w:rsidRDefault="00E57804" w:rsidP="00E57804">
      <w:pPr>
        <w:pStyle w:val="notetext"/>
      </w:pPr>
      <w:r w:rsidRPr="003D009E">
        <w:t>Note 3:</w:t>
      </w:r>
      <w:r w:rsidRPr="003D009E">
        <w:tab/>
        <w:t>For protections for children or incapable persons who are subject to the requirements in this section, see Subdivision B of Division 2 of Part 1 of Chapter 2 of the Act.</w:t>
      </w:r>
    </w:p>
    <w:p w14:paraId="6CA29D5A" w14:textId="77777777" w:rsidR="00E57804" w:rsidRPr="003D009E" w:rsidRDefault="00E57804" w:rsidP="00E57804">
      <w:pPr>
        <w:pStyle w:val="notetext"/>
      </w:pPr>
      <w:r w:rsidRPr="003D009E">
        <w:t>Note 4:</w:t>
      </w:r>
      <w:r w:rsidRPr="003D009E">
        <w:tab/>
        <w:t>Part 2 of Chapter 11 of the Act deals with confidentiality of personal information collected under the Act.</w:t>
      </w:r>
    </w:p>
    <w:p w14:paraId="357B653B" w14:textId="2AA4B833" w:rsidR="00E57804" w:rsidRPr="003D009E" w:rsidRDefault="00CC07A4" w:rsidP="00E57804">
      <w:pPr>
        <w:pStyle w:val="ActHead5"/>
      </w:pPr>
      <w:bookmarkStart w:id="15" w:name="_Toc150527368"/>
      <w:bookmarkStart w:id="16" w:name="_Toc200470610"/>
      <w:proofErr w:type="gramStart"/>
      <w:r w:rsidRPr="003D009E">
        <w:rPr>
          <w:rStyle w:val="CharSectno"/>
        </w:rPr>
        <w:t>8</w:t>
      </w:r>
      <w:r w:rsidR="00E57804" w:rsidRPr="003D009E">
        <w:t xml:space="preserve">  Vaccination</w:t>
      </w:r>
      <w:proofErr w:type="gramEnd"/>
      <w:r w:rsidR="00E57804" w:rsidRPr="003D009E">
        <w:t xml:space="preserve"> certificates and travel history—individuals who have stayed in yellow fever risk countries or areas</w:t>
      </w:r>
      <w:bookmarkEnd w:id="15"/>
      <w:bookmarkEnd w:id="16"/>
    </w:p>
    <w:p w14:paraId="59E752B0" w14:textId="77777777" w:rsidR="00E57804" w:rsidRPr="003D009E" w:rsidRDefault="00E57804" w:rsidP="00E57804">
      <w:pPr>
        <w:pStyle w:val="subsection"/>
      </w:pPr>
      <w:r w:rsidRPr="003D009E">
        <w:tab/>
        <w:t>(1)</w:t>
      </w:r>
      <w:r w:rsidRPr="003D009E">
        <w:tab/>
        <w:t>This section applies to an individual who:</w:t>
      </w:r>
    </w:p>
    <w:p w14:paraId="1A5C0401" w14:textId="77777777" w:rsidR="00E57804" w:rsidRPr="003D009E" w:rsidRDefault="00E57804" w:rsidP="00E57804">
      <w:pPr>
        <w:pStyle w:val="paragraph"/>
      </w:pPr>
      <w:r w:rsidRPr="003D009E">
        <w:tab/>
        <w:t>(a)</w:t>
      </w:r>
      <w:r w:rsidRPr="003D009E">
        <w:tab/>
        <w:t>is entering Australian territory at a landing place or port in accordance with Division 2 or 3 of Part 4 of Chapter 4 of the Act; and</w:t>
      </w:r>
    </w:p>
    <w:p w14:paraId="57125A93" w14:textId="77777777" w:rsidR="00E57804" w:rsidRPr="003D009E" w:rsidRDefault="00E57804" w:rsidP="00E57804">
      <w:pPr>
        <w:pStyle w:val="paragraph"/>
      </w:pPr>
      <w:r w:rsidRPr="003D009E">
        <w:tab/>
        <w:t>(b)</w:t>
      </w:r>
      <w:r w:rsidRPr="003D009E">
        <w:tab/>
        <w:t>had stayed overnight or longer in a yellow fever risk country or area at any time in the 6 days before entering the landing place or port.</w:t>
      </w:r>
    </w:p>
    <w:p w14:paraId="7629ACCA" w14:textId="77777777" w:rsidR="00E57804" w:rsidRPr="003D009E" w:rsidRDefault="00E57804" w:rsidP="00E57804">
      <w:pPr>
        <w:pStyle w:val="SubsectionHead"/>
      </w:pPr>
      <w:r w:rsidRPr="003D009E">
        <w:t>International vaccination certificates</w:t>
      </w:r>
    </w:p>
    <w:p w14:paraId="37D6B719" w14:textId="75BD6867" w:rsidR="00E57804" w:rsidRPr="003D009E" w:rsidRDefault="00E57804" w:rsidP="00E57804">
      <w:pPr>
        <w:pStyle w:val="subsection"/>
      </w:pPr>
      <w:r w:rsidRPr="003D009E">
        <w:tab/>
        <w:t>(2)</w:t>
      </w:r>
      <w:r w:rsidRPr="003D009E">
        <w:tab/>
        <w:t>A relevant official may require the individual to provide</w:t>
      </w:r>
      <w:r w:rsidR="00B644A1" w:rsidRPr="003D009E">
        <w:t xml:space="preserve"> one </w:t>
      </w:r>
      <w:r w:rsidR="004C6AFA" w:rsidRPr="003D009E">
        <w:t xml:space="preserve">or more </w:t>
      </w:r>
      <w:r w:rsidR="00B644A1" w:rsidRPr="003D009E">
        <w:t>of the following</w:t>
      </w:r>
      <w:r w:rsidRPr="003D009E">
        <w:t>:</w:t>
      </w:r>
    </w:p>
    <w:p w14:paraId="433AFB58" w14:textId="77777777" w:rsidR="00E57804" w:rsidRPr="003D009E" w:rsidRDefault="00E57804" w:rsidP="00E57804">
      <w:pPr>
        <w:pStyle w:val="paragraph"/>
      </w:pPr>
      <w:r w:rsidRPr="003D009E">
        <w:tab/>
        <w:t>(a)</w:t>
      </w:r>
      <w:r w:rsidRPr="003D009E">
        <w:tab/>
        <w:t>a declaration as to whether the individual has received yellow fever vaccine at least 10 days before entering the landing place or port; or</w:t>
      </w:r>
    </w:p>
    <w:p w14:paraId="48C940D3" w14:textId="6BD9CDCC" w:rsidR="00B644A1" w:rsidRPr="003D009E" w:rsidRDefault="00B644A1" w:rsidP="00E57804">
      <w:pPr>
        <w:pStyle w:val="paragraph"/>
      </w:pPr>
      <w:r w:rsidRPr="003D009E">
        <w:tab/>
        <w:t>(b)</w:t>
      </w:r>
      <w:r w:rsidRPr="003D009E">
        <w:tab/>
      </w:r>
      <w:r w:rsidR="00AF21C9" w:rsidRPr="003D009E">
        <w:t xml:space="preserve">if the individual has entered via a </w:t>
      </w:r>
      <w:proofErr w:type="spellStart"/>
      <w:r w:rsidR="00AF21C9" w:rsidRPr="003D009E">
        <w:t>SmartGate</w:t>
      </w:r>
      <w:proofErr w:type="spellEnd"/>
      <w:r w:rsidR="00AF21C9" w:rsidRPr="003D009E">
        <w:t>—</w:t>
      </w:r>
      <w:r w:rsidRPr="003D009E">
        <w:t xml:space="preserve">a ticket generated by </w:t>
      </w:r>
      <w:r w:rsidR="00AF21C9" w:rsidRPr="003D009E">
        <w:t>the</w:t>
      </w:r>
      <w:r w:rsidR="00E01C8E" w:rsidRPr="003D009E">
        <w:t xml:space="preserve"> </w:t>
      </w:r>
      <w:proofErr w:type="spellStart"/>
      <w:r w:rsidRPr="003D009E">
        <w:t>SmartGate</w:t>
      </w:r>
      <w:proofErr w:type="spellEnd"/>
      <w:r w:rsidRPr="003D009E">
        <w:t xml:space="preserve">, indicating that the individual has, using the </w:t>
      </w:r>
      <w:proofErr w:type="spellStart"/>
      <w:r w:rsidRPr="003D009E">
        <w:t>SmartGate</w:t>
      </w:r>
      <w:proofErr w:type="spellEnd"/>
      <w:r w:rsidRPr="003D009E">
        <w:t>, declared that the person has received yellow fever vaccine at least 10 days before entering the landing place or port; or</w:t>
      </w:r>
    </w:p>
    <w:p w14:paraId="6BC8C108" w14:textId="77777777" w:rsidR="00E57804" w:rsidRPr="003D009E" w:rsidRDefault="00E57804" w:rsidP="00E57804">
      <w:pPr>
        <w:pStyle w:val="paragraph"/>
      </w:pPr>
      <w:r w:rsidRPr="003D009E">
        <w:tab/>
        <w:t>(</w:t>
      </w:r>
      <w:r w:rsidR="00B644A1" w:rsidRPr="003D009E">
        <w:t>c</w:t>
      </w:r>
      <w:r w:rsidRPr="003D009E">
        <w:t>)</w:t>
      </w:r>
      <w:r w:rsidRPr="003D009E">
        <w:tab/>
        <w:t xml:space="preserve">an international vaccination certificate evidencing that the individual has received yellow fever vaccine at least 10 days before entering the landing place or port. </w:t>
      </w:r>
    </w:p>
    <w:p w14:paraId="0FA23CB5" w14:textId="0CE9BBAA" w:rsidR="00E57804" w:rsidRPr="003D009E" w:rsidRDefault="00E57804" w:rsidP="00E57804">
      <w:pPr>
        <w:pStyle w:val="notetext"/>
      </w:pPr>
      <w:r w:rsidRPr="003D009E">
        <w:lastRenderedPageBreak/>
        <w:t>Note:</w:t>
      </w:r>
      <w:r w:rsidRPr="003D009E">
        <w:tab/>
        <w:t>An officer has certain powers in relation to an individual who fails to comply with a requirement that applies to the individual under this section (see section 60 of the Act (imposing a human biosecurity control order on an individual)).</w:t>
      </w:r>
    </w:p>
    <w:p w14:paraId="5DFF9556" w14:textId="77777777" w:rsidR="00E57804" w:rsidRPr="003D009E" w:rsidRDefault="00E57804" w:rsidP="00E57804">
      <w:pPr>
        <w:pStyle w:val="subsection"/>
      </w:pPr>
      <w:r w:rsidRPr="003D009E">
        <w:tab/>
        <w:t>(3)</w:t>
      </w:r>
      <w:r w:rsidRPr="003D009E">
        <w:tab/>
        <w:t>An international vaccination certificate for an individual must:</w:t>
      </w:r>
    </w:p>
    <w:p w14:paraId="3110FD2D" w14:textId="77777777" w:rsidR="00E57804" w:rsidRPr="003D009E" w:rsidRDefault="00E57804" w:rsidP="00E57804">
      <w:pPr>
        <w:pStyle w:val="paragraph"/>
      </w:pPr>
      <w:r w:rsidRPr="003D009E">
        <w:tab/>
        <w:t>(a)</w:t>
      </w:r>
      <w:r w:rsidRPr="003D009E">
        <w:tab/>
        <w:t>be in the name of the individual; and</w:t>
      </w:r>
    </w:p>
    <w:p w14:paraId="73CD87A1" w14:textId="77777777" w:rsidR="00E57804" w:rsidRPr="003D009E" w:rsidRDefault="00E57804" w:rsidP="00E57804">
      <w:pPr>
        <w:pStyle w:val="paragraph"/>
      </w:pPr>
      <w:r w:rsidRPr="003D009E">
        <w:tab/>
        <w:t>(b)</w:t>
      </w:r>
      <w:r w:rsidRPr="003D009E">
        <w:tab/>
        <w:t>be issued by a designated yellow fever vaccination centre; and</w:t>
      </w:r>
    </w:p>
    <w:p w14:paraId="2ED914FD" w14:textId="77777777" w:rsidR="00E57804" w:rsidRPr="003D009E" w:rsidRDefault="00E57804" w:rsidP="00E57804">
      <w:pPr>
        <w:pStyle w:val="paragraph"/>
      </w:pPr>
      <w:r w:rsidRPr="003D009E">
        <w:tab/>
        <w:t>(c)</w:t>
      </w:r>
      <w:r w:rsidRPr="003D009E">
        <w:tab/>
        <w:t>display the official stamp of the designated yellow fever vaccination centre that issued the certificate; and</w:t>
      </w:r>
    </w:p>
    <w:p w14:paraId="5906FE28" w14:textId="77777777" w:rsidR="00E57804" w:rsidRPr="003D009E" w:rsidRDefault="00E57804" w:rsidP="00E57804">
      <w:pPr>
        <w:pStyle w:val="paragraph"/>
      </w:pPr>
      <w:r w:rsidRPr="003D009E">
        <w:tab/>
        <w:t>(d)</w:t>
      </w:r>
      <w:r w:rsidRPr="003D009E">
        <w:tab/>
        <w:t>be signed by a medical practitioner or other person authorised by the health administration authority of the country in which the vaccination took place; and</w:t>
      </w:r>
    </w:p>
    <w:p w14:paraId="7C5132F9" w14:textId="77777777" w:rsidR="00E57804" w:rsidRPr="003D009E" w:rsidRDefault="00E57804" w:rsidP="00E57804">
      <w:pPr>
        <w:pStyle w:val="paragraph"/>
      </w:pPr>
      <w:r w:rsidRPr="003D009E">
        <w:tab/>
        <w:t>(e)</w:t>
      </w:r>
      <w:r w:rsidRPr="003D009E">
        <w:tab/>
        <w:t>state the office or professional status of the medical practitioner or other person who signed the certificate; and</w:t>
      </w:r>
    </w:p>
    <w:p w14:paraId="521D709E" w14:textId="77777777" w:rsidR="00E57804" w:rsidRPr="003D009E" w:rsidRDefault="00E57804" w:rsidP="00E57804">
      <w:pPr>
        <w:pStyle w:val="paragraph"/>
      </w:pPr>
      <w:r w:rsidRPr="003D009E">
        <w:tab/>
        <w:t>(f)</w:t>
      </w:r>
      <w:r w:rsidRPr="003D009E">
        <w:tab/>
        <w:t>state the date when the vaccination took place; and</w:t>
      </w:r>
    </w:p>
    <w:p w14:paraId="4E764878" w14:textId="77777777" w:rsidR="00E57804" w:rsidRPr="003D009E" w:rsidRDefault="00E57804" w:rsidP="00E57804">
      <w:pPr>
        <w:pStyle w:val="paragraph"/>
      </w:pPr>
      <w:r w:rsidRPr="003D009E">
        <w:tab/>
        <w:t>(g)</w:t>
      </w:r>
      <w:r w:rsidRPr="003D009E">
        <w:tab/>
        <w:t>state that the vaccine used to vaccinate the individual is a vaccine approved by the World Health Organization for the vaccination of persons against yellow fever.</w:t>
      </w:r>
    </w:p>
    <w:p w14:paraId="2AC71317" w14:textId="77777777" w:rsidR="00E57804" w:rsidRPr="003D009E" w:rsidRDefault="00E57804" w:rsidP="00E57804">
      <w:pPr>
        <w:pStyle w:val="SubsectionHead"/>
      </w:pPr>
      <w:r w:rsidRPr="003D009E">
        <w:t>Travel history declarations</w:t>
      </w:r>
    </w:p>
    <w:p w14:paraId="3234179F" w14:textId="77777777" w:rsidR="00E57804" w:rsidRPr="003D009E" w:rsidRDefault="00E57804" w:rsidP="00E57804">
      <w:pPr>
        <w:pStyle w:val="subsection"/>
      </w:pPr>
      <w:r w:rsidRPr="003D009E">
        <w:tab/>
        <w:t>(4)</w:t>
      </w:r>
      <w:r w:rsidRPr="003D009E">
        <w:tab/>
        <w:t>A relevant official may require the individual to declare to the official the individual’s international travel history for the 6 days before entering the landing place or port.</w:t>
      </w:r>
    </w:p>
    <w:p w14:paraId="137B066E" w14:textId="77777777" w:rsidR="00E57804" w:rsidRPr="003D009E" w:rsidRDefault="00E57804" w:rsidP="00E57804">
      <w:pPr>
        <w:pStyle w:val="subsection"/>
      </w:pPr>
      <w:r w:rsidRPr="003D009E">
        <w:tab/>
        <w:t>(5)</w:t>
      </w:r>
      <w:r w:rsidRPr="003D009E">
        <w:tab/>
        <w:t>If the individual makes a declaration as required by subsection (4) orally, the individual must also make the declaration in writing if a relevant official asks the individual to do so.</w:t>
      </w:r>
    </w:p>
    <w:p w14:paraId="71B2715D" w14:textId="77777777" w:rsidR="00E57804" w:rsidRPr="003D009E" w:rsidRDefault="00E57804" w:rsidP="00E57804">
      <w:pPr>
        <w:pStyle w:val="SubsectionHead"/>
      </w:pPr>
      <w:r w:rsidRPr="003D009E">
        <w:t>Where requirements apply</w:t>
      </w:r>
    </w:p>
    <w:p w14:paraId="65B400F5" w14:textId="77777777" w:rsidR="00E57804" w:rsidRPr="003D009E" w:rsidRDefault="00E57804" w:rsidP="00E57804">
      <w:pPr>
        <w:pStyle w:val="subsection"/>
      </w:pPr>
      <w:r w:rsidRPr="003D009E">
        <w:tab/>
        <w:t>(6)</w:t>
      </w:r>
      <w:r w:rsidRPr="003D009E">
        <w:tab/>
        <w:t>The requirements in this section apply at the landing place or port (as applicable).</w:t>
      </w:r>
    </w:p>
    <w:p w14:paraId="4595A0BA" w14:textId="77777777" w:rsidR="00E57804" w:rsidRPr="003D009E" w:rsidRDefault="00E57804" w:rsidP="00E57804">
      <w:pPr>
        <w:pStyle w:val="notetext"/>
      </w:pPr>
      <w:r w:rsidRPr="003D009E">
        <w:t>Note 1:</w:t>
      </w:r>
      <w:r w:rsidRPr="003D009E">
        <w:tab/>
        <w:t>An individual who fails to comply with a requirement that applies to the individual under this section may contravene a civil penalty provision (see section 46 of the Act).</w:t>
      </w:r>
    </w:p>
    <w:p w14:paraId="1843E4BA" w14:textId="77777777" w:rsidR="00E57804" w:rsidRPr="003D009E" w:rsidRDefault="00E57804" w:rsidP="00E57804">
      <w:pPr>
        <w:pStyle w:val="notetext"/>
      </w:pPr>
      <w:r w:rsidRPr="003D009E">
        <w:t>Note 2:</w:t>
      </w:r>
      <w:r w:rsidRPr="003D009E">
        <w:tab/>
        <w:t xml:space="preserve">A person may commit an offence or contravene a civil penalty provision if the person provides false or misleading information or documents (see sections 137.1 and 137.2 of the </w:t>
      </w:r>
      <w:r w:rsidRPr="003D009E">
        <w:rPr>
          <w:i/>
        </w:rPr>
        <w:t>Criminal Code</w:t>
      </w:r>
      <w:r w:rsidRPr="003D009E">
        <w:t xml:space="preserve"> and sections 532 and 533 of the Act).</w:t>
      </w:r>
    </w:p>
    <w:p w14:paraId="7FAA6F49" w14:textId="77777777" w:rsidR="00E57804" w:rsidRPr="003D009E" w:rsidRDefault="00E57804" w:rsidP="00E57804">
      <w:pPr>
        <w:pStyle w:val="notetext"/>
      </w:pPr>
      <w:r w:rsidRPr="003D009E">
        <w:t>Note 3:</w:t>
      </w:r>
      <w:r w:rsidRPr="003D009E">
        <w:tab/>
        <w:t>For protections for children or incapable persons who are subject to the requirements in this section, see Subdivision B of Division 2 of Part 1 of Chapter 2 of the Act.</w:t>
      </w:r>
    </w:p>
    <w:p w14:paraId="487C3ACE" w14:textId="77777777" w:rsidR="00E57804" w:rsidRPr="003D009E" w:rsidRDefault="00E57804" w:rsidP="00E57804">
      <w:pPr>
        <w:pStyle w:val="notetext"/>
      </w:pPr>
      <w:r w:rsidRPr="003D009E">
        <w:t>Note 4:</w:t>
      </w:r>
      <w:r w:rsidRPr="003D009E">
        <w:tab/>
        <w:t>Part 2 of Chapter 11 of the Act deals with confidentiality of personal information collected under the Act.</w:t>
      </w:r>
    </w:p>
    <w:p w14:paraId="60E8D144" w14:textId="77777777" w:rsidR="00E57804" w:rsidRPr="003D009E" w:rsidRDefault="00E57804" w:rsidP="00E57804">
      <w:pPr>
        <w:pStyle w:val="ActHead2"/>
        <w:pageBreakBefore/>
      </w:pPr>
      <w:bookmarkStart w:id="17" w:name="_Toc150527369"/>
      <w:bookmarkStart w:id="18" w:name="_Toc200470611"/>
      <w:r w:rsidRPr="003D009E">
        <w:rPr>
          <w:rStyle w:val="CharPartNo"/>
        </w:rPr>
        <w:lastRenderedPageBreak/>
        <w:t>Part 3</w:t>
      </w:r>
      <w:r w:rsidRPr="003D009E">
        <w:t>—</w:t>
      </w:r>
      <w:r w:rsidRPr="003D009E">
        <w:rPr>
          <w:rStyle w:val="CharPartText"/>
        </w:rPr>
        <w:t>Screening</w:t>
      </w:r>
      <w:bookmarkEnd w:id="17"/>
      <w:bookmarkEnd w:id="18"/>
    </w:p>
    <w:p w14:paraId="5EB11523" w14:textId="77777777" w:rsidR="00E57804" w:rsidRPr="003D009E" w:rsidRDefault="00E57804" w:rsidP="00E57804">
      <w:pPr>
        <w:pStyle w:val="Header"/>
      </w:pPr>
      <w:r w:rsidRPr="003D009E">
        <w:rPr>
          <w:rStyle w:val="CharDivNo"/>
        </w:rPr>
        <w:t xml:space="preserve"> </w:t>
      </w:r>
      <w:r w:rsidRPr="003D009E">
        <w:rPr>
          <w:rStyle w:val="CharDivText"/>
        </w:rPr>
        <w:t xml:space="preserve"> </w:t>
      </w:r>
    </w:p>
    <w:p w14:paraId="4A84CE15" w14:textId="7165FA59" w:rsidR="00E57804" w:rsidRPr="003D009E" w:rsidRDefault="00CC07A4" w:rsidP="00E57804">
      <w:pPr>
        <w:pStyle w:val="ActHead5"/>
      </w:pPr>
      <w:bookmarkStart w:id="19" w:name="_Toc150527370"/>
      <w:bookmarkStart w:id="20" w:name="_Toc200470612"/>
      <w:proofErr w:type="gramStart"/>
      <w:r w:rsidRPr="003D009E">
        <w:rPr>
          <w:rStyle w:val="CharSectno"/>
        </w:rPr>
        <w:t>9</w:t>
      </w:r>
      <w:r w:rsidR="00E57804" w:rsidRPr="003D009E">
        <w:t xml:space="preserve">  Individuals</w:t>
      </w:r>
      <w:proofErr w:type="gramEnd"/>
      <w:r w:rsidR="00E57804" w:rsidRPr="003D009E">
        <w:t xml:space="preserve"> who may be, or may have been, infected with listed human disease</w:t>
      </w:r>
      <w:bookmarkEnd w:id="19"/>
      <w:bookmarkEnd w:id="20"/>
    </w:p>
    <w:p w14:paraId="63E2EAD2" w14:textId="77777777" w:rsidR="00E57804" w:rsidRPr="003D009E" w:rsidRDefault="00E57804" w:rsidP="00E57804">
      <w:pPr>
        <w:pStyle w:val="subsection"/>
      </w:pPr>
      <w:r w:rsidRPr="003D009E">
        <w:tab/>
        <w:t>(1)</w:t>
      </w:r>
      <w:r w:rsidRPr="003D009E">
        <w:tab/>
        <w:t>This section applies to an individual who is entering Australian territory on a conveyance or vessel at a landing place or port in accordance with Division 2 or 3 of Part 4 of Chapter 4 of the Act if:</w:t>
      </w:r>
    </w:p>
    <w:p w14:paraId="13576969" w14:textId="77777777" w:rsidR="00E57804" w:rsidRPr="003D009E" w:rsidRDefault="00E57804" w:rsidP="00E57804">
      <w:pPr>
        <w:pStyle w:val="paragraph"/>
      </w:pPr>
      <w:r w:rsidRPr="003D009E">
        <w:tab/>
        <w:t>(a)</w:t>
      </w:r>
      <w:r w:rsidRPr="003D009E">
        <w:tab/>
        <w:t>the individual has been identified in the report given by the operator of the conveyance or vessel under subsection 193(1) of the Act, or in information given to a biosecurity officer under subsection 194(1) of the Act, as having signs or symptoms of an illness or infection; or</w:t>
      </w:r>
    </w:p>
    <w:p w14:paraId="1B73A2EF" w14:textId="77777777" w:rsidR="00E57804" w:rsidRPr="003D009E" w:rsidRDefault="00E57804" w:rsidP="00E57804">
      <w:pPr>
        <w:pStyle w:val="paragraph"/>
      </w:pPr>
      <w:r w:rsidRPr="003D009E">
        <w:tab/>
        <w:t>(b)</w:t>
      </w:r>
      <w:r w:rsidRPr="003D009E">
        <w:tab/>
        <w:t>the individual has been identified by a relevant official at the landing place or port as having signs or symptoms of an illness or infection; or</w:t>
      </w:r>
    </w:p>
    <w:p w14:paraId="3E3E70BC" w14:textId="77777777" w:rsidR="00E57804" w:rsidRPr="003D009E" w:rsidRDefault="00E57804" w:rsidP="00E57804">
      <w:pPr>
        <w:pStyle w:val="paragraph"/>
      </w:pPr>
      <w:r w:rsidRPr="003D009E">
        <w:tab/>
        <w:t>(c)</w:t>
      </w:r>
      <w:r w:rsidRPr="003D009E">
        <w:tab/>
        <w:t>the National Focal Point has been notified under the International Health Regulations that the individual has, or has been exposed to, a listed human disease; or</w:t>
      </w:r>
    </w:p>
    <w:p w14:paraId="7C77A1D4" w14:textId="77777777" w:rsidR="00E57804" w:rsidRPr="003D009E" w:rsidRDefault="00E57804" w:rsidP="00E57804">
      <w:pPr>
        <w:pStyle w:val="paragraph"/>
      </w:pPr>
      <w:r w:rsidRPr="003D009E">
        <w:tab/>
        <w:t>(d)</w:t>
      </w:r>
      <w:r w:rsidRPr="003D009E">
        <w:tab/>
        <w:t>before travelling to Australian territory, the individual had been in a country where individuals are known to be, or to have been, infected with a listed human disease.</w:t>
      </w:r>
    </w:p>
    <w:p w14:paraId="14883170" w14:textId="77777777" w:rsidR="00E57804" w:rsidRPr="003D009E" w:rsidRDefault="00E57804" w:rsidP="00E57804">
      <w:pPr>
        <w:pStyle w:val="subsection"/>
      </w:pPr>
      <w:r w:rsidRPr="003D009E">
        <w:tab/>
        <w:t>(2)</w:t>
      </w:r>
      <w:r w:rsidRPr="003D009E">
        <w:tab/>
        <w:t>A relevant official may require the individual to be screened (including by equipment or by being required to answer questions or provide information in writing) for the purpose of establishing whether the individual may be, or may have been, infected with a listed human disease.</w:t>
      </w:r>
    </w:p>
    <w:p w14:paraId="47DD4D0F" w14:textId="77777777" w:rsidR="00E57804" w:rsidRPr="003D009E" w:rsidRDefault="00E57804" w:rsidP="00E57804">
      <w:pPr>
        <w:pStyle w:val="SubsectionHead"/>
      </w:pPr>
      <w:r w:rsidRPr="003D009E">
        <w:t>Where requirements apply</w:t>
      </w:r>
    </w:p>
    <w:p w14:paraId="0FE21B35" w14:textId="77777777" w:rsidR="00E57804" w:rsidRPr="003D009E" w:rsidRDefault="00E57804" w:rsidP="00E57804">
      <w:pPr>
        <w:pStyle w:val="subsection"/>
      </w:pPr>
      <w:r w:rsidRPr="003D009E">
        <w:tab/>
        <w:t>(3)</w:t>
      </w:r>
      <w:r w:rsidRPr="003D009E">
        <w:tab/>
        <w:t>The requirements in this section apply at the landing place or port (as applicable).</w:t>
      </w:r>
    </w:p>
    <w:p w14:paraId="703A832A" w14:textId="77777777" w:rsidR="00E57804" w:rsidRPr="003D009E" w:rsidRDefault="00E57804" w:rsidP="00E57804">
      <w:pPr>
        <w:pStyle w:val="notetext"/>
      </w:pPr>
      <w:r w:rsidRPr="003D009E">
        <w:t>Note 1:</w:t>
      </w:r>
      <w:r w:rsidRPr="003D009E">
        <w:tab/>
        <w:t>An individual who fails to comply with a requirement that applies to the individual under this section may contravene a civil penalty provision (see section 46 of the Act).</w:t>
      </w:r>
    </w:p>
    <w:p w14:paraId="0FC6C3F8" w14:textId="77777777" w:rsidR="00E57804" w:rsidRPr="003D009E" w:rsidRDefault="00E57804" w:rsidP="00E57804">
      <w:pPr>
        <w:pStyle w:val="notetext"/>
      </w:pPr>
      <w:r w:rsidRPr="003D009E">
        <w:t>Note 2:</w:t>
      </w:r>
      <w:r w:rsidRPr="003D009E">
        <w:tab/>
        <w:t xml:space="preserve">A person may commit an offence or contravene a civil penalty provision if the person provides false or misleading information or documents (see sections 137.1 and 137.2 of the </w:t>
      </w:r>
      <w:r w:rsidRPr="003D009E">
        <w:rPr>
          <w:i/>
        </w:rPr>
        <w:t>Criminal Code</w:t>
      </w:r>
      <w:r w:rsidRPr="003D009E">
        <w:t xml:space="preserve"> and sections 532 and 533 of the Act).</w:t>
      </w:r>
    </w:p>
    <w:p w14:paraId="5758AF2C" w14:textId="77777777" w:rsidR="00E57804" w:rsidRPr="003D009E" w:rsidRDefault="00E57804" w:rsidP="00E57804">
      <w:pPr>
        <w:pStyle w:val="notetext"/>
      </w:pPr>
      <w:r w:rsidRPr="003D009E">
        <w:t>Note 3:</w:t>
      </w:r>
      <w:r w:rsidRPr="003D009E">
        <w:tab/>
        <w:t>For protections for children or incapable persons who are subject to the requirements in this section, see Subdivision B of Division 2 of Part 1 of Chapter 2 of the Act.</w:t>
      </w:r>
    </w:p>
    <w:p w14:paraId="00452007" w14:textId="77777777" w:rsidR="00E57804" w:rsidRPr="003D009E" w:rsidRDefault="00E57804" w:rsidP="00E57804">
      <w:pPr>
        <w:pStyle w:val="notetext"/>
      </w:pPr>
      <w:r w:rsidRPr="003D009E">
        <w:t>Note 4:</w:t>
      </w:r>
      <w:r w:rsidRPr="003D009E">
        <w:tab/>
        <w:t>Part 2 of Chapter 11 of the Act deals with confidentiality of personal information collected under the Act.</w:t>
      </w:r>
    </w:p>
    <w:p w14:paraId="76EA5560" w14:textId="77777777" w:rsidR="00E57804" w:rsidRPr="003D009E" w:rsidRDefault="00E57804" w:rsidP="00E57804">
      <w:pPr>
        <w:pStyle w:val="ActHead2"/>
        <w:pageBreakBefore/>
      </w:pPr>
      <w:bookmarkStart w:id="21" w:name="_Toc150527371"/>
      <w:bookmarkStart w:id="22" w:name="_Toc200470613"/>
      <w:r w:rsidRPr="003D009E">
        <w:rPr>
          <w:rStyle w:val="CharPartNo"/>
        </w:rPr>
        <w:lastRenderedPageBreak/>
        <w:t>Part 4</w:t>
      </w:r>
      <w:r w:rsidRPr="003D009E">
        <w:t>—</w:t>
      </w:r>
      <w:r w:rsidRPr="003D009E">
        <w:rPr>
          <w:rStyle w:val="CharPartText"/>
        </w:rPr>
        <w:t>Travel history declarations</w:t>
      </w:r>
      <w:bookmarkEnd w:id="21"/>
      <w:bookmarkEnd w:id="22"/>
    </w:p>
    <w:p w14:paraId="16DA43DB" w14:textId="77777777" w:rsidR="00E57804" w:rsidRPr="003D009E" w:rsidRDefault="00E57804" w:rsidP="00E57804">
      <w:pPr>
        <w:pStyle w:val="Header"/>
      </w:pPr>
      <w:r w:rsidRPr="003D009E">
        <w:rPr>
          <w:rStyle w:val="CharDivNo"/>
        </w:rPr>
        <w:t xml:space="preserve"> </w:t>
      </w:r>
      <w:r w:rsidRPr="003D009E">
        <w:rPr>
          <w:rStyle w:val="CharDivText"/>
        </w:rPr>
        <w:t xml:space="preserve"> </w:t>
      </w:r>
    </w:p>
    <w:p w14:paraId="4E69F3B6" w14:textId="5AE439F2" w:rsidR="00E57804" w:rsidRPr="003D009E" w:rsidRDefault="00CC07A4" w:rsidP="00E57804">
      <w:pPr>
        <w:pStyle w:val="ActHead5"/>
      </w:pPr>
      <w:bookmarkStart w:id="23" w:name="_Toc150527372"/>
      <w:bookmarkStart w:id="24" w:name="_Toc200470614"/>
      <w:proofErr w:type="gramStart"/>
      <w:r w:rsidRPr="003D009E">
        <w:rPr>
          <w:rStyle w:val="CharSectno"/>
        </w:rPr>
        <w:t>10</w:t>
      </w:r>
      <w:r w:rsidR="00E57804" w:rsidRPr="003D009E">
        <w:t xml:space="preserve">  Providing</w:t>
      </w:r>
      <w:proofErr w:type="gramEnd"/>
      <w:r w:rsidR="00E57804" w:rsidRPr="003D009E">
        <w:t xml:space="preserve"> travel history declaration on request</w:t>
      </w:r>
      <w:bookmarkEnd w:id="23"/>
      <w:bookmarkEnd w:id="24"/>
    </w:p>
    <w:p w14:paraId="51B76E13" w14:textId="77777777" w:rsidR="00E57804" w:rsidRPr="003D009E" w:rsidRDefault="00E57804" w:rsidP="00E57804">
      <w:pPr>
        <w:pStyle w:val="SubsectionHead"/>
      </w:pPr>
      <w:r w:rsidRPr="003D009E">
        <w:t>Individuals on international flights</w:t>
      </w:r>
    </w:p>
    <w:p w14:paraId="0506AA65" w14:textId="77777777" w:rsidR="00E57804" w:rsidRPr="003D009E" w:rsidRDefault="00E57804" w:rsidP="00E57804">
      <w:pPr>
        <w:pStyle w:val="subsection"/>
      </w:pPr>
      <w:r w:rsidRPr="003D009E">
        <w:tab/>
        <w:t>(1)</w:t>
      </w:r>
      <w:r w:rsidRPr="003D009E">
        <w:tab/>
        <w:t>Subsection (2) applies to an individual who is entering Australian territory on an aircraft at a landing place in accordance with Division 2 of Part 4 of Chapter 4 of the Act if the flight commenced outside Australian territory.</w:t>
      </w:r>
    </w:p>
    <w:p w14:paraId="6BC38FD9" w14:textId="77777777" w:rsidR="00E57804" w:rsidRPr="003D009E" w:rsidRDefault="00E57804" w:rsidP="00E57804">
      <w:pPr>
        <w:pStyle w:val="subsection"/>
      </w:pPr>
      <w:r w:rsidRPr="003D009E">
        <w:tab/>
        <w:t>(2)</w:t>
      </w:r>
      <w:r w:rsidRPr="003D009E">
        <w:tab/>
        <w:t>If:</w:t>
      </w:r>
    </w:p>
    <w:p w14:paraId="487269A6" w14:textId="77777777" w:rsidR="00E57804" w:rsidRPr="003D009E" w:rsidRDefault="00E57804" w:rsidP="00E57804">
      <w:pPr>
        <w:pStyle w:val="paragraph"/>
      </w:pPr>
      <w:r w:rsidRPr="003D009E">
        <w:tab/>
        <w:t>(a)</w:t>
      </w:r>
      <w:r w:rsidRPr="003D009E">
        <w:tab/>
        <w:t xml:space="preserve">a </w:t>
      </w:r>
      <w:proofErr w:type="gramStart"/>
      <w:r w:rsidRPr="003D009E">
        <w:t>relevant official reasonably suspects</w:t>
      </w:r>
      <w:proofErr w:type="gramEnd"/>
      <w:r w:rsidRPr="003D009E">
        <w:t xml:space="preserve"> that the individual has, or has been exposed to, a listed human disease; and</w:t>
      </w:r>
    </w:p>
    <w:p w14:paraId="684BDBD8" w14:textId="77777777" w:rsidR="00E57804" w:rsidRPr="003D009E" w:rsidRDefault="00E57804" w:rsidP="00E57804">
      <w:pPr>
        <w:pStyle w:val="paragraph"/>
      </w:pPr>
      <w:r w:rsidRPr="003D009E">
        <w:tab/>
        <w:t>(b)</w:t>
      </w:r>
      <w:r w:rsidRPr="003D009E">
        <w:tab/>
        <w:t>a relevant official asks the individual to do so;</w:t>
      </w:r>
    </w:p>
    <w:p w14:paraId="413DE5CE" w14:textId="77777777" w:rsidR="00E57804" w:rsidRPr="003D009E" w:rsidRDefault="00E57804" w:rsidP="00E57804">
      <w:pPr>
        <w:pStyle w:val="subsection2"/>
      </w:pPr>
      <w:r w:rsidRPr="003D009E">
        <w:t>the individual must declare to a relevant official the individual’s international travel history for the 14 days before the day the flight commenced.</w:t>
      </w:r>
    </w:p>
    <w:p w14:paraId="7EA5DEBB" w14:textId="77777777" w:rsidR="00E57804" w:rsidRPr="003D009E" w:rsidRDefault="00E57804" w:rsidP="00E57804">
      <w:pPr>
        <w:pStyle w:val="SubsectionHead"/>
      </w:pPr>
      <w:r w:rsidRPr="003D009E">
        <w:t>Individuals on international voyages</w:t>
      </w:r>
    </w:p>
    <w:p w14:paraId="3C5EB667" w14:textId="77777777" w:rsidR="00E57804" w:rsidRPr="003D009E" w:rsidRDefault="00E57804" w:rsidP="00E57804">
      <w:pPr>
        <w:pStyle w:val="subsection"/>
      </w:pPr>
      <w:r w:rsidRPr="003D009E">
        <w:tab/>
        <w:t>(3)</w:t>
      </w:r>
      <w:r w:rsidRPr="003D009E">
        <w:tab/>
        <w:t>Subsection (4) applies to an individual who is entering Australian territory on a vessel at a port in accordance with Division 3 of Part 4 of Chapter 4 of the Act if the voyage commenced outside Australian territory.</w:t>
      </w:r>
    </w:p>
    <w:p w14:paraId="18885AAC" w14:textId="77777777" w:rsidR="00E57804" w:rsidRPr="003D009E" w:rsidRDefault="00E57804" w:rsidP="00E57804">
      <w:pPr>
        <w:pStyle w:val="subsection"/>
      </w:pPr>
      <w:r w:rsidRPr="003D009E">
        <w:tab/>
        <w:t>(4)</w:t>
      </w:r>
      <w:r w:rsidRPr="003D009E">
        <w:tab/>
        <w:t>If:</w:t>
      </w:r>
    </w:p>
    <w:p w14:paraId="420B3660" w14:textId="77777777" w:rsidR="00E57804" w:rsidRPr="003D009E" w:rsidRDefault="00E57804" w:rsidP="00E57804">
      <w:pPr>
        <w:pStyle w:val="paragraph"/>
      </w:pPr>
      <w:r w:rsidRPr="003D009E">
        <w:tab/>
        <w:t>(a)</w:t>
      </w:r>
      <w:r w:rsidRPr="003D009E">
        <w:tab/>
        <w:t xml:space="preserve">a </w:t>
      </w:r>
      <w:proofErr w:type="gramStart"/>
      <w:r w:rsidRPr="003D009E">
        <w:t>relevant official reasonably suspects</w:t>
      </w:r>
      <w:proofErr w:type="gramEnd"/>
      <w:r w:rsidRPr="003D009E">
        <w:t xml:space="preserve"> that the individual has, or has been exposed to, a listed human disease; and</w:t>
      </w:r>
    </w:p>
    <w:p w14:paraId="4331DC10" w14:textId="77777777" w:rsidR="00E57804" w:rsidRPr="003D009E" w:rsidRDefault="00E57804" w:rsidP="00E57804">
      <w:pPr>
        <w:pStyle w:val="paragraph"/>
      </w:pPr>
      <w:r w:rsidRPr="003D009E">
        <w:tab/>
        <w:t>(b)</w:t>
      </w:r>
      <w:r w:rsidRPr="003D009E">
        <w:tab/>
        <w:t>a relevant official asks the individual to do so;</w:t>
      </w:r>
    </w:p>
    <w:p w14:paraId="6AD42DD2" w14:textId="77777777" w:rsidR="00E57804" w:rsidRPr="003D009E" w:rsidRDefault="00E57804" w:rsidP="00E57804">
      <w:pPr>
        <w:pStyle w:val="subsection2"/>
      </w:pPr>
      <w:r w:rsidRPr="003D009E">
        <w:t>the individual must declare to a relevant official the individual’s international travel history for the 14 days before the day the voyage ended.</w:t>
      </w:r>
    </w:p>
    <w:p w14:paraId="68EED396" w14:textId="77777777" w:rsidR="00E57804" w:rsidRPr="003D009E" w:rsidRDefault="00E57804" w:rsidP="00E57804">
      <w:pPr>
        <w:pStyle w:val="SubsectionHead"/>
      </w:pPr>
      <w:r w:rsidRPr="003D009E">
        <w:t>Making declarations in writing</w:t>
      </w:r>
    </w:p>
    <w:p w14:paraId="2D381CE7" w14:textId="77777777" w:rsidR="00E57804" w:rsidRPr="003D009E" w:rsidRDefault="00E57804" w:rsidP="00E57804">
      <w:pPr>
        <w:pStyle w:val="subsection"/>
      </w:pPr>
      <w:r w:rsidRPr="003D009E">
        <w:tab/>
        <w:t>(5)</w:t>
      </w:r>
      <w:r w:rsidRPr="003D009E">
        <w:tab/>
        <w:t>If an individual makes a declaration as required by subsection (2) or (4) orally, the individual must also make the declaration in writing if a relevant official asks the individual to do so.</w:t>
      </w:r>
    </w:p>
    <w:p w14:paraId="5CB9839D" w14:textId="77777777" w:rsidR="00E57804" w:rsidRPr="003D009E" w:rsidRDefault="00E57804" w:rsidP="00E57804">
      <w:pPr>
        <w:pStyle w:val="SubsectionHead"/>
      </w:pPr>
      <w:r w:rsidRPr="003D009E">
        <w:t>Where requirements apply</w:t>
      </w:r>
    </w:p>
    <w:p w14:paraId="53FAF2A1" w14:textId="77777777" w:rsidR="00E57804" w:rsidRPr="003D009E" w:rsidRDefault="00E57804" w:rsidP="00E57804">
      <w:pPr>
        <w:pStyle w:val="subsection"/>
      </w:pPr>
      <w:r w:rsidRPr="003D009E">
        <w:tab/>
        <w:t>(6)</w:t>
      </w:r>
      <w:r w:rsidRPr="003D009E">
        <w:tab/>
        <w:t>The requirements in this section apply at the landing place or port (as applicable).</w:t>
      </w:r>
    </w:p>
    <w:p w14:paraId="5D3AE719" w14:textId="77777777" w:rsidR="00E57804" w:rsidRPr="003D009E" w:rsidRDefault="00E57804" w:rsidP="00E57804">
      <w:pPr>
        <w:pStyle w:val="notetext"/>
      </w:pPr>
      <w:r w:rsidRPr="003D009E">
        <w:t>Note 1:</w:t>
      </w:r>
      <w:r w:rsidRPr="003D009E">
        <w:tab/>
        <w:t>An individual who fails to comply with a requirement that applies to the individual under this section may contravene a civil penalty provision (see section 46 of the Act).</w:t>
      </w:r>
    </w:p>
    <w:p w14:paraId="37C09767" w14:textId="77777777" w:rsidR="00E57804" w:rsidRPr="003D009E" w:rsidRDefault="00E57804" w:rsidP="00E57804">
      <w:pPr>
        <w:pStyle w:val="notetext"/>
      </w:pPr>
      <w:r w:rsidRPr="003D009E">
        <w:t>Note 2:</w:t>
      </w:r>
      <w:r w:rsidRPr="003D009E">
        <w:tab/>
        <w:t xml:space="preserve">A person may commit an offence or contravene a civil penalty provision if the person provides false or misleading information or documents (see sections 137.1 and 137.2 of the </w:t>
      </w:r>
      <w:r w:rsidRPr="003D009E">
        <w:rPr>
          <w:i/>
        </w:rPr>
        <w:t>Criminal Code</w:t>
      </w:r>
      <w:r w:rsidRPr="003D009E">
        <w:t xml:space="preserve"> and sections 532 and 533 of the Act).</w:t>
      </w:r>
    </w:p>
    <w:p w14:paraId="727D24C7" w14:textId="77777777" w:rsidR="00E57804" w:rsidRPr="003D009E" w:rsidRDefault="00E57804" w:rsidP="00E57804">
      <w:pPr>
        <w:pStyle w:val="notetext"/>
      </w:pPr>
      <w:r w:rsidRPr="003D009E">
        <w:t>Note 3:</w:t>
      </w:r>
      <w:r w:rsidRPr="003D009E">
        <w:tab/>
        <w:t>For protections for children or incapable persons who are subject to the requirements in this section, see Subdivision B of Division 2 of Part 1 of Chapter 2 of the Act.</w:t>
      </w:r>
    </w:p>
    <w:p w14:paraId="45F8E8BE" w14:textId="77777777" w:rsidR="00E57804" w:rsidRPr="003D009E" w:rsidRDefault="00E57804" w:rsidP="00E57804">
      <w:pPr>
        <w:pStyle w:val="notetext"/>
      </w:pPr>
      <w:r w:rsidRPr="003D009E">
        <w:t>Note 4:</w:t>
      </w:r>
      <w:r w:rsidRPr="003D009E">
        <w:tab/>
        <w:t>Part 2 of Chapter 11 of the Act deals with confidentiality of personal information collected under the Act.</w:t>
      </w:r>
    </w:p>
    <w:p w14:paraId="7905A400" w14:textId="77777777" w:rsidR="00E57804" w:rsidRPr="003D009E" w:rsidRDefault="00E57804" w:rsidP="00E57804">
      <w:pPr>
        <w:sectPr w:rsidR="00E57804" w:rsidRPr="003D009E" w:rsidSect="001016FB">
          <w:headerReference w:type="even" r:id="rId26"/>
          <w:headerReference w:type="default" r:id="rId27"/>
          <w:footerReference w:type="even" r:id="rId28"/>
          <w:footerReference w:type="default" r:id="rId29"/>
          <w:footerReference w:type="first" r:id="rId30"/>
          <w:pgSz w:w="11907" w:h="16839" w:code="9"/>
          <w:pgMar w:top="2325" w:right="1797" w:bottom="1440" w:left="1797" w:header="720" w:footer="709" w:gutter="0"/>
          <w:pgNumType w:start="1"/>
          <w:cols w:space="720"/>
          <w:docGrid w:linePitch="299"/>
        </w:sectPr>
      </w:pPr>
    </w:p>
    <w:p w14:paraId="6871922D" w14:textId="77777777" w:rsidR="00E57804" w:rsidRPr="003D009E" w:rsidRDefault="00E57804" w:rsidP="008A61AE">
      <w:pPr>
        <w:pStyle w:val="ActHead6"/>
        <w:rPr>
          <w:rStyle w:val="CharChapNo"/>
        </w:rPr>
      </w:pPr>
      <w:bookmarkStart w:id="25" w:name="_Toc150527373"/>
      <w:bookmarkStart w:id="26" w:name="_Toc200470615"/>
      <w:r w:rsidRPr="003D009E">
        <w:rPr>
          <w:rStyle w:val="CharChapNo"/>
        </w:rPr>
        <w:lastRenderedPageBreak/>
        <w:t>Schedule 1—Yellow fever risk countries and areas</w:t>
      </w:r>
      <w:bookmarkEnd w:id="25"/>
      <w:bookmarkEnd w:id="26"/>
    </w:p>
    <w:p w14:paraId="6801C40D" w14:textId="77777777" w:rsidR="00E57804" w:rsidRPr="003D009E" w:rsidRDefault="00E57804" w:rsidP="00E57804">
      <w:pPr>
        <w:pStyle w:val="notemargin"/>
      </w:pPr>
      <w:r w:rsidRPr="003D009E">
        <w:t>Note:</w:t>
      </w:r>
      <w:r w:rsidRPr="003D009E">
        <w:tab/>
        <w:t>See section 4.</w:t>
      </w:r>
    </w:p>
    <w:p w14:paraId="26CB22A8" w14:textId="77777777" w:rsidR="00E57804" w:rsidRPr="003D009E" w:rsidRDefault="00E57804" w:rsidP="00E57804">
      <w:pPr>
        <w:pStyle w:val="Header"/>
      </w:pPr>
      <w:bookmarkStart w:id="27" w:name="f_Check_Lines_below"/>
      <w:bookmarkEnd w:id="27"/>
      <w:r w:rsidRPr="003D009E">
        <w:rPr>
          <w:rStyle w:val="CharPartNo"/>
        </w:rPr>
        <w:t xml:space="preserve"> </w:t>
      </w:r>
      <w:r w:rsidRPr="003D009E">
        <w:rPr>
          <w:rStyle w:val="CharPartText"/>
        </w:rPr>
        <w:t xml:space="preserve"> </w:t>
      </w:r>
    </w:p>
    <w:p w14:paraId="59FD4B24" w14:textId="77777777" w:rsidR="00E57804" w:rsidRPr="003D009E" w:rsidRDefault="00E57804" w:rsidP="00E57804">
      <w:pPr>
        <w:pStyle w:val="Header"/>
      </w:pPr>
      <w:r w:rsidRPr="003D009E">
        <w:rPr>
          <w:rStyle w:val="CharDivNo"/>
        </w:rPr>
        <w:t xml:space="preserve"> </w:t>
      </w:r>
      <w:r w:rsidRPr="003D009E">
        <w:rPr>
          <w:rStyle w:val="CharDivText"/>
        </w:rPr>
        <w:t xml:space="preserve"> </w:t>
      </w:r>
    </w:p>
    <w:p w14:paraId="65388230" w14:textId="77777777" w:rsidR="00E57804" w:rsidRPr="003D009E" w:rsidRDefault="00E57804" w:rsidP="008A61AE">
      <w:pPr>
        <w:pStyle w:val="ItemHead"/>
      </w:pPr>
      <w:bookmarkStart w:id="28" w:name="_Toc150527374"/>
      <w:proofErr w:type="gramStart"/>
      <w:r w:rsidRPr="003D009E">
        <w:t>1  Yellow</w:t>
      </w:r>
      <w:proofErr w:type="gramEnd"/>
      <w:r w:rsidRPr="003D009E">
        <w:t xml:space="preserve"> fever risk countries and areas</w:t>
      </w:r>
      <w:bookmarkEnd w:id="28"/>
    </w:p>
    <w:p w14:paraId="43E74AAC" w14:textId="0E858AF0" w:rsidR="00E57804" w:rsidRPr="003D009E" w:rsidRDefault="00E57804" w:rsidP="00E57804">
      <w:pPr>
        <w:pStyle w:val="subsection"/>
      </w:pPr>
      <w:r w:rsidRPr="003D009E">
        <w:tab/>
        <w:t>A place specified in the following table is a yellow fever risk country or area.</w:t>
      </w:r>
    </w:p>
    <w:p w14:paraId="1B287D28" w14:textId="77777777" w:rsidR="00E57804" w:rsidRPr="003D009E" w:rsidRDefault="00E57804" w:rsidP="00E5780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427"/>
        <w:gridCol w:w="6886"/>
      </w:tblGrid>
      <w:tr w:rsidR="00E57804" w:rsidRPr="003D009E" w14:paraId="32CC9C96" w14:textId="77777777" w:rsidTr="001016FB">
        <w:trPr>
          <w:tblHeader/>
        </w:trPr>
        <w:tc>
          <w:tcPr>
            <w:tcW w:w="5000" w:type="pct"/>
            <w:gridSpan w:val="2"/>
            <w:tcBorders>
              <w:top w:val="single" w:sz="12" w:space="0" w:color="auto"/>
              <w:bottom w:val="single" w:sz="2" w:space="0" w:color="auto"/>
            </w:tcBorders>
            <w:shd w:val="clear" w:color="auto" w:fill="auto"/>
          </w:tcPr>
          <w:p w14:paraId="7B5624BF" w14:textId="77777777" w:rsidR="00E57804" w:rsidRPr="003D009E" w:rsidRDefault="00E57804" w:rsidP="001016FB">
            <w:pPr>
              <w:pStyle w:val="TableHeading"/>
            </w:pPr>
            <w:r w:rsidRPr="003D009E">
              <w:t>Yellow fever risk countries and areas</w:t>
            </w:r>
          </w:p>
        </w:tc>
      </w:tr>
      <w:tr w:rsidR="00E57804" w:rsidRPr="003D009E" w14:paraId="656B8773" w14:textId="77777777" w:rsidTr="001016FB">
        <w:trPr>
          <w:tblHeader/>
        </w:trPr>
        <w:tc>
          <w:tcPr>
            <w:tcW w:w="858" w:type="pct"/>
            <w:tcBorders>
              <w:top w:val="single" w:sz="2" w:space="0" w:color="auto"/>
              <w:bottom w:val="single" w:sz="12" w:space="0" w:color="auto"/>
            </w:tcBorders>
            <w:shd w:val="clear" w:color="auto" w:fill="auto"/>
          </w:tcPr>
          <w:p w14:paraId="6EA0013A" w14:textId="77777777" w:rsidR="00E57804" w:rsidRPr="003D009E" w:rsidRDefault="00E57804" w:rsidP="001016FB">
            <w:pPr>
              <w:pStyle w:val="TableHeading"/>
            </w:pPr>
            <w:r w:rsidRPr="003D009E">
              <w:t>Item</w:t>
            </w:r>
          </w:p>
        </w:tc>
        <w:tc>
          <w:tcPr>
            <w:tcW w:w="4142" w:type="pct"/>
            <w:tcBorders>
              <w:top w:val="single" w:sz="2" w:space="0" w:color="auto"/>
              <w:bottom w:val="single" w:sz="12" w:space="0" w:color="auto"/>
            </w:tcBorders>
            <w:shd w:val="clear" w:color="auto" w:fill="auto"/>
          </w:tcPr>
          <w:p w14:paraId="0B5C0D01" w14:textId="77777777" w:rsidR="00E57804" w:rsidRPr="003D009E" w:rsidRDefault="00E57804" w:rsidP="001016FB">
            <w:pPr>
              <w:pStyle w:val="TableHeading"/>
            </w:pPr>
            <w:r w:rsidRPr="003D009E">
              <w:t>Countries and areas</w:t>
            </w:r>
          </w:p>
        </w:tc>
      </w:tr>
      <w:tr w:rsidR="00E57804" w:rsidRPr="003D009E" w14:paraId="01E472FC" w14:textId="77777777" w:rsidTr="001016FB">
        <w:tc>
          <w:tcPr>
            <w:tcW w:w="858" w:type="pct"/>
            <w:tcBorders>
              <w:top w:val="single" w:sz="12" w:space="0" w:color="auto"/>
            </w:tcBorders>
            <w:shd w:val="clear" w:color="auto" w:fill="auto"/>
          </w:tcPr>
          <w:p w14:paraId="6938276F" w14:textId="77777777" w:rsidR="00E57804" w:rsidRPr="003D009E" w:rsidRDefault="00E57804" w:rsidP="001016FB">
            <w:pPr>
              <w:pStyle w:val="Tabletext"/>
            </w:pPr>
            <w:r w:rsidRPr="003D009E">
              <w:t>1</w:t>
            </w:r>
          </w:p>
        </w:tc>
        <w:tc>
          <w:tcPr>
            <w:tcW w:w="4142" w:type="pct"/>
            <w:tcBorders>
              <w:top w:val="single" w:sz="12" w:space="0" w:color="auto"/>
            </w:tcBorders>
            <w:shd w:val="clear" w:color="auto" w:fill="auto"/>
          </w:tcPr>
          <w:p w14:paraId="2A4DB34E" w14:textId="77777777" w:rsidR="00E57804" w:rsidRPr="003D009E" w:rsidRDefault="00E57804" w:rsidP="001016FB">
            <w:pPr>
              <w:pStyle w:val="Tabletext"/>
            </w:pPr>
            <w:r w:rsidRPr="003D009E">
              <w:t>Angola</w:t>
            </w:r>
          </w:p>
        </w:tc>
      </w:tr>
      <w:tr w:rsidR="00E57804" w:rsidRPr="003D009E" w14:paraId="04040EC5" w14:textId="77777777" w:rsidTr="001016FB">
        <w:tc>
          <w:tcPr>
            <w:tcW w:w="858" w:type="pct"/>
            <w:shd w:val="clear" w:color="auto" w:fill="auto"/>
          </w:tcPr>
          <w:p w14:paraId="341BD124" w14:textId="77777777" w:rsidR="00E57804" w:rsidRPr="003D009E" w:rsidRDefault="00E57804" w:rsidP="001016FB">
            <w:pPr>
              <w:pStyle w:val="Tabletext"/>
            </w:pPr>
            <w:r w:rsidRPr="003D009E">
              <w:t>2</w:t>
            </w:r>
          </w:p>
        </w:tc>
        <w:tc>
          <w:tcPr>
            <w:tcW w:w="4142" w:type="pct"/>
            <w:shd w:val="clear" w:color="auto" w:fill="auto"/>
          </w:tcPr>
          <w:p w14:paraId="2A331046" w14:textId="77777777" w:rsidR="00E57804" w:rsidRPr="003D009E" w:rsidRDefault="00E57804" w:rsidP="001016FB">
            <w:pPr>
              <w:pStyle w:val="Tabletext"/>
            </w:pPr>
            <w:r w:rsidRPr="003D009E">
              <w:t>Argentina—Misiones Province and Corrientes Province</w:t>
            </w:r>
          </w:p>
        </w:tc>
      </w:tr>
      <w:tr w:rsidR="00E57804" w:rsidRPr="003D009E" w14:paraId="0C5475A6" w14:textId="77777777" w:rsidTr="001016FB">
        <w:tc>
          <w:tcPr>
            <w:tcW w:w="858" w:type="pct"/>
            <w:shd w:val="clear" w:color="auto" w:fill="auto"/>
          </w:tcPr>
          <w:p w14:paraId="2AB75E08" w14:textId="77777777" w:rsidR="00E57804" w:rsidRPr="003D009E" w:rsidRDefault="00E57804" w:rsidP="001016FB">
            <w:pPr>
              <w:pStyle w:val="Tabletext"/>
            </w:pPr>
            <w:r w:rsidRPr="003D009E">
              <w:t>3</w:t>
            </w:r>
          </w:p>
        </w:tc>
        <w:tc>
          <w:tcPr>
            <w:tcW w:w="4142" w:type="pct"/>
            <w:shd w:val="clear" w:color="auto" w:fill="auto"/>
          </w:tcPr>
          <w:p w14:paraId="579F10CD" w14:textId="77777777" w:rsidR="00E57804" w:rsidRPr="003D009E" w:rsidRDefault="00E57804" w:rsidP="001016FB">
            <w:pPr>
              <w:pStyle w:val="Tabletext"/>
            </w:pPr>
            <w:r w:rsidRPr="003D009E">
              <w:t>Benin</w:t>
            </w:r>
          </w:p>
        </w:tc>
      </w:tr>
      <w:tr w:rsidR="00E57804" w:rsidRPr="003D009E" w14:paraId="1B7A7B7B" w14:textId="77777777" w:rsidTr="001016FB">
        <w:tc>
          <w:tcPr>
            <w:tcW w:w="858" w:type="pct"/>
            <w:shd w:val="clear" w:color="auto" w:fill="auto"/>
          </w:tcPr>
          <w:p w14:paraId="1F32075F" w14:textId="77777777" w:rsidR="00E57804" w:rsidRPr="003D009E" w:rsidRDefault="00E57804" w:rsidP="001016FB">
            <w:pPr>
              <w:pStyle w:val="Tabletext"/>
            </w:pPr>
            <w:r w:rsidRPr="003D009E">
              <w:t>4</w:t>
            </w:r>
          </w:p>
        </w:tc>
        <w:tc>
          <w:tcPr>
            <w:tcW w:w="4142" w:type="pct"/>
            <w:shd w:val="clear" w:color="auto" w:fill="auto"/>
          </w:tcPr>
          <w:p w14:paraId="5D51857A" w14:textId="77777777" w:rsidR="00E57804" w:rsidRPr="003D009E" w:rsidRDefault="00E57804" w:rsidP="001016FB">
            <w:pPr>
              <w:pStyle w:val="Tabletext"/>
            </w:pPr>
            <w:r w:rsidRPr="003D009E">
              <w:t>Bolivia</w:t>
            </w:r>
          </w:p>
        </w:tc>
      </w:tr>
      <w:tr w:rsidR="00E57804" w:rsidRPr="003D009E" w14:paraId="4E6B49E8" w14:textId="77777777" w:rsidTr="001016FB">
        <w:tc>
          <w:tcPr>
            <w:tcW w:w="858" w:type="pct"/>
            <w:shd w:val="clear" w:color="auto" w:fill="auto"/>
          </w:tcPr>
          <w:p w14:paraId="44DFCF36" w14:textId="77777777" w:rsidR="00E57804" w:rsidRPr="003D009E" w:rsidRDefault="00E57804" w:rsidP="001016FB">
            <w:pPr>
              <w:pStyle w:val="Tabletext"/>
            </w:pPr>
            <w:r w:rsidRPr="003D009E">
              <w:t>5</w:t>
            </w:r>
          </w:p>
        </w:tc>
        <w:tc>
          <w:tcPr>
            <w:tcW w:w="4142" w:type="pct"/>
            <w:shd w:val="clear" w:color="auto" w:fill="auto"/>
          </w:tcPr>
          <w:p w14:paraId="591D26ED" w14:textId="77777777" w:rsidR="00E57804" w:rsidRPr="003D009E" w:rsidRDefault="00E57804" w:rsidP="001016FB">
            <w:pPr>
              <w:pStyle w:val="Tabletext"/>
            </w:pPr>
            <w:r w:rsidRPr="003D009E">
              <w:t>Brazil</w:t>
            </w:r>
          </w:p>
        </w:tc>
      </w:tr>
      <w:tr w:rsidR="00E57804" w:rsidRPr="003D009E" w14:paraId="36A5E865" w14:textId="77777777" w:rsidTr="001016FB">
        <w:tc>
          <w:tcPr>
            <w:tcW w:w="858" w:type="pct"/>
            <w:shd w:val="clear" w:color="auto" w:fill="auto"/>
          </w:tcPr>
          <w:p w14:paraId="04FF3422" w14:textId="77777777" w:rsidR="00E57804" w:rsidRPr="003D009E" w:rsidRDefault="00E57804" w:rsidP="001016FB">
            <w:pPr>
              <w:pStyle w:val="Tabletext"/>
            </w:pPr>
            <w:r w:rsidRPr="003D009E">
              <w:t>6</w:t>
            </w:r>
          </w:p>
        </w:tc>
        <w:tc>
          <w:tcPr>
            <w:tcW w:w="4142" w:type="pct"/>
            <w:shd w:val="clear" w:color="auto" w:fill="auto"/>
          </w:tcPr>
          <w:p w14:paraId="4D7FB093" w14:textId="77777777" w:rsidR="00E57804" w:rsidRPr="003D009E" w:rsidRDefault="00E57804" w:rsidP="001016FB">
            <w:pPr>
              <w:pStyle w:val="Tabletext"/>
            </w:pPr>
            <w:r w:rsidRPr="003D009E">
              <w:t>Burkina Faso</w:t>
            </w:r>
          </w:p>
        </w:tc>
      </w:tr>
      <w:tr w:rsidR="00E57804" w:rsidRPr="003D009E" w14:paraId="4C199077" w14:textId="77777777" w:rsidTr="001016FB">
        <w:tc>
          <w:tcPr>
            <w:tcW w:w="858" w:type="pct"/>
            <w:shd w:val="clear" w:color="auto" w:fill="auto"/>
          </w:tcPr>
          <w:p w14:paraId="15D1413D" w14:textId="77777777" w:rsidR="00E57804" w:rsidRPr="003D009E" w:rsidRDefault="00E57804" w:rsidP="001016FB">
            <w:pPr>
              <w:pStyle w:val="Tabletext"/>
            </w:pPr>
            <w:r w:rsidRPr="003D009E">
              <w:t>7</w:t>
            </w:r>
          </w:p>
        </w:tc>
        <w:tc>
          <w:tcPr>
            <w:tcW w:w="4142" w:type="pct"/>
            <w:shd w:val="clear" w:color="auto" w:fill="auto"/>
          </w:tcPr>
          <w:p w14:paraId="17C06CC5" w14:textId="77777777" w:rsidR="00E57804" w:rsidRPr="003D009E" w:rsidRDefault="00E57804" w:rsidP="001016FB">
            <w:pPr>
              <w:pStyle w:val="Tabletext"/>
            </w:pPr>
            <w:r w:rsidRPr="003D009E">
              <w:t>Burundi</w:t>
            </w:r>
          </w:p>
        </w:tc>
      </w:tr>
      <w:tr w:rsidR="00E57804" w:rsidRPr="003D009E" w14:paraId="6948C706" w14:textId="77777777" w:rsidTr="001016FB">
        <w:tc>
          <w:tcPr>
            <w:tcW w:w="858" w:type="pct"/>
            <w:shd w:val="clear" w:color="auto" w:fill="auto"/>
          </w:tcPr>
          <w:p w14:paraId="0BC80957" w14:textId="77777777" w:rsidR="00E57804" w:rsidRPr="003D009E" w:rsidRDefault="00E57804" w:rsidP="001016FB">
            <w:pPr>
              <w:pStyle w:val="Tabletext"/>
            </w:pPr>
            <w:r w:rsidRPr="003D009E">
              <w:t>8</w:t>
            </w:r>
          </w:p>
        </w:tc>
        <w:tc>
          <w:tcPr>
            <w:tcW w:w="4142" w:type="pct"/>
            <w:shd w:val="clear" w:color="auto" w:fill="auto"/>
          </w:tcPr>
          <w:p w14:paraId="141AF57F" w14:textId="77777777" w:rsidR="00E57804" w:rsidRPr="003D009E" w:rsidRDefault="00E57804" w:rsidP="001016FB">
            <w:pPr>
              <w:pStyle w:val="Tabletext"/>
            </w:pPr>
            <w:r w:rsidRPr="003D009E">
              <w:t>Cameroon</w:t>
            </w:r>
          </w:p>
        </w:tc>
      </w:tr>
      <w:tr w:rsidR="00E57804" w:rsidRPr="003D009E" w14:paraId="53CA1EDA" w14:textId="77777777" w:rsidTr="001016FB">
        <w:tc>
          <w:tcPr>
            <w:tcW w:w="858" w:type="pct"/>
            <w:shd w:val="clear" w:color="auto" w:fill="auto"/>
          </w:tcPr>
          <w:p w14:paraId="280832BC" w14:textId="77777777" w:rsidR="00E57804" w:rsidRPr="003D009E" w:rsidRDefault="00E57804" w:rsidP="001016FB">
            <w:pPr>
              <w:pStyle w:val="Tabletext"/>
            </w:pPr>
            <w:r w:rsidRPr="003D009E">
              <w:t>9</w:t>
            </w:r>
          </w:p>
        </w:tc>
        <w:tc>
          <w:tcPr>
            <w:tcW w:w="4142" w:type="pct"/>
            <w:shd w:val="clear" w:color="auto" w:fill="auto"/>
          </w:tcPr>
          <w:p w14:paraId="5D8F0BF2" w14:textId="77777777" w:rsidR="00E57804" w:rsidRPr="003D009E" w:rsidRDefault="00E57804" w:rsidP="001016FB">
            <w:pPr>
              <w:pStyle w:val="Tabletext"/>
            </w:pPr>
            <w:r w:rsidRPr="003D009E">
              <w:t>Central African Republic</w:t>
            </w:r>
          </w:p>
        </w:tc>
      </w:tr>
      <w:tr w:rsidR="00E57804" w:rsidRPr="003D009E" w14:paraId="7B02590B" w14:textId="77777777" w:rsidTr="001016FB">
        <w:tc>
          <w:tcPr>
            <w:tcW w:w="858" w:type="pct"/>
            <w:shd w:val="clear" w:color="auto" w:fill="auto"/>
          </w:tcPr>
          <w:p w14:paraId="0C0E662B" w14:textId="77777777" w:rsidR="00E57804" w:rsidRPr="003D009E" w:rsidRDefault="00E57804" w:rsidP="001016FB">
            <w:pPr>
              <w:pStyle w:val="Tabletext"/>
            </w:pPr>
            <w:r w:rsidRPr="003D009E">
              <w:t>10</w:t>
            </w:r>
          </w:p>
        </w:tc>
        <w:tc>
          <w:tcPr>
            <w:tcW w:w="4142" w:type="pct"/>
            <w:shd w:val="clear" w:color="auto" w:fill="auto"/>
          </w:tcPr>
          <w:p w14:paraId="1F72325A" w14:textId="77777777" w:rsidR="00E57804" w:rsidRPr="003D009E" w:rsidRDefault="00E57804" w:rsidP="001016FB">
            <w:pPr>
              <w:pStyle w:val="Tabletext"/>
            </w:pPr>
            <w:r w:rsidRPr="003D009E">
              <w:t>Chad</w:t>
            </w:r>
          </w:p>
        </w:tc>
      </w:tr>
      <w:tr w:rsidR="00E57804" w:rsidRPr="003D009E" w14:paraId="44798B4A" w14:textId="77777777" w:rsidTr="001016FB">
        <w:tc>
          <w:tcPr>
            <w:tcW w:w="858" w:type="pct"/>
            <w:shd w:val="clear" w:color="auto" w:fill="auto"/>
          </w:tcPr>
          <w:p w14:paraId="241EFD99" w14:textId="77777777" w:rsidR="00E57804" w:rsidRPr="003D009E" w:rsidRDefault="00E57804" w:rsidP="001016FB">
            <w:pPr>
              <w:pStyle w:val="Tabletext"/>
            </w:pPr>
            <w:r w:rsidRPr="003D009E">
              <w:t>11</w:t>
            </w:r>
          </w:p>
        </w:tc>
        <w:tc>
          <w:tcPr>
            <w:tcW w:w="4142" w:type="pct"/>
            <w:shd w:val="clear" w:color="auto" w:fill="auto"/>
          </w:tcPr>
          <w:p w14:paraId="53F3A123" w14:textId="77777777" w:rsidR="00E57804" w:rsidRPr="003D009E" w:rsidRDefault="00E57804" w:rsidP="001016FB">
            <w:pPr>
              <w:pStyle w:val="Tabletext"/>
            </w:pPr>
            <w:r w:rsidRPr="003D009E">
              <w:t>Colombia</w:t>
            </w:r>
          </w:p>
        </w:tc>
      </w:tr>
      <w:tr w:rsidR="00E57804" w:rsidRPr="003D009E" w14:paraId="51972B98" w14:textId="77777777" w:rsidTr="001016FB">
        <w:tc>
          <w:tcPr>
            <w:tcW w:w="858" w:type="pct"/>
            <w:shd w:val="clear" w:color="auto" w:fill="auto"/>
          </w:tcPr>
          <w:p w14:paraId="05E16BFB" w14:textId="77777777" w:rsidR="00E57804" w:rsidRPr="003D009E" w:rsidRDefault="00E57804" w:rsidP="001016FB">
            <w:pPr>
              <w:pStyle w:val="Tabletext"/>
            </w:pPr>
            <w:r w:rsidRPr="003D009E">
              <w:t>12</w:t>
            </w:r>
          </w:p>
        </w:tc>
        <w:tc>
          <w:tcPr>
            <w:tcW w:w="4142" w:type="pct"/>
            <w:shd w:val="clear" w:color="auto" w:fill="auto"/>
          </w:tcPr>
          <w:p w14:paraId="33F82459" w14:textId="77777777" w:rsidR="00E57804" w:rsidRPr="003D009E" w:rsidRDefault="00E57804" w:rsidP="001016FB">
            <w:pPr>
              <w:pStyle w:val="Tabletext"/>
            </w:pPr>
            <w:r w:rsidRPr="003D009E">
              <w:t>Congo, Democratic Republic of the</w:t>
            </w:r>
          </w:p>
        </w:tc>
      </w:tr>
      <w:tr w:rsidR="00E57804" w:rsidRPr="003D009E" w14:paraId="21E12DF4" w14:textId="77777777" w:rsidTr="001016FB">
        <w:tc>
          <w:tcPr>
            <w:tcW w:w="858" w:type="pct"/>
            <w:shd w:val="clear" w:color="auto" w:fill="auto"/>
          </w:tcPr>
          <w:p w14:paraId="2F704814" w14:textId="77777777" w:rsidR="00E57804" w:rsidRPr="003D009E" w:rsidRDefault="00E57804" w:rsidP="001016FB">
            <w:pPr>
              <w:pStyle w:val="Tabletext"/>
            </w:pPr>
            <w:r w:rsidRPr="003D009E">
              <w:t>13</w:t>
            </w:r>
          </w:p>
        </w:tc>
        <w:tc>
          <w:tcPr>
            <w:tcW w:w="4142" w:type="pct"/>
            <w:shd w:val="clear" w:color="auto" w:fill="auto"/>
          </w:tcPr>
          <w:p w14:paraId="0189E34A" w14:textId="77777777" w:rsidR="00E57804" w:rsidRPr="003D009E" w:rsidRDefault="00E57804" w:rsidP="001016FB">
            <w:pPr>
              <w:pStyle w:val="Tabletext"/>
            </w:pPr>
            <w:r w:rsidRPr="003D009E">
              <w:t>Congo, Republic of the</w:t>
            </w:r>
          </w:p>
        </w:tc>
      </w:tr>
      <w:tr w:rsidR="00E57804" w:rsidRPr="003D009E" w14:paraId="54FB79FE" w14:textId="77777777" w:rsidTr="001016FB">
        <w:tc>
          <w:tcPr>
            <w:tcW w:w="858" w:type="pct"/>
            <w:shd w:val="clear" w:color="auto" w:fill="auto"/>
          </w:tcPr>
          <w:p w14:paraId="56ACB997" w14:textId="77777777" w:rsidR="00E57804" w:rsidRPr="003D009E" w:rsidRDefault="00E57804" w:rsidP="001016FB">
            <w:pPr>
              <w:pStyle w:val="Tabletext"/>
            </w:pPr>
            <w:r w:rsidRPr="003D009E">
              <w:t>14</w:t>
            </w:r>
          </w:p>
        </w:tc>
        <w:tc>
          <w:tcPr>
            <w:tcW w:w="4142" w:type="pct"/>
            <w:shd w:val="clear" w:color="auto" w:fill="auto"/>
          </w:tcPr>
          <w:p w14:paraId="3B58B3EE" w14:textId="77777777" w:rsidR="00E57804" w:rsidRPr="003D009E" w:rsidRDefault="00E57804" w:rsidP="001016FB">
            <w:pPr>
              <w:pStyle w:val="Tabletext"/>
            </w:pPr>
            <w:r w:rsidRPr="003D009E">
              <w:t>Côte d’Ivoire</w:t>
            </w:r>
          </w:p>
        </w:tc>
      </w:tr>
      <w:tr w:rsidR="00E57804" w:rsidRPr="003D009E" w14:paraId="7685BD43" w14:textId="77777777" w:rsidTr="001016FB">
        <w:tc>
          <w:tcPr>
            <w:tcW w:w="858" w:type="pct"/>
            <w:shd w:val="clear" w:color="auto" w:fill="auto"/>
          </w:tcPr>
          <w:p w14:paraId="4E83D885" w14:textId="77777777" w:rsidR="00E57804" w:rsidRPr="003D009E" w:rsidRDefault="00E57804" w:rsidP="001016FB">
            <w:pPr>
              <w:pStyle w:val="Tabletext"/>
            </w:pPr>
            <w:r w:rsidRPr="003D009E">
              <w:t>15</w:t>
            </w:r>
          </w:p>
        </w:tc>
        <w:tc>
          <w:tcPr>
            <w:tcW w:w="4142" w:type="pct"/>
            <w:shd w:val="clear" w:color="auto" w:fill="auto"/>
          </w:tcPr>
          <w:p w14:paraId="33163897" w14:textId="77777777" w:rsidR="00E57804" w:rsidRPr="003D009E" w:rsidRDefault="00E57804" w:rsidP="001016FB">
            <w:pPr>
              <w:pStyle w:val="Tabletext"/>
            </w:pPr>
            <w:r w:rsidRPr="003D009E">
              <w:t>Ecuador (excluding the Galápagos Islands)</w:t>
            </w:r>
          </w:p>
        </w:tc>
      </w:tr>
      <w:tr w:rsidR="00E57804" w:rsidRPr="003D009E" w14:paraId="04D9CF17" w14:textId="77777777" w:rsidTr="001016FB">
        <w:tc>
          <w:tcPr>
            <w:tcW w:w="858" w:type="pct"/>
            <w:shd w:val="clear" w:color="auto" w:fill="auto"/>
          </w:tcPr>
          <w:p w14:paraId="03BAAD54" w14:textId="77777777" w:rsidR="00E57804" w:rsidRPr="003D009E" w:rsidRDefault="00E57804" w:rsidP="001016FB">
            <w:pPr>
              <w:pStyle w:val="Tabletext"/>
            </w:pPr>
            <w:r w:rsidRPr="003D009E">
              <w:t>16</w:t>
            </w:r>
          </w:p>
        </w:tc>
        <w:tc>
          <w:tcPr>
            <w:tcW w:w="4142" w:type="pct"/>
            <w:shd w:val="clear" w:color="auto" w:fill="auto"/>
          </w:tcPr>
          <w:p w14:paraId="2B9817E7" w14:textId="77777777" w:rsidR="00E57804" w:rsidRPr="003D009E" w:rsidRDefault="00E57804" w:rsidP="001016FB">
            <w:pPr>
              <w:pStyle w:val="Tabletext"/>
            </w:pPr>
            <w:r w:rsidRPr="003D009E">
              <w:t>Equatorial Guinea</w:t>
            </w:r>
          </w:p>
        </w:tc>
      </w:tr>
      <w:tr w:rsidR="00E57804" w:rsidRPr="003D009E" w14:paraId="47608F74" w14:textId="77777777" w:rsidTr="001016FB">
        <w:tc>
          <w:tcPr>
            <w:tcW w:w="858" w:type="pct"/>
            <w:shd w:val="clear" w:color="auto" w:fill="auto"/>
          </w:tcPr>
          <w:p w14:paraId="32EA547D" w14:textId="77777777" w:rsidR="00E57804" w:rsidRPr="003D009E" w:rsidRDefault="00E57804" w:rsidP="001016FB">
            <w:pPr>
              <w:pStyle w:val="Tabletext"/>
            </w:pPr>
            <w:r w:rsidRPr="003D009E">
              <w:t>17</w:t>
            </w:r>
          </w:p>
        </w:tc>
        <w:tc>
          <w:tcPr>
            <w:tcW w:w="4142" w:type="pct"/>
            <w:shd w:val="clear" w:color="auto" w:fill="auto"/>
          </w:tcPr>
          <w:p w14:paraId="62B7FC8D" w14:textId="77777777" w:rsidR="00E57804" w:rsidRPr="003D009E" w:rsidRDefault="00E57804" w:rsidP="001016FB">
            <w:pPr>
              <w:pStyle w:val="Tabletext"/>
            </w:pPr>
            <w:r w:rsidRPr="003D009E">
              <w:t>Ethiopia</w:t>
            </w:r>
          </w:p>
        </w:tc>
      </w:tr>
      <w:tr w:rsidR="00E57804" w:rsidRPr="003D009E" w14:paraId="282775A0" w14:textId="77777777" w:rsidTr="001016FB">
        <w:tc>
          <w:tcPr>
            <w:tcW w:w="858" w:type="pct"/>
            <w:shd w:val="clear" w:color="auto" w:fill="auto"/>
          </w:tcPr>
          <w:p w14:paraId="5E6C3400" w14:textId="77777777" w:rsidR="00E57804" w:rsidRPr="003D009E" w:rsidRDefault="00E57804" w:rsidP="001016FB">
            <w:pPr>
              <w:pStyle w:val="Tabletext"/>
            </w:pPr>
            <w:r w:rsidRPr="003D009E">
              <w:t>18</w:t>
            </w:r>
          </w:p>
        </w:tc>
        <w:tc>
          <w:tcPr>
            <w:tcW w:w="4142" w:type="pct"/>
            <w:shd w:val="clear" w:color="auto" w:fill="auto"/>
          </w:tcPr>
          <w:p w14:paraId="7813BC30" w14:textId="77777777" w:rsidR="00E57804" w:rsidRPr="003D009E" w:rsidRDefault="00E57804" w:rsidP="001016FB">
            <w:pPr>
              <w:pStyle w:val="Tabletext"/>
            </w:pPr>
            <w:r w:rsidRPr="003D009E">
              <w:t>French Guiana</w:t>
            </w:r>
          </w:p>
        </w:tc>
      </w:tr>
      <w:tr w:rsidR="00E57804" w:rsidRPr="003D009E" w14:paraId="56614A1B" w14:textId="77777777" w:rsidTr="001016FB">
        <w:tc>
          <w:tcPr>
            <w:tcW w:w="858" w:type="pct"/>
            <w:shd w:val="clear" w:color="auto" w:fill="auto"/>
          </w:tcPr>
          <w:p w14:paraId="0CD83C17" w14:textId="77777777" w:rsidR="00E57804" w:rsidRPr="003D009E" w:rsidRDefault="00E57804" w:rsidP="001016FB">
            <w:pPr>
              <w:pStyle w:val="Tabletext"/>
            </w:pPr>
            <w:r w:rsidRPr="003D009E">
              <w:t>19</w:t>
            </w:r>
          </w:p>
        </w:tc>
        <w:tc>
          <w:tcPr>
            <w:tcW w:w="4142" w:type="pct"/>
            <w:shd w:val="clear" w:color="auto" w:fill="auto"/>
          </w:tcPr>
          <w:p w14:paraId="5E860456" w14:textId="77777777" w:rsidR="00E57804" w:rsidRPr="003D009E" w:rsidRDefault="00E57804" w:rsidP="001016FB">
            <w:pPr>
              <w:pStyle w:val="Tabletext"/>
            </w:pPr>
            <w:r w:rsidRPr="003D009E">
              <w:t>Gabon</w:t>
            </w:r>
          </w:p>
        </w:tc>
      </w:tr>
      <w:tr w:rsidR="00E57804" w:rsidRPr="003D009E" w14:paraId="324B3CCF" w14:textId="77777777" w:rsidTr="001016FB">
        <w:tc>
          <w:tcPr>
            <w:tcW w:w="858" w:type="pct"/>
            <w:shd w:val="clear" w:color="auto" w:fill="auto"/>
          </w:tcPr>
          <w:p w14:paraId="6D64D91A" w14:textId="77777777" w:rsidR="00E57804" w:rsidRPr="003D009E" w:rsidRDefault="00E57804" w:rsidP="001016FB">
            <w:pPr>
              <w:pStyle w:val="Tabletext"/>
            </w:pPr>
            <w:r w:rsidRPr="003D009E">
              <w:t>20</w:t>
            </w:r>
          </w:p>
        </w:tc>
        <w:tc>
          <w:tcPr>
            <w:tcW w:w="4142" w:type="pct"/>
            <w:shd w:val="clear" w:color="auto" w:fill="auto"/>
          </w:tcPr>
          <w:p w14:paraId="50E9BED8" w14:textId="77777777" w:rsidR="00E57804" w:rsidRPr="003D009E" w:rsidRDefault="00E57804" w:rsidP="001016FB">
            <w:pPr>
              <w:pStyle w:val="Tabletext"/>
            </w:pPr>
            <w:r w:rsidRPr="003D009E">
              <w:t>The Gambia</w:t>
            </w:r>
          </w:p>
        </w:tc>
      </w:tr>
      <w:tr w:rsidR="00E57804" w:rsidRPr="003D009E" w14:paraId="6779E716" w14:textId="77777777" w:rsidTr="001016FB">
        <w:tc>
          <w:tcPr>
            <w:tcW w:w="858" w:type="pct"/>
            <w:shd w:val="clear" w:color="auto" w:fill="auto"/>
          </w:tcPr>
          <w:p w14:paraId="0B68B0F6" w14:textId="77777777" w:rsidR="00E57804" w:rsidRPr="003D009E" w:rsidRDefault="00E57804" w:rsidP="001016FB">
            <w:pPr>
              <w:pStyle w:val="Tabletext"/>
            </w:pPr>
            <w:r w:rsidRPr="003D009E">
              <w:t>21</w:t>
            </w:r>
          </w:p>
        </w:tc>
        <w:tc>
          <w:tcPr>
            <w:tcW w:w="4142" w:type="pct"/>
            <w:shd w:val="clear" w:color="auto" w:fill="auto"/>
          </w:tcPr>
          <w:p w14:paraId="4A598616" w14:textId="77777777" w:rsidR="00E57804" w:rsidRPr="003D009E" w:rsidRDefault="00E57804" w:rsidP="001016FB">
            <w:pPr>
              <w:pStyle w:val="Tabletext"/>
            </w:pPr>
            <w:r w:rsidRPr="003D009E">
              <w:t>Ghana</w:t>
            </w:r>
          </w:p>
        </w:tc>
      </w:tr>
      <w:tr w:rsidR="00E57804" w:rsidRPr="003D009E" w14:paraId="6D384ADE" w14:textId="77777777" w:rsidTr="001016FB">
        <w:tc>
          <w:tcPr>
            <w:tcW w:w="858" w:type="pct"/>
            <w:shd w:val="clear" w:color="auto" w:fill="auto"/>
          </w:tcPr>
          <w:p w14:paraId="4AA322D0" w14:textId="77777777" w:rsidR="00E57804" w:rsidRPr="003D009E" w:rsidRDefault="00E57804" w:rsidP="001016FB">
            <w:pPr>
              <w:pStyle w:val="Tabletext"/>
            </w:pPr>
            <w:r w:rsidRPr="003D009E">
              <w:t>22</w:t>
            </w:r>
          </w:p>
        </w:tc>
        <w:tc>
          <w:tcPr>
            <w:tcW w:w="4142" w:type="pct"/>
            <w:shd w:val="clear" w:color="auto" w:fill="auto"/>
          </w:tcPr>
          <w:p w14:paraId="6F7B6E03" w14:textId="77777777" w:rsidR="00E57804" w:rsidRPr="003D009E" w:rsidRDefault="00E57804" w:rsidP="001016FB">
            <w:pPr>
              <w:pStyle w:val="Tabletext"/>
            </w:pPr>
            <w:r w:rsidRPr="003D009E">
              <w:t>Guinea</w:t>
            </w:r>
          </w:p>
        </w:tc>
      </w:tr>
      <w:tr w:rsidR="00E57804" w:rsidRPr="003D009E" w14:paraId="0A9CF982" w14:textId="77777777" w:rsidTr="001016FB">
        <w:tc>
          <w:tcPr>
            <w:tcW w:w="858" w:type="pct"/>
            <w:shd w:val="clear" w:color="auto" w:fill="auto"/>
          </w:tcPr>
          <w:p w14:paraId="239D2880" w14:textId="77777777" w:rsidR="00E57804" w:rsidRPr="003D009E" w:rsidRDefault="00E57804" w:rsidP="001016FB">
            <w:pPr>
              <w:pStyle w:val="Tabletext"/>
            </w:pPr>
            <w:r w:rsidRPr="003D009E">
              <w:t>23</w:t>
            </w:r>
          </w:p>
        </w:tc>
        <w:tc>
          <w:tcPr>
            <w:tcW w:w="4142" w:type="pct"/>
            <w:shd w:val="clear" w:color="auto" w:fill="auto"/>
          </w:tcPr>
          <w:p w14:paraId="5F278818" w14:textId="77777777" w:rsidR="00E57804" w:rsidRPr="003D009E" w:rsidRDefault="00E57804" w:rsidP="001016FB">
            <w:pPr>
              <w:pStyle w:val="Tabletext"/>
            </w:pPr>
            <w:r w:rsidRPr="003D009E">
              <w:t>Guinea</w:t>
            </w:r>
            <w:r w:rsidRPr="003D009E">
              <w:noBreakHyphen/>
              <w:t>Bissau</w:t>
            </w:r>
          </w:p>
        </w:tc>
      </w:tr>
      <w:tr w:rsidR="00E57804" w:rsidRPr="003D009E" w14:paraId="3FF79C23" w14:textId="77777777" w:rsidTr="001016FB">
        <w:tc>
          <w:tcPr>
            <w:tcW w:w="858" w:type="pct"/>
            <w:shd w:val="clear" w:color="auto" w:fill="auto"/>
          </w:tcPr>
          <w:p w14:paraId="431C9C36" w14:textId="77777777" w:rsidR="00E57804" w:rsidRPr="003D009E" w:rsidRDefault="00E57804" w:rsidP="001016FB">
            <w:pPr>
              <w:pStyle w:val="Tabletext"/>
            </w:pPr>
            <w:r w:rsidRPr="003D009E">
              <w:t>24</w:t>
            </w:r>
          </w:p>
        </w:tc>
        <w:tc>
          <w:tcPr>
            <w:tcW w:w="4142" w:type="pct"/>
            <w:shd w:val="clear" w:color="auto" w:fill="auto"/>
          </w:tcPr>
          <w:p w14:paraId="3BA18EFF" w14:textId="77777777" w:rsidR="00E57804" w:rsidRPr="003D009E" w:rsidRDefault="00E57804" w:rsidP="001016FB">
            <w:pPr>
              <w:pStyle w:val="Tabletext"/>
            </w:pPr>
            <w:r w:rsidRPr="003D009E">
              <w:t>Guyana</w:t>
            </w:r>
          </w:p>
        </w:tc>
      </w:tr>
      <w:tr w:rsidR="00E57804" w:rsidRPr="003D009E" w14:paraId="377D9001" w14:textId="77777777" w:rsidTr="001016FB">
        <w:tc>
          <w:tcPr>
            <w:tcW w:w="858" w:type="pct"/>
            <w:shd w:val="clear" w:color="auto" w:fill="auto"/>
          </w:tcPr>
          <w:p w14:paraId="192DB9D8" w14:textId="77777777" w:rsidR="00E57804" w:rsidRPr="003D009E" w:rsidRDefault="00E57804" w:rsidP="001016FB">
            <w:pPr>
              <w:pStyle w:val="Tabletext"/>
            </w:pPr>
            <w:r w:rsidRPr="003D009E">
              <w:t>25</w:t>
            </w:r>
          </w:p>
        </w:tc>
        <w:tc>
          <w:tcPr>
            <w:tcW w:w="4142" w:type="pct"/>
            <w:shd w:val="clear" w:color="auto" w:fill="auto"/>
          </w:tcPr>
          <w:p w14:paraId="0A3F3FC1" w14:textId="77777777" w:rsidR="00E57804" w:rsidRPr="003D009E" w:rsidRDefault="00E57804" w:rsidP="001016FB">
            <w:pPr>
              <w:pStyle w:val="Tabletext"/>
            </w:pPr>
            <w:r w:rsidRPr="003D009E">
              <w:t>Kenya</w:t>
            </w:r>
          </w:p>
        </w:tc>
      </w:tr>
      <w:tr w:rsidR="00E57804" w:rsidRPr="003D009E" w14:paraId="7E77D4D7" w14:textId="77777777" w:rsidTr="001016FB">
        <w:tc>
          <w:tcPr>
            <w:tcW w:w="858" w:type="pct"/>
            <w:shd w:val="clear" w:color="auto" w:fill="auto"/>
          </w:tcPr>
          <w:p w14:paraId="670A3560" w14:textId="77777777" w:rsidR="00E57804" w:rsidRPr="003D009E" w:rsidRDefault="00E57804" w:rsidP="001016FB">
            <w:pPr>
              <w:pStyle w:val="Tabletext"/>
            </w:pPr>
            <w:r w:rsidRPr="003D009E">
              <w:t>26</w:t>
            </w:r>
          </w:p>
        </w:tc>
        <w:tc>
          <w:tcPr>
            <w:tcW w:w="4142" w:type="pct"/>
            <w:shd w:val="clear" w:color="auto" w:fill="auto"/>
          </w:tcPr>
          <w:p w14:paraId="0DAE9ADD" w14:textId="77777777" w:rsidR="00E57804" w:rsidRPr="003D009E" w:rsidRDefault="00E57804" w:rsidP="001016FB">
            <w:pPr>
              <w:pStyle w:val="Tabletext"/>
            </w:pPr>
            <w:r w:rsidRPr="003D009E">
              <w:t>Liberia</w:t>
            </w:r>
          </w:p>
        </w:tc>
      </w:tr>
      <w:tr w:rsidR="00E57804" w:rsidRPr="003D009E" w14:paraId="4D2A9461" w14:textId="77777777" w:rsidTr="001016FB">
        <w:tc>
          <w:tcPr>
            <w:tcW w:w="858" w:type="pct"/>
            <w:shd w:val="clear" w:color="auto" w:fill="auto"/>
          </w:tcPr>
          <w:p w14:paraId="562D4406" w14:textId="77777777" w:rsidR="00E57804" w:rsidRPr="003D009E" w:rsidRDefault="00E57804" w:rsidP="001016FB">
            <w:pPr>
              <w:pStyle w:val="Tabletext"/>
            </w:pPr>
            <w:r w:rsidRPr="003D009E">
              <w:t>27</w:t>
            </w:r>
          </w:p>
        </w:tc>
        <w:tc>
          <w:tcPr>
            <w:tcW w:w="4142" w:type="pct"/>
            <w:shd w:val="clear" w:color="auto" w:fill="auto"/>
          </w:tcPr>
          <w:p w14:paraId="21978734" w14:textId="77777777" w:rsidR="00E57804" w:rsidRPr="003D009E" w:rsidRDefault="00E57804" w:rsidP="001016FB">
            <w:pPr>
              <w:pStyle w:val="Tabletext"/>
            </w:pPr>
            <w:r w:rsidRPr="003D009E">
              <w:t>Mali</w:t>
            </w:r>
          </w:p>
        </w:tc>
      </w:tr>
      <w:tr w:rsidR="00E57804" w:rsidRPr="003D009E" w14:paraId="189F683F" w14:textId="77777777" w:rsidTr="001016FB">
        <w:tc>
          <w:tcPr>
            <w:tcW w:w="858" w:type="pct"/>
            <w:shd w:val="clear" w:color="auto" w:fill="auto"/>
          </w:tcPr>
          <w:p w14:paraId="758B39CE" w14:textId="77777777" w:rsidR="00E57804" w:rsidRPr="003D009E" w:rsidRDefault="00E57804" w:rsidP="001016FB">
            <w:pPr>
              <w:pStyle w:val="Tabletext"/>
            </w:pPr>
            <w:r w:rsidRPr="003D009E">
              <w:t>28</w:t>
            </w:r>
          </w:p>
        </w:tc>
        <w:tc>
          <w:tcPr>
            <w:tcW w:w="4142" w:type="pct"/>
            <w:shd w:val="clear" w:color="auto" w:fill="auto"/>
          </w:tcPr>
          <w:p w14:paraId="79359B9A" w14:textId="77777777" w:rsidR="00E57804" w:rsidRPr="003D009E" w:rsidRDefault="00E57804" w:rsidP="001016FB">
            <w:pPr>
              <w:pStyle w:val="Tabletext"/>
            </w:pPr>
            <w:r w:rsidRPr="003D009E">
              <w:t>Mauritania</w:t>
            </w:r>
          </w:p>
        </w:tc>
      </w:tr>
      <w:tr w:rsidR="00E57804" w:rsidRPr="003D009E" w14:paraId="259D9306" w14:textId="77777777" w:rsidTr="001016FB">
        <w:tc>
          <w:tcPr>
            <w:tcW w:w="858" w:type="pct"/>
            <w:shd w:val="clear" w:color="auto" w:fill="auto"/>
          </w:tcPr>
          <w:p w14:paraId="366EF1C2" w14:textId="77777777" w:rsidR="00E57804" w:rsidRPr="003D009E" w:rsidRDefault="00E57804" w:rsidP="001016FB">
            <w:pPr>
              <w:pStyle w:val="Tabletext"/>
            </w:pPr>
            <w:r w:rsidRPr="003D009E">
              <w:t>29</w:t>
            </w:r>
          </w:p>
        </w:tc>
        <w:tc>
          <w:tcPr>
            <w:tcW w:w="4142" w:type="pct"/>
            <w:shd w:val="clear" w:color="auto" w:fill="auto"/>
          </w:tcPr>
          <w:p w14:paraId="593D7425" w14:textId="77777777" w:rsidR="00E57804" w:rsidRPr="003D009E" w:rsidRDefault="00E57804" w:rsidP="001016FB">
            <w:pPr>
              <w:pStyle w:val="Tabletext"/>
            </w:pPr>
            <w:r w:rsidRPr="003D009E">
              <w:t>Niger</w:t>
            </w:r>
          </w:p>
        </w:tc>
      </w:tr>
      <w:tr w:rsidR="00E57804" w:rsidRPr="003D009E" w14:paraId="5899E45D" w14:textId="77777777" w:rsidTr="001016FB">
        <w:tc>
          <w:tcPr>
            <w:tcW w:w="858" w:type="pct"/>
            <w:shd w:val="clear" w:color="auto" w:fill="auto"/>
          </w:tcPr>
          <w:p w14:paraId="291E1004" w14:textId="77777777" w:rsidR="00E57804" w:rsidRPr="003D009E" w:rsidRDefault="00E57804" w:rsidP="001016FB">
            <w:pPr>
              <w:pStyle w:val="Tabletext"/>
            </w:pPr>
            <w:r w:rsidRPr="003D009E">
              <w:t>30</w:t>
            </w:r>
          </w:p>
        </w:tc>
        <w:tc>
          <w:tcPr>
            <w:tcW w:w="4142" w:type="pct"/>
            <w:shd w:val="clear" w:color="auto" w:fill="auto"/>
          </w:tcPr>
          <w:p w14:paraId="01594432" w14:textId="77777777" w:rsidR="00E57804" w:rsidRPr="003D009E" w:rsidRDefault="00E57804" w:rsidP="001016FB">
            <w:pPr>
              <w:pStyle w:val="Tabletext"/>
            </w:pPr>
            <w:r w:rsidRPr="003D009E">
              <w:t>Nigeria</w:t>
            </w:r>
          </w:p>
        </w:tc>
      </w:tr>
      <w:tr w:rsidR="00E57804" w:rsidRPr="003D009E" w14:paraId="0C695093" w14:textId="77777777" w:rsidTr="001016FB">
        <w:tc>
          <w:tcPr>
            <w:tcW w:w="858" w:type="pct"/>
            <w:shd w:val="clear" w:color="auto" w:fill="auto"/>
          </w:tcPr>
          <w:p w14:paraId="22DAB874" w14:textId="77777777" w:rsidR="00E57804" w:rsidRPr="003D009E" w:rsidRDefault="00E57804" w:rsidP="001016FB">
            <w:pPr>
              <w:pStyle w:val="Tabletext"/>
            </w:pPr>
            <w:r w:rsidRPr="003D009E">
              <w:t>31</w:t>
            </w:r>
          </w:p>
        </w:tc>
        <w:tc>
          <w:tcPr>
            <w:tcW w:w="4142" w:type="pct"/>
            <w:shd w:val="clear" w:color="auto" w:fill="auto"/>
          </w:tcPr>
          <w:p w14:paraId="3BE2F1F6" w14:textId="77777777" w:rsidR="00E57804" w:rsidRPr="003D009E" w:rsidRDefault="00E57804" w:rsidP="001016FB">
            <w:pPr>
              <w:pStyle w:val="Tabletext"/>
            </w:pPr>
            <w:r w:rsidRPr="003D009E">
              <w:t>Panama</w:t>
            </w:r>
          </w:p>
        </w:tc>
      </w:tr>
      <w:tr w:rsidR="00E57804" w:rsidRPr="003D009E" w14:paraId="2563AA18" w14:textId="77777777" w:rsidTr="001016FB">
        <w:tc>
          <w:tcPr>
            <w:tcW w:w="858" w:type="pct"/>
            <w:shd w:val="clear" w:color="auto" w:fill="auto"/>
          </w:tcPr>
          <w:p w14:paraId="3F44C196" w14:textId="77777777" w:rsidR="00E57804" w:rsidRPr="003D009E" w:rsidRDefault="00E57804" w:rsidP="001016FB">
            <w:pPr>
              <w:pStyle w:val="Tabletext"/>
            </w:pPr>
            <w:r w:rsidRPr="003D009E">
              <w:t>32</w:t>
            </w:r>
          </w:p>
        </w:tc>
        <w:tc>
          <w:tcPr>
            <w:tcW w:w="4142" w:type="pct"/>
            <w:shd w:val="clear" w:color="auto" w:fill="auto"/>
          </w:tcPr>
          <w:p w14:paraId="4BC37B72" w14:textId="77777777" w:rsidR="00E57804" w:rsidRPr="003D009E" w:rsidRDefault="00E57804" w:rsidP="001016FB">
            <w:pPr>
              <w:pStyle w:val="Tabletext"/>
            </w:pPr>
            <w:r w:rsidRPr="003D009E">
              <w:t>Paraguay</w:t>
            </w:r>
          </w:p>
        </w:tc>
      </w:tr>
      <w:tr w:rsidR="00E57804" w:rsidRPr="003D009E" w14:paraId="696E9AFB" w14:textId="77777777" w:rsidTr="001016FB">
        <w:tc>
          <w:tcPr>
            <w:tcW w:w="858" w:type="pct"/>
            <w:shd w:val="clear" w:color="auto" w:fill="auto"/>
          </w:tcPr>
          <w:p w14:paraId="7B8120D9" w14:textId="77777777" w:rsidR="00E57804" w:rsidRPr="003D009E" w:rsidRDefault="00E57804" w:rsidP="001016FB">
            <w:pPr>
              <w:pStyle w:val="Tabletext"/>
            </w:pPr>
            <w:r w:rsidRPr="003D009E">
              <w:lastRenderedPageBreak/>
              <w:t>33</w:t>
            </w:r>
          </w:p>
        </w:tc>
        <w:tc>
          <w:tcPr>
            <w:tcW w:w="4142" w:type="pct"/>
            <w:shd w:val="clear" w:color="auto" w:fill="auto"/>
          </w:tcPr>
          <w:p w14:paraId="23D625A3" w14:textId="77777777" w:rsidR="00E57804" w:rsidRPr="003D009E" w:rsidRDefault="00E57804" w:rsidP="001016FB">
            <w:pPr>
              <w:pStyle w:val="Tabletext"/>
            </w:pPr>
            <w:r w:rsidRPr="003D009E">
              <w:t>Peru</w:t>
            </w:r>
          </w:p>
        </w:tc>
      </w:tr>
      <w:tr w:rsidR="00E57804" w:rsidRPr="003D009E" w14:paraId="41023533" w14:textId="77777777" w:rsidTr="001016FB">
        <w:tc>
          <w:tcPr>
            <w:tcW w:w="858" w:type="pct"/>
            <w:shd w:val="clear" w:color="auto" w:fill="auto"/>
          </w:tcPr>
          <w:p w14:paraId="533C74EF" w14:textId="77777777" w:rsidR="00E57804" w:rsidRPr="003D009E" w:rsidRDefault="00E57804" w:rsidP="001016FB">
            <w:pPr>
              <w:pStyle w:val="Tabletext"/>
            </w:pPr>
            <w:r w:rsidRPr="003D009E">
              <w:t>34</w:t>
            </w:r>
          </w:p>
        </w:tc>
        <w:tc>
          <w:tcPr>
            <w:tcW w:w="4142" w:type="pct"/>
            <w:shd w:val="clear" w:color="auto" w:fill="auto"/>
          </w:tcPr>
          <w:p w14:paraId="515EE84A" w14:textId="77777777" w:rsidR="00E57804" w:rsidRPr="003D009E" w:rsidRDefault="00E57804" w:rsidP="001016FB">
            <w:pPr>
              <w:pStyle w:val="Tabletext"/>
            </w:pPr>
            <w:r w:rsidRPr="003D009E">
              <w:t>Senegal</w:t>
            </w:r>
          </w:p>
        </w:tc>
      </w:tr>
      <w:tr w:rsidR="00E57804" w:rsidRPr="003D009E" w14:paraId="290125AF" w14:textId="77777777" w:rsidTr="001016FB">
        <w:tc>
          <w:tcPr>
            <w:tcW w:w="858" w:type="pct"/>
            <w:shd w:val="clear" w:color="auto" w:fill="auto"/>
          </w:tcPr>
          <w:p w14:paraId="0CBFC8F6" w14:textId="77777777" w:rsidR="00E57804" w:rsidRPr="003D009E" w:rsidRDefault="00E57804" w:rsidP="001016FB">
            <w:pPr>
              <w:pStyle w:val="Tabletext"/>
            </w:pPr>
            <w:r w:rsidRPr="003D009E">
              <w:t>35</w:t>
            </w:r>
          </w:p>
        </w:tc>
        <w:tc>
          <w:tcPr>
            <w:tcW w:w="4142" w:type="pct"/>
            <w:shd w:val="clear" w:color="auto" w:fill="auto"/>
          </w:tcPr>
          <w:p w14:paraId="348D3A45" w14:textId="77777777" w:rsidR="00E57804" w:rsidRPr="003D009E" w:rsidRDefault="00E57804" w:rsidP="001016FB">
            <w:pPr>
              <w:pStyle w:val="Tabletext"/>
            </w:pPr>
            <w:r w:rsidRPr="003D009E">
              <w:t>Sierra Leone</w:t>
            </w:r>
          </w:p>
        </w:tc>
      </w:tr>
      <w:tr w:rsidR="00E57804" w:rsidRPr="003D009E" w14:paraId="1E6E9B0E" w14:textId="77777777" w:rsidTr="001016FB">
        <w:tc>
          <w:tcPr>
            <w:tcW w:w="858" w:type="pct"/>
            <w:shd w:val="clear" w:color="auto" w:fill="auto"/>
          </w:tcPr>
          <w:p w14:paraId="2C0F8264" w14:textId="77777777" w:rsidR="00E57804" w:rsidRPr="003D009E" w:rsidRDefault="00E57804" w:rsidP="001016FB">
            <w:pPr>
              <w:pStyle w:val="Tabletext"/>
            </w:pPr>
            <w:r w:rsidRPr="003D009E">
              <w:t>36</w:t>
            </w:r>
          </w:p>
        </w:tc>
        <w:tc>
          <w:tcPr>
            <w:tcW w:w="4142" w:type="pct"/>
            <w:shd w:val="clear" w:color="auto" w:fill="auto"/>
          </w:tcPr>
          <w:p w14:paraId="6A0A0BAB" w14:textId="77777777" w:rsidR="00E57804" w:rsidRPr="003D009E" w:rsidRDefault="00E57804" w:rsidP="001016FB">
            <w:pPr>
              <w:pStyle w:val="Tabletext"/>
            </w:pPr>
            <w:r w:rsidRPr="003D009E">
              <w:t>South Sudan</w:t>
            </w:r>
          </w:p>
        </w:tc>
      </w:tr>
      <w:tr w:rsidR="00E57804" w:rsidRPr="003D009E" w14:paraId="543A54AA" w14:textId="77777777" w:rsidTr="001016FB">
        <w:tc>
          <w:tcPr>
            <w:tcW w:w="858" w:type="pct"/>
            <w:shd w:val="clear" w:color="auto" w:fill="auto"/>
          </w:tcPr>
          <w:p w14:paraId="143F2C33" w14:textId="77777777" w:rsidR="00E57804" w:rsidRPr="003D009E" w:rsidRDefault="00E57804" w:rsidP="001016FB">
            <w:pPr>
              <w:pStyle w:val="Tabletext"/>
            </w:pPr>
            <w:r w:rsidRPr="003D009E">
              <w:t>37</w:t>
            </w:r>
          </w:p>
        </w:tc>
        <w:tc>
          <w:tcPr>
            <w:tcW w:w="4142" w:type="pct"/>
            <w:shd w:val="clear" w:color="auto" w:fill="auto"/>
          </w:tcPr>
          <w:p w14:paraId="568F5846" w14:textId="77777777" w:rsidR="00E57804" w:rsidRPr="003D009E" w:rsidRDefault="00E57804" w:rsidP="001016FB">
            <w:pPr>
              <w:pStyle w:val="Tabletext"/>
            </w:pPr>
            <w:r w:rsidRPr="003D009E">
              <w:t>Sudan</w:t>
            </w:r>
          </w:p>
        </w:tc>
      </w:tr>
      <w:tr w:rsidR="00E57804" w:rsidRPr="003D009E" w14:paraId="08943E8D" w14:textId="77777777" w:rsidTr="001016FB">
        <w:tc>
          <w:tcPr>
            <w:tcW w:w="858" w:type="pct"/>
            <w:shd w:val="clear" w:color="auto" w:fill="auto"/>
          </w:tcPr>
          <w:p w14:paraId="5CCED26D" w14:textId="77777777" w:rsidR="00E57804" w:rsidRPr="003D009E" w:rsidRDefault="00E57804" w:rsidP="001016FB">
            <w:pPr>
              <w:pStyle w:val="Tabletext"/>
            </w:pPr>
            <w:r w:rsidRPr="003D009E">
              <w:t>38</w:t>
            </w:r>
          </w:p>
        </w:tc>
        <w:tc>
          <w:tcPr>
            <w:tcW w:w="4142" w:type="pct"/>
            <w:shd w:val="clear" w:color="auto" w:fill="auto"/>
          </w:tcPr>
          <w:p w14:paraId="056B832E" w14:textId="77777777" w:rsidR="00E57804" w:rsidRPr="003D009E" w:rsidRDefault="00E57804" w:rsidP="001016FB">
            <w:pPr>
              <w:pStyle w:val="Tabletext"/>
            </w:pPr>
            <w:r w:rsidRPr="003D009E">
              <w:t>Suriname</w:t>
            </w:r>
          </w:p>
        </w:tc>
      </w:tr>
      <w:tr w:rsidR="00E57804" w:rsidRPr="003D009E" w14:paraId="0E9BE11C" w14:textId="77777777" w:rsidTr="001016FB">
        <w:tc>
          <w:tcPr>
            <w:tcW w:w="858" w:type="pct"/>
            <w:shd w:val="clear" w:color="auto" w:fill="auto"/>
          </w:tcPr>
          <w:p w14:paraId="3A305B99" w14:textId="77777777" w:rsidR="00E57804" w:rsidRPr="003D009E" w:rsidRDefault="00E57804" w:rsidP="001016FB">
            <w:pPr>
              <w:pStyle w:val="Tabletext"/>
            </w:pPr>
            <w:r w:rsidRPr="003D009E">
              <w:t>39</w:t>
            </w:r>
          </w:p>
        </w:tc>
        <w:tc>
          <w:tcPr>
            <w:tcW w:w="4142" w:type="pct"/>
            <w:shd w:val="clear" w:color="auto" w:fill="auto"/>
          </w:tcPr>
          <w:p w14:paraId="6C36D525" w14:textId="77777777" w:rsidR="00E57804" w:rsidRPr="003D009E" w:rsidRDefault="00E57804" w:rsidP="001016FB">
            <w:pPr>
              <w:pStyle w:val="Tabletext"/>
            </w:pPr>
            <w:r w:rsidRPr="003D009E">
              <w:t>Togo</w:t>
            </w:r>
          </w:p>
        </w:tc>
      </w:tr>
      <w:tr w:rsidR="00E57804" w:rsidRPr="003D009E" w14:paraId="2A76ED7D" w14:textId="77777777" w:rsidTr="001016FB">
        <w:tc>
          <w:tcPr>
            <w:tcW w:w="858" w:type="pct"/>
            <w:shd w:val="clear" w:color="auto" w:fill="auto"/>
          </w:tcPr>
          <w:p w14:paraId="0D179B9C" w14:textId="77777777" w:rsidR="00E57804" w:rsidRPr="003D009E" w:rsidRDefault="00E57804" w:rsidP="001016FB">
            <w:pPr>
              <w:pStyle w:val="Tabletext"/>
            </w:pPr>
            <w:r w:rsidRPr="003D009E">
              <w:t>40</w:t>
            </w:r>
          </w:p>
        </w:tc>
        <w:tc>
          <w:tcPr>
            <w:tcW w:w="4142" w:type="pct"/>
            <w:shd w:val="clear" w:color="auto" w:fill="auto"/>
          </w:tcPr>
          <w:p w14:paraId="5DB95822" w14:textId="77777777" w:rsidR="00E57804" w:rsidRPr="003D009E" w:rsidRDefault="00E57804" w:rsidP="001016FB">
            <w:pPr>
              <w:pStyle w:val="Tabletext"/>
            </w:pPr>
            <w:r w:rsidRPr="003D009E">
              <w:t>Trinidad and Tobago</w:t>
            </w:r>
          </w:p>
        </w:tc>
      </w:tr>
      <w:tr w:rsidR="00E57804" w:rsidRPr="003D009E" w14:paraId="74F6DF7A" w14:textId="77777777" w:rsidTr="00FD1DC9">
        <w:tc>
          <w:tcPr>
            <w:tcW w:w="858" w:type="pct"/>
            <w:shd w:val="clear" w:color="auto" w:fill="auto"/>
          </w:tcPr>
          <w:p w14:paraId="2F81A5C9" w14:textId="77777777" w:rsidR="00E57804" w:rsidRPr="003D009E" w:rsidRDefault="00E57804" w:rsidP="001016FB">
            <w:pPr>
              <w:pStyle w:val="Tabletext"/>
            </w:pPr>
            <w:r w:rsidRPr="003D009E">
              <w:t>41</w:t>
            </w:r>
          </w:p>
        </w:tc>
        <w:tc>
          <w:tcPr>
            <w:tcW w:w="4142" w:type="pct"/>
            <w:shd w:val="clear" w:color="auto" w:fill="auto"/>
          </w:tcPr>
          <w:p w14:paraId="1BC1CD8A" w14:textId="77777777" w:rsidR="00E57804" w:rsidRPr="003D009E" w:rsidRDefault="00E57804" w:rsidP="001016FB">
            <w:pPr>
              <w:pStyle w:val="Tabletext"/>
            </w:pPr>
            <w:r w:rsidRPr="003D009E">
              <w:t>Uganda</w:t>
            </w:r>
          </w:p>
        </w:tc>
      </w:tr>
      <w:tr w:rsidR="001225FD" w:rsidRPr="003D009E" w14:paraId="3087B2F6" w14:textId="77777777" w:rsidTr="001016FB">
        <w:tc>
          <w:tcPr>
            <w:tcW w:w="858" w:type="pct"/>
            <w:tcBorders>
              <w:bottom w:val="single" w:sz="4" w:space="0" w:color="auto"/>
            </w:tcBorders>
            <w:shd w:val="clear" w:color="auto" w:fill="auto"/>
          </w:tcPr>
          <w:p w14:paraId="5EBE78C0" w14:textId="1BC1CB8E" w:rsidR="001225FD" w:rsidRPr="003D009E" w:rsidRDefault="001225FD" w:rsidP="001016FB">
            <w:pPr>
              <w:pStyle w:val="Tabletext"/>
            </w:pPr>
            <w:r w:rsidRPr="003D009E">
              <w:t>42</w:t>
            </w:r>
          </w:p>
        </w:tc>
        <w:tc>
          <w:tcPr>
            <w:tcW w:w="4142" w:type="pct"/>
            <w:tcBorders>
              <w:bottom w:val="single" w:sz="4" w:space="0" w:color="auto"/>
            </w:tcBorders>
            <w:shd w:val="clear" w:color="auto" w:fill="auto"/>
          </w:tcPr>
          <w:p w14:paraId="4C2B3471" w14:textId="6872C2CA" w:rsidR="001225FD" w:rsidRPr="003D009E" w:rsidRDefault="001225FD" w:rsidP="001016FB">
            <w:pPr>
              <w:pStyle w:val="Tabletext"/>
            </w:pPr>
            <w:r w:rsidRPr="003D009E">
              <w:t>Venezuela</w:t>
            </w:r>
          </w:p>
        </w:tc>
      </w:tr>
    </w:tbl>
    <w:p w14:paraId="3DE83BF0" w14:textId="5C289CBF" w:rsidR="00CD7833" w:rsidRPr="003D009E" w:rsidRDefault="00CD7833" w:rsidP="009A1BF9">
      <w:pPr>
        <w:pStyle w:val="ActHead5"/>
        <w:ind w:left="0" w:firstLine="0"/>
        <w:rPr>
          <w:b w:val="0"/>
          <w:bCs/>
        </w:rPr>
      </w:pPr>
    </w:p>
    <w:p w14:paraId="1D12411A" w14:textId="77777777" w:rsidR="00CD7833" w:rsidRPr="003D009E" w:rsidRDefault="00CD7833">
      <w:pPr>
        <w:spacing w:line="240" w:lineRule="auto"/>
        <w:rPr>
          <w:rFonts w:eastAsia="Times New Roman" w:cs="Times New Roman"/>
          <w:b/>
          <w:kern w:val="28"/>
          <w:sz w:val="24"/>
          <w:lang w:eastAsia="en-AU"/>
        </w:rPr>
      </w:pPr>
      <w:r w:rsidRPr="003D009E">
        <w:br w:type="page"/>
      </w:r>
    </w:p>
    <w:p w14:paraId="6166C5FB" w14:textId="77777777" w:rsidR="00CD7833" w:rsidRPr="003D009E" w:rsidRDefault="00CD7833" w:rsidP="00CD7833">
      <w:pPr>
        <w:pStyle w:val="ActHead6"/>
      </w:pPr>
      <w:bookmarkStart w:id="29" w:name="_Toc200470616"/>
      <w:r w:rsidRPr="003D009E">
        <w:rPr>
          <w:rStyle w:val="CharChapNo"/>
        </w:rPr>
        <w:lastRenderedPageBreak/>
        <w:t>Schedule 2</w:t>
      </w:r>
      <w:r w:rsidRPr="003D009E">
        <w:t>— Repeals</w:t>
      </w:r>
      <w:bookmarkEnd w:id="29"/>
    </w:p>
    <w:p w14:paraId="3EC62AA4" w14:textId="77777777" w:rsidR="00CD7833" w:rsidRPr="003D009E" w:rsidRDefault="00CD7833" w:rsidP="00CD7833">
      <w:pPr>
        <w:pStyle w:val="ActHead9"/>
      </w:pPr>
      <w:bookmarkStart w:id="30" w:name="_Toc454512519"/>
      <w:bookmarkStart w:id="31" w:name="_Toc200470617"/>
      <w:r w:rsidRPr="003D009E">
        <w:t>Biosecurity (Entry Requirements) Determination</w:t>
      </w:r>
      <w:bookmarkEnd w:id="30"/>
      <w:r w:rsidRPr="003D009E">
        <w:t xml:space="preserve"> 2016</w:t>
      </w:r>
      <w:bookmarkEnd w:id="31"/>
    </w:p>
    <w:p w14:paraId="535EA41A" w14:textId="77777777" w:rsidR="00CD7833" w:rsidRPr="003D009E" w:rsidRDefault="00CD7833" w:rsidP="00CD7833">
      <w:pPr>
        <w:pStyle w:val="ItemHead"/>
      </w:pPr>
      <w:proofErr w:type="gramStart"/>
      <w:r w:rsidRPr="003D009E">
        <w:t>1  The</w:t>
      </w:r>
      <w:proofErr w:type="gramEnd"/>
      <w:r w:rsidRPr="003D009E">
        <w:t xml:space="preserve"> whole of the instrument</w:t>
      </w:r>
    </w:p>
    <w:p w14:paraId="70CA6112" w14:textId="77777777" w:rsidR="00CD7833" w:rsidRDefault="00CD7833" w:rsidP="00CD7833">
      <w:pPr>
        <w:pStyle w:val="Item"/>
      </w:pPr>
      <w:r w:rsidRPr="003D009E">
        <w:t>Repeal the instrument.</w:t>
      </w:r>
    </w:p>
    <w:p w14:paraId="78D505F4" w14:textId="35BF5D51" w:rsidR="00CD7833" w:rsidRPr="00580C70" w:rsidRDefault="00CD7833" w:rsidP="00CD7833">
      <w:pPr>
        <w:pStyle w:val="ActHead1"/>
        <w:rPr>
          <w:b w:val="0"/>
          <w:bCs/>
        </w:rPr>
      </w:pPr>
      <w:r w:rsidRPr="00580C70">
        <w:rPr>
          <w:rStyle w:val="CharPartNo"/>
          <w:b w:val="0"/>
          <w:bCs/>
        </w:rPr>
        <w:t xml:space="preserve"> </w:t>
      </w:r>
      <w:r w:rsidRPr="00580C70">
        <w:rPr>
          <w:rStyle w:val="CharPartText"/>
          <w:b w:val="0"/>
          <w:bCs/>
        </w:rPr>
        <w:t xml:space="preserve"> </w:t>
      </w:r>
    </w:p>
    <w:p w14:paraId="1F526B49" w14:textId="77777777" w:rsidR="00CD7833" w:rsidRPr="00F37708" w:rsidRDefault="00CD7833" w:rsidP="00CD7833">
      <w:pPr>
        <w:pStyle w:val="Header"/>
      </w:pPr>
      <w:r w:rsidRPr="00F37708">
        <w:rPr>
          <w:rStyle w:val="CharDivNo"/>
        </w:rPr>
        <w:t xml:space="preserve"> </w:t>
      </w:r>
      <w:r w:rsidRPr="00F37708">
        <w:rPr>
          <w:rStyle w:val="CharDivText"/>
        </w:rPr>
        <w:t xml:space="preserve"> </w:t>
      </w:r>
    </w:p>
    <w:p w14:paraId="5E89810C" w14:textId="77777777" w:rsidR="00A75FE9" w:rsidRPr="00580C70" w:rsidRDefault="00A75FE9" w:rsidP="009A1BF9">
      <w:pPr>
        <w:pStyle w:val="ActHead5"/>
        <w:ind w:left="0" w:firstLine="0"/>
        <w:rPr>
          <w:b w:val="0"/>
          <w:bCs/>
        </w:rPr>
      </w:pPr>
    </w:p>
    <w:sectPr w:rsidR="00A75FE9" w:rsidRPr="00580C70" w:rsidSect="008A61AE">
      <w:headerReference w:type="even" r:id="rId31"/>
      <w:headerReference w:type="default" r:id="rId32"/>
      <w:footerReference w:type="even" r:id="rId33"/>
      <w:footerReference w:type="default" r:id="rId34"/>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A8A2" w14:textId="77777777" w:rsidR="00C33149" w:rsidRDefault="00C33149" w:rsidP="00715914">
      <w:pPr>
        <w:spacing w:line="240" w:lineRule="auto"/>
      </w:pPr>
      <w:r>
        <w:separator/>
      </w:r>
    </w:p>
  </w:endnote>
  <w:endnote w:type="continuationSeparator" w:id="0">
    <w:p w14:paraId="40FFB351" w14:textId="77777777" w:rsidR="00C33149" w:rsidRDefault="00C33149" w:rsidP="00715914">
      <w:pPr>
        <w:spacing w:line="240" w:lineRule="auto"/>
      </w:pPr>
      <w:r>
        <w:continuationSeparator/>
      </w:r>
    </w:p>
  </w:endnote>
  <w:endnote w:type="continuationNotice" w:id="1">
    <w:p w14:paraId="038CCE6F" w14:textId="77777777" w:rsidR="00C33149" w:rsidRDefault="00C331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E5A9" w14:textId="77777777" w:rsidR="00C86F00" w:rsidRPr="00E33C1C" w:rsidRDefault="00C86F0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6F00" w14:paraId="5C15794C" w14:textId="77777777" w:rsidTr="00B33709">
      <w:tc>
        <w:tcPr>
          <w:tcW w:w="709" w:type="dxa"/>
          <w:tcBorders>
            <w:top w:val="nil"/>
            <w:left w:val="nil"/>
            <w:bottom w:val="nil"/>
            <w:right w:val="nil"/>
          </w:tcBorders>
        </w:tcPr>
        <w:p w14:paraId="7B4754CA" w14:textId="77777777" w:rsidR="00C86F00" w:rsidRDefault="00C86F0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A8CC5C3" w14:textId="77777777" w:rsidR="00C86F00" w:rsidRPr="004E1307" w:rsidRDefault="00C86F0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058BB7C3" w14:textId="77777777" w:rsidR="00C86F00" w:rsidRDefault="00C86F00" w:rsidP="00A369E3">
          <w:pPr>
            <w:spacing w:line="0" w:lineRule="atLeast"/>
            <w:jc w:val="right"/>
            <w:rPr>
              <w:sz w:val="18"/>
            </w:rPr>
          </w:pPr>
        </w:p>
      </w:tc>
    </w:tr>
    <w:tr w:rsidR="00C86F00" w14:paraId="7C5BBE3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DB410F" w14:textId="77777777" w:rsidR="00C86F00" w:rsidRDefault="00C86F00" w:rsidP="00A369E3">
          <w:pPr>
            <w:jc w:val="right"/>
            <w:rPr>
              <w:sz w:val="18"/>
            </w:rPr>
          </w:pPr>
        </w:p>
      </w:tc>
    </w:tr>
  </w:tbl>
  <w:p w14:paraId="669DB8D8" w14:textId="77777777" w:rsidR="00C86F00" w:rsidRPr="00ED79B6" w:rsidRDefault="00C86F00"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2A85" w14:textId="77777777" w:rsidR="00C86F00" w:rsidRPr="002B0EA5" w:rsidRDefault="00C86F00" w:rsidP="001016F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6F00" w14:paraId="7FC8D25C" w14:textId="77777777" w:rsidTr="001016FB">
      <w:tc>
        <w:tcPr>
          <w:tcW w:w="947" w:type="pct"/>
        </w:tcPr>
        <w:p w14:paraId="03200EF4" w14:textId="77777777" w:rsidR="00C86F00" w:rsidRDefault="00C86F00" w:rsidP="001016FB">
          <w:pPr>
            <w:spacing w:line="0" w:lineRule="atLeast"/>
            <w:rPr>
              <w:sz w:val="18"/>
            </w:rPr>
          </w:pPr>
        </w:p>
      </w:tc>
      <w:tc>
        <w:tcPr>
          <w:tcW w:w="3688" w:type="pct"/>
        </w:tcPr>
        <w:p w14:paraId="7FEA69EC" w14:textId="4287E23B" w:rsidR="00C86F00" w:rsidRDefault="00C86F00" w:rsidP="001016F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09E">
            <w:rPr>
              <w:i/>
              <w:noProof/>
              <w:sz w:val="18"/>
            </w:rPr>
            <w:t>Biosecurity (Entry Requirements) Determination 2025</w:t>
          </w:r>
          <w:r w:rsidRPr="004E1307">
            <w:rPr>
              <w:i/>
              <w:sz w:val="18"/>
            </w:rPr>
            <w:fldChar w:fldCharType="end"/>
          </w:r>
        </w:p>
      </w:tc>
      <w:tc>
        <w:tcPr>
          <w:tcW w:w="365" w:type="pct"/>
        </w:tcPr>
        <w:p w14:paraId="5EEE8749" w14:textId="77777777" w:rsidR="00C86F00" w:rsidRDefault="00C86F00" w:rsidP="001016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6F00" w14:paraId="30AC72A2" w14:textId="77777777" w:rsidTr="001016FB">
      <w:tc>
        <w:tcPr>
          <w:tcW w:w="5000" w:type="pct"/>
          <w:gridSpan w:val="3"/>
        </w:tcPr>
        <w:p w14:paraId="563B0144" w14:textId="77777777" w:rsidR="00C86F00" w:rsidRDefault="00C86F00" w:rsidP="001016FB">
          <w:pPr>
            <w:rPr>
              <w:sz w:val="18"/>
            </w:rPr>
          </w:pPr>
        </w:p>
      </w:tc>
    </w:tr>
  </w:tbl>
  <w:p w14:paraId="62B67E07" w14:textId="77777777" w:rsidR="00C86F00" w:rsidRPr="00ED79B6" w:rsidRDefault="00C86F00" w:rsidP="001016FB">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D089" w14:textId="77777777" w:rsidR="00C86F00" w:rsidRPr="00E33C1C" w:rsidRDefault="00C86F0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86F00" w14:paraId="5C7AFB37" w14:textId="77777777" w:rsidTr="00A369E3">
      <w:tc>
        <w:tcPr>
          <w:tcW w:w="1384" w:type="dxa"/>
          <w:tcBorders>
            <w:top w:val="nil"/>
            <w:left w:val="nil"/>
            <w:bottom w:val="nil"/>
            <w:right w:val="nil"/>
          </w:tcBorders>
        </w:tcPr>
        <w:p w14:paraId="2A65143A" w14:textId="77777777" w:rsidR="00C86F00" w:rsidRDefault="00C86F00" w:rsidP="00A369E3">
          <w:pPr>
            <w:spacing w:line="0" w:lineRule="atLeast"/>
            <w:rPr>
              <w:sz w:val="18"/>
            </w:rPr>
          </w:pPr>
        </w:p>
      </w:tc>
      <w:tc>
        <w:tcPr>
          <w:tcW w:w="6379" w:type="dxa"/>
          <w:tcBorders>
            <w:top w:val="nil"/>
            <w:left w:val="nil"/>
            <w:bottom w:val="nil"/>
            <w:right w:val="nil"/>
          </w:tcBorders>
        </w:tcPr>
        <w:p w14:paraId="02C5C3AD" w14:textId="77777777" w:rsidR="00C86F00" w:rsidRDefault="00C86F0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7F065B6" w14:textId="77777777" w:rsidR="00C86F00" w:rsidRDefault="00C86F0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86F00" w14:paraId="44E640D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0466BC" w14:textId="77777777" w:rsidR="00C86F00" w:rsidRDefault="00C86F00" w:rsidP="00A369E3">
          <w:pPr>
            <w:rPr>
              <w:sz w:val="18"/>
            </w:rPr>
          </w:pPr>
        </w:p>
      </w:tc>
    </w:tr>
  </w:tbl>
  <w:p w14:paraId="5053672E" w14:textId="77777777" w:rsidR="00C86F00" w:rsidRPr="00ED79B6" w:rsidRDefault="00C86F0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0155" w14:textId="77777777" w:rsidR="00C86F00" w:rsidRPr="00E33C1C" w:rsidRDefault="00C86F0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86F00" w14:paraId="3914E45F" w14:textId="77777777" w:rsidTr="00B33709">
      <w:tc>
        <w:tcPr>
          <w:tcW w:w="1384" w:type="dxa"/>
          <w:tcBorders>
            <w:top w:val="nil"/>
            <w:left w:val="nil"/>
            <w:bottom w:val="nil"/>
            <w:right w:val="nil"/>
          </w:tcBorders>
        </w:tcPr>
        <w:p w14:paraId="453B1390" w14:textId="77777777" w:rsidR="00C86F00" w:rsidRDefault="00C86F00" w:rsidP="00A369E3">
          <w:pPr>
            <w:spacing w:line="0" w:lineRule="atLeast"/>
            <w:rPr>
              <w:sz w:val="18"/>
            </w:rPr>
          </w:pPr>
        </w:p>
      </w:tc>
      <w:tc>
        <w:tcPr>
          <w:tcW w:w="6379" w:type="dxa"/>
          <w:tcBorders>
            <w:top w:val="nil"/>
            <w:left w:val="nil"/>
            <w:bottom w:val="nil"/>
            <w:right w:val="nil"/>
          </w:tcBorders>
        </w:tcPr>
        <w:p w14:paraId="066A548E" w14:textId="77777777" w:rsidR="00C86F00" w:rsidRDefault="00C86F00" w:rsidP="00A369E3">
          <w:pPr>
            <w:spacing w:line="0" w:lineRule="atLeast"/>
            <w:jc w:val="center"/>
            <w:rPr>
              <w:sz w:val="18"/>
            </w:rPr>
          </w:pPr>
        </w:p>
      </w:tc>
      <w:tc>
        <w:tcPr>
          <w:tcW w:w="709" w:type="dxa"/>
          <w:tcBorders>
            <w:top w:val="nil"/>
            <w:left w:val="nil"/>
            <w:bottom w:val="nil"/>
            <w:right w:val="nil"/>
          </w:tcBorders>
        </w:tcPr>
        <w:p w14:paraId="383A8BE0" w14:textId="77777777" w:rsidR="00C86F00" w:rsidRDefault="00C86F00" w:rsidP="00A369E3">
          <w:pPr>
            <w:spacing w:line="0" w:lineRule="atLeast"/>
            <w:jc w:val="right"/>
            <w:rPr>
              <w:sz w:val="18"/>
            </w:rPr>
          </w:pPr>
        </w:p>
      </w:tc>
    </w:tr>
  </w:tbl>
  <w:p w14:paraId="7189DBBD" w14:textId="77777777" w:rsidR="00C86F00" w:rsidRPr="00ED79B6" w:rsidRDefault="00C86F00"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844A" w14:textId="77777777" w:rsidR="00C86F00" w:rsidRPr="002B0EA5" w:rsidRDefault="00C86F00" w:rsidP="001016F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6F00" w14:paraId="0F5AD14D" w14:textId="77777777" w:rsidTr="001016FB">
      <w:tc>
        <w:tcPr>
          <w:tcW w:w="365" w:type="pct"/>
        </w:tcPr>
        <w:p w14:paraId="6C07B7B0" w14:textId="77777777" w:rsidR="00C86F00" w:rsidRDefault="00C86F00" w:rsidP="001016F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F1ECC9A" w14:textId="4864E3C8" w:rsidR="00C86F00" w:rsidRDefault="00C86F00" w:rsidP="001016F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Biosecurity (Entry Requirements) Determination 2025</w:t>
          </w:r>
          <w:r w:rsidRPr="004E1307">
            <w:rPr>
              <w:i/>
              <w:sz w:val="18"/>
            </w:rPr>
            <w:fldChar w:fldCharType="end"/>
          </w:r>
        </w:p>
      </w:tc>
      <w:tc>
        <w:tcPr>
          <w:tcW w:w="947" w:type="pct"/>
        </w:tcPr>
        <w:p w14:paraId="5B9C1EEA" w14:textId="77777777" w:rsidR="00C86F00" w:rsidRDefault="00C86F00" w:rsidP="001016FB">
          <w:pPr>
            <w:spacing w:line="0" w:lineRule="atLeast"/>
            <w:jc w:val="right"/>
            <w:rPr>
              <w:sz w:val="18"/>
            </w:rPr>
          </w:pPr>
        </w:p>
      </w:tc>
    </w:tr>
    <w:tr w:rsidR="00C86F00" w14:paraId="14E0379A" w14:textId="77777777" w:rsidTr="001016FB">
      <w:tc>
        <w:tcPr>
          <w:tcW w:w="5000" w:type="pct"/>
          <w:gridSpan w:val="3"/>
        </w:tcPr>
        <w:p w14:paraId="2A1C25BB" w14:textId="77777777" w:rsidR="00C86F00" w:rsidRDefault="00C86F00" w:rsidP="001016FB">
          <w:pPr>
            <w:jc w:val="right"/>
            <w:rPr>
              <w:sz w:val="18"/>
            </w:rPr>
          </w:pPr>
        </w:p>
      </w:tc>
    </w:tr>
  </w:tbl>
  <w:p w14:paraId="78C1B90D" w14:textId="77777777" w:rsidR="00C86F00" w:rsidRPr="00ED79B6" w:rsidRDefault="00C86F00" w:rsidP="001016F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3B6B" w14:textId="77777777" w:rsidR="00C86F00" w:rsidRPr="002B0EA5" w:rsidRDefault="00C86F00" w:rsidP="001016F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6F00" w14:paraId="6451C8DB" w14:textId="77777777" w:rsidTr="001016FB">
      <w:tc>
        <w:tcPr>
          <w:tcW w:w="947" w:type="pct"/>
        </w:tcPr>
        <w:p w14:paraId="449E1E3C" w14:textId="77777777" w:rsidR="00C86F00" w:rsidRDefault="00C86F00" w:rsidP="001016FB">
          <w:pPr>
            <w:spacing w:line="0" w:lineRule="atLeast"/>
            <w:rPr>
              <w:sz w:val="18"/>
            </w:rPr>
          </w:pPr>
        </w:p>
      </w:tc>
      <w:tc>
        <w:tcPr>
          <w:tcW w:w="3688" w:type="pct"/>
        </w:tcPr>
        <w:p w14:paraId="00FABDA4" w14:textId="45C9BAC4" w:rsidR="00C86F00" w:rsidRDefault="00C86F00" w:rsidP="001016F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09E">
            <w:rPr>
              <w:i/>
              <w:noProof/>
              <w:sz w:val="18"/>
            </w:rPr>
            <w:t>Biosecurity (Entry Requirements) Determination 2025</w:t>
          </w:r>
          <w:r w:rsidRPr="004E1307">
            <w:rPr>
              <w:i/>
              <w:sz w:val="18"/>
            </w:rPr>
            <w:fldChar w:fldCharType="end"/>
          </w:r>
        </w:p>
      </w:tc>
      <w:tc>
        <w:tcPr>
          <w:tcW w:w="365" w:type="pct"/>
        </w:tcPr>
        <w:p w14:paraId="2E49E7E3" w14:textId="77777777" w:rsidR="00C86F00" w:rsidRDefault="00C86F00" w:rsidP="001016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86F00" w14:paraId="1EEEF1E3" w14:textId="77777777" w:rsidTr="001016FB">
      <w:tc>
        <w:tcPr>
          <w:tcW w:w="5000" w:type="pct"/>
          <w:gridSpan w:val="3"/>
        </w:tcPr>
        <w:p w14:paraId="30935349" w14:textId="77777777" w:rsidR="00C86F00" w:rsidRDefault="00C86F00" w:rsidP="001016FB">
          <w:pPr>
            <w:rPr>
              <w:sz w:val="18"/>
            </w:rPr>
          </w:pPr>
        </w:p>
      </w:tc>
    </w:tr>
  </w:tbl>
  <w:p w14:paraId="4FC24730" w14:textId="77777777" w:rsidR="00C86F00" w:rsidRPr="00ED79B6" w:rsidRDefault="00C86F00" w:rsidP="001016F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1A99" w14:textId="77777777" w:rsidR="00C86F00" w:rsidRPr="002B0EA5" w:rsidRDefault="00C86F00" w:rsidP="00DE33CD">
    <w:pPr>
      <w:pBdr>
        <w:top w:val="single" w:sz="6" w:space="1" w:color="auto"/>
      </w:pBdr>
      <w:spacing w:before="120" w:line="0" w:lineRule="atLeast"/>
      <w:rPr>
        <w:sz w:val="16"/>
        <w:szCs w:val="16"/>
      </w:rPr>
    </w:pPr>
  </w:p>
  <w:tbl>
    <w:tblPr>
      <w:tblStyle w:val="TableGrid"/>
      <w:tblW w:w="513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86F00" w14:paraId="01E61BBB" w14:textId="77777777" w:rsidTr="00DE33CD">
      <w:tc>
        <w:tcPr>
          <w:tcW w:w="365" w:type="pct"/>
        </w:tcPr>
        <w:p w14:paraId="42B12691" w14:textId="77777777" w:rsidR="00C86F00" w:rsidRDefault="00C86F00" w:rsidP="00DE33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212153FB" w14:textId="35FF57CC" w:rsidR="00C86F00" w:rsidRDefault="00C86F00" w:rsidP="00DE33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09E">
            <w:rPr>
              <w:i/>
              <w:noProof/>
              <w:sz w:val="18"/>
            </w:rPr>
            <w:t>Biosecurity (Entry Requirements) Determination 2025</w:t>
          </w:r>
          <w:r w:rsidRPr="004E1307">
            <w:rPr>
              <w:i/>
              <w:sz w:val="18"/>
            </w:rPr>
            <w:fldChar w:fldCharType="end"/>
          </w:r>
        </w:p>
      </w:tc>
      <w:tc>
        <w:tcPr>
          <w:tcW w:w="947" w:type="pct"/>
        </w:tcPr>
        <w:p w14:paraId="169F8CB8" w14:textId="77777777" w:rsidR="00C86F00" w:rsidRDefault="00C86F00" w:rsidP="00DE33CD">
          <w:pPr>
            <w:spacing w:line="0" w:lineRule="atLeast"/>
            <w:jc w:val="right"/>
            <w:rPr>
              <w:sz w:val="18"/>
            </w:rPr>
          </w:pPr>
        </w:p>
      </w:tc>
    </w:tr>
    <w:tr w:rsidR="00C86F00" w14:paraId="07D5A2E2" w14:textId="77777777" w:rsidTr="00DE33CD">
      <w:tc>
        <w:tcPr>
          <w:tcW w:w="5000" w:type="pct"/>
          <w:gridSpan w:val="3"/>
        </w:tcPr>
        <w:p w14:paraId="73C280D7" w14:textId="77777777" w:rsidR="00C86F00" w:rsidRDefault="00C86F00" w:rsidP="00DE33CD">
          <w:pPr>
            <w:jc w:val="right"/>
            <w:rPr>
              <w:sz w:val="18"/>
            </w:rPr>
          </w:pPr>
        </w:p>
      </w:tc>
    </w:tr>
  </w:tbl>
  <w:p w14:paraId="59799C6F" w14:textId="77777777" w:rsidR="00C86F00" w:rsidRPr="005120B8" w:rsidRDefault="00C86F00" w:rsidP="001016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FE549" w14:textId="77777777" w:rsidR="00C86F00" w:rsidRPr="002B0EA5" w:rsidRDefault="00C86F00" w:rsidP="00DE33C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6F00" w14:paraId="216EFB92" w14:textId="77777777" w:rsidTr="00C23A0B">
      <w:tc>
        <w:tcPr>
          <w:tcW w:w="947" w:type="pct"/>
        </w:tcPr>
        <w:p w14:paraId="627C15A8" w14:textId="77777777" w:rsidR="00C86F00" w:rsidRDefault="00C86F00" w:rsidP="00DE33CD">
          <w:pPr>
            <w:spacing w:line="0" w:lineRule="atLeast"/>
            <w:rPr>
              <w:sz w:val="18"/>
            </w:rPr>
          </w:pPr>
        </w:p>
      </w:tc>
      <w:tc>
        <w:tcPr>
          <w:tcW w:w="3688" w:type="pct"/>
        </w:tcPr>
        <w:p w14:paraId="4D57BCB3" w14:textId="6F5E65B7" w:rsidR="00C86F00" w:rsidRDefault="00C86F00" w:rsidP="00DE33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09E">
            <w:rPr>
              <w:i/>
              <w:noProof/>
              <w:sz w:val="18"/>
            </w:rPr>
            <w:t>Biosecurity (Entry Requirements) Determination 2025</w:t>
          </w:r>
          <w:r w:rsidRPr="004E1307">
            <w:rPr>
              <w:i/>
              <w:sz w:val="18"/>
            </w:rPr>
            <w:fldChar w:fldCharType="end"/>
          </w:r>
        </w:p>
      </w:tc>
      <w:tc>
        <w:tcPr>
          <w:tcW w:w="365" w:type="pct"/>
        </w:tcPr>
        <w:p w14:paraId="39EF03BB" w14:textId="77777777" w:rsidR="00C86F00" w:rsidRDefault="00C86F00" w:rsidP="00DE33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r w:rsidR="00C86F00" w14:paraId="0F78F557" w14:textId="77777777" w:rsidTr="00C23A0B">
      <w:tc>
        <w:tcPr>
          <w:tcW w:w="5000" w:type="pct"/>
          <w:gridSpan w:val="3"/>
        </w:tcPr>
        <w:p w14:paraId="39B5D353" w14:textId="77777777" w:rsidR="00C86F00" w:rsidRDefault="00C86F00" w:rsidP="00DE33CD">
          <w:pPr>
            <w:rPr>
              <w:sz w:val="18"/>
            </w:rPr>
          </w:pPr>
        </w:p>
      </w:tc>
    </w:tr>
  </w:tbl>
  <w:p w14:paraId="46B20D08" w14:textId="77777777" w:rsidR="00C86F00" w:rsidRPr="005120B8" w:rsidRDefault="00C86F00" w:rsidP="001016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0421" w14:textId="77777777" w:rsidR="00C86F00" w:rsidRPr="00E33C1C" w:rsidRDefault="00C86F00" w:rsidP="001016FB">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C86F00" w14:paraId="301B1C54" w14:textId="77777777" w:rsidTr="001016FB">
      <w:tc>
        <w:tcPr>
          <w:tcW w:w="817" w:type="pct"/>
          <w:tcBorders>
            <w:top w:val="nil"/>
            <w:left w:val="nil"/>
            <w:bottom w:val="nil"/>
            <w:right w:val="nil"/>
          </w:tcBorders>
        </w:tcPr>
        <w:p w14:paraId="7F023496" w14:textId="77777777" w:rsidR="00C86F00" w:rsidRDefault="00C86F00" w:rsidP="001016FB">
          <w:pPr>
            <w:spacing w:line="0" w:lineRule="atLeast"/>
            <w:rPr>
              <w:sz w:val="18"/>
            </w:rPr>
          </w:pPr>
        </w:p>
      </w:tc>
      <w:tc>
        <w:tcPr>
          <w:tcW w:w="3765" w:type="pct"/>
          <w:tcBorders>
            <w:top w:val="nil"/>
            <w:left w:val="nil"/>
            <w:bottom w:val="nil"/>
            <w:right w:val="nil"/>
          </w:tcBorders>
        </w:tcPr>
        <w:p w14:paraId="12A84D17" w14:textId="77777777" w:rsidR="00C86F00" w:rsidRDefault="00C86F00" w:rsidP="001016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Biosecurity (Entry Requirements) Determination 2016</w:t>
          </w:r>
          <w:r w:rsidRPr="007A1328">
            <w:rPr>
              <w:i/>
              <w:sz w:val="18"/>
            </w:rPr>
            <w:fldChar w:fldCharType="end"/>
          </w:r>
        </w:p>
      </w:tc>
      <w:tc>
        <w:tcPr>
          <w:tcW w:w="418" w:type="pct"/>
          <w:tcBorders>
            <w:top w:val="nil"/>
            <w:left w:val="nil"/>
            <w:bottom w:val="nil"/>
            <w:right w:val="nil"/>
          </w:tcBorders>
        </w:tcPr>
        <w:p w14:paraId="5DA222BA" w14:textId="77777777" w:rsidR="00C86F00" w:rsidRDefault="00C86F00" w:rsidP="001016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1B1A856E" w14:textId="77777777" w:rsidR="00C86F00" w:rsidRPr="00ED79B6" w:rsidRDefault="00C86F00" w:rsidP="001016F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546E" w14:textId="77777777" w:rsidR="00C86F00" w:rsidRPr="002B0EA5" w:rsidRDefault="00C86F00" w:rsidP="001016F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86F00" w14:paraId="475AE406" w14:textId="77777777" w:rsidTr="001016FB">
      <w:tc>
        <w:tcPr>
          <w:tcW w:w="365" w:type="pct"/>
        </w:tcPr>
        <w:p w14:paraId="1D9CFBE5" w14:textId="77777777" w:rsidR="00C86F00" w:rsidRDefault="00C86F00" w:rsidP="001016F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2A784FD8" w14:textId="098F45B4" w:rsidR="00C86F00" w:rsidRDefault="00C86F00" w:rsidP="001016F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D009E">
            <w:rPr>
              <w:i/>
              <w:noProof/>
              <w:sz w:val="18"/>
            </w:rPr>
            <w:t>Biosecurity (Entry Requirements) Determination 2025</w:t>
          </w:r>
          <w:r w:rsidRPr="004E1307">
            <w:rPr>
              <w:i/>
              <w:sz w:val="18"/>
            </w:rPr>
            <w:fldChar w:fldCharType="end"/>
          </w:r>
        </w:p>
      </w:tc>
      <w:tc>
        <w:tcPr>
          <w:tcW w:w="947" w:type="pct"/>
        </w:tcPr>
        <w:p w14:paraId="649BC82A" w14:textId="77777777" w:rsidR="00C86F00" w:rsidRDefault="00C86F00" w:rsidP="001016FB">
          <w:pPr>
            <w:spacing w:line="0" w:lineRule="atLeast"/>
            <w:jc w:val="right"/>
            <w:rPr>
              <w:sz w:val="18"/>
            </w:rPr>
          </w:pPr>
        </w:p>
      </w:tc>
    </w:tr>
    <w:tr w:rsidR="00C86F00" w14:paraId="385C9D0C" w14:textId="77777777" w:rsidTr="001016FB">
      <w:tc>
        <w:tcPr>
          <w:tcW w:w="5000" w:type="pct"/>
          <w:gridSpan w:val="3"/>
        </w:tcPr>
        <w:p w14:paraId="04EAA22F" w14:textId="77777777" w:rsidR="00C86F00" w:rsidRDefault="00C86F00" w:rsidP="001016FB">
          <w:pPr>
            <w:jc w:val="right"/>
            <w:rPr>
              <w:sz w:val="18"/>
            </w:rPr>
          </w:pPr>
        </w:p>
      </w:tc>
    </w:tr>
  </w:tbl>
  <w:p w14:paraId="5401A322" w14:textId="77777777" w:rsidR="00C86F00" w:rsidRPr="00ED79B6" w:rsidRDefault="00C86F00" w:rsidP="001016F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EDDAD" w14:textId="77777777" w:rsidR="00C33149" w:rsidRDefault="00C33149" w:rsidP="00715914">
      <w:pPr>
        <w:spacing w:line="240" w:lineRule="auto"/>
      </w:pPr>
      <w:r>
        <w:separator/>
      </w:r>
    </w:p>
  </w:footnote>
  <w:footnote w:type="continuationSeparator" w:id="0">
    <w:p w14:paraId="32207621" w14:textId="77777777" w:rsidR="00C33149" w:rsidRDefault="00C33149" w:rsidP="00715914">
      <w:pPr>
        <w:spacing w:line="240" w:lineRule="auto"/>
      </w:pPr>
      <w:r>
        <w:continuationSeparator/>
      </w:r>
    </w:p>
  </w:footnote>
  <w:footnote w:type="continuationNotice" w:id="1">
    <w:p w14:paraId="6E7D3CEC" w14:textId="77777777" w:rsidR="00C33149" w:rsidRDefault="00C331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8205" w14:textId="77777777" w:rsidR="00C86F00" w:rsidRPr="005F1388" w:rsidRDefault="00C86F0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3385" w14:textId="77777777" w:rsidR="00C86F00" w:rsidRPr="007A1328" w:rsidRDefault="00C86F00" w:rsidP="00715914">
    <w:pPr>
      <w:jc w:val="right"/>
      <w:rPr>
        <w:sz w:val="20"/>
      </w:rPr>
    </w:pPr>
  </w:p>
  <w:p w14:paraId="19614BA3" w14:textId="77777777" w:rsidR="00C86F00" w:rsidRPr="007A1328" w:rsidRDefault="00C86F00" w:rsidP="00715914">
    <w:pPr>
      <w:jc w:val="right"/>
      <w:rPr>
        <w:sz w:val="20"/>
      </w:rPr>
    </w:pPr>
  </w:p>
  <w:p w14:paraId="449F6948" w14:textId="77777777" w:rsidR="00C86F00" w:rsidRPr="007A1328" w:rsidRDefault="00C86F00" w:rsidP="00715914">
    <w:pPr>
      <w:jc w:val="right"/>
      <w:rPr>
        <w:sz w:val="20"/>
      </w:rPr>
    </w:pPr>
  </w:p>
  <w:p w14:paraId="3296CA6C" w14:textId="77777777" w:rsidR="00C86F00" w:rsidRPr="007A1328" w:rsidRDefault="00C86F00" w:rsidP="00715914">
    <w:pPr>
      <w:jc w:val="right"/>
      <w:rPr>
        <w:b/>
        <w:sz w:val="24"/>
      </w:rPr>
    </w:pPr>
  </w:p>
  <w:p w14:paraId="5DE04DDA" w14:textId="77777777" w:rsidR="00C86F00" w:rsidRPr="007A1328" w:rsidRDefault="00C86F00"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4966" w14:textId="77777777" w:rsidR="00C86F00" w:rsidRPr="005F1388" w:rsidRDefault="00C86F0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EAC7" w14:textId="77777777" w:rsidR="00585870" w:rsidRDefault="005858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56EE" w14:textId="77777777" w:rsidR="00C86F00" w:rsidRPr="00ED79B6" w:rsidRDefault="00C86F00" w:rsidP="001016F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351D" w14:textId="77777777" w:rsidR="00C86F00" w:rsidRPr="00ED79B6" w:rsidRDefault="00C86F00" w:rsidP="001016F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03D0" w14:textId="77777777" w:rsidR="00C86F00" w:rsidRPr="00ED79B6" w:rsidRDefault="00C86F0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AB77" w14:textId="015FFD0C" w:rsidR="00C86F00" w:rsidRPr="00D1021D" w:rsidRDefault="00C86F00">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3D009E">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3D009E">
      <w:rPr>
        <w:noProof/>
        <w:sz w:val="20"/>
      </w:rPr>
      <w:t>Screening</w:t>
    </w:r>
    <w:r w:rsidRPr="00D1021D">
      <w:rPr>
        <w:sz w:val="20"/>
      </w:rPr>
      <w:fldChar w:fldCharType="end"/>
    </w:r>
  </w:p>
  <w:p w14:paraId="55E9E512" w14:textId="796E94F3" w:rsidR="00C86F00" w:rsidRPr="00D1021D" w:rsidRDefault="00C86F00">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0905D283" w14:textId="77777777" w:rsidR="00C86F00" w:rsidRPr="00D1021D" w:rsidRDefault="00C86F00">
    <w:pPr>
      <w:rPr>
        <w:b/>
      </w:rPr>
    </w:pPr>
  </w:p>
  <w:p w14:paraId="3F699F71" w14:textId="4D16A6DA" w:rsidR="00C86F00" w:rsidRPr="00D1021D" w:rsidRDefault="00C86F00" w:rsidP="001016FB">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0FAD" w14:textId="09F11AF1" w:rsidR="00C86F00" w:rsidRPr="00D1021D" w:rsidRDefault="00C86F00">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3D009E">
      <w:rPr>
        <w:noProof/>
        <w:sz w:val="20"/>
      </w:rPr>
      <w:t>Travel history declarations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3D009E">
      <w:rPr>
        <w:b/>
        <w:noProof/>
        <w:sz w:val="20"/>
      </w:rPr>
      <w:t>Part 4</w:t>
    </w:r>
    <w:r w:rsidRPr="00D1021D">
      <w:rPr>
        <w:b/>
        <w:sz w:val="20"/>
      </w:rPr>
      <w:fldChar w:fldCharType="end"/>
    </w:r>
  </w:p>
  <w:p w14:paraId="0F032FF3" w14:textId="0BC68651" w:rsidR="00C86F00" w:rsidRPr="00D1021D" w:rsidRDefault="00C86F00">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853376D" w14:textId="77777777" w:rsidR="00C86F00" w:rsidRPr="00D1021D" w:rsidRDefault="00C86F00">
    <w:pPr>
      <w:jc w:val="right"/>
      <w:rPr>
        <w:b/>
      </w:rPr>
    </w:pPr>
  </w:p>
  <w:p w14:paraId="7B820246" w14:textId="433D7459" w:rsidR="00C86F00" w:rsidRDefault="00C86F00" w:rsidP="001016FB">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2ECC7" w14:textId="77777777" w:rsidR="00C86F00" w:rsidRDefault="00C86F00" w:rsidP="00715914">
    <w:pPr>
      <w:rPr>
        <w:sz w:val="20"/>
      </w:rPr>
    </w:pPr>
  </w:p>
  <w:p w14:paraId="59A28354" w14:textId="77777777" w:rsidR="00C86F00" w:rsidRDefault="00C86F00" w:rsidP="00715914">
    <w:pPr>
      <w:rPr>
        <w:sz w:val="20"/>
      </w:rPr>
    </w:pPr>
  </w:p>
  <w:p w14:paraId="4A952314" w14:textId="77777777" w:rsidR="00C86F00" w:rsidRPr="007A1328" w:rsidRDefault="00C86F00" w:rsidP="00715914">
    <w:pPr>
      <w:rPr>
        <w:sz w:val="20"/>
      </w:rPr>
    </w:pPr>
  </w:p>
  <w:p w14:paraId="566F8FE1" w14:textId="77777777" w:rsidR="00C86F00" w:rsidRPr="007A1328" w:rsidRDefault="00C86F00" w:rsidP="00715914">
    <w:pPr>
      <w:rPr>
        <w:b/>
        <w:sz w:val="24"/>
      </w:rPr>
    </w:pPr>
  </w:p>
  <w:p w14:paraId="10EF8DDF" w14:textId="77777777" w:rsidR="00C86F00" w:rsidRPr="007A1328" w:rsidRDefault="00C86F00" w:rsidP="00D6537E">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100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A16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0B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362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0A6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48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14C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C13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984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2FE48E5"/>
    <w:multiLevelType w:val="hybridMultilevel"/>
    <w:tmpl w:val="C2CED280"/>
    <w:lvl w:ilvl="0" w:tplc="0090E988">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171082">
    <w:abstractNumId w:val="9"/>
  </w:num>
  <w:num w:numId="2" w16cid:durableId="31537648">
    <w:abstractNumId w:val="7"/>
  </w:num>
  <w:num w:numId="3" w16cid:durableId="1899246289">
    <w:abstractNumId w:val="6"/>
  </w:num>
  <w:num w:numId="4" w16cid:durableId="1311908840">
    <w:abstractNumId w:val="5"/>
  </w:num>
  <w:num w:numId="5" w16cid:durableId="164587793">
    <w:abstractNumId w:val="4"/>
  </w:num>
  <w:num w:numId="6" w16cid:durableId="1122773045">
    <w:abstractNumId w:val="8"/>
  </w:num>
  <w:num w:numId="7" w16cid:durableId="432946161">
    <w:abstractNumId w:val="3"/>
  </w:num>
  <w:num w:numId="8" w16cid:durableId="1340043188">
    <w:abstractNumId w:val="2"/>
  </w:num>
  <w:num w:numId="9" w16cid:durableId="85998765">
    <w:abstractNumId w:val="1"/>
  </w:num>
  <w:num w:numId="10" w16cid:durableId="615406498">
    <w:abstractNumId w:val="0"/>
  </w:num>
  <w:num w:numId="11" w16cid:durableId="499539362">
    <w:abstractNumId w:val="12"/>
  </w:num>
  <w:num w:numId="12" w16cid:durableId="804541762">
    <w:abstractNumId w:val="10"/>
  </w:num>
  <w:num w:numId="13" w16cid:durableId="846290304">
    <w:abstractNumId w:val="11"/>
  </w:num>
  <w:num w:numId="14" w16cid:durableId="715355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04"/>
    <w:rsid w:val="00004174"/>
    <w:rsid w:val="00004470"/>
    <w:rsid w:val="000136AF"/>
    <w:rsid w:val="000258B1"/>
    <w:rsid w:val="000302C2"/>
    <w:rsid w:val="00040A89"/>
    <w:rsid w:val="000437C1"/>
    <w:rsid w:val="0004455A"/>
    <w:rsid w:val="0005365D"/>
    <w:rsid w:val="000614BF"/>
    <w:rsid w:val="0006709C"/>
    <w:rsid w:val="00074376"/>
    <w:rsid w:val="000978F5"/>
    <w:rsid w:val="000B15CD"/>
    <w:rsid w:val="000B35EB"/>
    <w:rsid w:val="000B51EC"/>
    <w:rsid w:val="000C415C"/>
    <w:rsid w:val="000D05EF"/>
    <w:rsid w:val="000E2261"/>
    <w:rsid w:val="000E2A54"/>
    <w:rsid w:val="000E78B7"/>
    <w:rsid w:val="000F21C1"/>
    <w:rsid w:val="001016FB"/>
    <w:rsid w:val="0010745C"/>
    <w:rsid w:val="00115F52"/>
    <w:rsid w:val="001225FD"/>
    <w:rsid w:val="00123AB4"/>
    <w:rsid w:val="0012492F"/>
    <w:rsid w:val="00132CEB"/>
    <w:rsid w:val="001339B0"/>
    <w:rsid w:val="00142B62"/>
    <w:rsid w:val="001441B7"/>
    <w:rsid w:val="001516CB"/>
    <w:rsid w:val="00152336"/>
    <w:rsid w:val="00157B8B"/>
    <w:rsid w:val="00166C2F"/>
    <w:rsid w:val="001809D7"/>
    <w:rsid w:val="001939E1"/>
    <w:rsid w:val="00194C3E"/>
    <w:rsid w:val="00195382"/>
    <w:rsid w:val="001A5489"/>
    <w:rsid w:val="001B2CB6"/>
    <w:rsid w:val="001C61C5"/>
    <w:rsid w:val="001C69C4"/>
    <w:rsid w:val="001D37EF"/>
    <w:rsid w:val="001E3590"/>
    <w:rsid w:val="001E7407"/>
    <w:rsid w:val="001F46A2"/>
    <w:rsid w:val="001F5D5E"/>
    <w:rsid w:val="001F6219"/>
    <w:rsid w:val="001F6CD4"/>
    <w:rsid w:val="00206C4D"/>
    <w:rsid w:val="00215AF1"/>
    <w:rsid w:val="002217B2"/>
    <w:rsid w:val="002321E8"/>
    <w:rsid w:val="00232984"/>
    <w:rsid w:val="0023309D"/>
    <w:rsid w:val="0024010F"/>
    <w:rsid w:val="00240749"/>
    <w:rsid w:val="00243018"/>
    <w:rsid w:val="00254AEB"/>
    <w:rsid w:val="002564A4"/>
    <w:rsid w:val="0026736C"/>
    <w:rsid w:val="00271392"/>
    <w:rsid w:val="00281308"/>
    <w:rsid w:val="00284719"/>
    <w:rsid w:val="00297ECB"/>
    <w:rsid w:val="002A2B09"/>
    <w:rsid w:val="002A7BCF"/>
    <w:rsid w:val="002B1B65"/>
    <w:rsid w:val="002C3FD1"/>
    <w:rsid w:val="002D043A"/>
    <w:rsid w:val="002D266B"/>
    <w:rsid w:val="002D3161"/>
    <w:rsid w:val="002D6224"/>
    <w:rsid w:val="002E09DB"/>
    <w:rsid w:val="002E2510"/>
    <w:rsid w:val="00304F8B"/>
    <w:rsid w:val="00323C5C"/>
    <w:rsid w:val="00335BC6"/>
    <w:rsid w:val="003415D3"/>
    <w:rsid w:val="00344338"/>
    <w:rsid w:val="00344701"/>
    <w:rsid w:val="00352B0F"/>
    <w:rsid w:val="00360459"/>
    <w:rsid w:val="0038049F"/>
    <w:rsid w:val="003C6231"/>
    <w:rsid w:val="003C724A"/>
    <w:rsid w:val="003D009E"/>
    <w:rsid w:val="003D0BFE"/>
    <w:rsid w:val="003D5700"/>
    <w:rsid w:val="003E341B"/>
    <w:rsid w:val="003E4D00"/>
    <w:rsid w:val="003E638A"/>
    <w:rsid w:val="0040793D"/>
    <w:rsid w:val="004116CD"/>
    <w:rsid w:val="00412005"/>
    <w:rsid w:val="00417EB9"/>
    <w:rsid w:val="00424CA9"/>
    <w:rsid w:val="004276DF"/>
    <w:rsid w:val="00431E9B"/>
    <w:rsid w:val="004359CD"/>
    <w:rsid w:val="004379E3"/>
    <w:rsid w:val="0044015E"/>
    <w:rsid w:val="0044291A"/>
    <w:rsid w:val="00467661"/>
    <w:rsid w:val="00472DBE"/>
    <w:rsid w:val="00474A19"/>
    <w:rsid w:val="00477830"/>
    <w:rsid w:val="00487764"/>
    <w:rsid w:val="00496F97"/>
    <w:rsid w:val="004B6C48"/>
    <w:rsid w:val="004C4E59"/>
    <w:rsid w:val="004C6809"/>
    <w:rsid w:val="004C6AFA"/>
    <w:rsid w:val="004E063A"/>
    <w:rsid w:val="004E1307"/>
    <w:rsid w:val="004E7BEC"/>
    <w:rsid w:val="00505D3D"/>
    <w:rsid w:val="00506AF6"/>
    <w:rsid w:val="00516B8D"/>
    <w:rsid w:val="005303C8"/>
    <w:rsid w:val="00537728"/>
    <w:rsid w:val="00537FBC"/>
    <w:rsid w:val="00554826"/>
    <w:rsid w:val="00562877"/>
    <w:rsid w:val="00564A2F"/>
    <w:rsid w:val="00580C70"/>
    <w:rsid w:val="00584811"/>
    <w:rsid w:val="00585784"/>
    <w:rsid w:val="00585870"/>
    <w:rsid w:val="00593AA6"/>
    <w:rsid w:val="00594161"/>
    <w:rsid w:val="00594749"/>
    <w:rsid w:val="005A65D5"/>
    <w:rsid w:val="005B4067"/>
    <w:rsid w:val="005C3797"/>
    <w:rsid w:val="005C3F41"/>
    <w:rsid w:val="005D1D92"/>
    <w:rsid w:val="005D2D09"/>
    <w:rsid w:val="005F5D63"/>
    <w:rsid w:val="00600219"/>
    <w:rsid w:val="00604F2A"/>
    <w:rsid w:val="00620076"/>
    <w:rsid w:val="00627E0A"/>
    <w:rsid w:val="0065488B"/>
    <w:rsid w:val="00670EA1"/>
    <w:rsid w:val="006779C5"/>
    <w:rsid w:val="00677CC2"/>
    <w:rsid w:val="0068744B"/>
    <w:rsid w:val="006905DE"/>
    <w:rsid w:val="0069207B"/>
    <w:rsid w:val="0069477C"/>
    <w:rsid w:val="006A154F"/>
    <w:rsid w:val="006A437B"/>
    <w:rsid w:val="006B5789"/>
    <w:rsid w:val="006C30C5"/>
    <w:rsid w:val="006C7A3F"/>
    <w:rsid w:val="006C7F8C"/>
    <w:rsid w:val="006E2E1C"/>
    <w:rsid w:val="006E6246"/>
    <w:rsid w:val="006E69C2"/>
    <w:rsid w:val="006E6DCC"/>
    <w:rsid w:val="006F318F"/>
    <w:rsid w:val="0070017E"/>
    <w:rsid w:val="00700B2C"/>
    <w:rsid w:val="007050A2"/>
    <w:rsid w:val="00712FB6"/>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164B"/>
    <w:rsid w:val="00783E89"/>
    <w:rsid w:val="00793915"/>
    <w:rsid w:val="007960D2"/>
    <w:rsid w:val="007C2253"/>
    <w:rsid w:val="007D7911"/>
    <w:rsid w:val="007E163D"/>
    <w:rsid w:val="007E667A"/>
    <w:rsid w:val="007F0061"/>
    <w:rsid w:val="007F28C9"/>
    <w:rsid w:val="007F51B2"/>
    <w:rsid w:val="007F5934"/>
    <w:rsid w:val="008040DD"/>
    <w:rsid w:val="008117E9"/>
    <w:rsid w:val="00824498"/>
    <w:rsid w:val="00826BD1"/>
    <w:rsid w:val="00835E96"/>
    <w:rsid w:val="00854D0B"/>
    <w:rsid w:val="008552AE"/>
    <w:rsid w:val="00856A31"/>
    <w:rsid w:val="00860B4E"/>
    <w:rsid w:val="00867B37"/>
    <w:rsid w:val="008754D0"/>
    <w:rsid w:val="00875D13"/>
    <w:rsid w:val="008855C9"/>
    <w:rsid w:val="00886456"/>
    <w:rsid w:val="00896176"/>
    <w:rsid w:val="008A345E"/>
    <w:rsid w:val="008A46E1"/>
    <w:rsid w:val="008A4F43"/>
    <w:rsid w:val="008A61AE"/>
    <w:rsid w:val="008B2706"/>
    <w:rsid w:val="008C26BE"/>
    <w:rsid w:val="008C2EAC"/>
    <w:rsid w:val="008D0EE0"/>
    <w:rsid w:val="008E0027"/>
    <w:rsid w:val="008E6067"/>
    <w:rsid w:val="008F54E7"/>
    <w:rsid w:val="0090323D"/>
    <w:rsid w:val="00903422"/>
    <w:rsid w:val="00911F59"/>
    <w:rsid w:val="00924B2C"/>
    <w:rsid w:val="009254C3"/>
    <w:rsid w:val="00932377"/>
    <w:rsid w:val="00941236"/>
    <w:rsid w:val="00943FD5"/>
    <w:rsid w:val="00947D5A"/>
    <w:rsid w:val="009532A5"/>
    <w:rsid w:val="009545BD"/>
    <w:rsid w:val="00964CF0"/>
    <w:rsid w:val="00964F22"/>
    <w:rsid w:val="00972405"/>
    <w:rsid w:val="00977806"/>
    <w:rsid w:val="00982242"/>
    <w:rsid w:val="009868E9"/>
    <w:rsid w:val="009900A3"/>
    <w:rsid w:val="009924BA"/>
    <w:rsid w:val="009A1BF9"/>
    <w:rsid w:val="009C3413"/>
    <w:rsid w:val="00A03F67"/>
    <w:rsid w:val="00A0441E"/>
    <w:rsid w:val="00A12128"/>
    <w:rsid w:val="00A22C98"/>
    <w:rsid w:val="00A231E2"/>
    <w:rsid w:val="00A369E3"/>
    <w:rsid w:val="00A57600"/>
    <w:rsid w:val="00A64912"/>
    <w:rsid w:val="00A70A74"/>
    <w:rsid w:val="00A75FE9"/>
    <w:rsid w:val="00A823A9"/>
    <w:rsid w:val="00A847BE"/>
    <w:rsid w:val="00AB0728"/>
    <w:rsid w:val="00AD53CC"/>
    <w:rsid w:val="00AD5641"/>
    <w:rsid w:val="00AD735B"/>
    <w:rsid w:val="00AE48F2"/>
    <w:rsid w:val="00AF06CF"/>
    <w:rsid w:val="00AF21C9"/>
    <w:rsid w:val="00B07CDB"/>
    <w:rsid w:val="00B16A31"/>
    <w:rsid w:val="00B17DFD"/>
    <w:rsid w:val="00B25306"/>
    <w:rsid w:val="00B27831"/>
    <w:rsid w:val="00B308FE"/>
    <w:rsid w:val="00B33709"/>
    <w:rsid w:val="00B33B3C"/>
    <w:rsid w:val="00B35C0D"/>
    <w:rsid w:val="00B36392"/>
    <w:rsid w:val="00B418CB"/>
    <w:rsid w:val="00B47444"/>
    <w:rsid w:val="00B50ADC"/>
    <w:rsid w:val="00B51704"/>
    <w:rsid w:val="00B566B1"/>
    <w:rsid w:val="00B63834"/>
    <w:rsid w:val="00B644A1"/>
    <w:rsid w:val="00B72490"/>
    <w:rsid w:val="00B80199"/>
    <w:rsid w:val="00B83204"/>
    <w:rsid w:val="00B856E7"/>
    <w:rsid w:val="00B90232"/>
    <w:rsid w:val="00B93789"/>
    <w:rsid w:val="00BA220B"/>
    <w:rsid w:val="00BA3A57"/>
    <w:rsid w:val="00BB1533"/>
    <w:rsid w:val="00BB4E1A"/>
    <w:rsid w:val="00BC015E"/>
    <w:rsid w:val="00BC76AC"/>
    <w:rsid w:val="00BD0ECB"/>
    <w:rsid w:val="00BE2155"/>
    <w:rsid w:val="00BE41E7"/>
    <w:rsid w:val="00BE719A"/>
    <w:rsid w:val="00BE720A"/>
    <w:rsid w:val="00BF0D73"/>
    <w:rsid w:val="00BF2465"/>
    <w:rsid w:val="00C146DE"/>
    <w:rsid w:val="00C16619"/>
    <w:rsid w:val="00C23A0B"/>
    <w:rsid w:val="00C25E7F"/>
    <w:rsid w:val="00C2746F"/>
    <w:rsid w:val="00C323D6"/>
    <w:rsid w:val="00C324A0"/>
    <w:rsid w:val="00C33149"/>
    <w:rsid w:val="00C42BF8"/>
    <w:rsid w:val="00C50043"/>
    <w:rsid w:val="00C7573B"/>
    <w:rsid w:val="00C86F00"/>
    <w:rsid w:val="00C9274C"/>
    <w:rsid w:val="00C97A54"/>
    <w:rsid w:val="00CA549C"/>
    <w:rsid w:val="00CA5B23"/>
    <w:rsid w:val="00CB29B0"/>
    <w:rsid w:val="00CB602E"/>
    <w:rsid w:val="00CB7E90"/>
    <w:rsid w:val="00CC07A4"/>
    <w:rsid w:val="00CD7833"/>
    <w:rsid w:val="00CE051D"/>
    <w:rsid w:val="00CE1335"/>
    <w:rsid w:val="00CE493D"/>
    <w:rsid w:val="00CF07FA"/>
    <w:rsid w:val="00CF0BB2"/>
    <w:rsid w:val="00CF3EE8"/>
    <w:rsid w:val="00D05D13"/>
    <w:rsid w:val="00D13441"/>
    <w:rsid w:val="00D150E7"/>
    <w:rsid w:val="00D40E9B"/>
    <w:rsid w:val="00D52DC2"/>
    <w:rsid w:val="00D53BCC"/>
    <w:rsid w:val="00D54C9E"/>
    <w:rsid w:val="00D6537E"/>
    <w:rsid w:val="00D70DFB"/>
    <w:rsid w:val="00D766DF"/>
    <w:rsid w:val="00D8206C"/>
    <w:rsid w:val="00D91F10"/>
    <w:rsid w:val="00DA0427"/>
    <w:rsid w:val="00DA186E"/>
    <w:rsid w:val="00DA4116"/>
    <w:rsid w:val="00DB251C"/>
    <w:rsid w:val="00DB4630"/>
    <w:rsid w:val="00DC4F88"/>
    <w:rsid w:val="00DE0BBA"/>
    <w:rsid w:val="00DE107C"/>
    <w:rsid w:val="00DE1B24"/>
    <w:rsid w:val="00DE33CD"/>
    <w:rsid w:val="00DF2388"/>
    <w:rsid w:val="00E01C8E"/>
    <w:rsid w:val="00E02A2D"/>
    <w:rsid w:val="00E05704"/>
    <w:rsid w:val="00E30916"/>
    <w:rsid w:val="00E338EF"/>
    <w:rsid w:val="00E544BB"/>
    <w:rsid w:val="00E57804"/>
    <w:rsid w:val="00E74DC7"/>
    <w:rsid w:val="00E8075A"/>
    <w:rsid w:val="00E84830"/>
    <w:rsid w:val="00E940D8"/>
    <w:rsid w:val="00E94D5E"/>
    <w:rsid w:val="00EA31C9"/>
    <w:rsid w:val="00EA7100"/>
    <w:rsid w:val="00EA7F9F"/>
    <w:rsid w:val="00EB1274"/>
    <w:rsid w:val="00EC185C"/>
    <w:rsid w:val="00ED2BB6"/>
    <w:rsid w:val="00ED34E1"/>
    <w:rsid w:val="00ED3B8D"/>
    <w:rsid w:val="00EE2767"/>
    <w:rsid w:val="00EE5E36"/>
    <w:rsid w:val="00EF2E3A"/>
    <w:rsid w:val="00F02C7C"/>
    <w:rsid w:val="00F072A7"/>
    <w:rsid w:val="00F078DC"/>
    <w:rsid w:val="00F32BA8"/>
    <w:rsid w:val="00F32EE0"/>
    <w:rsid w:val="00F349F1"/>
    <w:rsid w:val="00F4350D"/>
    <w:rsid w:val="00F479C4"/>
    <w:rsid w:val="00F567F7"/>
    <w:rsid w:val="00F6696E"/>
    <w:rsid w:val="00F73BD6"/>
    <w:rsid w:val="00F8351C"/>
    <w:rsid w:val="00F83989"/>
    <w:rsid w:val="00F85099"/>
    <w:rsid w:val="00F9379C"/>
    <w:rsid w:val="00F9632C"/>
    <w:rsid w:val="00FA05AC"/>
    <w:rsid w:val="00FA1E52"/>
    <w:rsid w:val="00FA464D"/>
    <w:rsid w:val="00FB13E4"/>
    <w:rsid w:val="00FB285A"/>
    <w:rsid w:val="00FB5A08"/>
    <w:rsid w:val="00FB6DC5"/>
    <w:rsid w:val="00FB78C2"/>
    <w:rsid w:val="00FC6A80"/>
    <w:rsid w:val="00FD1DC9"/>
    <w:rsid w:val="00FE4688"/>
    <w:rsid w:val="00FE737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0F56D"/>
  <w15:docId w15:val="{E00BB76B-532F-4F16-A43E-334599F8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E57804"/>
    <w:rPr>
      <w:sz w:val="16"/>
      <w:szCs w:val="16"/>
    </w:rPr>
  </w:style>
  <w:style w:type="paragraph" w:styleId="CommentText">
    <w:name w:val="annotation text"/>
    <w:basedOn w:val="Normal"/>
    <w:link w:val="CommentTextChar"/>
    <w:uiPriority w:val="99"/>
    <w:semiHidden/>
    <w:unhideWhenUsed/>
    <w:rsid w:val="00E57804"/>
    <w:pPr>
      <w:spacing w:line="240" w:lineRule="auto"/>
    </w:pPr>
    <w:rPr>
      <w:sz w:val="20"/>
    </w:rPr>
  </w:style>
  <w:style w:type="character" w:customStyle="1" w:styleId="CommentTextChar">
    <w:name w:val="Comment Text Char"/>
    <w:basedOn w:val="DefaultParagraphFont"/>
    <w:link w:val="CommentText"/>
    <w:uiPriority w:val="99"/>
    <w:semiHidden/>
    <w:rsid w:val="00E57804"/>
  </w:style>
  <w:style w:type="paragraph" w:styleId="CommentSubject">
    <w:name w:val="annotation subject"/>
    <w:basedOn w:val="CommentText"/>
    <w:next w:val="CommentText"/>
    <w:link w:val="CommentSubjectChar"/>
    <w:uiPriority w:val="99"/>
    <w:semiHidden/>
    <w:unhideWhenUsed/>
    <w:rsid w:val="00E57804"/>
    <w:rPr>
      <w:b/>
      <w:bCs/>
    </w:rPr>
  </w:style>
  <w:style w:type="character" w:customStyle="1" w:styleId="CommentSubjectChar">
    <w:name w:val="Comment Subject Char"/>
    <w:basedOn w:val="CommentTextChar"/>
    <w:link w:val="CommentSubject"/>
    <w:uiPriority w:val="99"/>
    <w:semiHidden/>
    <w:rsid w:val="00E57804"/>
    <w:rPr>
      <w:b/>
      <w:bCs/>
    </w:rPr>
  </w:style>
  <w:style w:type="character" w:customStyle="1" w:styleId="ActHead5Char">
    <w:name w:val="ActHead 5 Char"/>
    <w:aliases w:val="s Char"/>
    <w:link w:val="ActHead5"/>
    <w:rsid w:val="00E57804"/>
    <w:rPr>
      <w:rFonts w:eastAsia="Times New Roman" w:cs="Times New Roman"/>
      <w:b/>
      <w:kern w:val="28"/>
      <w:sz w:val="24"/>
      <w:lang w:eastAsia="en-AU"/>
    </w:rPr>
  </w:style>
  <w:style w:type="paragraph" w:customStyle="1" w:styleId="Ln">
    <w:name w:val="Ln"/>
    <w:basedOn w:val="subsection"/>
    <w:rsid w:val="00FA464D"/>
  </w:style>
  <w:style w:type="character" w:styleId="Hyperlink">
    <w:name w:val="Hyperlink"/>
    <w:basedOn w:val="DefaultParagraphFont"/>
    <w:uiPriority w:val="99"/>
    <w:unhideWhenUsed/>
    <w:rsid w:val="00CD7833"/>
    <w:rPr>
      <w:color w:val="0000FF"/>
      <w:u w:val="single"/>
    </w:rPr>
  </w:style>
  <w:style w:type="character" w:styleId="UnresolvedMention">
    <w:name w:val="Unresolved Mention"/>
    <w:basedOn w:val="DefaultParagraphFont"/>
    <w:uiPriority w:val="99"/>
    <w:semiHidden/>
    <w:unhideWhenUsed/>
    <w:rsid w:val="00C146DE"/>
    <w:rPr>
      <w:color w:val="605E5C"/>
      <w:shd w:val="clear" w:color="auto" w:fill="E1DFDD"/>
    </w:rPr>
  </w:style>
  <w:style w:type="character" w:styleId="FollowedHyperlink">
    <w:name w:val="FollowedHyperlink"/>
    <w:basedOn w:val="DefaultParagraphFont"/>
    <w:uiPriority w:val="99"/>
    <w:semiHidden/>
    <w:unhideWhenUsed/>
    <w:rsid w:val="00323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1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 D O C U M E N T S ! 5 4 6 8 0 7 9 4 . 5 < / d o c u m e n t i d >  
     < s e n d e r i d > B U S S I M < / s e n d e r i d >  
     < s e n d e r e m a i l > M I C H A E L . B U S S I N G @ A G S . G O V . A U < / s e n d e r e m a i l >  
     < l a s t m o d i f i e d > 2 0 2 5 - 0 6 - 1 1 T 1 1 : 2 2 : 0 0 . 0 0 0 0 0 0 0 + 1 0 : 0 0 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A5BDD-F235-475E-8715-0E9E38E8A55D}">
  <ds:schemaRefs>
    <ds:schemaRef ds:uri="http://www.imanage.com/work/xmlschema"/>
  </ds:schemaRefs>
</ds:datastoreItem>
</file>

<file path=customXml/itemProps2.xml><?xml version="1.0" encoding="utf-8"?>
<ds:datastoreItem xmlns:ds="http://schemas.openxmlformats.org/officeDocument/2006/customXml" ds:itemID="{586D3A01-1277-4407-8700-5EFD67698112}">
  <ds:schemaRefs>
    <ds:schemaRef ds:uri="http://schemas.microsoft.com/office/2006/metadata/properties"/>
    <ds:schemaRef ds:uri="http://schemas.microsoft.com/office/infopath/2007/PartnerControls"/>
    <ds:schemaRef ds:uri="9873E0F9-1747-4A9A-B243-F3FD4B2BC6D0"/>
  </ds:schemaRefs>
</ds:datastoreItem>
</file>

<file path=customXml/itemProps3.xml><?xml version="1.0" encoding="utf-8"?>
<ds:datastoreItem xmlns:ds="http://schemas.openxmlformats.org/officeDocument/2006/customXml" ds:itemID="{6E5F265A-878A-4E3C-81BD-7F0CF115AFFD}">
  <ds:schemaRefs>
    <ds:schemaRef ds:uri="http://schemas.openxmlformats.org/officeDocument/2006/bibliography"/>
  </ds:schemaRefs>
</ds:datastoreItem>
</file>

<file path=customXml/itemProps4.xml><?xml version="1.0" encoding="utf-8"?>
<ds:datastoreItem xmlns:ds="http://schemas.openxmlformats.org/officeDocument/2006/customXml" ds:itemID="{A1E8F2E4-C6FB-4839-AA8E-CCE42157B4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DA2523-311B-4CE4-AC0B-6D106894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1D654F-5E5D-426E-812E-3379C9268B1A}">
  <ds:schemaRefs>
    <ds:schemaRef ds:uri="http://schemas.microsoft.com/sharepoint/v3/contenttype/forms"/>
  </ds:schemaRefs>
</ds:datastoreItem>
</file>

<file path=customXml/itemProps7.xml><?xml version="1.0" encoding="utf-8"?>
<ds:datastoreItem xmlns:ds="http://schemas.openxmlformats.org/officeDocument/2006/customXml" ds:itemID="{061516E1-60E8-4CFF-BA4B-F1E594E6F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Diana</cp:lastModifiedBy>
  <cp:revision>12</cp:revision>
  <dcterms:created xsi:type="dcterms:W3CDTF">2025-06-11T01:12:00Z</dcterms:created>
  <dcterms:modified xsi:type="dcterms:W3CDTF">2025-07-01T23:45:00Z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0x010100266966F133664895A6EE3632470D45F500F5C8BB4461CF2642B5F56E9ECD75E788</vt:lpwstr>
  </property>
</Properties>
</file>