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99839" w14:textId="77777777" w:rsidR="0003444A" w:rsidRPr="004D779C" w:rsidRDefault="0003444A" w:rsidP="00176748">
      <w:pPr>
        <w:pStyle w:val="Title"/>
        <w:spacing w:after="240"/>
        <w:jc w:val="both"/>
        <w:rPr>
          <w:rFonts w:ascii="Times New Roman" w:hAnsi="Times New Roman" w:cs="Times New Roman"/>
        </w:rPr>
      </w:pPr>
      <w:r w:rsidRPr="004D779C">
        <w:rPr>
          <w:rFonts w:ascii="Times New Roman" w:hAnsi="Times New Roman" w:cs="Times New Roman"/>
        </w:rPr>
        <w:t>EXPLANATORY STATEMENT</w:t>
      </w:r>
    </w:p>
    <w:p w14:paraId="41B6BF60" w14:textId="77777777" w:rsidR="00246F4F" w:rsidRDefault="00246F4F" w:rsidP="00176748">
      <w:pPr>
        <w:pStyle w:val="Title"/>
        <w:keepNext/>
        <w:spacing w:after="120" w:line="276" w:lineRule="auto"/>
        <w:jc w:val="both"/>
        <w:rPr>
          <w:rFonts w:ascii="Times New Roman" w:hAnsi="Times New Roman" w:cs="Times New Roman"/>
        </w:rPr>
      </w:pPr>
      <w:r w:rsidRPr="00246F4F">
        <w:rPr>
          <w:rFonts w:ascii="Times New Roman" w:hAnsi="Times New Roman" w:cs="Times New Roman"/>
        </w:rPr>
        <w:t>Veterans’ Entitlements (Direct Deductions Arrangements) Approval 2025</w:t>
      </w:r>
    </w:p>
    <w:p w14:paraId="1644CCE4" w14:textId="6527C4D3" w:rsidR="0003444A" w:rsidRPr="004D779C" w:rsidRDefault="0003444A" w:rsidP="00176748">
      <w:pPr>
        <w:pStyle w:val="Title"/>
        <w:keepNext/>
        <w:spacing w:after="120" w:line="276" w:lineRule="auto"/>
        <w:jc w:val="both"/>
        <w:rPr>
          <w:rFonts w:ascii="Times New Roman" w:hAnsi="Times New Roman" w:cs="Times New Roman"/>
        </w:rPr>
      </w:pPr>
      <w:r w:rsidRPr="004D779C">
        <w:rPr>
          <w:rFonts w:ascii="Times New Roman" w:hAnsi="Times New Roman" w:cs="Times New Roman"/>
        </w:rPr>
        <w:t>EMPOWERING PROVISION</w:t>
      </w:r>
    </w:p>
    <w:p w14:paraId="68750458" w14:textId="7FA62F68" w:rsidR="0003444A" w:rsidRPr="0007549D" w:rsidRDefault="0003444A" w:rsidP="00176748">
      <w:pPr>
        <w:pStyle w:val="LDBodytext"/>
        <w:spacing w:before="0" w:after="240" w:line="276" w:lineRule="auto"/>
        <w:jc w:val="both"/>
      </w:pPr>
      <w:r w:rsidRPr="0007549D">
        <w:rPr>
          <w:szCs w:val="22"/>
        </w:rPr>
        <w:t xml:space="preserve">The </w:t>
      </w:r>
      <w:bookmarkStart w:id="0" w:name="_Hlk176361708"/>
      <w:r w:rsidR="00246F4F">
        <w:rPr>
          <w:szCs w:val="22"/>
        </w:rPr>
        <w:t>Repatriation Commission</w:t>
      </w:r>
      <w:r w:rsidR="008455B4">
        <w:rPr>
          <w:szCs w:val="22"/>
        </w:rPr>
        <w:t xml:space="preserve"> </w:t>
      </w:r>
      <w:bookmarkEnd w:id="0"/>
      <w:r w:rsidR="0036349D">
        <w:rPr>
          <w:szCs w:val="22"/>
        </w:rPr>
        <w:t xml:space="preserve">(the </w:t>
      </w:r>
      <w:r w:rsidR="0036349D" w:rsidRPr="00E85848">
        <w:rPr>
          <w:b/>
          <w:bCs/>
          <w:i/>
          <w:iCs/>
          <w:szCs w:val="22"/>
        </w:rPr>
        <w:t>Commission</w:t>
      </w:r>
      <w:r w:rsidR="0036349D">
        <w:rPr>
          <w:szCs w:val="22"/>
        </w:rPr>
        <w:t xml:space="preserve">) </w:t>
      </w:r>
      <w:r w:rsidRPr="0007549D">
        <w:t>makes this</w:t>
      </w:r>
      <w:r>
        <w:t xml:space="preserve"> i</w:t>
      </w:r>
      <w:r w:rsidR="00ED569E">
        <w:t xml:space="preserve">nstrument under </w:t>
      </w:r>
      <w:bookmarkStart w:id="1" w:name="_Hlk176361733"/>
      <w:r w:rsidR="00ED569E">
        <w:t xml:space="preserve">section </w:t>
      </w:r>
      <w:r w:rsidR="00246F4F">
        <w:t>122B</w:t>
      </w:r>
      <w:r>
        <w:t xml:space="preserve"> </w:t>
      </w:r>
      <w:r w:rsidRPr="0007549D">
        <w:t xml:space="preserve">of the </w:t>
      </w:r>
      <w:r w:rsidR="00246F4F" w:rsidRPr="00D72CDD">
        <w:rPr>
          <w:i/>
        </w:rPr>
        <w:t>Veterans’ Entitlements Act 1986</w:t>
      </w:r>
      <w:r w:rsidR="00246F4F" w:rsidRPr="00D72CDD">
        <w:t xml:space="preserve"> </w:t>
      </w:r>
      <w:r w:rsidRPr="0007549D">
        <w:t xml:space="preserve">(the </w:t>
      </w:r>
      <w:r w:rsidRPr="0007549D">
        <w:rPr>
          <w:rStyle w:val="LDBoldItal"/>
        </w:rPr>
        <w:t>Act</w:t>
      </w:r>
      <w:r w:rsidRPr="0007549D">
        <w:t>)</w:t>
      </w:r>
      <w:bookmarkEnd w:id="1"/>
      <w:r w:rsidRPr="0007549D">
        <w:rPr>
          <w:i/>
        </w:rPr>
        <w:t>.</w:t>
      </w:r>
    </w:p>
    <w:p w14:paraId="6C3482AD" w14:textId="77777777" w:rsidR="0003444A" w:rsidRPr="009269EF" w:rsidRDefault="0003444A" w:rsidP="00176748">
      <w:pPr>
        <w:pStyle w:val="Title"/>
        <w:keepNext/>
        <w:spacing w:after="120" w:line="276" w:lineRule="auto"/>
        <w:jc w:val="both"/>
        <w:rPr>
          <w:rFonts w:ascii="Times New Roman" w:hAnsi="Times New Roman" w:cs="Times New Roman"/>
        </w:rPr>
      </w:pPr>
      <w:r w:rsidRPr="009269EF">
        <w:rPr>
          <w:rFonts w:ascii="Times New Roman" w:hAnsi="Times New Roman" w:cs="Times New Roman"/>
        </w:rPr>
        <w:t>PURPOSE</w:t>
      </w:r>
    </w:p>
    <w:p w14:paraId="217CA3F9" w14:textId="52FFC847" w:rsidR="00AB694A" w:rsidRPr="009269EF" w:rsidRDefault="0003444A" w:rsidP="00EC1B16">
      <w:pPr>
        <w:spacing w:after="240" w:line="276" w:lineRule="auto"/>
        <w:jc w:val="both"/>
        <w:rPr>
          <w:rFonts w:ascii="Times New Roman" w:hAnsi="Times New Roman" w:cs="Times New Roman"/>
          <w:sz w:val="24"/>
          <w:szCs w:val="24"/>
        </w:rPr>
      </w:pPr>
      <w:r w:rsidRPr="009269EF">
        <w:rPr>
          <w:rFonts w:ascii="Times New Roman" w:hAnsi="Times New Roman" w:cs="Times New Roman"/>
          <w:sz w:val="24"/>
          <w:szCs w:val="24"/>
        </w:rPr>
        <w:t xml:space="preserve">This </w:t>
      </w:r>
      <w:r w:rsidR="006D375D" w:rsidRPr="009269EF">
        <w:rPr>
          <w:rFonts w:ascii="Times New Roman" w:hAnsi="Times New Roman" w:cs="Times New Roman"/>
          <w:i/>
          <w:iCs/>
          <w:sz w:val="24"/>
          <w:szCs w:val="24"/>
        </w:rPr>
        <w:t>Veterans’ Entitlements (Direct Deductions Arrangements) Approval 2025</w:t>
      </w:r>
      <w:r w:rsidR="006D375D" w:rsidRPr="009269EF">
        <w:rPr>
          <w:rFonts w:ascii="Times New Roman" w:hAnsi="Times New Roman" w:cs="Times New Roman"/>
          <w:sz w:val="24"/>
          <w:szCs w:val="24"/>
        </w:rPr>
        <w:t xml:space="preserve"> (the </w:t>
      </w:r>
      <w:r w:rsidRPr="009269EF">
        <w:rPr>
          <w:rFonts w:ascii="Times New Roman" w:hAnsi="Times New Roman" w:cs="Times New Roman"/>
          <w:b/>
          <w:bCs/>
          <w:i/>
          <w:iCs/>
          <w:sz w:val="24"/>
          <w:szCs w:val="24"/>
        </w:rPr>
        <w:t>instrument</w:t>
      </w:r>
      <w:r w:rsidR="006D375D" w:rsidRPr="009269EF">
        <w:rPr>
          <w:rFonts w:ascii="Times New Roman" w:hAnsi="Times New Roman" w:cs="Times New Roman"/>
          <w:sz w:val="24"/>
          <w:szCs w:val="24"/>
        </w:rPr>
        <w:t>)</w:t>
      </w:r>
      <w:r w:rsidRPr="009269EF">
        <w:rPr>
          <w:rFonts w:ascii="Times New Roman" w:hAnsi="Times New Roman" w:cs="Times New Roman"/>
          <w:sz w:val="24"/>
          <w:szCs w:val="24"/>
        </w:rPr>
        <w:t xml:space="preserve"> </w:t>
      </w:r>
      <w:r w:rsidR="00EC1B16" w:rsidRPr="009269EF">
        <w:rPr>
          <w:rFonts w:ascii="Times New Roman" w:hAnsi="Times New Roman" w:cs="Times New Roman"/>
          <w:sz w:val="24"/>
          <w:szCs w:val="24"/>
        </w:rPr>
        <w:t>repeals</w:t>
      </w:r>
      <w:r w:rsidRPr="009269EF">
        <w:rPr>
          <w:rFonts w:ascii="Times New Roman" w:hAnsi="Times New Roman" w:cs="Times New Roman"/>
          <w:sz w:val="24"/>
          <w:szCs w:val="24"/>
        </w:rPr>
        <w:t xml:space="preserve"> the </w:t>
      </w:r>
      <w:r w:rsidR="00311003" w:rsidRPr="009269EF">
        <w:rPr>
          <w:rFonts w:ascii="Times New Roman" w:hAnsi="Times New Roman" w:cs="Times New Roman"/>
          <w:i/>
          <w:iCs/>
          <w:sz w:val="24"/>
          <w:szCs w:val="24"/>
        </w:rPr>
        <w:t>Veterans’ Entitlements (Direct Deductions Arrangements) Instrument 2015</w:t>
      </w:r>
      <w:r w:rsidR="00AB694A" w:rsidRPr="009269EF">
        <w:rPr>
          <w:rFonts w:ascii="Times New Roman" w:hAnsi="Times New Roman" w:cs="Times New Roman"/>
          <w:sz w:val="24"/>
          <w:szCs w:val="24"/>
        </w:rPr>
        <w:t xml:space="preserve"> and </w:t>
      </w:r>
      <w:r w:rsidR="00EC1B16" w:rsidRPr="009269EF">
        <w:rPr>
          <w:rFonts w:ascii="Times New Roman" w:hAnsi="Times New Roman" w:cs="Times New Roman"/>
          <w:sz w:val="24"/>
          <w:szCs w:val="24"/>
        </w:rPr>
        <w:t xml:space="preserve">makes a </w:t>
      </w:r>
      <w:r w:rsidR="009269EF">
        <w:rPr>
          <w:rFonts w:ascii="Times New Roman" w:hAnsi="Times New Roman" w:cs="Times New Roman"/>
          <w:sz w:val="24"/>
          <w:szCs w:val="24"/>
        </w:rPr>
        <w:t>new</w:t>
      </w:r>
      <w:r w:rsidR="00EC1B16" w:rsidRPr="009269EF">
        <w:rPr>
          <w:rFonts w:ascii="Times New Roman" w:hAnsi="Times New Roman" w:cs="Times New Roman"/>
          <w:sz w:val="24"/>
          <w:szCs w:val="24"/>
        </w:rPr>
        <w:t xml:space="preserve"> instrument in similar terms ahead of the sunset date of 1 October 2025.  On that date, the 2015 instrument will “sunset” (expire).  The instrument has been re-made with formatting updates</w:t>
      </w:r>
      <w:r w:rsidR="00CE6639" w:rsidRPr="009269EF">
        <w:rPr>
          <w:rFonts w:ascii="Times New Roman" w:hAnsi="Times New Roman" w:cs="Times New Roman"/>
          <w:sz w:val="24"/>
          <w:szCs w:val="24"/>
        </w:rPr>
        <w:t xml:space="preserve"> and a name change</w:t>
      </w:r>
      <w:r w:rsidR="00EC1B16" w:rsidRPr="009269EF">
        <w:rPr>
          <w:rFonts w:ascii="Times New Roman" w:hAnsi="Times New Roman" w:cs="Times New Roman"/>
          <w:sz w:val="24"/>
          <w:szCs w:val="24"/>
        </w:rPr>
        <w:t xml:space="preserve">.  The instrument has </w:t>
      </w:r>
      <w:r w:rsidR="00C45FB0">
        <w:rPr>
          <w:rFonts w:ascii="Times New Roman" w:hAnsi="Times New Roman" w:cs="Times New Roman"/>
          <w:sz w:val="24"/>
          <w:szCs w:val="24"/>
        </w:rPr>
        <w:t xml:space="preserve">also </w:t>
      </w:r>
      <w:r w:rsidR="00EC1B16" w:rsidRPr="009269EF">
        <w:rPr>
          <w:rFonts w:ascii="Times New Roman" w:hAnsi="Times New Roman" w:cs="Times New Roman"/>
          <w:sz w:val="24"/>
          <w:szCs w:val="24"/>
        </w:rPr>
        <w:t xml:space="preserve">been re-made to include the </w:t>
      </w:r>
      <w:r w:rsidR="00BA554F" w:rsidRPr="009269EF">
        <w:rPr>
          <w:rFonts w:ascii="Times New Roman" w:hAnsi="Times New Roman" w:cs="Times New Roman"/>
          <w:sz w:val="24"/>
          <w:szCs w:val="24"/>
        </w:rPr>
        <w:t>v</w:t>
      </w:r>
      <w:r w:rsidR="00EC1B16" w:rsidRPr="009269EF">
        <w:rPr>
          <w:rFonts w:ascii="Times New Roman" w:hAnsi="Times New Roman" w:cs="Times New Roman"/>
          <w:sz w:val="24"/>
          <w:szCs w:val="24"/>
        </w:rPr>
        <w:t xml:space="preserve">eteran </w:t>
      </w:r>
      <w:r w:rsidR="00BA554F" w:rsidRPr="009269EF">
        <w:rPr>
          <w:rFonts w:ascii="Times New Roman" w:hAnsi="Times New Roman" w:cs="Times New Roman"/>
          <w:sz w:val="24"/>
          <w:szCs w:val="24"/>
        </w:rPr>
        <w:t>p</w:t>
      </w:r>
      <w:r w:rsidR="00EC1B16" w:rsidRPr="009269EF">
        <w:rPr>
          <w:rFonts w:ascii="Times New Roman" w:hAnsi="Times New Roman" w:cs="Times New Roman"/>
          <w:sz w:val="24"/>
          <w:szCs w:val="24"/>
        </w:rPr>
        <w:t>ayment in the approved classes of pensions, allowances and pecuniary benefits from which deductions may be made under the Act.</w:t>
      </w:r>
    </w:p>
    <w:p w14:paraId="743F0A5E" w14:textId="5814510F" w:rsidR="0003444A" w:rsidRPr="00AB694A" w:rsidRDefault="0003444A" w:rsidP="00AB694A">
      <w:pPr>
        <w:spacing w:after="240" w:line="276" w:lineRule="auto"/>
        <w:jc w:val="both"/>
        <w:rPr>
          <w:rFonts w:ascii="Times New Roman" w:hAnsi="Times New Roman" w:cs="Times New Roman"/>
          <w:b/>
          <w:bCs/>
        </w:rPr>
      </w:pPr>
      <w:r w:rsidRPr="00AB694A">
        <w:rPr>
          <w:rFonts w:ascii="Times New Roman" w:hAnsi="Times New Roman" w:cs="Times New Roman"/>
          <w:b/>
          <w:bCs/>
        </w:rPr>
        <w:t>OVERVIEW</w:t>
      </w:r>
    </w:p>
    <w:p w14:paraId="3C5E0B4B" w14:textId="430D241F" w:rsidR="00EC1B16" w:rsidRDefault="00EC1B16" w:rsidP="00A31E05">
      <w:pPr>
        <w:pStyle w:val="LDAmendHeading"/>
        <w:spacing w:before="0" w:after="240"/>
        <w:ind w:left="0" w:firstLine="0"/>
        <w:jc w:val="both"/>
        <w:rPr>
          <w:rFonts w:ascii="Times New Roman" w:eastAsiaTheme="minorHAnsi" w:hAnsi="Times New Roman"/>
          <w:b w:val="0"/>
        </w:rPr>
      </w:pPr>
      <w:r>
        <w:rPr>
          <w:rFonts w:ascii="Times New Roman" w:eastAsiaTheme="minorHAnsi" w:hAnsi="Times New Roman"/>
          <w:b w:val="0"/>
        </w:rPr>
        <w:t xml:space="preserve">Subsection 122B of the Act allows a person to request the Commission to make payments on their behalf via deductions from </w:t>
      </w:r>
      <w:r w:rsidR="00F52DA7">
        <w:rPr>
          <w:rFonts w:ascii="Times New Roman" w:eastAsiaTheme="minorHAnsi" w:hAnsi="Times New Roman"/>
          <w:b w:val="0"/>
        </w:rPr>
        <w:t>periodic</w:t>
      </w:r>
      <w:r>
        <w:rPr>
          <w:rFonts w:ascii="Times New Roman" w:eastAsiaTheme="minorHAnsi" w:hAnsi="Times New Roman"/>
          <w:b w:val="0"/>
        </w:rPr>
        <w:t xml:space="preserve"> compensation they receive under the Act.  The </w:t>
      </w:r>
      <w:r w:rsidR="00D04493">
        <w:rPr>
          <w:rFonts w:ascii="Times New Roman" w:eastAsiaTheme="minorHAnsi" w:hAnsi="Times New Roman"/>
          <w:b w:val="0"/>
        </w:rPr>
        <w:t>r</w:t>
      </w:r>
      <w:r>
        <w:rPr>
          <w:rFonts w:ascii="Times New Roman" w:eastAsiaTheme="minorHAnsi" w:hAnsi="Times New Roman"/>
          <w:b w:val="0"/>
        </w:rPr>
        <w:t xml:space="preserve">equested deductions can be for the purpose of (a) paying the Commissioner of Taxation; or (b) making payments included in a class of payments approved by the Commission.  This instrument approves classes of payments for </w:t>
      </w:r>
      <w:r w:rsidR="00F52DA7">
        <w:rPr>
          <w:rFonts w:ascii="Times New Roman" w:eastAsiaTheme="minorHAnsi" w:hAnsi="Times New Roman"/>
          <w:b w:val="0"/>
        </w:rPr>
        <w:t>subsection 122</w:t>
      </w:r>
      <w:proofErr w:type="gramStart"/>
      <w:r w:rsidR="00F52DA7">
        <w:rPr>
          <w:rFonts w:ascii="Times New Roman" w:eastAsiaTheme="minorHAnsi" w:hAnsi="Times New Roman"/>
          <w:b w:val="0"/>
        </w:rPr>
        <w:t>B(</w:t>
      </w:r>
      <w:proofErr w:type="gramEnd"/>
      <w:r w:rsidR="00F52DA7">
        <w:rPr>
          <w:rFonts w:ascii="Times New Roman" w:eastAsiaTheme="minorHAnsi" w:hAnsi="Times New Roman"/>
          <w:b w:val="0"/>
        </w:rPr>
        <w:t>5) of the Act</w:t>
      </w:r>
      <w:r w:rsidR="00CE6639">
        <w:rPr>
          <w:rFonts w:ascii="Times New Roman" w:eastAsiaTheme="minorHAnsi" w:hAnsi="Times New Roman"/>
          <w:b w:val="0"/>
        </w:rPr>
        <w:t>.</w:t>
      </w:r>
    </w:p>
    <w:p w14:paraId="2C58E110" w14:textId="7E3ACF04" w:rsidR="00F52DA7" w:rsidRDefault="0088585F" w:rsidP="0088585F">
      <w:pPr>
        <w:spacing w:after="120"/>
        <w:rPr>
          <w:rFonts w:ascii="Times New Roman" w:hAnsi="Times New Roman" w:cs="Times New Roman"/>
          <w:sz w:val="24"/>
          <w:szCs w:val="24"/>
        </w:rPr>
      </w:pPr>
      <w:r>
        <w:rPr>
          <w:rFonts w:ascii="Times New Roman" w:hAnsi="Times New Roman" w:cs="Times New Roman"/>
          <w:sz w:val="24"/>
          <w:szCs w:val="24"/>
        </w:rPr>
        <w:t xml:space="preserve">The </w:t>
      </w:r>
      <w:r w:rsidR="00F52DA7">
        <w:rPr>
          <w:rFonts w:ascii="Times New Roman" w:hAnsi="Times New Roman" w:cs="Times New Roman"/>
          <w:sz w:val="24"/>
          <w:szCs w:val="24"/>
        </w:rPr>
        <w:t>approved classes of pensions, allowances and pecuniary benefits in this instrument are twofold.  Firstly, payments to a State Housing Authority that are –</w:t>
      </w:r>
    </w:p>
    <w:p w14:paraId="68904006" w14:textId="68890A41" w:rsidR="00F52DA7" w:rsidRDefault="00F52DA7" w:rsidP="00F52DA7">
      <w:pPr>
        <w:pStyle w:val="ListParagraph"/>
        <w:numPr>
          <w:ilvl w:val="0"/>
          <w:numId w:val="13"/>
        </w:numPr>
        <w:spacing w:after="120"/>
        <w:rPr>
          <w:rFonts w:ascii="Times New Roman" w:hAnsi="Times New Roman" w:cs="Times New Roman"/>
          <w:sz w:val="24"/>
          <w:szCs w:val="24"/>
        </w:rPr>
      </w:pPr>
      <w:r>
        <w:rPr>
          <w:rFonts w:ascii="Times New Roman" w:hAnsi="Times New Roman" w:cs="Times New Roman"/>
          <w:sz w:val="24"/>
          <w:szCs w:val="24"/>
        </w:rPr>
        <w:t>payments of rent,</w:t>
      </w:r>
    </w:p>
    <w:p w14:paraId="60FF290A" w14:textId="0843E8EE" w:rsidR="00F52DA7" w:rsidRDefault="00F52DA7" w:rsidP="00F52DA7">
      <w:pPr>
        <w:pStyle w:val="ListParagraph"/>
        <w:numPr>
          <w:ilvl w:val="0"/>
          <w:numId w:val="13"/>
        </w:numPr>
        <w:spacing w:after="120"/>
        <w:rPr>
          <w:rFonts w:ascii="Times New Roman" w:hAnsi="Times New Roman" w:cs="Times New Roman"/>
          <w:sz w:val="24"/>
          <w:szCs w:val="24"/>
        </w:rPr>
      </w:pPr>
      <w:r>
        <w:rPr>
          <w:rFonts w:ascii="Times New Roman" w:hAnsi="Times New Roman" w:cs="Times New Roman"/>
          <w:sz w:val="24"/>
          <w:szCs w:val="24"/>
        </w:rPr>
        <w:t>payments of principal or interest of loans, or</w:t>
      </w:r>
    </w:p>
    <w:p w14:paraId="0217DD0C" w14:textId="60B6BF08" w:rsidR="00F52DA7" w:rsidRDefault="00F52DA7" w:rsidP="00F52DA7">
      <w:pPr>
        <w:pStyle w:val="ListParagraph"/>
        <w:numPr>
          <w:ilvl w:val="0"/>
          <w:numId w:val="13"/>
        </w:numPr>
        <w:spacing w:after="120"/>
        <w:rPr>
          <w:rFonts w:ascii="Times New Roman" w:hAnsi="Times New Roman" w:cs="Times New Roman"/>
          <w:sz w:val="24"/>
          <w:szCs w:val="24"/>
        </w:rPr>
      </w:pPr>
      <w:r>
        <w:rPr>
          <w:rFonts w:ascii="Times New Roman" w:hAnsi="Times New Roman" w:cs="Times New Roman"/>
          <w:sz w:val="24"/>
          <w:szCs w:val="24"/>
        </w:rPr>
        <w:t>payments of debts.</w:t>
      </w:r>
    </w:p>
    <w:p w14:paraId="48A073DA" w14:textId="52F35F09" w:rsidR="00F52DA7" w:rsidRDefault="00F52DA7" w:rsidP="00F52DA7">
      <w:pPr>
        <w:spacing w:after="120"/>
        <w:rPr>
          <w:rFonts w:ascii="Times New Roman" w:hAnsi="Times New Roman" w:cs="Times New Roman"/>
          <w:sz w:val="24"/>
          <w:szCs w:val="24"/>
        </w:rPr>
      </w:pPr>
      <w:r>
        <w:rPr>
          <w:rFonts w:ascii="Times New Roman" w:hAnsi="Times New Roman" w:cs="Times New Roman"/>
          <w:sz w:val="24"/>
          <w:szCs w:val="24"/>
        </w:rPr>
        <w:t>Secondly, payments to Westpac Banking Corporation that are –</w:t>
      </w:r>
    </w:p>
    <w:p w14:paraId="354D4BE4" w14:textId="622E712D" w:rsidR="00F52DA7" w:rsidRDefault="00F52DA7" w:rsidP="00F52DA7">
      <w:pPr>
        <w:pStyle w:val="ListParagraph"/>
        <w:numPr>
          <w:ilvl w:val="0"/>
          <w:numId w:val="14"/>
        </w:numPr>
        <w:spacing w:after="120"/>
        <w:rPr>
          <w:rFonts w:ascii="Times New Roman" w:hAnsi="Times New Roman" w:cs="Times New Roman"/>
          <w:sz w:val="24"/>
          <w:szCs w:val="24"/>
        </w:rPr>
      </w:pPr>
      <w:r>
        <w:rPr>
          <w:rFonts w:ascii="Times New Roman" w:hAnsi="Times New Roman" w:cs="Times New Roman"/>
          <w:sz w:val="24"/>
          <w:szCs w:val="24"/>
        </w:rPr>
        <w:t>payments for principal or interest of a loan, or</w:t>
      </w:r>
    </w:p>
    <w:p w14:paraId="75637691" w14:textId="3A50A61E" w:rsidR="009929B7" w:rsidRPr="001D73E5" w:rsidRDefault="00F52DA7" w:rsidP="001D73E5">
      <w:pPr>
        <w:pStyle w:val="ListParagraph"/>
        <w:numPr>
          <w:ilvl w:val="0"/>
          <w:numId w:val="14"/>
        </w:numPr>
        <w:spacing w:after="240"/>
        <w:ind w:left="714" w:hanging="357"/>
        <w:contextualSpacing w:val="0"/>
        <w:rPr>
          <w:rFonts w:ascii="Times New Roman" w:hAnsi="Times New Roman" w:cs="Times New Roman"/>
          <w:sz w:val="24"/>
          <w:szCs w:val="24"/>
        </w:rPr>
      </w:pPr>
      <w:r>
        <w:rPr>
          <w:rFonts w:ascii="Times New Roman" w:hAnsi="Times New Roman" w:cs="Times New Roman"/>
          <w:sz w:val="24"/>
          <w:szCs w:val="24"/>
        </w:rPr>
        <w:t>payments of insurance premiums.</w:t>
      </w:r>
    </w:p>
    <w:p w14:paraId="6EA32911" w14:textId="613E26EC" w:rsidR="00DC02C8" w:rsidRDefault="009929B7" w:rsidP="001D73E5">
      <w:pPr>
        <w:pStyle w:val="LDAmendHeading"/>
        <w:spacing w:before="0" w:after="240"/>
        <w:ind w:left="0" w:firstLine="0"/>
        <w:jc w:val="both"/>
        <w:rPr>
          <w:rFonts w:ascii="Times New Roman" w:eastAsiaTheme="minorHAnsi" w:hAnsi="Times New Roman"/>
          <w:b w:val="0"/>
        </w:rPr>
      </w:pPr>
      <w:r w:rsidRPr="001D73E5">
        <w:rPr>
          <w:rFonts w:ascii="Times New Roman" w:eastAsiaTheme="minorHAnsi" w:hAnsi="Times New Roman"/>
          <w:b w:val="0"/>
        </w:rPr>
        <w:t xml:space="preserve">The approved classes of payments to a State Housing Authority include debts to a State Housing Authority, as distinct from payments of rent or payments of principal or interest of loans. This ensures that if a person has a debt with a State Housing Authority, the person may request the Commission to pay the debt via deductions from periodic payments they receive under the Act. The approved classes of payments to the Westpac Banking Corporation includes payments of principal or interest of loans or payments of insurance premiums. This ensures that if a person has a subsidised home loan through the Defence Service Home Loans Scheme, the person may request the Commission to pay payments of principal or interest of loans or payments of insurance premiums to the Westpac Banking Corporation on their behalf. The instrument has been updated to include the veteran payment in the approved classes of pensions, allowances and pecuniary benefits from which deductions can be made under the </w:t>
      </w:r>
      <w:r w:rsidR="00065143" w:rsidRPr="00065143">
        <w:rPr>
          <w:rFonts w:ascii="Times New Roman" w:eastAsiaTheme="minorHAnsi" w:hAnsi="Times New Roman"/>
          <w:b w:val="0"/>
        </w:rPr>
        <w:lastRenderedPageBreak/>
        <w:t>Act. This is because the veteran payment is a new benefit under the Act since the instrument was last re-made.</w:t>
      </w:r>
    </w:p>
    <w:p w14:paraId="53E977C6" w14:textId="004CDC71" w:rsidR="00F52DA7" w:rsidRPr="001D73E5" w:rsidRDefault="00F52DA7" w:rsidP="001D73E5">
      <w:pPr>
        <w:pStyle w:val="LDAmendHeading"/>
        <w:spacing w:before="0" w:after="240"/>
        <w:ind w:left="0" w:firstLine="0"/>
        <w:jc w:val="both"/>
        <w:rPr>
          <w:rFonts w:ascii="Times New Roman" w:eastAsiaTheme="minorHAnsi" w:hAnsi="Times New Roman"/>
          <w:b w:val="0"/>
        </w:rPr>
      </w:pPr>
      <w:r w:rsidRPr="001D73E5">
        <w:rPr>
          <w:rFonts w:ascii="Times New Roman" w:eastAsiaTheme="minorHAnsi" w:hAnsi="Times New Roman"/>
          <w:b w:val="0"/>
        </w:rPr>
        <w:t xml:space="preserve">The overall policy objective of the instrument is to mirror the policy under the </w:t>
      </w:r>
      <w:r w:rsidRPr="00065143">
        <w:rPr>
          <w:rFonts w:ascii="Times New Roman" w:eastAsiaTheme="minorHAnsi" w:hAnsi="Times New Roman"/>
          <w:b w:val="0"/>
          <w:i/>
          <w:iCs/>
        </w:rPr>
        <w:t>Military, Rehabilitation and Compensation Act 2004</w:t>
      </w:r>
      <w:r w:rsidRPr="001D73E5">
        <w:rPr>
          <w:rFonts w:ascii="Times New Roman" w:eastAsiaTheme="minorHAnsi" w:hAnsi="Times New Roman"/>
          <w:b w:val="0"/>
        </w:rPr>
        <w:t xml:space="preserve"> (MRCA) and the </w:t>
      </w:r>
      <w:r w:rsidRPr="00065143">
        <w:rPr>
          <w:rFonts w:ascii="Times New Roman" w:eastAsiaTheme="minorHAnsi" w:hAnsi="Times New Roman"/>
          <w:b w:val="0"/>
          <w:i/>
          <w:iCs/>
        </w:rPr>
        <w:t>Military Rehabilitation and Compensation (Deductions from Compensation) Approval 2025</w:t>
      </w:r>
      <w:r w:rsidRPr="001D73E5">
        <w:rPr>
          <w:rFonts w:ascii="Times New Roman" w:eastAsiaTheme="minorHAnsi" w:hAnsi="Times New Roman"/>
          <w:b w:val="0"/>
        </w:rPr>
        <w:t xml:space="preserve"> which allows a person to manage their financial affairs by requesting deductions be made for rent or mortgage payments</w:t>
      </w:r>
      <w:r w:rsidR="0036349D" w:rsidRPr="001D73E5">
        <w:rPr>
          <w:rFonts w:ascii="Times New Roman" w:eastAsiaTheme="minorHAnsi" w:hAnsi="Times New Roman"/>
          <w:b w:val="0"/>
        </w:rPr>
        <w:t>, or debts of rent or mortgage payments,</w:t>
      </w:r>
      <w:r w:rsidRPr="001D73E5">
        <w:rPr>
          <w:rFonts w:ascii="Times New Roman" w:eastAsiaTheme="minorHAnsi" w:hAnsi="Times New Roman"/>
          <w:b w:val="0"/>
        </w:rPr>
        <w:t xml:space="preserve"> from their</w:t>
      </w:r>
      <w:r w:rsidR="00057AAF">
        <w:rPr>
          <w:rFonts w:ascii="Times New Roman" w:eastAsiaTheme="minorHAnsi" w:hAnsi="Times New Roman"/>
          <w:b w:val="0"/>
        </w:rPr>
        <w:t xml:space="preserve"> weekly compensation </w:t>
      </w:r>
      <w:r w:rsidR="00643CF2">
        <w:rPr>
          <w:rFonts w:ascii="Times New Roman" w:eastAsiaTheme="minorHAnsi" w:hAnsi="Times New Roman"/>
          <w:b w:val="0"/>
        </w:rPr>
        <w:t xml:space="preserve">under that Act. </w:t>
      </w:r>
      <w:r w:rsidRPr="001D73E5">
        <w:rPr>
          <w:rFonts w:ascii="Times New Roman" w:eastAsiaTheme="minorHAnsi" w:hAnsi="Times New Roman"/>
          <w:b w:val="0"/>
        </w:rPr>
        <w:t xml:space="preserve"> </w:t>
      </w:r>
    </w:p>
    <w:p w14:paraId="3C4A66B8" w14:textId="58767814" w:rsidR="0003444A" w:rsidRPr="00176748" w:rsidRDefault="0003444A" w:rsidP="00176748">
      <w:pPr>
        <w:pStyle w:val="Title"/>
        <w:keepNext/>
        <w:spacing w:after="120" w:line="276" w:lineRule="auto"/>
        <w:jc w:val="both"/>
        <w:rPr>
          <w:rFonts w:ascii="Times New Roman" w:hAnsi="Times New Roman" w:cs="Times New Roman"/>
        </w:rPr>
      </w:pPr>
      <w:r w:rsidRPr="00176748">
        <w:rPr>
          <w:rFonts w:ascii="Times New Roman" w:hAnsi="Times New Roman" w:cs="Times New Roman"/>
        </w:rPr>
        <w:t>EXPLANATION OF PROVISIONS</w:t>
      </w:r>
    </w:p>
    <w:p w14:paraId="0D537E82" w14:textId="3AE652BC" w:rsidR="0003444A" w:rsidRPr="004D779C" w:rsidRDefault="0003444A" w:rsidP="00EC3CFA">
      <w:pPr>
        <w:spacing w:after="240"/>
        <w:jc w:val="both"/>
        <w:rPr>
          <w:rFonts w:ascii="Times New Roman" w:hAnsi="Times New Roman" w:cs="Times New Roman"/>
          <w:sz w:val="24"/>
          <w:szCs w:val="24"/>
        </w:rPr>
      </w:pPr>
      <w:r w:rsidRPr="004D779C">
        <w:rPr>
          <w:rFonts w:ascii="Times New Roman" w:hAnsi="Times New Roman" w:cs="Times New Roman"/>
          <w:b/>
          <w:sz w:val="24"/>
          <w:szCs w:val="24"/>
        </w:rPr>
        <w:t>Section 1</w:t>
      </w:r>
      <w:r w:rsidRPr="004D779C">
        <w:rPr>
          <w:rFonts w:ascii="Times New Roman" w:hAnsi="Times New Roman" w:cs="Times New Roman"/>
          <w:sz w:val="24"/>
          <w:szCs w:val="24"/>
        </w:rPr>
        <w:t xml:space="preserve"> </w:t>
      </w:r>
      <w:r w:rsidR="00F52DA7">
        <w:rPr>
          <w:rFonts w:ascii="Times New Roman" w:hAnsi="Times New Roman" w:cs="Times New Roman"/>
          <w:sz w:val="24"/>
          <w:szCs w:val="24"/>
        </w:rPr>
        <w:t>provides that the name of the instrument</w:t>
      </w:r>
      <w:r w:rsidRPr="004D779C">
        <w:rPr>
          <w:rFonts w:ascii="Times New Roman" w:hAnsi="Times New Roman" w:cs="Times New Roman"/>
          <w:sz w:val="24"/>
          <w:szCs w:val="24"/>
        </w:rPr>
        <w:t xml:space="preserve"> </w:t>
      </w:r>
      <w:r w:rsidR="00F52DA7">
        <w:rPr>
          <w:rFonts w:ascii="Times New Roman" w:hAnsi="Times New Roman" w:cs="Times New Roman"/>
          <w:sz w:val="24"/>
          <w:szCs w:val="24"/>
        </w:rPr>
        <w:t xml:space="preserve">is the </w:t>
      </w:r>
      <w:r w:rsidR="00F52DA7" w:rsidRPr="00F52DA7">
        <w:rPr>
          <w:rFonts w:ascii="Times New Roman" w:hAnsi="Times New Roman" w:cs="Times New Roman"/>
          <w:i/>
          <w:iCs/>
          <w:sz w:val="24"/>
          <w:szCs w:val="24"/>
        </w:rPr>
        <w:t>Veterans’ Entitlements (Direct Deductions Arrangements) Approval 2025.</w:t>
      </w:r>
    </w:p>
    <w:p w14:paraId="5728F6A6" w14:textId="40D9658F" w:rsidR="0003444A" w:rsidRPr="004D779C" w:rsidRDefault="0003444A" w:rsidP="00EC3CFA">
      <w:pPr>
        <w:spacing w:after="240"/>
        <w:jc w:val="both"/>
        <w:rPr>
          <w:rFonts w:ascii="Times New Roman" w:hAnsi="Times New Roman" w:cs="Times New Roman"/>
          <w:sz w:val="24"/>
          <w:szCs w:val="24"/>
        </w:rPr>
      </w:pPr>
      <w:r w:rsidRPr="004D779C">
        <w:rPr>
          <w:rFonts w:ascii="Times New Roman" w:hAnsi="Times New Roman" w:cs="Times New Roman"/>
          <w:b/>
          <w:sz w:val="24"/>
          <w:szCs w:val="24"/>
        </w:rPr>
        <w:t>Section 2</w:t>
      </w:r>
      <w:r w:rsidRPr="004D779C">
        <w:rPr>
          <w:rFonts w:ascii="Times New Roman" w:hAnsi="Times New Roman" w:cs="Times New Roman"/>
          <w:sz w:val="24"/>
          <w:szCs w:val="24"/>
        </w:rPr>
        <w:t xml:space="preserve"> provides that the </w:t>
      </w:r>
      <w:r w:rsidR="00CE6639">
        <w:rPr>
          <w:rFonts w:ascii="Times New Roman" w:hAnsi="Times New Roman" w:cs="Times New Roman"/>
          <w:sz w:val="24"/>
          <w:szCs w:val="24"/>
        </w:rPr>
        <w:t>i</w:t>
      </w:r>
      <w:r w:rsidRPr="004D779C">
        <w:rPr>
          <w:rFonts w:ascii="Times New Roman" w:hAnsi="Times New Roman" w:cs="Times New Roman"/>
          <w:sz w:val="24"/>
          <w:szCs w:val="24"/>
        </w:rPr>
        <w:t xml:space="preserve">nstrument commences </w:t>
      </w:r>
      <w:r w:rsidR="000E6823">
        <w:rPr>
          <w:rFonts w:ascii="Times New Roman" w:hAnsi="Times New Roman" w:cs="Times New Roman"/>
          <w:sz w:val="24"/>
          <w:szCs w:val="24"/>
        </w:rPr>
        <w:t>on the day after it is registered.</w:t>
      </w:r>
    </w:p>
    <w:p w14:paraId="598B2BB3" w14:textId="544479B7" w:rsidR="0003444A" w:rsidRDefault="0003444A" w:rsidP="00EC3CFA">
      <w:pPr>
        <w:spacing w:after="240"/>
        <w:jc w:val="both"/>
        <w:rPr>
          <w:rFonts w:ascii="Times New Roman" w:hAnsi="Times New Roman" w:cs="Times New Roman"/>
          <w:sz w:val="24"/>
          <w:szCs w:val="24"/>
        </w:rPr>
      </w:pPr>
      <w:r w:rsidRPr="004D779C">
        <w:rPr>
          <w:rFonts w:ascii="Times New Roman" w:hAnsi="Times New Roman" w:cs="Times New Roman"/>
          <w:b/>
          <w:sz w:val="24"/>
          <w:szCs w:val="24"/>
        </w:rPr>
        <w:t>Section 3</w:t>
      </w:r>
      <w:r w:rsidRPr="004D779C">
        <w:rPr>
          <w:rFonts w:ascii="Times New Roman" w:hAnsi="Times New Roman" w:cs="Times New Roman"/>
          <w:sz w:val="24"/>
          <w:szCs w:val="24"/>
        </w:rPr>
        <w:t xml:space="preserve"> sets out the authority for the </w:t>
      </w:r>
      <w:r w:rsidR="000E6823">
        <w:rPr>
          <w:rFonts w:ascii="Times New Roman" w:hAnsi="Times New Roman" w:cs="Times New Roman"/>
          <w:sz w:val="24"/>
          <w:szCs w:val="24"/>
        </w:rPr>
        <w:t>Commission</w:t>
      </w:r>
      <w:r w:rsidR="008455B4" w:rsidRPr="008455B4">
        <w:rPr>
          <w:rFonts w:ascii="Times New Roman" w:hAnsi="Times New Roman" w:cs="Times New Roman"/>
          <w:sz w:val="24"/>
          <w:szCs w:val="24"/>
        </w:rPr>
        <w:t xml:space="preserve"> </w:t>
      </w:r>
      <w:r w:rsidRPr="004D779C">
        <w:rPr>
          <w:rFonts w:ascii="Times New Roman" w:hAnsi="Times New Roman" w:cs="Times New Roman"/>
          <w:sz w:val="24"/>
          <w:szCs w:val="24"/>
        </w:rPr>
        <w:t xml:space="preserve">making the </w:t>
      </w:r>
      <w:r w:rsidR="00CE6639">
        <w:rPr>
          <w:rFonts w:ascii="Times New Roman" w:hAnsi="Times New Roman" w:cs="Times New Roman"/>
          <w:sz w:val="24"/>
          <w:szCs w:val="24"/>
        </w:rPr>
        <w:t>i</w:t>
      </w:r>
      <w:r>
        <w:rPr>
          <w:rFonts w:ascii="Times New Roman" w:hAnsi="Times New Roman" w:cs="Times New Roman"/>
          <w:sz w:val="24"/>
          <w:szCs w:val="24"/>
        </w:rPr>
        <w:t xml:space="preserve">nstrument, namely </w:t>
      </w:r>
      <w:r w:rsidR="008455B4" w:rsidRPr="008455B4">
        <w:rPr>
          <w:rFonts w:ascii="Times New Roman" w:hAnsi="Times New Roman" w:cs="Times New Roman"/>
          <w:sz w:val="24"/>
          <w:szCs w:val="24"/>
        </w:rPr>
        <w:t xml:space="preserve">section </w:t>
      </w:r>
      <w:r w:rsidR="00716C94" w:rsidRPr="00716C94">
        <w:rPr>
          <w:rFonts w:ascii="Times New Roman" w:hAnsi="Times New Roman" w:cs="Times New Roman"/>
          <w:sz w:val="24"/>
          <w:szCs w:val="24"/>
        </w:rPr>
        <w:t xml:space="preserve">122B </w:t>
      </w:r>
      <w:r w:rsidR="008455B4" w:rsidRPr="008455B4">
        <w:rPr>
          <w:rFonts w:ascii="Times New Roman" w:hAnsi="Times New Roman" w:cs="Times New Roman"/>
          <w:sz w:val="24"/>
          <w:szCs w:val="24"/>
        </w:rPr>
        <w:t>of the Act</w:t>
      </w:r>
      <w:r w:rsidRPr="004D779C">
        <w:rPr>
          <w:rFonts w:ascii="Times New Roman" w:hAnsi="Times New Roman" w:cs="Times New Roman"/>
          <w:sz w:val="24"/>
          <w:szCs w:val="24"/>
        </w:rPr>
        <w:t>.</w:t>
      </w:r>
    </w:p>
    <w:p w14:paraId="16BA5C05" w14:textId="61FE4582" w:rsidR="00041F66" w:rsidRPr="00041F66" w:rsidRDefault="00041F66" w:rsidP="00EC3CFA">
      <w:pPr>
        <w:spacing w:after="240"/>
        <w:jc w:val="both"/>
        <w:rPr>
          <w:rFonts w:ascii="Times New Roman" w:hAnsi="Times New Roman" w:cs="Times New Roman"/>
          <w:sz w:val="24"/>
          <w:szCs w:val="24"/>
        </w:rPr>
      </w:pPr>
      <w:r w:rsidRPr="00041F66">
        <w:rPr>
          <w:rFonts w:ascii="Times New Roman" w:hAnsi="Times New Roman" w:cs="Times New Roman"/>
          <w:b/>
          <w:bCs/>
          <w:sz w:val="24"/>
          <w:szCs w:val="24"/>
        </w:rPr>
        <w:t>Section 4</w:t>
      </w:r>
      <w:r w:rsidRPr="00041F66">
        <w:rPr>
          <w:rFonts w:ascii="Times New Roman" w:hAnsi="Times New Roman" w:cs="Times New Roman"/>
          <w:sz w:val="24"/>
          <w:szCs w:val="24"/>
        </w:rPr>
        <w:t xml:space="preserve"> repeals the </w:t>
      </w:r>
      <w:r w:rsidR="006D375D" w:rsidRPr="009B651E">
        <w:rPr>
          <w:rFonts w:ascii="Times New Roman" w:hAnsi="Times New Roman" w:cs="Times New Roman"/>
          <w:i/>
          <w:iCs/>
        </w:rPr>
        <w:t xml:space="preserve">Veterans’ Entitlements </w:t>
      </w:r>
      <w:r w:rsidRPr="00041F66">
        <w:rPr>
          <w:rFonts w:ascii="Times New Roman" w:hAnsi="Times New Roman" w:cs="Times New Roman"/>
          <w:i/>
          <w:iCs/>
          <w:sz w:val="24"/>
          <w:szCs w:val="24"/>
        </w:rPr>
        <w:t>(Direct Deductions Arrangements) Instrument 2015</w:t>
      </w:r>
      <w:r w:rsidRPr="00041F66">
        <w:rPr>
          <w:rFonts w:ascii="Times New Roman" w:hAnsi="Times New Roman" w:cs="Times New Roman"/>
          <w:sz w:val="24"/>
          <w:szCs w:val="24"/>
        </w:rPr>
        <w:t>.</w:t>
      </w:r>
    </w:p>
    <w:p w14:paraId="0668DDCC" w14:textId="18863B78" w:rsidR="00041F66" w:rsidRPr="00041F66" w:rsidRDefault="00041F66" w:rsidP="00EC3CFA">
      <w:pPr>
        <w:spacing w:after="240"/>
        <w:jc w:val="both"/>
        <w:rPr>
          <w:rFonts w:ascii="Times New Roman" w:hAnsi="Times New Roman" w:cs="Times New Roman"/>
          <w:sz w:val="24"/>
          <w:szCs w:val="24"/>
        </w:rPr>
      </w:pPr>
      <w:r w:rsidRPr="00041F66">
        <w:rPr>
          <w:rFonts w:ascii="Times New Roman" w:hAnsi="Times New Roman" w:cs="Times New Roman"/>
          <w:b/>
          <w:bCs/>
          <w:sz w:val="24"/>
          <w:szCs w:val="24"/>
        </w:rPr>
        <w:t>Section 5</w:t>
      </w:r>
      <w:r w:rsidRPr="00041F66">
        <w:rPr>
          <w:rFonts w:ascii="Times New Roman" w:hAnsi="Times New Roman" w:cs="Times New Roman"/>
          <w:sz w:val="24"/>
          <w:szCs w:val="24"/>
        </w:rPr>
        <w:t xml:space="preserve"> </w:t>
      </w:r>
      <w:r w:rsidR="00F52DA7">
        <w:rPr>
          <w:rFonts w:ascii="Times New Roman" w:hAnsi="Times New Roman" w:cs="Times New Roman"/>
          <w:sz w:val="24"/>
          <w:szCs w:val="24"/>
        </w:rPr>
        <w:t>defines terms used in the instrument.</w:t>
      </w:r>
      <w:r w:rsidR="00F52DA7">
        <w:rPr>
          <w:rFonts w:ascii="Times New Roman" w:hAnsi="Times New Roman" w:cs="Times New Roman"/>
          <w:i/>
          <w:iCs/>
          <w:sz w:val="24"/>
          <w:szCs w:val="24"/>
        </w:rPr>
        <w:t xml:space="preserve"> </w:t>
      </w:r>
      <w:r w:rsidRPr="00041F66">
        <w:rPr>
          <w:rFonts w:ascii="Times New Roman" w:hAnsi="Times New Roman" w:cs="Times New Roman"/>
          <w:sz w:val="24"/>
          <w:szCs w:val="24"/>
        </w:rPr>
        <w:t xml:space="preserve"> </w:t>
      </w:r>
    </w:p>
    <w:p w14:paraId="00119482" w14:textId="7692D132" w:rsidR="00041F66" w:rsidRPr="00041F66" w:rsidRDefault="00041F66" w:rsidP="00EC3CFA">
      <w:pPr>
        <w:spacing w:after="240"/>
        <w:jc w:val="both"/>
        <w:rPr>
          <w:rFonts w:ascii="Times New Roman" w:hAnsi="Times New Roman" w:cs="Times New Roman"/>
          <w:sz w:val="24"/>
          <w:szCs w:val="24"/>
        </w:rPr>
      </w:pPr>
      <w:r w:rsidRPr="00041F66">
        <w:rPr>
          <w:rFonts w:ascii="Times New Roman" w:hAnsi="Times New Roman" w:cs="Times New Roman"/>
          <w:b/>
          <w:bCs/>
          <w:sz w:val="24"/>
          <w:szCs w:val="24"/>
        </w:rPr>
        <w:t>Section 6</w:t>
      </w:r>
      <w:r w:rsidRPr="00041F66">
        <w:rPr>
          <w:rFonts w:ascii="Times New Roman" w:hAnsi="Times New Roman" w:cs="Times New Roman"/>
          <w:sz w:val="24"/>
          <w:szCs w:val="24"/>
        </w:rPr>
        <w:t xml:space="preserve"> sets out the approved classes of pensions, allowances or pecuniary benefit</w:t>
      </w:r>
      <w:r w:rsidR="00F52DA7">
        <w:rPr>
          <w:rFonts w:ascii="Times New Roman" w:hAnsi="Times New Roman" w:cs="Times New Roman"/>
          <w:sz w:val="24"/>
          <w:szCs w:val="24"/>
        </w:rPr>
        <w:t>s.  These are:</w:t>
      </w:r>
    </w:p>
    <w:p w14:paraId="3815A62B" w14:textId="1C39B498" w:rsidR="00672CAA" w:rsidRPr="00E3791B" w:rsidRDefault="00672CAA" w:rsidP="00672CAA">
      <w:pPr>
        <w:pStyle w:val="Paragraph"/>
        <w:numPr>
          <w:ilvl w:val="0"/>
          <w:numId w:val="16"/>
        </w:numPr>
      </w:pPr>
      <w:r w:rsidRPr="00E3791B">
        <w:t xml:space="preserve">attendant </w:t>
      </w:r>
      <w:proofErr w:type="gramStart"/>
      <w:r w:rsidRPr="00E3791B">
        <w:t>allowance</w:t>
      </w:r>
      <w:r>
        <w:t>s</w:t>
      </w:r>
      <w:r w:rsidRPr="00E3791B">
        <w:t>;</w:t>
      </w:r>
      <w:proofErr w:type="gramEnd"/>
    </w:p>
    <w:p w14:paraId="3194A0A8" w14:textId="39C0086F" w:rsidR="00672CAA" w:rsidRPr="00E3791B" w:rsidRDefault="00672CAA" w:rsidP="00672CAA">
      <w:pPr>
        <w:pStyle w:val="Paragraph"/>
        <w:numPr>
          <w:ilvl w:val="0"/>
          <w:numId w:val="16"/>
        </w:numPr>
      </w:pPr>
      <w:r w:rsidRPr="00E3791B">
        <w:t xml:space="preserve">clothing </w:t>
      </w:r>
      <w:proofErr w:type="gramStart"/>
      <w:r w:rsidRPr="00E3791B">
        <w:t>allowance</w:t>
      </w:r>
      <w:r>
        <w:t>s</w:t>
      </w:r>
      <w:r w:rsidRPr="00E3791B">
        <w:t>;</w:t>
      </w:r>
      <w:proofErr w:type="gramEnd"/>
    </w:p>
    <w:p w14:paraId="2DE40920" w14:textId="675BB968" w:rsidR="00672CAA" w:rsidRPr="00457298" w:rsidRDefault="00672CAA" w:rsidP="00672CAA">
      <w:pPr>
        <w:pStyle w:val="Paragraph"/>
        <w:numPr>
          <w:ilvl w:val="0"/>
          <w:numId w:val="16"/>
        </w:numPr>
      </w:pPr>
      <w:r w:rsidRPr="00457298">
        <w:t xml:space="preserve">decoration </w:t>
      </w:r>
      <w:proofErr w:type="gramStart"/>
      <w:r w:rsidRPr="00457298">
        <w:t>allowances;</w:t>
      </w:r>
      <w:proofErr w:type="gramEnd"/>
    </w:p>
    <w:p w14:paraId="203EDE07" w14:textId="160FF0F5" w:rsidR="00672CAA" w:rsidRPr="00E3791B" w:rsidRDefault="00672CAA" w:rsidP="00672CAA">
      <w:pPr>
        <w:pStyle w:val="Paragraph"/>
        <w:numPr>
          <w:ilvl w:val="0"/>
          <w:numId w:val="16"/>
        </w:numPr>
      </w:pPr>
      <w:r w:rsidRPr="00E3791B">
        <w:t xml:space="preserve">disability compensation </w:t>
      </w:r>
      <w:proofErr w:type="gramStart"/>
      <w:r w:rsidRPr="00E3791B">
        <w:t>paymen</w:t>
      </w:r>
      <w:r>
        <w:t>ts</w:t>
      </w:r>
      <w:r w:rsidRPr="00E3791B">
        <w:t>;</w:t>
      </w:r>
      <w:proofErr w:type="gramEnd"/>
    </w:p>
    <w:p w14:paraId="26D87E5F" w14:textId="7A9BBA2B" w:rsidR="00672CAA" w:rsidRPr="00E3791B" w:rsidRDefault="00672CAA" w:rsidP="00672CAA">
      <w:pPr>
        <w:pStyle w:val="Paragraph"/>
        <w:numPr>
          <w:ilvl w:val="0"/>
          <w:numId w:val="16"/>
        </w:numPr>
      </w:pPr>
      <w:r w:rsidRPr="00E3791B">
        <w:t xml:space="preserve">income support </w:t>
      </w:r>
      <w:proofErr w:type="gramStart"/>
      <w:r w:rsidRPr="00E3791B">
        <w:t>supplement</w:t>
      </w:r>
      <w:r>
        <w:t>s</w:t>
      </w:r>
      <w:r w:rsidRPr="00E3791B">
        <w:t>;</w:t>
      </w:r>
      <w:proofErr w:type="gramEnd"/>
    </w:p>
    <w:p w14:paraId="5A74D575" w14:textId="5609CDDD" w:rsidR="00672CAA" w:rsidRDefault="00672CAA" w:rsidP="00672CAA">
      <w:pPr>
        <w:pStyle w:val="Paragraph"/>
        <w:numPr>
          <w:ilvl w:val="0"/>
          <w:numId w:val="16"/>
        </w:numPr>
      </w:pPr>
      <w:r>
        <w:t xml:space="preserve">pensions payable to dependants of </w:t>
      </w:r>
      <w:r w:rsidRPr="00E3791B">
        <w:t>deceased</w:t>
      </w:r>
      <w:r>
        <w:t xml:space="preserve"> </w:t>
      </w:r>
      <w:proofErr w:type="gramStart"/>
      <w:r w:rsidRPr="00E3791B">
        <w:t>veteran</w:t>
      </w:r>
      <w:r>
        <w:t>s</w:t>
      </w:r>
      <w:r w:rsidRPr="00E3791B">
        <w:t>;</w:t>
      </w:r>
      <w:proofErr w:type="gramEnd"/>
      <w:r>
        <w:t xml:space="preserve"> </w:t>
      </w:r>
    </w:p>
    <w:p w14:paraId="4F2DC644" w14:textId="0DBBE67A" w:rsidR="00672CAA" w:rsidRDefault="00672CAA" w:rsidP="00672CAA">
      <w:pPr>
        <w:pStyle w:val="Paragraph"/>
        <w:numPr>
          <w:ilvl w:val="0"/>
          <w:numId w:val="16"/>
        </w:numPr>
      </w:pPr>
      <w:r w:rsidRPr="00E3791B">
        <w:t xml:space="preserve">recreation transport </w:t>
      </w:r>
      <w:proofErr w:type="gramStart"/>
      <w:r w:rsidRPr="00E3791B">
        <w:t>allowance</w:t>
      </w:r>
      <w:r>
        <w:t>s</w:t>
      </w:r>
      <w:r w:rsidRPr="00E3791B">
        <w:t>;</w:t>
      </w:r>
      <w:proofErr w:type="gramEnd"/>
    </w:p>
    <w:p w14:paraId="2A1BF399" w14:textId="2B5A3965" w:rsidR="00672CAA" w:rsidRDefault="00672CAA" w:rsidP="00672CAA">
      <w:pPr>
        <w:pStyle w:val="Paragraph"/>
        <w:numPr>
          <w:ilvl w:val="0"/>
          <w:numId w:val="16"/>
        </w:numPr>
      </w:pPr>
      <w:r w:rsidRPr="00E3791B">
        <w:t xml:space="preserve">service </w:t>
      </w:r>
      <w:proofErr w:type="gramStart"/>
      <w:r w:rsidRPr="00E3791B">
        <w:t>pension</w:t>
      </w:r>
      <w:r>
        <w:t>s</w:t>
      </w:r>
      <w:r w:rsidRPr="00E3791B">
        <w:t>;</w:t>
      </w:r>
      <w:proofErr w:type="gramEnd"/>
    </w:p>
    <w:p w14:paraId="0D5D06B5" w14:textId="5CCC9434" w:rsidR="00672CAA" w:rsidRPr="00457298" w:rsidRDefault="00672CAA" w:rsidP="00672CAA">
      <w:pPr>
        <w:pStyle w:val="Paragraph"/>
        <w:numPr>
          <w:ilvl w:val="0"/>
          <w:numId w:val="16"/>
        </w:numPr>
      </w:pPr>
      <w:r>
        <w:t>v</w:t>
      </w:r>
      <w:r w:rsidRPr="00457298">
        <w:t xml:space="preserve">eteran </w:t>
      </w:r>
      <w:proofErr w:type="gramStart"/>
      <w:r>
        <w:t>p</w:t>
      </w:r>
      <w:r w:rsidRPr="00457298">
        <w:t>ayment;</w:t>
      </w:r>
      <w:proofErr w:type="gramEnd"/>
    </w:p>
    <w:p w14:paraId="5C39FFC2" w14:textId="4C2B49D1" w:rsidR="00672CAA" w:rsidRPr="00672CAA" w:rsidRDefault="00672CAA" w:rsidP="00100E44">
      <w:pPr>
        <w:pStyle w:val="Paragraph"/>
        <w:numPr>
          <w:ilvl w:val="0"/>
          <w:numId w:val="16"/>
        </w:numPr>
        <w:spacing w:after="240"/>
        <w:jc w:val="both"/>
        <w:rPr>
          <w:b/>
          <w:bCs/>
          <w:sz w:val="24"/>
          <w:szCs w:val="24"/>
        </w:rPr>
      </w:pPr>
      <w:r w:rsidRPr="00457298">
        <w:t>Veterans' Children Education Scheme allowances.</w:t>
      </w:r>
    </w:p>
    <w:p w14:paraId="3D7AF7F3" w14:textId="3C4FCB60" w:rsidR="00041F66" w:rsidRDefault="00041F66" w:rsidP="00EC3CFA">
      <w:pPr>
        <w:spacing w:after="240"/>
        <w:jc w:val="both"/>
        <w:rPr>
          <w:rFonts w:ascii="Times New Roman" w:hAnsi="Times New Roman" w:cs="Times New Roman"/>
          <w:sz w:val="24"/>
          <w:szCs w:val="24"/>
        </w:rPr>
      </w:pPr>
      <w:r w:rsidRPr="00041F66">
        <w:rPr>
          <w:rFonts w:ascii="Times New Roman" w:hAnsi="Times New Roman" w:cs="Times New Roman"/>
          <w:b/>
          <w:bCs/>
          <w:sz w:val="24"/>
          <w:szCs w:val="24"/>
        </w:rPr>
        <w:t>Section 7</w:t>
      </w:r>
      <w:r w:rsidRPr="00041F66">
        <w:rPr>
          <w:rFonts w:ascii="Times New Roman" w:hAnsi="Times New Roman" w:cs="Times New Roman"/>
          <w:sz w:val="24"/>
          <w:szCs w:val="24"/>
        </w:rPr>
        <w:t xml:space="preserve"> sets out the approved classes of payments.</w:t>
      </w:r>
      <w:r w:rsidR="00672CAA">
        <w:rPr>
          <w:rFonts w:ascii="Times New Roman" w:hAnsi="Times New Roman" w:cs="Times New Roman"/>
          <w:sz w:val="24"/>
          <w:szCs w:val="24"/>
        </w:rPr>
        <w:t xml:space="preserve">  These are:</w:t>
      </w:r>
    </w:p>
    <w:p w14:paraId="721036C5" w14:textId="4B09A5E4" w:rsidR="00672CAA" w:rsidRDefault="00672CAA" w:rsidP="00672CAA">
      <w:pPr>
        <w:pStyle w:val="ListParagraph"/>
        <w:numPr>
          <w:ilvl w:val="0"/>
          <w:numId w:val="15"/>
        </w:numPr>
        <w:spacing w:after="120"/>
        <w:rPr>
          <w:rFonts w:ascii="Times New Roman" w:hAnsi="Times New Roman" w:cs="Times New Roman"/>
          <w:sz w:val="24"/>
          <w:szCs w:val="24"/>
        </w:rPr>
      </w:pPr>
      <w:r>
        <w:rPr>
          <w:rFonts w:ascii="Times New Roman" w:hAnsi="Times New Roman" w:cs="Times New Roman"/>
          <w:sz w:val="24"/>
          <w:szCs w:val="24"/>
        </w:rPr>
        <w:t>payments to a State Housing Authority that are -</w:t>
      </w:r>
    </w:p>
    <w:p w14:paraId="5E16A288" w14:textId="5E62096B" w:rsidR="00672CAA" w:rsidRDefault="00672CAA" w:rsidP="00672CAA">
      <w:pPr>
        <w:pStyle w:val="ListParagraph"/>
        <w:numPr>
          <w:ilvl w:val="1"/>
          <w:numId w:val="15"/>
        </w:numPr>
        <w:spacing w:after="120"/>
        <w:rPr>
          <w:rFonts w:ascii="Times New Roman" w:hAnsi="Times New Roman" w:cs="Times New Roman"/>
          <w:sz w:val="24"/>
          <w:szCs w:val="24"/>
        </w:rPr>
      </w:pPr>
      <w:r>
        <w:rPr>
          <w:rFonts w:ascii="Times New Roman" w:hAnsi="Times New Roman" w:cs="Times New Roman"/>
          <w:sz w:val="24"/>
          <w:szCs w:val="24"/>
        </w:rPr>
        <w:t>payments of rent,</w:t>
      </w:r>
    </w:p>
    <w:p w14:paraId="25662F06" w14:textId="77777777" w:rsidR="00672CAA" w:rsidRDefault="00672CAA" w:rsidP="00672CAA">
      <w:pPr>
        <w:pStyle w:val="ListParagraph"/>
        <w:numPr>
          <w:ilvl w:val="1"/>
          <w:numId w:val="15"/>
        </w:numPr>
        <w:spacing w:after="120"/>
        <w:rPr>
          <w:rFonts w:ascii="Times New Roman" w:hAnsi="Times New Roman" w:cs="Times New Roman"/>
          <w:sz w:val="24"/>
          <w:szCs w:val="24"/>
        </w:rPr>
      </w:pPr>
      <w:r>
        <w:rPr>
          <w:rFonts w:ascii="Times New Roman" w:hAnsi="Times New Roman" w:cs="Times New Roman"/>
          <w:sz w:val="24"/>
          <w:szCs w:val="24"/>
        </w:rPr>
        <w:t>payments of principal or interest of loans, or</w:t>
      </w:r>
    </w:p>
    <w:p w14:paraId="5C26B712" w14:textId="77777777" w:rsidR="00672CAA" w:rsidRDefault="00672CAA" w:rsidP="00BA554F">
      <w:pPr>
        <w:pStyle w:val="ListParagraph"/>
        <w:numPr>
          <w:ilvl w:val="1"/>
          <w:numId w:val="15"/>
        </w:numPr>
        <w:spacing w:after="120"/>
        <w:ind w:left="1434" w:hanging="357"/>
        <w:contextualSpacing w:val="0"/>
        <w:rPr>
          <w:rFonts w:ascii="Times New Roman" w:hAnsi="Times New Roman" w:cs="Times New Roman"/>
          <w:sz w:val="24"/>
          <w:szCs w:val="24"/>
        </w:rPr>
      </w:pPr>
      <w:r>
        <w:rPr>
          <w:rFonts w:ascii="Times New Roman" w:hAnsi="Times New Roman" w:cs="Times New Roman"/>
          <w:sz w:val="24"/>
          <w:szCs w:val="24"/>
        </w:rPr>
        <w:t>payments of debts.</w:t>
      </w:r>
    </w:p>
    <w:p w14:paraId="544A08BA" w14:textId="6EC13138" w:rsidR="00672CAA" w:rsidRPr="00672CAA" w:rsidRDefault="00672CAA" w:rsidP="00672CAA">
      <w:pPr>
        <w:pStyle w:val="ListParagraph"/>
        <w:numPr>
          <w:ilvl w:val="0"/>
          <w:numId w:val="15"/>
        </w:numPr>
        <w:spacing w:after="120"/>
        <w:rPr>
          <w:rFonts w:ascii="Times New Roman" w:hAnsi="Times New Roman" w:cs="Times New Roman"/>
          <w:sz w:val="24"/>
          <w:szCs w:val="24"/>
        </w:rPr>
      </w:pPr>
      <w:r>
        <w:rPr>
          <w:rFonts w:ascii="Times New Roman" w:hAnsi="Times New Roman" w:cs="Times New Roman"/>
          <w:sz w:val="24"/>
          <w:szCs w:val="24"/>
        </w:rPr>
        <w:t>p</w:t>
      </w:r>
      <w:r w:rsidRPr="00672CAA">
        <w:rPr>
          <w:rFonts w:ascii="Times New Roman" w:hAnsi="Times New Roman" w:cs="Times New Roman"/>
          <w:sz w:val="24"/>
          <w:szCs w:val="24"/>
        </w:rPr>
        <w:t>ayments to Westpac Banking Corporation that ar</w:t>
      </w:r>
      <w:r>
        <w:rPr>
          <w:rFonts w:ascii="Times New Roman" w:hAnsi="Times New Roman" w:cs="Times New Roman"/>
          <w:sz w:val="24"/>
          <w:szCs w:val="24"/>
        </w:rPr>
        <w:t>e -</w:t>
      </w:r>
    </w:p>
    <w:p w14:paraId="373DA395" w14:textId="77777777" w:rsidR="00672CAA" w:rsidRDefault="00672CAA" w:rsidP="00672CAA">
      <w:pPr>
        <w:pStyle w:val="ListParagraph"/>
        <w:numPr>
          <w:ilvl w:val="1"/>
          <w:numId w:val="15"/>
        </w:numPr>
        <w:spacing w:after="120"/>
        <w:rPr>
          <w:rFonts w:ascii="Times New Roman" w:hAnsi="Times New Roman" w:cs="Times New Roman"/>
          <w:sz w:val="24"/>
          <w:szCs w:val="24"/>
        </w:rPr>
      </w:pPr>
      <w:r>
        <w:rPr>
          <w:rFonts w:ascii="Times New Roman" w:hAnsi="Times New Roman" w:cs="Times New Roman"/>
          <w:sz w:val="24"/>
          <w:szCs w:val="24"/>
        </w:rPr>
        <w:t>payments for principal or interest of a loan, or</w:t>
      </w:r>
    </w:p>
    <w:p w14:paraId="52B96711" w14:textId="77777777" w:rsidR="00672CAA" w:rsidRPr="00F52DA7" w:rsidRDefault="00672CAA" w:rsidP="00672CAA">
      <w:pPr>
        <w:pStyle w:val="ListParagraph"/>
        <w:numPr>
          <w:ilvl w:val="1"/>
          <w:numId w:val="15"/>
        </w:numPr>
        <w:spacing w:after="240"/>
        <w:ind w:left="1434" w:hanging="357"/>
        <w:contextualSpacing w:val="0"/>
        <w:rPr>
          <w:rFonts w:ascii="Times New Roman" w:hAnsi="Times New Roman" w:cs="Times New Roman"/>
          <w:sz w:val="24"/>
          <w:szCs w:val="24"/>
        </w:rPr>
      </w:pPr>
      <w:r>
        <w:rPr>
          <w:rFonts w:ascii="Times New Roman" w:hAnsi="Times New Roman" w:cs="Times New Roman"/>
          <w:sz w:val="24"/>
          <w:szCs w:val="24"/>
        </w:rPr>
        <w:t>payments of insurance premiums.</w:t>
      </w:r>
    </w:p>
    <w:p w14:paraId="3AD8AA65" w14:textId="77777777" w:rsidR="00F4449B" w:rsidRPr="00176748" w:rsidRDefault="00F4449B" w:rsidP="00176748">
      <w:pPr>
        <w:pStyle w:val="Title"/>
        <w:keepNext/>
        <w:spacing w:after="120" w:line="276" w:lineRule="auto"/>
        <w:jc w:val="both"/>
        <w:rPr>
          <w:rFonts w:ascii="Times New Roman" w:hAnsi="Times New Roman" w:cs="Times New Roman"/>
        </w:rPr>
      </w:pPr>
      <w:r w:rsidRPr="00176748">
        <w:rPr>
          <w:rFonts w:ascii="Times New Roman" w:hAnsi="Times New Roman" w:cs="Times New Roman"/>
        </w:rPr>
        <w:lastRenderedPageBreak/>
        <w:t>Consultation</w:t>
      </w:r>
    </w:p>
    <w:p w14:paraId="0543B90B" w14:textId="5B9D0FDA" w:rsidR="00BA554F" w:rsidRDefault="00BA554F" w:rsidP="00BA554F">
      <w:pPr>
        <w:pStyle w:val="Title"/>
        <w:keepNext/>
        <w:spacing w:after="240" w:line="276" w:lineRule="auto"/>
        <w:jc w:val="both"/>
        <w:rPr>
          <w:rFonts w:ascii="Times New Roman" w:hAnsi="Times New Roman" w:cs="Times New Roman"/>
          <w:b w:val="0"/>
          <w:bCs w:val="0"/>
        </w:rPr>
      </w:pPr>
      <w:r w:rsidRPr="00BA554F">
        <w:rPr>
          <w:rFonts w:ascii="Times New Roman" w:hAnsi="Times New Roman" w:cs="Times New Roman"/>
          <w:b w:val="0"/>
          <w:bCs w:val="0"/>
        </w:rPr>
        <w:t xml:space="preserve">In remaking the instrument, no policy changes have been made. The instrument is </w:t>
      </w:r>
      <w:r>
        <w:rPr>
          <w:rFonts w:ascii="Times New Roman" w:hAnsi="Times New Roman" w:cs="Times New Roman"/>
          <w:b w:val="0"/>
          <w:bCs w:val="0"/>
        </w:rPr>
        <w:t xml:space="preserve">essentially </w:t>
      </w:r>
      <w:r w:rsidRPr="00BA554F">
        <w:rPr>
          <w:rFonts w:ascii="Times New Roman" w:hAnsi="Times New Roman" w:cs="Times New Roman"/>
          <w:b w:val="0"/>
          <w:bCs w:val="0"/>
        </w:rPr>
        <w:t>the same in substance as the one it is replacing</w:t>
      </w:r>
      <w:r>
        <w:rPr>
          <w:rFonts w:ascii="Times New Roman" w:hAnsi="Times New Roman" w:cs="Times New Roman"/>
          <w:b w:val="0"/>
          <w:bCs w:val="0"/>
        </w:rPr>
        <w:t xml:space="preserve">, </w:t>
      </w:r>
      <w:r w:rsidRPr="00BA554F">
        <w:rPr>
          <w:rFonts w:ascii="Times New Roman" w:hAnsi="Times New Roman" w:cs="Times New Roman"/>
          <w:b w:val="0"/>
          <w:bCs w:val="0"/>
        </w:rPr>
        <w:t>which is due to sunset on 1 October 2025</w:t>
      </w:r>
      <w:r>
        <w:rPr>
          <w:rFonts w:ascii="Times New Roman" w:hAnsi="Times New Roman" w:cs="Times New Roman"/>
          <w:b w:val="0"/>
          <w:bCs w:val="0"/>
        </w:rPr>
        <w:t xml:space="preserve">, </w:t>
      </w:r>
      <w:r w:rsidR="00CE6639">
        <w:rPr>
          <w:rFonts w:ascii="Times New Roman" w:hAnsi="Times New Roman" w:cs="Times New Roman"/>
          <w:b w:val="0"/>
          <w:bCs w:val="0"/>
        </w:rPr>
        <w:t>except</w:t>
      </w:r>
      <w:r w:rsidR="00CE6639" w:rsidRPr="00BA554F">
        <w:rPr>
          <w:rFonts w:ascii="Times New Roman" w:hAnsi="Times New Roman" w:cs="Times New Roman"/>
          <w:b w:val="0"/>
          <w:bCs w:val="0"/>
        </w:rPr>
        <w:t xml:space="preserve"> </w:t>
      </w:r>
      <w:r w:rsidR="00CE6639">
        <w:rPr>
          <w:rFonts w:ascii="Times New Roman" w:hAnsi="Times New Roman" w:cs="Times New Roman"/>
          <w:b w:val="0"/>
          <w:bCs w:val="0"/>
        </w:rPr>
        <w:t>for</w:t>
      </w:r>
      <w:r w:rsidR="00CE6639" w:rsidRPr="00BA554F">
        <w:rPr>
          <w:rFonts w:ascii="Times New Roman" w:hAnsi="Times New Roman" w:cs="Times New Roman"/>
          <w:b w:val="0"/>
          <w:bCs w:val="0"/>
        </w:rPr>
        <w:t xml:space="preserve"> </w:t>
      </w:r>
      <w:r w:rsidRPr="00BA554F">
        <w:rPr>
          <w:rFonts w:ascii="Times New Roman" w:hAnsi="Times New Roman" w:cs="Times New Roman"/>
          <w:b w:val="0"/>
          <w:bCs w:val="0"/>
        </w:rPr>
        <w:t xml:space="preserve">the addition of veteran payment in the approved classes of pensions, allowances and pecuniary benefits from which deductions may be made under the Act. </w:t>
      </w:r>
      <w:r w:rsidR="00E11C5B">
        <w:rPr>
          <w:rFonts w:ascii="Times New Roman" w:hAnsi="Times New Roman" w:cs="Times New Roman"/>
          <w:b w:val="0"/>
          <w:bCs w:val="0"/>
        </w:rPr>
        <w:t>The instrument</w:t>
      </w:r>
      <w:r w:rsidR="00E11C5B" w:rsidRPr="00BA554F">
        <w:rPr>
          <w:rFonts w:ascii="Times New Roman" w:hAnsi="Times New Roman" w:cs="Times New Roman"/>
          <w:b w:val="0"/>
          <w:bCs w:val="0"/>
        </w:rPr>
        <w:t xml:space="preserve"> </w:t>
      </w:r>
      <w:r w:rsidRPr="00BA554F">
        <w:rPr>
          <w:rFonts w:ascii="Times New Roman" w:hAnsi="Times New Roman" w:cs="Times New Roman"/>
          <w:b w:val="0"/>
          <w:bCs w:val="0"/>
        </w:rPr>
        <w:t xml:space="preserve">maintains the policy intent set out in the sunsetting instrument. Consequently, DVA </w:t>
      </w:r>
      <w:r w:rsidR="00CE6639">
        <w:rPr>
          <w:rFonts w:ascii="Times New Roman" w:hAnsi="Times New Roman" w:cs="Times New Roman"/>
          <w:b w:val="0"/>
          <w:bCs w:val="0"/>
        </w:rPr>
        <w:t xml:space="preserve">did </w:t>
      </w:r>
      <w:r w:rsidRPr="00BA554F">
        <w:rPr>
          <w:rFonts w:ascii="Times New Roman" w:hAnsi="Times New Roman" w:cs="Times New Roman"/>
          <w:b w:val="0"/>
          <w:bCs w:val="0"/>
        </w:rPr>
        <w:t>not consult directly with individuals likely to be affected by the remake of the instrument, as it was not considered necessary given the remake is administrative in nature, to prevent the instrument from arbitrarily sunsetting on 1 October 2025.</w:t>
      </w:r>
    </w:p>
    <w:p w14:paraId="197BCE4A" w14:textId="22111AF4" w:rsidR="0003444A" w:rsidRPr="00176748" w:rsidRDefault="0003444A" w:rsidP="00176748">
      <w:pPr>
        <w:pStyle w:val="Title"/>
        <w:keepNext/>
        <w:spacing w:after="120" w:line="276" w:lineRule="auto"/>
        <w:jc w:val="both"/>
        <w:rPr>
          <w:rFonts w:ascii="Times New Roman" w:hAnsi="Times New Roman" w:cs="Times New Roman"/>
        </w:rPr>
      </w:pPr>
      <w:r w:rsidRPr="00176748">
        <w:rPr>
          <w:rFonts w:ascii="Times New Roman" w:hAnsi="Times New Roman" w:cs="Times New Roman"/>
        </w:rPr>
        <w:t>Human rights implications</w:t>
      </w:r>
    </w:p>
    <w:p w14:paraId="3DA5B796" w14:textId="09879466" w:rsidR="0003444A" w:rsidRPr="005853A9" w:rsidRDefault="0003444A" w:rsidP="00176748">
      <w:pPr>
        <w:pStyle w:val="LDBodytext"/>
        <w:spacing w:before="0" w:after="240"/>
        <w:jc w:val="both"/>
      </w:pPr>
      <w:r w:rsidRPr="005853A9">
        <w:t xml:space="preserve">This </w:t>
      </w:r>
      <w:r w:rsidR="00BA554F">
        <w:t>i</w:t>
      </w:r>
      <w:r w:rsidRPr="005853A9">
        <w:t xml:space="preserve">nstrument is compatible with the human rights and freedoms recognised or declared under section 3 of the </w:t>
      </w:r>
      <w:r w:rsidRPr="005853A9">
        <w:rPr>
          <w:i/>
        </w:rPr>
        <w:t>Human Rights (Parliamentary Scrutiny) Act 2011</w:t>
      </w:r>
      <w:r w:rsidRPr="005853A9">
        <w:t xml:space="preserve">. A full statement of compatibility is set out in </w:t>
      </w:r>
      <w:r w:rsidRPr="005853A9">
        <w:rPr>
          <w:b/>
          <w:u w:val="single"/>
        </w:rPr>
        <w:t>Attachment A.</w:t>
      </w:r>
    </w:p>
    <w:p w14:paraId="1980D301" w14:textId="77777777" w:rsidR="0003444A" w:rsidRPr="00176748" w:rsidRDefault="0003444A" w:rsidP="00176748">
      <w:pPr>
        <w:pStyle w:val="Title"/>
        <w:keepNext/>
        <w:spacing w:after="120" w:line="276" w:lineRule="auto"/>
        <w:jc w:val="both"/>
        <w:rPr>
          <w:rFonts w:ascii="Times New Roman" w:hAnsi="Times New Roman" w:cs="Times New Roman"/>
        </w:rPr>
      </w:pPr>
      <w:r w:rsidRPr="00176748">
        <w:rPr>
          <w:rFonts w:ascii="Times New Roman" w:hAnsi="Times New Roman" w:cs="Times New Roman"/>
        </w:rPr>
        <w:t>Making the instrument</w:t>
      </w:r>
    </w:p>
    <w:p w14:paraId="7E2B9B36" w14:textId="7D796EFB" w:rsidR="0003444A" w:rsidRDefault="0003444A" w:rsidP="00176748">
      <w:pPr>
        <w:pStyle w:val="LDBodytext"/>
        <w:spacing w:before="0" w:after="240"/>
        <w:jc w:val="both"/>
      </w:pPr>
      <w:r w:rsidRPr="005853A9">
        <w:t xml:space="preserve">The instrument is made by the </w:t>
      </w:r>
      <w:r w:rsidR="00DA69BF">
        <w:t>Repatriation Commission.</w:t>
      </w:r>
    </w:p>
    <w:p w14:paraId="1346F9FB" w14:textId="7235EC97" w:rsidR="002C75BC" w:rsidRDefault="002C75BC" w:rsidP="00176748">
      <w:pPr>
        <w:pStyle w:val="LDBodytext"/>
        <w:spacing w:before="0" w:after="240"/>
        <w:jc w:val="both"/>
      </w:pPr>
      <w:r>
        <w:rPr>
          <w:b/>
          <w:bCs/>
        </w:rPr>
        <w:t>Approved by</w:t>
      </w:r>
    </w:p>
    <w:p w14:paraId="4DD55883" w14:textId="69112D1A" w:rsidR="002C75BC" w:rsidRPr="006529DD" w:rsidRDefault="006529DD" w:rsidP="002C75BC">
      <w:pPr>
        <w:pStyle w:val="NoSpacing"/>
        <w:rPr>
          <w:rFonts w:ascii="Times New Roman" w:eastAsia="Times New Roman" w:hAnsi="Times New Roman" w:cs="Times New Roman"/>
          <w:sz w:val="24"/>
          <w:szCs w:val="24"/>
        </w:rPr>
      </w:pPr>
      <w:r w:rsidRPr="006529DD">
        <w:rPr>
          <w:rFonts w:ascii="Times New Roman" w:eastAsia="Times New Roman" w:hAnsi="Times New Roman" w:cs="Times New Roman"/>
          <w:sz w:val="24"/>
          <w:szCs w:val="24"/>
        </w:rPr>
        <w:t>Repatriation Commission</w:t>
      </w:r>
    </w:p>
    <w:p w14:paraId="79D5473E" w14:textId="668D7E0A" w:rsidR="002C75BC" w:rsidRPr="002C75BC" w:rsidRDefault="002C75BC" w:rsidP="002C75BC">
      <w:pPr>
        <w:pStyle w:val="NoSpacing"/>
        <w:rPr>
          <w:rFonts w:ascii="Times New Roman" w:hAnsi="Times New Roman" w:cs="Times New Roman"/>
          <w:sz w:val="24"/>
          <w:szCs w:val="24"/>
        </w:rPr>
      </w:pPr>
      <w:r w:rsidRPr="002C75BC">
        <w:rPr>
          <w:rFonts w:ascii="Times New Roman" w:hAnsi="Times New Roman" w:cs="Times New Roman"/>
          <w:sz w:val="24"/>
          <w:szCs w:val="24"/>
        </w:rPr>
        <w:t>Rule-maker</w:t>
      </w:r>
    </w:p>
    <w:p w14:paraId="69EE5C41" w14:textId="77777777" w:rsidR="0003444A" w:rsidRPr="005853A9" w:rsidRDefault="0003444A" w:rsidP="00176748">
      <w:pPr>
        <w:spacing w:after="240"/>
        <w:jc w:val="both"/>
        <w:rPr>
          <w:rFonts w:ascii="Times New Roman" w:hAnsi="Times New Roman" w:cs="Times New Roman"/>
        </w:rPr>
      </w:pPr>
      <w:r w:rsidRPr="005853A9">
        <w:rPr>
          <w:rFonts w:ascii="Times New Roman" w:hAnsi="Times New Roman" w:cs="Times New Roman"/>
        </w:rPr>
        <w:br w:type="page"/>
      </w:r>
    </w:p>
    <w:p w14:paraId="78560A58" w14:textId="77777777" w:rsidR="0003444A" w:rsidRPr="00216E4F" w:rsidRDefault="0003444A" w:rsidP="00176748">
      <w:pPr>
        <w:pStyle w:val="Title"/>
        <w:spacing w:after="240"/>
        <w:jc w:val="both"/>
        <w:rPr>
          <w:u w:val="single"/>
        </w:rPr>
      </w:pPr>
      <w:r w:rsidRPr="00216E4F">
        <w:rPr>
          <w:u w:val="single"/>
        </w:rPr>
        <w:t>Attachment A</w:t>
      </w:r>
    </w:p>
    <w:p w14:paraId="4AC3F50B" w14:textId="77777777" w:rsidR="0003444A" w:rsidRDefault="0003444A" w:rsidP="00176748">
      <w:pPr>
        <w:pStyle w:val="Title"/>
        <w:spacing w:after="240"/>
        <w:jc w:val="both"/>
      </w:pPr>
      <w:r>
        <w:t>Statement of Compatibility with Human Rights</w:t>
      </w:r>
    </w:p>
    <w:p w14:paraId="5A9C7F43" w14:textId="77777777" w:rsidR="0003444A" w:rsidRDefault="0003444A" w:rsidP="00176748">
      <w:pPr>
        <w:spacing w:after="240" w:line="240" w:lineRule="auto"/>
        <w:jc w:val="both"/>
        <w:rPr>
          <w:rFonts w:ascii="Times New Roman" w:hAnsi="Times New Roman"/>
          <w:sz w:val="24"/>
          <w:szCs w:val="24"/>
        </w:rPr>
      </w:pPr>
      <w:r>
        <w:rPr>
          <w:rFonts w:ascii="Times New Roman" w:hAnsi="Times New Roman"/>
          <w:i/>
          <w:sz w:val="24"/>
          <w:szCs w:val="24"/>
        </w:rPr>
        <w:t>Prepared in accordance with Part 3 of the Human Rights (Parliamentary Scrutiny) Act 2011</w:t>
      </w:r>
    </w:p>
    <w:p w14:paraId="76CC23E1" w14:textId="77777777" w:rsidR="00053D64" w:rsidRDefault="00053D64" w:rsidP="00176748">
      <w:pPr>
        <w:spacing w:after="240" w:line="240" w:lineRule="auto"/>
        <w:jc w:val="both"/>
        <w:rPr>
          <w:rFonts w:ascii="Times New Roman" w:eastAsia="Times New Roman" w:hAnsi="Times New Roman" w:cs="Times New Roman"/>
          <w:b/>
          <w:bCs/>
          <w:i/>
          <w:sz w:val="24"/>
          <w:szCs w:val="24"/>
        </w:rPr>
      </w:pPr>
      <w:r w:rsidRPr="00053D64">
        <w:rPr>
          <w:rFonts w:ascii="Times New Roman" w:eastAsia="Times New Roman" w:hAnsi="Times New Roman" w:cs="Times New Roman"/>
          <w:b/>
          <w:bCs/>
          <w:i/>
          <w:sz w:val="24"/>
          <w:szCs w:val="24"/>
        </w:rPr>
        <w:t>Veterans’ Entitlements (Direct Deductions Arrangements) Approval 2025</w:t>
      </w:r>
    </w:p>
    <w:p w14:paraId="1C7DECAA" w14:textId="1168A69A" w:rsidR="0003444A" w:rsidRDefault="0003444A" w:rsidP="00176748">
      <w:pPr>
        <w:spacing w:after="240" w:line="240" w:lineRule="auto"/>
        <w:jc w:val="both"/>
        <w:rPr>
          <w:rFonts w:ascii="Times New Roman" w:hAnsi="Times New Roman" w:cs="Times New Roman"/>
          <w:sz w:val="24"/>
          <w:szCs w:val="24"/>
        </w:rPr>
      </w:pPr>
      <w:r w:rsidRPr="00075DC2">
        <w:rPr>
          <w:rFonts w:ascii="Times New Roman" w:hAnsi="Times New Roman" w:cs="Times New Roman"/>
          <w:sz w:val="24"/>
          <w:szCs w:val="24"/>
        </w:rPr>
        <w:t>This</w:t>
      </w:r>
      <w:r>
        <w:rPr>
          <w:rFonts w:ascii="Times New Roman" w:hAnsi="Times New Roman" w:cs="Times New Roman"/>
          <w:sz w:val="24"/>
          <w:szCs w:val="24"/>
        </w:rPr>
        <w:t xml:space="preserve"> Disallowable Legislative Instrument </w:t>
      </w:r>
      <w:r w:rsidRPr="00075DC2">
        <w:rPr>
          <w:rFonts w:ascii="Times New Roman" w:hAnsi="Times New Roman" w:cs="Times New Roman"/>
          <w:sz w:val="24"/>
          <w:szCs w:val="24"/>
        </w:rPr>
        <w:t xml:space="preserve">is compatible with the human rights and freedoms recognised or declared in the international instruments listed in section 3 of the </w:t>
      </w:r>
      <w:r w:rsidRPr="00075DC2">
        <w:rPr>
          <w:rFonts w:ascii="Times New Roman" w:hAnsi="Times New Roman" w:cs="Times New Roman"/>
          <w:i/>
          <w:sz w:val="24"/>
          <w:szCs w:val="24"/>
        </w:rPr>
        <w:t>Human Rights (Parliamentary Scrutiny) Act 2011</w:t>
      </w:r>
      <w:r>
        <w:rPr>
          <w:rFonts w:ascii="Times New Roman" w:hAnsi="Times New Roman" w:cs="Times New Roman"/>
          <w:sz w:val="24"/>
          <w:szCs w:val="24"/>
        </w:rPr>
        <w:t xml:space="preserve"> (the </w:t>
      </w:r>
      <w:r>
        <w:rPr>
          <w:rFonts w:ascii="Times New Roman" w:hAnsi="Times New Roman" w:cs="Times New Roman"/>
          <w:b/>
          <w:i/>
          <w:sz w:val="24"/>
          <w:szCs w:val="24"/>
        </w:rPr>
        <w:t>recognised rights</w:t>
      </w:r>
      <w:r>
        <w:rPr>
          <w:rFonts w:ascii="Times New Roman" w:hAnsi="Times New Roman" w:cs="Times New Roman"/>
          <w:sz w:val="24"/>
          <w:szCs w:val="24"/>
        </w:rPr>
        <w:t>)</w:t>
      </w:r>
      <w:r w:rsidRPr="00075DC2">
        <w:rPr>
          <w:rFonts w:ascii="Times New Roman" w:hAnsi="Times New Roman" w:cs="Times New Roman"/>
          <w:sz w:val="24"/>
          <w:szCs w:val="24"/>
        </w:rPr>
        <w:t>.</w:t>
      </w:r>
    </w:p>
    <w:p w14:paraId="25ECE617" w14:textId="77777777" w:rsidR="0003444A" w:rsidRPr="00591AC4" w:rsidRDefault="0003444A" w:rsidP="00176748">
      <w:pPr>
        <w:spacing w:after="240" w:line="240" w:lineRule="auto"/>
        <w:jc w:val="both"/>
        <w:rPr>
          <w:rFonts w:ascii="Times New Roman" w:hAnsi="Times New Roman" w:cs="Times New Roman"/>
          <w:b/>
          <w:sz w:val="24"/>
          <w:szCs w:val="24"/>
        </w:rPr>
      </w:pPr>
      <w:r w:rsidRPr="00591AC4">
        <w:rPr>
          <w:rFonts w:ascii="Times New Roman" w:hAnsi="Times New Roman" w:cs="Times New Roman"/>
          <w:b/>
          <w:sz w:val="24"/>
          <w:szCs w:val="24"/>
        </w:rPr>
        <w:t xml:space="preserve">Overview of the Disallowable Legislative Instrument </w:t>
      </w:r>
    </w:p>
    <w:p w14:paraId="456C05EE" w14:textId="77777777" w:rsidR="00D1696E" w:rsidRDefault="00D1696E" w:rsidP="00176748">
      <w:pPr>
        <w:spacing w:after="240" w:line="240" w:lineRule="auto"/>
        <w:jc w:val="both"/>
        <w:rPr>
          <w:rFonts w:ascii="Times New Roman" w:hAnsi="Times New Roman" w:cs="Times New Roman"/>
          <w:sz w:val="24"/>
          <w:szCs w:val="24"/>
        </w:rPr>
      </w:pPr>
      <w:r w:rsidRPr="00D1696E">
        <w:rPr>
          <w:rFonts w:ascii="Times New Roman" w:hAnsi="Times New Roman" w:cs="Times New Roman"/>
          <w:sz w:val="24"/>
          <w:szCs w:val="24"/>
        </w:rPr>
        <w:t xml:space="preserve">The </w:t>
      </w:r>
      <w:r w:rsidRPr="00D1696E">
        <w:rPr>
          <w:rFonts w:ascii="Times New Roman" w:hAnsi="Times New Roman" w:cs="Times New Roman"/>
          <w:i/>
          <w:iCs/>
          <w:sz w:val="24"/>
          <w:szCs w:val="24"/>
        </w:rPr>
        <w:t xml:space="preserve">Veterans’ Entitlements (Direct Deductions Arrangements) Approval 2025 </w:t>
      </w:r>
      <w:r w:rsidRPr="00D1696E">
        <w:rPr>
          <w:rFonts w:ascii="Times New Roman" w:hAnsi="Times New Roman" w:cs="Times New Roman"/>
          <w:sz w:val="24"/>
          <w:szCs w:val="24"/>
        </w:rPr>
        <w:t xml:space="preserve">(the </w:t>
      </w:r>
      <w:r w:rsidRPr="00D1696E">
        <w:rPr>
          <w:rFonts w:ascii="Times New Roman" w:hAnsi="Times New Roman" w:cs="Times New Roman"/>
          <w:b/>
          <w:bCs/>
          <w:i/>
          <w:iCs/>
          <w:sz w:val="24"/>
          <w:szCs w:val="24"/>
        </w:rPr>
        <w:t>instrument</w:t>
      </w:r>
      <w:r w:rsidRPr="00D1696E">
        <w:rPr>
          <w:rFonts w:ascii="Times New Roman" w:hAnsi="Times New Roman" w:cs="Times New Roman"/>
          <w:sz w:val="24"/>
          <w:szCs w:val="24"/>
        </w:rPr>
        <w:t xml:space="preserve">) repeals the </w:t>
      </w:r>
      <w:r w:rsidRPr="00D1696E">
        <w:rPr>
          <w:rFonts w:ascii="Times New Roman" w:hAnsi="Times New Roman" w:cs="Times New Roman"/>
          <w:i/>
          <w:iCs/>
          <w:sz w:val="24"/>
          <w:szCs w:val="24"/>
        </w:rPr>
        <w:t xml:space="preserve">Veterans’ Entitlements (Direct Deductions Arrangements) Instrument 2015 </w:t>
      </w:r>
      <w:r w:rsidRPr="00D1696E">
        <w:rPr>
          <w:rFonts w:ascii="Times New Roman" w:hAnsi="Times New Roman" w:cs="Times New Roman"/>
          <w:sz w:val="24"/>
          <w:szCs w:val="24"/>
        </w:rPr>
        <w:t xml:space="preserve">and makes a new instrument in similar terms. The instrument approves classes of payments that, under section 122B of the Act, a person might request the Commission to pay on their behalf via deductions from instalments of their pension, allowance or other pecuniary benefits they receive under the Act. The approved classes of payments are certain housing related payments to a State Housing Authority and to the Westpac Banking Corporation. The approved classes of </w:t>
      </w:r>
      <w:r w:rsidRPr="009C46A6">
        <w:rPr>
          <w:rFonts w:ascii="Times New Roman" w:hAnsi="Times New Roman" w:cs="Arial"/>
          <w:bCs/>
          <w:sz w:val="24"/>
          <w:szCs w:val="24"/>
        </w:rPr>
        <w:t>payments</w:t>
      </w:r>
      <w:r w:rsidRPr="00D1696E">
        <w:rPr>
          <w:rFonts w:ascii="Times New Roman" w:hAnsi="Times New Roman" w:cs="Times New Roman"/>
          <w:sz w:val="24"/>
          <w:szCs w:val="24"/>
        </w:rPr>
        <w:t xml:space="preserve"> to a State Housing Authority include debts to a State Housing Authority, as distinct from payments of rent or payments of principal or interest of loans. This ensures that if a person has a debt with a State Housing Authority, the person may request the Commission to pay the debt via deductions from periodic payments they receive under the Act. The approved classes of payments to the Westpac Banking Corporation includes payments of principal or interest of loans or payments of insurance premiums. This ensures that if a person has a subsidised home loan through the Defence Service Home Loans Scheme, the person may request the Commission to pay payments of principal or interest of loans or payments of insurance premiums to the Westpac Banking Corporation on their behalf. The instrument has been updated to include the veteran payment in the approved classes of pensions, allowances and pecuniary benefits from which deductions can be made under the Act. This is because the veteran payment is a new benefit under the Act since the instrument was last re-made. </w:t>
      </w:r>
    </w:p>
    <w:p w14:paraId="1D3F9994" w14:textId="2395D07D" w:rsidR="0003444A" w:rsidRPr="00591AC4" w:rsidRDefault="0003444A" w:rsidP="00176748">
      <w:pPr>
        <w:spacing w:after="240" w:line="240" w:lineRule="auto"/>
        <w:jc w:val="both"/>
        <w:rPr>
          <w:rFonts w:ascii="Times New Roman" w:hAnsi="Times New Roman" w:cs="Times New Roman"/>
          <w:b/>
          <w:sz w:val="24"/>
          <w:szCs w:val="24"/>
        </w:rPr>
      </w:pPr>
      <w:r w:rsidRPr="00591AC4">
        <w:rPr>
          <w:rFonts w:ascii="Times New Roman" w:hAnsi="Times New Roman" w:cs="Times New Roman"/>
          <w:b/>
          <w:sz w:val="24"/>
          <w:szCs w:val="24"/>
        </w:rPr>
        <w:t>Human rights implications</w:t>
      </w:r>
    </w:p>
    <w:p w14:paraId="4B3ECAA5" w14:textId="37ADA9B6" w:rsidR="003E2423" w:rsidRPr="007D5B3B" w:rsidRDefault="00EE7685" w:rsidP="003E2423">
      <w:pPr>
        <w:spacing w:after="240" w:line="240" w:lineRule="auto"/>
        <w:jc w:val="both"/>
        <w:rPr>
          <w:rFonts w:ascii="Times New Roman" w:hAnsi="Times New Roman" w:cs="Arial"/>
          <w:bCs/>
          <w:sz w:val="24"/>
          <w:szCs w:val="24"/>
        </w:rPr>
      </w:pPr>
      <w:r>
        <w:rPr>
          <w:rFonts w:ascii="Times New Roman" w:hAnsi="Times New Roman" w:cs="Arial"/>
          <w:bCs/>
          <w:sz w:val="24"/>
          <w:szCs w:val="24"/>
        </w:rPr>
        <w:t>The</w:t>
      </w:r>
      <w:r w:rsidRPr="007D5B3B">
        <w:rPr>
          <w:rFonts w:ascii="Times New Roman" w:hAnsi="Times New Roman" w:cs="Arial"/>
          <w:bCs/>
          <w:sz w:val="24"/>
          <w:szCs w:val="24"/>
        </w:rPr>
        <w:t xml:space="preserve"> </w:t>
      </w:r>
      <w:r w:rsidR="0028695B">
        <w:rPr>
          <w:rFonts w:ascii="Times New Roman" w:hAnsi="Times New Roman" w:cs="Arial"/>
          <w:bCs/>
          <w:sz w:val="24"/>
          <w:szCs w:val="24"/>
        </w:rPr>
        <w:t>l</w:t>
      </w:r>
      <w:r w:rsidR="003E2423" w:rsidRPr="007D5B3B">
        <w:rPr>
          <w:rFonts w:ascii="Times New Roman" w:hAnsi="Times New Roman" w:cs="Arial"/>
          <w:bCs/>
          <w:sz w:val="24"/>
          <w:szCs w:val="24"/>
        </w:rPr>
        <w:t xml:space="preserve">egislative </w:t>
      </w:r>
      <w:r w:rsidR="0028695B">
        <w:rPr>
          <w:rFonts w:ascii="Times New Roman" w:hAnsi="Times New Roman" w:cs="Arial"/>
          <w:bCs/>
          <w:sz w:val="24"/>
          <w:szCs w:val="24"/>
        </w:rPr>
        <w:t>i</w:t>
      </w:r>
      <w:r w:rsidR="003E2423" w:rsidRPr="007D5B3B">
        <w:rPr>
          <w:rFonts w:ascii="Times New Roman" w:hAnsi="Times New Roman" w:cs="Arial"/>
          <w:bCs/>
          <w:sz w:val="24"/>
          <w:szCs w:val="24"/>
        </w:rPr>
        <w:t>nstrument does not engage an applicable right or freedom.  It relates to the Right to Social Security contained in article 9 of the International Covenant on Economic Social and Cultural Rights.</w:t>
      </w:r>
    </w:p>
    <w:p w14:paraId="42F0F794" w14:textId="466F7CA5" w:rsidR="003E2423" w:rsidRDefault="003E2423" w:rsidP="003E2423">
      <w:pPr>
        <w:spacing w:after="240" w:line="240" w:lineRule="auto"/>
        <w:jc w:val="both"/>
        <w:rPr>
          <w:rFonts w:ascii="Times New Roman" w:hAnsi="Times New Roman" w:cs="Arial"/>
          <w:bCs/>
          <w:sz w:val="24"/>
          <w:szCs w:val="24"/>
        </w:rPr>
      </w:pPr>
      <w:r w:rsidRPr="007D5B3B">
        <w:rPr>
          <w:rFonts w:ascii="Times New Roman" w:hAnsi="Times New Roman" w:cs="Arial"/>
          <w:bCs/>
          <w:sz w:val="24"/>
          <w:szCs w:val="24"/>
        </w:rPr>
        <w:t xml:space="preserve">The Right to Social Security is engaged and promoted by the </w:t>
      </w:r>
      <w:r w:rsidR="00C6570D">
        <w:rPr>
          <w:rFonts w:ascii="Times New Roman" w:hAnsi="Times New Roman" w:cs="Arial"/>
          <w:bCs/>
          <w:sz w:val="24"/>
          <w:szCs w:val="24"/>
        </w:rPr>
        <w:t>i</w:t>
      </w:r>
      <w:r w:rsidR="00C6570D" w:rsidRPr="007D5B3B">
        <w:rPr>
          <w:rFonts w:ascii="Times New Roman" w:hAnsi="Times New Roman" w:cs="Arial"/>
          <w:bCs/>
          <w:sz w:val="24"/>
          <w:szCs w:val="24"/>
        </w:rPr>
        <w:t xml:space="preserve">nstrument </w:t>
      </w:r>
      <w:r w:rsidRPr="007D5B3B">
        <w:rPr>
          <w:rFonts w:ascii="Times New Roman" w:hAnsi="Times New Roman" w:cs="Arial"/>
          <w:bCs/>
          <w:sz w:val="24"/>
          <w:szCs w:val="24"/>
        </w:rPr>
        <w:t xml:space="preserve">in that it helps a person manage their financial affairs by enabling the </w:t>
      </w:r>
      <w:r w:rsidRPr="0036349D">
        <w:rPr>
          <w:rFonts w:ascii="Times New Roman" w:hAnsi="Times New Roman" w:cs="Arial"/>
          <w:bCs/>
          <w:sz w:val="24"/>
          <w:szCs w:val="24"/>
        </w:rPr>
        <w:t>Commission,</w:t>
      </w:r>
      <w:r w:rsidRPr="007D5B3B">
        <w:rPr>
          <w:rFonts w:ascii="Times New Roman" w:hAnsi="Times New Roman" w:cs="Arial"/>
          <w:bCs/>
          <w:sz w:val="24"/>
          <w:szCs w:val="24"/>
        </w:rPr>
        <w:t xml:space="preserve"> at the person’s request, to make deductions from the person’s pensions, allowances or pecuniary benefits under the</w:t>
      </w:r>
      <w:r w:rsidR="0028695B">
        <w:rPr>
          <w:rFonts w:ascii="Times New Roman" w:hAnsi="Times New Roman" w:cs="Arial"/>
          <w:bCs/>
          <w:sz w:val="24"/>
          <w:szCs w:val="24"/>
        </w:rPr>
        <w:t xml:space="preserve"> Act </w:t>
      </w:r>
      <w:r w:rsidRPr="007D5B3B">
        <w:rPr>
          <w:rFonts w:ascii="Times New Roman" w:hAnsi="Times New Roman" w:cs="Arial"/>
          <w:bCs/>
          <w:sz w:val="24"/>
          <w:szCs w:val="24"/>
        </w:rPr>
        <w:t xml:space="preserve">and make a payment on the person’s behalf, for example, </w:t>
      </w:r>
      <w:r w:rsidR="007D5B3B" w:rsidRPr="007D5B3B">
        <w:rPr>
          <w:rFonts w:ascii="Times New Roman" w:hAnsi="Times New Roman" w:cs="Arial"/>
          <w:bCs/>
          <w:sz w:val="24"/>
          <w:szCs w:val="24"/>
        </w:rPr>
        <w:t>rent to a State Housing Authority</w:t>
      </w:r>
      <w:r w:rsidR="0028695B">
        <w:rPr>
          <w:rFonts w:ascii="Times New Roman" w:hAnsi="Times New Roman" w:cs="Arial"/>
          <w:bCs/>
          <w:sz w:val="24"/>
          <w:szCs w:val="24"/>
        </w:rPr>
        <w:t xml:space="preserve"> or mortgage payments to the </w:t>
      </w:r>
      <w:r w:rsidR="0028695B" w:rsidRPr="0036349D">
        <w:rPr>
          <w:rFonts w:ascii="Times New Roman" w:hAnsi="Times New Roman" w:cs="Arial"/>
          <w:bCs/>
          <w:sz w:val="24"/>
          <w:szCs w:val="24"/>
        </w:rPr>
        <w:t xml:space="preserve">Westpac Banking </w:t>
      </w:r>
      <w:r w:rsidR="0036349D">
        <w:rPr>
          <w:rFonts w:ascii="Times New Roman" w:hAnsi="Times New Roman" w:cs="Arial"/>
          <w:bCs/>
          <w:sz w:val="24"/>
          <w:szCs w:val="24"/>
        </w:rPr>
        <w:t>Corporation</w:t>
      </w:r>
      <w:r w:rsidR="007D5B3B" w:rsidRPr="007D5B3B">
        <w:rPr>
          <w:rFonts w:ascii="Times New Roman" w:hAnsi="Times New Roman" w:cs="Arial"/>
          <w:bCs/>
          <w:sz w:val="24"/>
          <w:szCs w:val="24"/>
        </w:rPr>
        <w:t>.</w:t>
      </w:r>
    </w:p>
    <w:p w14:paraId="5BA5AFE9" w14:textId="2E524371" w:rsidR="00EE3914" w:rsidRPr="007D5B3B" w:rsidRDefault="00EE3914" w:rsidP="003E2423">
      <w:pPr>
        <w:spacing w:after="240" w:line="240" w:lineRule="auto"/>
        <w:jc w:val="both"/>
        <w:rPr>
          <w:rFonts w:ascii="Times New Roman" w:hAnsi="Times New Roman" w:cs="Arial"/>
          <w:bCs/>
          <w:sz w:val="24"/>
          <w:szCs w:val="24"/>
        </w:rPr>
      </w:pPr>
      <w:r w:rsidRPr="00EE3914">
        <w:rPr>
          <w:rFonts w:ascii="Times New Roman" w:hAnsi="Times New Roman" w:cs="Arial"/>
          <w:bCs/>
          <w:sz w:val="24"/>
          <w:szCs w:val="24"/>
        </w:rPr>
        <w:t>The instrument does not limit the rights to equality and non-discrimination. Although it only authorises payments to the Westpac Banking Corporation as opposed to other financial institutions, the aim of the instrument is to support a legislated agreement between the Commonwealth of Australia and the Westpac Banking Corporation to provide subsidised housing loans to veterans through the Defence Service Homes Loans Scheme. The instrument</w:t>
      </w:r>
      <w:r w:rsidR="005318EB">
        <w:rPr>
          <w:rFonts w:ascii="Times New Roman" w:hAnsi="Times New Roman" w:cs="Arial"/>
          <w:bCs/>
          <w:sz w:val="24"/>
          <w:szCs w:val="24"/>
        </w:rPr>
        <w:t xml:space="preserve"> </w:t>
      </w:r>
      <w:r w:rsidR="005318EB" w:rsidRPr="005318EB">
        <w:rPr>
          <w:rFonts w:ascii="Times New Roman" w:hAnsi="Times New Roman" w:cs="Arial"/>
          <w:bCs/>
          <w:sz w:val="24"/>
          <w:szCs w:val="24"/>
        </w:rPr>
        <w:t>does not seek to prevent a veteran doing business with other financial institutions. Rather, it offers a convenient method by which veterans can finance their loans under the Defence Home Loans Scheme.</w:t>
      </w:r>
    </w:p>
    <w:p w14:paraId="36EC7FD6" w14:textId="07197576" w:rsidR="00E01569" w:rsidRDefault="00E01569" w:rsidP="005318EB">
      <w:p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br/>
      </w:r>
    </w:p>
    <w:p w14:paraId="7BC6748E" w14:textId="0F792E28" w:rsidR="0003444A" w:rsidRPr="00FC02B8" w:rsidRDefault="0003444A" w:rsidP="00176748">
      <w:pPr>
        <w:spacing w:after="240" w:line="240" w:lineRule="auto"/>
        <w:jc w:val="both"/>
        <w:rPr>
          <w:rFonts w:ascii="Times New Roman" w:hAnsi="Times New Roman" w:cs="Times New Roman"/>
          <w:b/>
          <w:sz w:val="24"/>
          <w:szCs w:val="24"/>
        </w:rPr>
      </w:pPr>
      <w:r w:rsidRPr="00FC02B8">
        <w:rPr>
          <w:rFonts w:ascii="Times New Roman" w:hAnsi="Times New Roman" w:cs="Times New Roman"/>
          <w:b/>
          <w:sz w:val="24"/>
          <w:szCs w:val="24"/>
        </w:rPr>
        <w:t>Conclusion</w:t>
      </w:r>
    </w:p>
    <w:p w14:paraId="0060C4CF" w14:textId="30A17F25" w:rsidR="00CD1A7A" w:rsidRDefault="006F0D1F" w:rsidP="00CD1A7A">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The</w:t>
      </w:r>
      <w:r w:rsidR="00CD1A7A" w:rsidRPr="009E6150">
        <w:rPr>
          <w:rFonts w:ascii="Times New Roman" w:hAnsi="Times New Roman" w:cs="Times New Roman"/>
          <w:sz w:val="24"/>
          <w:szCs w:val="24"/>
        </w:rPr>
        <w:t xml:space="preserve"> instrument is compatible with the </w:t>
      </w:r>
      <w:r w:rsidR="00CD1A7A">
        <w:rPr>
          <w:rFonts w:ascii="Times New Roman" w:hAnsi="Times New Roman" w:cs="Times New Roman"/>
          <w:sz w:val="24"/>
          <w:szCs w:val="24"/>
        </w:rPr>
        <w:t xml:space="preserve">human rights. It engages the </w:t>
      </w:r>
      <w:r w:rsidR="00CD1A7A" w:rsidRPr="009E6150">
        <w:rPr>
          <w:rFonts w:ascii="Times New Roman" w:hAnsi="Times New Roman" w:cs="Times New Roman"/>
          <w:sz w:val="24"/>
          <w:szCs w:val="24"/>
        </w:rPr>
        <w:t xml:space="preserve">right to social security </w:t>
      </w:r>
      <w:r w:rsidR="00CD1A7A">
        <w:rPr>
          <w:rFonts w:ascii="Times New Roman" w:hAnsi="Times New Roman" w:cs="Times New Roman"/>
          <w:sz w:val="24"/>
          <w:szCs w:val="24"/>
        </w:rPr>
        <w:t xml:space="preserve">by </w:t>
      </w:r>
      <w:r w:rsidR="00CD1A7A" w:rsidRPr="009E6150">
        <w:rPr>
          <w:rFonts w:ascii="Times New Roman" w:hAnsi="Times New Roman" w:cs="Times New Roman"/>
          <w:sz w:val="24"/>
          <w:szCs w:val="24"/>
        </w:rPr>
        <w:t>assist</w:t>
      </w:r>
      <w:r w:rsidR="00CD1A7A">
        <w:rPr>
          <w:rFonts w:ascii="Times New Roman" w:hAnsi="Times New Roman" w:cs="Times New Roman"/>
          <w:sz w:val="24"/>
          <w:szCs w:val="24"/>
        </w:rPr>
        <w:t>ing</w:t>
      </w:r>
      <w:r w:rsidR="00CD1A7A" w:rsidRPr="009E6150">
        <w:rPr>
          <w:rFonts w:ascii="Times New Roman" w:hAnsi="Times New Roman" w:cs="Times New Roman"/>
          <w:sz w:val="24"/>
          <w:szCs w:val="24"/>
        </w:rPr>
        <w:t xml:space="preserve"> a </w:t>
      </w:r>
      <w:r w:rsidR="00CD1A7A">
        <w:rPr>
          <w:rFonts w:ascii="Times New Roman" w:hAnsi="Times New Roman" w:cs="Times New Roman"/>
          <w:sz w:val="24"/>
          <w:szCs w:val="24"/>
        </w:rPr>
        <w:t xml:space="preserve">person </w:t>
      </w:r>
      <w:r w:rsidR="00CD1A7A" w:rsidRPr="009E6150">
        <w:rPr>
          <w:rFonts w:ascii="Times New Roman" w:hAnsi="Times New Roman" w:cs="Times New Roman"/>
          <w:sz w:val="24"/>
          <w:szCs w:val="24"/>
        </w:rPr>
        <w:t xml:space="preserve">with </w:t>
      </w:r>
      <w:r w:rsidR="00CD1A7A">
        <w:rPr>
          <w:rFonts w:ascii="Times New Roman" w:hAnsi="Times New Roman" w:cs="Times New Roman"/>
          <w:sz w:val="24"/>
          <w:szCs w:val="24"/>
        </w:rPr>
        <w:t xml:space="preserve">the </w:t>
      </w:r>
      <w:r w:rsidR="00CD1A7A" w:rsidRPr="009E6150">
        <w:rPr>
          <w:rFonts w:ascii="Times New Roman" w:hAnsi="Times New Roman" w:cs="Times New Roman"/>
          <w:sz w:val="24"/>
          <w:szCs w:val="24"/>
        </w:rPr>
        <w:t>manag</w:t>
      </w:r>
      <w:r w:rsidR="00CD1A7A">
        <w:rPr>
          <w:rFonts w:ascii="Times New Roman" w:hAnsi="Times New Roman" w:cs="Times New Roman"/>
          <w:sz w:val="24"/>
          <w:szCs w:val="24"/>
        </w:rPr>
        <w:t>ement of</w:t>
      </w:r>
      <w:r w:rsidR="00CD1A7A" w:rsidRPr="009E6150">
        <w:rPr>
          <w:rFonts w:ascii="Times New Roman" w:hAnsi="Times New Roman" w:cs="Times New Roman"/>
          <w:sz w:val="24"/>
          <w:szCs w:val="24"/>
        </w:rPr>
        <w:t xml:space="preserve"> </w:t>
      </w:r>
      <w:r w:rsidR="00CD1A7A">
        <w:rPr>
          <w:rFonts w:ascii="Times New Roman" w:hAnsi="Times New Roman" w:cs="Times New Roman"/>
          <w:sz w:val="24"/>
          <w:szCs w:val="24"/>
        </w:rPr>
        <w:t xml:space="preserve">their </w:t>
      </w:r>
      <w:r w:rsidR="00CD1A7A" w:rsidRPr="009E6150">
        <w:rPr>
          <w:rFonts w:ascii="Times New Roman" w:hAnsi="Times New Roman" w:cs="Times New Roman"/>
          <w:sz w:val="24"/>
          <w:szCs w:val="24"/>
        </w:rPr>
        <w:t>financial affairs</w:t>
      </w:r>
      <w:r w:rsidR="00CD1A7A">
        <w:rPr>
          <w:rFonts w:ascii="Times New Roman" w:hAnsi="Times New Roman" w:cs="Times New Roman"/>
          <w:sz w:val="24"/>
          <w:szCs w:val="24"/>
        </w:rPr>
        <w:t xml:space="preserve"> by supporting deductions from </w:t>
      </w:r>
      <w:r w:rsidR="00CD1A7A" w:rsidRPr="009E6150">
        <w:rPr>
          <w:rFonts w:ascii="Times New Roman" w:hAnsi="Times New Roman" w:cs="Times New Roman"/>
          <w:sz w:val="24"/>
          <w:szCs w:val="24"/>
        </w:rPr>
        <w:t>their</w:t>
      </w:r>
      <w:r w:rsidR="00CD1A7A">
        <w:rPr>
          <w:rFonts w:ascii="Times New Roman" w:hAnsi="Times New Roman" w:cs="Times New Roman"/>
          <w:sz w:val="24"/>
          <w:szCs w:val="24"/>
        </w:rPr>
        <w:t xml:space="preserve"> military compensation payments for housing related payments.</w:t>
      </w:r>
    </w:p>
    <w:p w14:paraId="3D692E0F" w14:textId="37EB838F" w:rsidR="0003444A" w:rsidRDefault="00EE6A7E" w:rsidP="006E1E1E">
      <w:pPr>
        <w:spacing w:after="120" w:line="240" w:lineRule="auto"/>
        <w:jc w:val="both"/>
        <w:rPr>
          <w:rFonts w:ascii="Times New Roman" w:hAnsi="Times New Roman"/>
          <w:sz w:val="24"/>
          <w:szCs w:val="24"/>
        </w:rPr>
      </w:pPr>
      <w:r>
        <w:rPr>
          <w:rFonts w:ascii="Times New Roman" w:hAnsi="Times New Roman"/>
          <w:sz w:val="24"/>
          <w:szCs w:val="24"/>
        </w:rPr>
        <w:t>Repatriation Commission</w:t>
      </w:r>
    </w:p>
    <w:p w14:paraId="0718CF97" w14:textId="77777777" w:rsidR="00C73730" w:rsidRPr="00646966" w:rsidRDefault="0003444A" w:rsidP="006E1E1E">
      <w:pPr>
        <w:spacing w:after="120" w:line="240" w:lineRule="auto"/>
        <w:jc w:val="both"/>
        <w:rPr>
          <w:rFonts w:ascii="Times New Roman" w:hAnsi="Times New Roman"/>
          <w:sz w:val="24"/>
          <w:szCs w:val="24"/>
        </w:rPr>
      </w:pPr>
      <w:r>
        <w:rPr>
          <w:rFonts w:ascii="Times New Roman" w:hAnsi="Times New Roman"/>
          <w:sz w:val="24"/>
          <w:szCs w:val="24"/>
        </w:rPr>
        <w:t>Rule-Maker</w:t>
      </w:r>
    </w:p>
    <w:sectPr w:rsidR="00C73730" w:rsidRPr="0064696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08F30" w14:textId="77777777" w:rsidR="002C3201" w:rsidRDefault="002C3201" w:rsidP="0003444A">
      <w:pPr>
        <w:spacing w:after="0" w:line="240" w:lineRule="auto"/>
      </w:pPr>
      <w:r>
        <w:separator/>
      </w:r>
    </w:p>
  </w:endnote>
  <w:endnote w:type="continuationSeparator" w:id="0">
    <w:p w14:paraId="2B5AB745" w14:textId="77777777" w:rsidR="002C3201" w:rsidRDefault="002C3201" w:rsidP="00034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eastAsia="Times New Roman" w:hAnsi="Arial" w:cs="Arial"/>
        <w:b/>
        <w:bCs/>
        <w:sz w:val="24"/>
        <w:szCs w:val="24"/>
        <w:highlight w:val="yellow"/>
      </w:rPr>
      <w:id w:val="-1520153077"/>
      <w:docPartObj>
        <w:docPartGallery w:val="Page Numbers (Bottom of Page)"/>
        <w:docPartUnique/>
      </w:docPartObj>
    </w:sdtPr>
    <w:sdtEndPr>
      <w:rPr>
        <w:rFonts w:asciiTheme="minorHAnsi" w:eastAsiaTheme="minorHAnsi" w:hAnsiTheme="minorHAnsi" w:cstheme="minorBidi"/>
        <w:b w:val="0"/>
        <w:bCs w:val="0"/>
        <w:noProof/>
        <w:sz w:val="22"/>
        <w:szCs w:val="22"/>
        <w:highlight w:val="none"/>
      </w:rPr>
    </w:sdtEndPr>
    <w:sdtContent>
      <w:p w14:paraId="56412CC9" w14:textId="687D156C" w:rsidR="00C73730" w:rsidRPr="00506142" w:rsidRDefault="0088585F" w:rsidP="00E76832">
        <w:pPr>
          <w:pStyle w:val="Footer"/>
          <w:pBdr>
            <w:top w:val="single" w:sz="4" w:space="1" w:color="auto"/>
          </w:pBdr>
          <w:rPr>
            <w:rFonts w:ascii="Arial" w:hAnsi="Arial" w:cs="Arial"/>
            <w:sz w:val="16"/>
            <w:szCs w:val="16"/>
          </w:rPr>
        </w:pPr>
        <w:r w:rsidRPr="0088585F">
          <w:rPr>
            <w:rFonts w:ascii="Arial" w:hAnsi="Arial" w:cs="Arial"/>
            <w:i/>
            <w:sz w:val="16"/>
            <w:szCs w:val="16"/>
          </w:rPr>
          <w:t>Veterans’ Entitlements (Direct Deductions Arrangements) Approval 2025</w:t>
        </w:r>
        <w:r w:rsidR="00065933">
          <w:rPr>
            <w:rFonts w:ascii="Arial" w:hAnsi="Arial" w:cs="Arial"/>
            <w:sz w:val="16"/>
            <w:szCs w:val="16"/>
          </w:rPr>
          <w:tab/>
        </w:r>
        <w:r w:rsidR="00065933" w:rsidRPr="00DE2A5F">
          <w:rPr>
            <w:rStyle w:val="PageNumber"/>
            <w:rFonts w:ascii="Arial" w:hAnsi="Arial" w:cs="Arial"/>
            <w:sz w:val="16"/>
            <w:szCs w:val="16"/>
          </w:rPr>
          <w:fldChar w:fldCharType="begin"/>
        </w:r>
        <w:r w:rsidR="00065933" w:rsidRPr="00DE2A5F">
          <w:rPr>
            <w:rStyle w:val="PageNumber"/>
            <w:rFonts w:ascii="Arial" w:hAnsi="Arial" w:cs="Arial"/>
            <w:sz w:val="16"/>
            <w:szCs w:val="16"/>
          </w:rPr>
          <w:instrText xml:space="preserve"> PAGE </w:instrText>
        </w:r>
        <w:r w:rsidR="00065933" w:rsidRPr="00DE2A5F">
          <w:rPr>
            <w:rStyle w:val="PageNumber"/>
            <w:rFonts w:ascii="Arial" w:hAnsi="Arial" w:cs="Arial"/>
            <w:sz w:val="16"/>
            <w:szCs w:val="16"/>
          </w:rPr>
          <w:fldChar w:fldCharType="separate"/>
        </w:r>
        <w:r w:rsidR="00E31037">
          <w:rPr>
            <w:rStyle w:val="PageNumber"/>
            <w:rFonts w:ascii="Arial" w:hAnsi="Arial" w:cs="Arial"/>
            <w:noProof/>
            <w:sz w:val="16"/>
            <w:szCs w:val="16"/>
          </w:rPr>
          <w:t>6</w:t>
        </w:r>
        <w:r w:rsidR="00065933" w:rsidRPr="00DE2A5F">
          <w:rPr>
            <w:rStyle w:val="PageNumber"/>
            <w:rFonts w:ascii="Arial" w:hAnsi="Arial" w:cs="Arial"/>
            <w:sz w:val="16"/>
            <w:szCs w:val="16"/>
          </w:rPr>
          <w:fldChar w:fldCharType="end"/>
        </w:r>
      </w:p>
      <w:p w14:paraId="1D600F16" w14:textId="77777777" w:rsidR="00C73730" w:rsidRDefault="002364FF" w:rsidP="00E76832">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C13E2" w14:textId="77777777" w:rsidR="002C3201" w:rsidRDefault="002C3201" w:rsidP="0003444A">
      <w:pPr>
        <w:spacing w:after="0" w:line="240" w:lineRule="auto"/>
      </w:pPr>
      <w:r>
        <w:separator/>
      </w:r>
    </w:p>
  </w:footnote>
  <w:footnote w:type="continuationSeparator" w:id="0">
    <w:p w14:paraId="6E4FBF2A" w14:textId="77777777" w:rsidR="002C3201" w:rsidRDefault="002C3201" w:rsidP="00034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1692"/>
    <w:multiLevelType w:val="hybridMultilevel"/>
    <w:tmpl w:val="0DCEE1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5938B7"/>
    <w:multiLevelType w:val="hybridMultilevel"/>
    <w:tmpl w:val="29FCF256"/>
    <w:lvl w:ilvl="0" w:tplc="0C090017">
      <w:start w:val="1"/>
      <w:numFmt w:val="lowerLetter"/>
      <w:lvlText w:val="%1)"/>
      <w:lvlJc w:val="left"/>
      <w:pPr>
        <w:ind w:left="720" w:hanging="360"/>
      </w:pPr>
    </w:lvl>
    <w:lvl w:ilvl="1" w:tplc="645EF09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C82CD9"/>
    <w:multiLevelType w:val="hybridMultilevel"/>
    <w:tmpl w:val="740C75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7054F7D"/>
    <w:multiLevelType w:val="multilevel"/>
    <w:tmpl w:val="8BF0D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7A4D70"/>
    <w:multiLevelType w:val="hybridMultilevel"/>
    <w:tmpl w:val="1020F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A469B1"/>
    <w:multiLevelType w:val="hybridMultilevel"/>
    <w:tmpl w:val="3BF69AAE"/>
    <w:lvl w:ilvl="0" w:tplc="64F45E8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D8D3888"/>
    <w:multiLevelType w:val="hybridMultilevel"/>
    <w:tmpl w:val="23560ECA"/>
    <w:lvl w:ilvl="0" w:tplc="0C090017">
      <w:start w:val="1"/>
      <w:numFmt w:val="lowerLetter"/>
      <w:lvlText w:val="%1)"/>
      <w:lvlJc w:val="left"/>
      <w:pPr>
        <w:ind w:left="1334" w:hanging="360"/>
      </w:pPr>
      <w:rPr>
        <w:rFonts w:hint="default"/>
      </w:rPr>
    </w:lvl>
    <w:lvl w:ilvl="1" w:tplc="FFFFFFFF" w:tentative="1">
      <w:start w:val="1"/>
      <w:numFmt w:val="lowerLetter"/>
      <w:lvlText w:val="%2."/>
      <w:lvlJc w:val="left"/>
      <w:pPr>
        <w:ind w:left="2054" w:hanging="360"/>
      </w:pPr>
    </w:lvl>
    <w:lvl w:ilvl="2" w:tplc="FFFFFFFF" w:tentative="1">
      <w:start w:val="1"/>
      <w:numFmt w:val="lowerRoman"/>
      <w:lvlText w:val="%3."/>
      <w:lvlJc w:val="right"/>
      <w:pPr>
        <w:ind w:left="2774" w:hanging="180"/>
      </w:pPr>
    </w:lvl>
    <w:lvl w:ilvl="3" w:tplc="FFFFFFFF" w:tentative="1">
      <w:start w:val="1"/>
      <w:numFmt w:val="decimal"/>
      <w:lvlText w:val="%4."/>
      <w:lvlJc w:val="left"/>
      <w:pPr>
        <w:ind w:left="3494" w:hanging="360"/>
      </w:pPr>
    </w:lvl>
    <w:lvl w:ilvl="4" w:tplc="FFFFFFFF" w:tentative="1">
      <w:start w:val="1"/>
      <w:numFmt w:val="lowerLetter"/>
      <w:lvlText w:val="%5."/>
      <w:lvlJc w:val="left"/>
      <w:pPr>
        <w:ind w:left="4214" w:hanging="360"/>
      </w:pPr>
    </w:lvl>
    <w:lvl w:ilvl="5" w:tplc="FFFFFFFF" w:tentative="1">
      <w:start w:val="1"/>
      <w:numFmt w:val="lowerRoman"/>
      <w:lvlText w:val="%6."/>
      <w:lvlJc w:val="right"/>
      <w:pPr>
        <w:ind w:left="4934" w:hanging="180"/>
      </w:pPr>
    </w:lvl>
    <w:lvl w:ilvl="6" w:tplc="FFFFFFFF" w:tentative="1">
      <w:start w:val="1"/>
      <w:numFmt w:val="decimal"/>
      <w:lvlText w:val="%7."/>
      <w:lvlJc w:val="left"/>
      <w:pPr>
        <w:ind w:left="5654" w:hanging="360"/>
      </w:pPr>
    </w:lvl>
    <w:lvl w:ilvl="7" w:tplc="FFFFFFFF" w:tentative="1">
      <w:start w:val="1"/>
      <w:numFmt w:val="lowerLetter"/>
      <w:lvlText w:val="%8."/>
      <w:lvlJc w:val="left"/>
      <w:pPr>
        <w:ind w:left="6374" w:hanging="360"/>
      </w:pPr>
    </w:lvl>
    <w:lvl w:ilvl="8" w:tplc="FFFFFFFF" w:tentative="1">
      <w:start w:val="1"/>
      <w:numFmt w:val="lowerRoman"/>
      <w:lvlText w:val="%9."/>
      <w:lvlJc w:val="right"/>
      <w:pPr>
        <w:ind w:left="7094" w:hanging="180"/>
      </w:pPr>
    </w:lvl>
  </w:abstractNum>
  <w:abstractNum w:abstractNumId="7" w15:restartNumberingAfterBreak="0">
    <w:nsid w:val="374F0559"/>
    <w:multiLevelType w:val="hybridMultilevel"/>
    <w:tmpl w:val="C6D45E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D35E05"/>
    <w:multiLevelType w:val="hybridMultilevel"/>
    <w:tmpl w:val="91E0D226"/>
    <w:lvl w:ilvl="0" w:tplc="13EC861E">
      <w:start w:val="1"/>
      <w:numFmt w:val="lowerRoman"/>
      <w:lvlText w:val="(%1)"/>
      <w:lvlJc w:val="left"/>
      <w:pPr>
        <w:ind w:left="1713" w:hanging="72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9" w15:restartNumberingAfterBreak="0">
    <w:nsid w:val="485F2D0F"/>
    <w:multiLevelType w:val="hybridMultilevel"/>
    <w:tmpl w:val="B7F0EB6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52A009F6"/>
    <w:multiLevelType w:val="hybridMultilevel"/>
    <w:tmpl w:val="AC20B1B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7BB6224"/>
    <w:multiLevelType w:val="hybridMultilevel"/>
    <w:tmpl w:val="7D78009C"/>
    <w:lvl w:ilvl="0" w:tplc="5E880D3E">
      <w:start w:val="1"/>
      <w:numFmt w:val="lowerRoman"/>
      <w:lvlText w:val="(%1)"/>
      <w:lvlJc w:val="left"/>
      <w:pPr>
        <w:ind w:left="1647" w:hanging="72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5A8201CD"/>
    <w:multiLevelType w:val="hybridMultilevel"/>
    <w:tmpl w:val="5830988E"/>
    <w:lvl w:ilvl="0" w:tplc="79A2D72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15:restartNumberingAfterBreak="0">
    <w:nsid w:val="5C346FC9"/>
    <w:multiLevelType w:val="hybridMultilevel"/>
    <w:tmpl w:val="3BF69AAE"/>
    <w:lvl w:ilvl="0" w:tplc="64F45E8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11A5E70"/>
    <w:multiLevelType w:val="hybridMultilevel"/>
    <w:tmpl w:val="696CAEA2"/>
    <w:lvl w:ilvl="0" w:tplc="1234B334">
      <w:start w:val="1"/>
      <w:numFmt w:val="lowerLetter"/>
      <w:lvlText w:val="%1)"/>
      <w:lvlJc w:val="left"/>
      <w:pPr>
        <w:ind w:left="1334" w:hanging="360"/>
      </w:pPr>
      <w:rPr>
        <w:rFonts w:hint="default"/>
      </w:rPr>
    </w:lvl>
    <w:lvl w:ilvl="1" w:tplc="0C090019" w:tentative="1">
      <w:start w:val="1"/>
      <w:numFmt w:val="lowerLetter"/>
      <w:lvlText w:val="%2."/>
      <w:lvlJc w:val="left"/>
      <w:pPr>
        <w:ind w:left="2054" w:hanging="360"/>
      </w:pPr>
    </w:lvl>
    <w:lvl w:ilvl="2" w:tplc="0C09001B" w:tentative="1">
      <w:start w:val="1"/>
      <w:numFmt w:val="lowerRoman"/>
      <w:lvlText w:val="%3."/>
      <w:lvlJc w:val="right"/>
      <w:pPr>
        <w:ind w:left="2774" w:hanging="180"/>
      </w:pPr>
    </w:lvl>
    <w:lvl w:ilvl="3" w:tplc="0C09000F" w:tentative="1">
      <w:start w:val="1"/>
      <w:numFmt w:val="decimal"/>
      <w:lvlText w:val="%4."/>
      <w:lvlJc w:val="left"/>
      <w:pPr>
        <w:ind w:left="3494" w:hanging="360"/>
      </w:pPr>
    </w:lvl>
    <w:lvl w:ilvl="4" w:tplc="0C090019" w:tentative="1">
      <w:start w:val="1"/>
      <w:numFmt w:val="lowerLetter"/>
      <w:lvlText w:val="%5."/>
      <w:lvlJc w:val="left"/>
      <w:pPr>
        <w:ind w:left="4214" w:hanging="360"/>
      </w:pPr>
    </w:lvl>
    <w:lvl w:ilvl="5" w:tplc="0C09001B" w:tentative="1">
      <w:start w:val="1"/>
      <w:numFmt w:val="lowerRoman"/>
      <w:lvlText w:val="%6."/>
      <w:lvlJc w:val="right"/>
      <w:pPr>
        <w:ind w:left="4934" w:hanging="180"/>
      </w:pPr>
    </w:lvl>
    <w:lvl w:ilvl="6" w:tplc="0C09000F" w:tentative="1">
      <w:start w:val="1"/>
      <w:numFmt w:val="decimal"/>
      <w:lvlText w:val="%7."/>
      <w:lvlJc w:val="left"/>
      <w:pPr>
        <w:ind w:left="5654" w:hanging="360"/>
      </w:pPr>
    </w:lvl>
    <w:lvl w:ilvl="7" w:tplc="0C090019" w:tentative="1">
      <w:start w:val="1"/>
      <w:numFmt w:val="lowerLetter"/>
      <w:lvlText w:val="%8."/>
      <w:lvlJc w:val="left"/>
      <w:pPr>
        <w:ind w:left="6374" w:hanging="360"/>
      </w:pPr>
    </w:lvl>
    <w:lvl w:ilvl="8" w:tplc="0C09001B" w:tentative="1">
      <w:start w:val="1"/>
      <w:numFmt w:val="lowerRoman"/>
      <w:lvlText w:val="%9."/>
      <w:lvlJc w:val="right"/>
      <w:pPr>
        <w:ind w:left="7094" w:hanging="180"/>
      </w:pPr>
    </w:lvl>
  </w:abstractNum>
  <w:abstractNum w:abstractNumId="15" w15:restartNumberingAfterBreak="0">
    <w:nsid w:val="76207E89"/>
    <w:multiLevelType w:val="hybridMultilevel"/>
    <w:tmpl w:val="F43AFB6E"/>
    <w:lvl w:ilvl="0" w:tplc="CF4645C6">
      <w:start w:val="1"/>
      <w:numFmt w:val="decimal"/>
      <w:lvlText w:val="%1."/>
      <w:lvlJc w:val="left"/>
      <w:pPr>
        <w:ind w:left="644" w:hanging="360"/>
      </w:pPr>
      <w:rPr>
        <w:rFonts w:ascii="Times New Roman" w:hAnsi="Times New Roman" w:cs="Times New Roman"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35094560">
    <w:abstractNumId w:val="13"/>
  </w:num>
  <w:num w:numId="2" w16cid:durableId="343166827">
    <w:abstractNumId w:val="5"/>
  </w:num>
  <w:num w:numId="3" w16cid:durableId="999498884">
    <w:abstractNumId w:val="2"/>
  </w:num>
  <w:num w:numId="4" w16cid:durableId="208300974">
    <w:abstractNumId w:val="9"/>
  </w:num>
  <w:num w:numId="5" w16cid:durableId="214897909">
    <w:abstractNumId w:val="4"/>
  </w:num>
  <w:num w:numId="6" w16cid:durableId="532115189">
    <w:abstractNumId w:val="3"/>
  </w:num>
  <w:num w:numId="7" w16cid:durableId="2118594135">
    <w:abstractNumId w:val="15"/>
  </w:num>
  <w:num w:numId="8" w16cid:durableId="1528132151">
    <w:abstractNumId w:val="8"/>
  </w:num>
  <w:num w:numId="9" w16cid:durableId="1551919729">
    <w:abstractNumId w:val="12"/>
  </w:num>
  <w:num w:numId="10" w16cid:durableId="949817599">
    <w:abstractNumId w:val="11"/>
  </w:num>
  <w:num w:numId="11" w16cid:durableId="1240678057">
    <w:abstractNumId w:val="14"/>
  </w:num>
  <w:num w:numId="12" w16cid:durableId="1957329461">
    <w:abstractNumId w:val="6"/>
  </w:num>
  <w:num w:numId="13" w16cid:durableId="1044787886">
    <w:abstractNumId w:val="1"/>
  </w:num>
  <w:num w:numId="14" w16cid:durableId="981421129">
    <w:abstractNumId w:val="10"/>
  </w:num>
  <w:num w:numId="15" w16cid:durableId="1240483597">
    <w:abstractNumId w:val="0"/>
  </w:num>
  <w:num w:numId="16" w16cid:durableId="7380169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44A"/>
    <w:rsid w:val="00007696"/>
    <w:rsid w:val="0001088A"/>
    <w:rsid w:val="00032BA6"/>
    <w:rsid w:val="0003444A"/>
    <w:rsid w:val="00037288"/>
    <w:rsid w:val="00041B2A"/>
    <w:rsid w:val="00041F66"/>
    <w:rsid w:val="00053D64"/>
    <w:rsid w:val="00057AAF"/>
    <w:rsid w:val="00065143"/>
    <w:rsid w:val="00065933"/>
    <w:rsid w:val="00095D41"/>
    <w:rsid w:val="000A451C"/>
    <w:rsid w:val="000E6823"/>
    <w:rsid w:val="00104668"/>
    <w:rsid w:val="00111F87"/>
    <w:rsid w:val="00112E46"/>
    <w:rsid w:val="00116751"/>
    <w:rsid w:val="00116F71"/>
    <w:rsid w:val="00121874"/>
    <w:rsid w:val="001665CC"/>
    <w:rsid w:val="001674CF"/>
    <w:rsid w:val="00167CAA"/>
    <w:rsid w:val="00176748"/>
    <w:rsid w:val="001D73E5"/>
    <w:rsid w:val="002070DA"/>
    <w:rsid w:val="00207EE3"/>
    <w:rsid w:val="00227F3D"/>
    <w:rsid w:val="002335CB"/>
    <w:rsid w:val="002364FF"/>
    <w:rsid w:val="0024174E"/>
    <w:rsid w:val="00246F4F"/>
    <w:rsid w:val="002738EC"/>
    <w:rsid w:val="00274ACD"/>
    <w:rsid w:val="0028695B"/>
    <w:rsid w:val="002C3201"/>
    <w:rsid w:val="002C528A"/>
    <w:rsid w:val="002C59A1"/>
    <w:rsid w:val="002C75BC"/>
    <w:rsid w:val="002E36E7"/>
    <w:rsid w:val="00310091"/>
    <w:rsid w:val="00311003"/>
    <w:rsid w:val="00324F3B"/>
    <w:rsid w:val="0033268C"/>
    <w:rsid w:val="00344C9F"/>
    <w:rsid w:val="00355825"/>
    <w:rsid w:val="0036349D"/>
    <w:rsid w:val="003741D7"/>
    <w:rsid w:val="00385263"/>
    <w:rsid w:val="00390F7B"/>
    <w:rsid w:val="003C7FA4"/>
    <w:rsid w:val="003E2423"/>
    <w:rsid w:val="003F319D"/>
    <w:rsid w:val="003F6EB6"/>
    <w:rsid w:val="00432B94"/>
    <w:rsid w:val="00442E3C"/>
    <w:rsid w:val="00442FFF"/>
    <w:rsid w:val="004457C9"/>
    <w:rsid w:val="00473DE3"/>
    <w:rsid w:val="00484890"/>
    <w:rsid w:val="0048689E"/>
    <w:rsid w:val="004A621B"/>
    <w:rsid w:val="004E2BE8"/>
    <w:rsid w:val="004F6CAB"/>
    <w:rsid w:val="005318EB"/>
    <w:rsid w:val="005624CD"/>
    <w:rsid w:val="00572310"/>
    <w:rsid w:val="00574979"/>
    <w:rsid w:val="00576D64"/>
    <w:rsid w:val="00593E22"/>
    <w:rsid w:val="005C744B"/>
    <w:rsid w:val="005D312F"/>
    <w:rsid w:val="005E4853"/>
    <w:rsid w:val="0061794F"/>
    <w:rsid w:val="00643CF2"/>
    <w:rsid w:val="006462F6"/>
    <w:rsid w:val="00646966"/>
    <w:rsid w:val="006529DD"/>
    <w:rsid w:val="0065534F"/>
    <w:rsid w:val="00672CAA"/>
    <w:rsid w:val="00677FB2"/>
    <w:rsid w:val="00682169"/>
    <w:rsid w:val="006D375D"/>
    <w:rsid w:val="006E1E1E"/>
    <w:rsid w:val="006E63E6"/>
    <w:rsid w:val="006F0D1F"/>
    <w:rsid w:val="00700061"/>
    <w:rsid w:val="00716C94"/>
    <w:rsid w:val="00721DE8"/>
    <w:rsid w:val="00725977"/>
    <w:rsid w:val="0073332A"/>
    <w:rsid w:val="00743B56"/>
    <w:rsid w:val="00775489"/>
    <w:rsid w:val="007823F5"/>
    <w:rsid w:val="007A5E2F"/>
    <w:rsid w:val="007C1723"/>
    <w:rsid w:val="007D5B3B"/>
    <w:rsid w:val="007D70A0"/>
    <w:rsid w:val="007F66D3"/>
    <w:rsid w:val="00801C45"/>
    <w:rsid w:val="00823CBF"/>
    <w:rsid w:val="00834581"/>
    <w:rsid w:val="008374D0"/>
    <w:rsid w:val="008455B4"/>
    <w:rsid w:val="0088585F"/>
    <w:rsid w:val="008D701B"/>
    <w:rsid w:val="00903BBC"/>
    <w:rsid w:val="009269EF"/>
    <w:rsid w:val="0095228B"/>
    <w:rsid w:val="009637B0"/>
    <w:rsid w:val="009929B7"/>
    <w:rsid w:val="009C46A6"/>
    <w:rsid w:val="00A2016B"/>
    <w:rsid w:val="00A23DCA"/>
    <w:rsid w:val="00A31E05"/>
    <w:rsid w:val="00A33ADE"/>
    <w:rsid w:val="00A82142"/>
    <w:rsid w:val="00A912F0"/>
    <w:rsid w:val="00A92351"/>
    <w:rsid w:val="00AA2C2A"/>
    <w:rsid w:val="00AB694A"/>
    <w:rsid w:val="00B121DD"/>
    <w:rsid w:val="00B17AD7"/>
    <w:rsid w:val="00B4596B"/>
    <w:rsid w:val="00B51C18"/>
    <w:rsid w:val="00B521E0"/>
    <w:rsid w:val="00B73160"/>
    <w:rsid w:val="00B82D8B"/>
    <w:rsid w:val="00B84E1E"/>
    <w:rsid w:val="00B907D3"/>
    <w:rsid w:val="00BA2FE2"/>
    <w:rsid w:val="00BA554F"/>
    <w:rsid w:val="00BA5B89"/>
    <w:rsid w:val="00BC4C70"/>
    <w:rsid w:val="00BC6470"/>
    <w:rsid w:val="00BD6EE0"/>
    <w:rsid w:val="00BD7B69"/>
    <w:rsid w:val="00BE5DD1"/>
    <w:rsid w:val="00BF394F"/>
    <w:rsid w:val="00C45FB0"/>
    <w:rsid w:val="00C6570D"/>
    <w:rsid w:val="00C73730"/>
    <w:rsid w:val="00C930A6"/>
    <w:rsid w:val="00C979FC"/>
    <w:rsid w:val="00CB5CC5"/>
    <w:rsid w:val="00CB79F9"/>
    <w:rsid w:val="00CC29EA"/>
    <w:rsid w:val="00CC3561"/>
    <w:rsid w:val="00CD1A7A"/>
    <w:rsid w:val="00CD2B98"/>
    <w:rsid w:val="00CE0271"/>
    <w:rsid w:val="00CE6639"/>
    <w:rsid w:val="00D04493"/>
    <w:rsid w:val="00D1696E"/>
    <w:rsid w:val="00D32624"/>
    <w:rsid w:val="00D32B32"/>
    <w:rsid w:val="00D4537D"/>
    <w:rsid w:val="00D46F00"/>
    <w:rsid w:val="00DA5285"/>
    <w:rsid w:val="00DA69BF"/>
    <w:rsid w:val="00DC02C8"/>
    <w:rsid w:val="00DE1904"/>
    <w:rsid w:val="00DE71E7"/>
    <w:rsid w:val="00E01569"/>
    <w:rsid w:val="00E11C5B"/>
    <w:rsid w:val="00E130CB"/>
    <w:rsid w:val="00E30C4F"/>
    <w:rsid w:val="00E31037"/>
    <w:rsid w:val="00E364A5"/>
    <w:rsid w:val="00E4415F"/>
    <w:rsid w:val="00E5324B"/>
    <w:rsid w:val="00E85848"/>
    <w:rsid w:val="00E85DFC"/>
    <w:rsid w:val="00EA36ED"/>
    <w:rsid w:val="00EC1B16"/>
    <w:rsid w:val="00EC3CFA"/>
    <w:rsid w:val="00ED18BE"/>
    <w:rsid w:val="00ED569E"/>
    <w:rsid w:val="00EE3914"/>
    <w:rsid w:val="00EE6A7E"/>
    <w:rsid w:val="00EE7685"/>
    <w:rsid w:val="00EE7B38"/>
    <w:rsid w:val="00F06AC2"/>
    <w:rsid w:val="00F4449B"/>
    <w:rsid w:val="00F52DA7"/>
    <w:rsid w:val="00F9283D"/>
    <w:rsid w:val="00FA12A1"/>
    <w:rsid w:val="00FC3122"/>
    <w:rsid w:val="00FD0DC5"/>
    <w:rsid w:val="00FE032A"/>
    <w:rsid w:val="00FE43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C3B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44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3444A"/>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03444A"/>
    <w:rPr>
      <w:rFonts w:ascii="Arial" w:eastAsia="Times New Roman" w:hAnsi="Arial" w:cs="Arial"/>
      <w:b/>
      <w:bCs/>
      <w:sz w:val="24"/>
      <w:szCs w:val="24"/>
    </w:rPr>
  </w:style>
  <w:style w:type="paragraph" w:customStyle="1" w:styleId="LDBodytext">
    <w:name w:val="LDBody text"/>
    <w:link w:val="LDBodytextChar"/>
    <w:rsid w:val="0003444A"/>
    <w:pPr>
      <w:spacing w:before="120"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03444A"/>
    <w:rPr>
      <w:rFonts w:ascii="Times New Roman" w:eastAsia="Times New Roman" w:hAnsi="Times New Roman" w:cs="Times New Roman"/>
      <w:sz w:val="24"/>
      <w:szCs w:val="24"/>
    </w:rPr>
  </w:style>
  <w:style w:type="character" w:customStyle="1" w:styleId="LDBoldItal">
    <w:name w:val="LDBoldItal"/>
    <w:uiPriority w:val="1"/>
    <w:qFormat/>
    <w:rsid w:val="0003444A"/>
    <w:rPr>
      <w:b/>
      <w:i/>
    </w:rPr>
  </w:style>
  <w:style w:type="paragraph" w:customStyle="1" w:styleId="LDAmendHeading">
    <w:name w:val="LDAmendHeading"/>
    <w:basedOn w:val="Normal"/>
    <w:next w:val="Normal"/>
    <w:rsid w:val="0003444A"/>
    <w:pPr>
      <w:keepNext/>
      <w:spacing w:before="180" w:after="60" w:line="240" w:lineRule="auto"/>
      <w:ind w:left="720" w:hanging="720"/>
    </w:pPr>
    <w:rPr>
      <w:rFonts w:ascii="Arial" w:eastAsia="Times New Roman" w:hAnsi="Arial" w:cs="Times New Roman"/>
      <w:b/>
      <w:sz w:val="24"/>
      <w:szCs w:val="24"/>
    </w:rPr>
  </w:style>
  <w:style w:type="paragraph" w:styleId="Header">
    <w:name w:val="header"/>
    <w:basedOn w:val="Normal"/>
    <w:link w:val="HeaderChar"/>
    <w:uiPriority w:val="99"/>
    <w:unhideWhenUsed/>
    <w:rsid w:val="000344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44A"/>
  </w:style>
  <w:style w:type="paragraph" w:styleId="Footer">
    <w:name w:val="footer"/>
    <w:basedOn w:val="Normal"/>
    <w:link w:val="FooterChar"/>
    <w:unhideWhenUsed/>
    <w:rsid w:val="0003444A"/>
    <w:pPr>
      <w:tabs>
        <w:tab w:val="center" w:pos="4513"/>
        <w:tab w:val="right" w:pos="9026"/>
      </w:tabs>
      <w:spacing w:after="0" w:line="240" w:lineRule="auto"/>
    </w:pPr>
  </w:style>
  <w:style w:type="character" w:customStyle="1" w:styleId="FooterChar">
    <w:name w:val="Footer Char"/>
    <w:basedOn w:val="DefaultParagraphFont"/>
    <w:link w:val="Footer"/>
    <w:rsid w:val="0003444A"/>
  </w:style>
  <w:style w:type="character" w:styleId="PageNumber">
    <w:name w:val="page number"/>
    <w:basedOn w:val="DefaultParagraphFont"/>
    <w:rsid w:val="0003444A"/>
  </w:style>
  <w:style w:type="paragraph" w:customStyle="1" w:styleId="Normal1">
    <w:name w:val="Normal1"/>
    <w:basedOn w:val="Normal"/>
    <w:link w:val="normalChar"/>
    <w:rsid w:val="000344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Char">
    <w:name w:val="normal Char"/>
    <w:basedOn w:val="DefaultParagraphFont"/>
    <w:link w:val="Normal1"/>
    <w:locked/>
    <w:rsid w:val="0003444A"/>
    <w:rPr>
      <w:rFonts w:ascii="Times New Roman" w:eastAsia="Times New Roman" w:hAnsi="Times New Roman" w:cs="Times New Roman"/>
      <w:sz w:val="24"/>
      <w:szCs w:val="24"/>
      <w:lang w:val="en-US"/>
    </w:rPr>
  </w:style>
  <w:style w:type="paragraph" w:customStyle="1" w:styleId="Default">
    <w:name w:val="Default"/>
    <w:rsid w:val="0003444A"/>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FootnoteText">
    <w:name w:val="footnote text"/>
    <w:basedOn w:val="Normal"/>
    <w:link w:val="FootnoteTextChar"/>
    <w:uiPriority w:val="99"/>
    <w:semiHidden/>
    <w:unhideWhenUsed/>
    <w:rsid w:val="000344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444A"/>
    <w:rPr>
      <w:sz w:val="20"/>
      <w:szCs w:val="20"/>
    </w:rPr>
  </w:style>
  <w:style w:type="character" w:styleId="FootnoteReference">
    <w:name w:val="footnote reference"/>
    <w:basedOn w:val="DefaultParagraphFont"/>
    <w:uiPriority w:val="99"/>
    <w:semiHidden/>
    <w:unhideWhenUsed/>
    <w:rsid w:val="0003444A"/>
    <w:rPr>
      <w:vertAlign w:val="superscript"/>
    </w:rPr>
  </w:style>
  <w:style w:type="character" w:styleId="Hyperlink">
    <w:name w:val="Hyperlink"/>
    <w:basedOn w:val="DefaultParagraphFont"/>
    <w:uiPriority w:val="99"/>
    <w:unhideWhenUsed/>
    <w:rsid w:val="0003444A"/>
    <w:rPr>
      <w:color w:val="0563C1" w:themeColor="hyperlink"/>
      <w:u w:val="single"/>
    </w:rPr>
  </w:style>
  <w:style w:type="paragraph" w:styleId="NoSpacing">
    <w:name w:val="No Spacing"/>
    <w:uiPriority w:val="1"/>
    <w:qFormat/>
    <w:rsid w:val="0003444A"/>
    <w:pPr>
      <w:spacing w:after="0" w:line="240" w:lineRule="auto"/>
    </w:pPr>
  </w:style>
  <w:style w:type="character" w:styleId="FollowedHyperlink">
    <w:name w:val="FollowedHyperlink"/>
    <w:basedOn w:val="DefaultParagraphFont"/>
    <w:uiPriority w:val="99"/>
    <w:semiHidden/>
    <w:unhideWhenUsed/>
    <w:rsid w:val="00274ACD"/>
    <w:rPr>
      <w:color w:val="954F72" w:themeColor="followedHyperlink"/>
      <w:u w:val="single"/>
    </w:rPr>
  </w:style>
  <w:style w:type="paragraph" w:styleId="BalloonText">
    <w:name w:val="Balloon Text"/>
    <w:basedOn w:val="Normal"/>
    <w:link w:val="BalloonTextChar"/>
    <w:uiPriority w:val="99"/>
    <w:semiHidden/>
    <w:unhideWhenUsed/>
    <w:rsid w:val="00112E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E46"/>
    <w:rPr>
      <w:rFonts w:ascii="Segoe UI" w:hAnsi="Segoe UI" w:cs="Segoe UI"/>
      <w:sz w:val="18"/>
      <w:szCs w:val="18"/>
    </w:rPr>
  </w:style>
  <w:style w:type="character" w:styleId="CommentReference">
    <w:name w:val="annotation reference"/>
    <w:basedOn w:val="DefaultParagraphFont"/>
    <w:uiPriority w:val="99"/>
    <w:semiHidden/>
    <w:unhideWhenUsed/>
    <w:rsid w:val="00112E46"/>
    <w:rPr>
      <w:sz w:val="16"/>
      <w:szCs w:val="16"/>
    </w:rPr>
  </w:style>
  <w:style w:type="paragraph" w:styleId="CommentText">
    <w:name w:val="annotation text"/>
    <w:basedOn w:val="Normal"/>
    <w:link w:val="CommentTextChar"/>
    <w:uiPriority w:val="99"/>
    <w:unhideWhenUsed/>
    <w:rsid w:val="00112E46"/>
    <w:pPr>
      <w:spacing w:line="240" w:lineRule="auto"/>
    </w:pPr>
    <w:rPr>
      <w:sz w:val="20"/>
      <w:szCs w:val="20"/>
    </w:rPr>
  </w:style>
  <w:style w:type="character" w:customStyle="1" w:styleId="CommentTextChar">
    <w:name w:val="Comment Text Char"/>
    <w:basedOn w:val="DefaultParagraphFont"/>
    <w:link w:val="CommentText"/>
    <w:uiPriority w:val="99"/>
    <w:rsid w:val="00112E46"/>
    <w:rPr>
      <w:sz w:val="20"/>
      <w:szCs w:val="20"/>
    </w:rPr>
  </w:style>
  <w:style w:type="paragraph" w:styleId="CommentSubject">
    <w:name w:val="annotation subject"/>
    <w:basedOn w:val="CommentText"/>
    <w:next w:val="CommentText"/>
    <w:link w:val="CommentSubjectChar"/>
    <w:uiPriority w:val="99"/>
    <w:semiHidden/>
    <w:unhideWhenUsed/>
    <w:rsid w:val="00112E46"/>
    <w:rPr>
      <w:b/>
      <w:bCs/>
    </w:rPr>
  </w:style>
  <w:style w:type="character" w:customStyle="1" w:styleId="CommentSubjectChar">
    <w:name w:val="Comment Subject Char"/>
    <w:basedOn w:val="CommentTextChar"/>
    <w:link w:val="CommentSubject"/>
    <w:uiPriority w:val="99"/>
    <w:semiHidden/>
    <w:rsid w:val="00112E46"/>
    <w:rPr>
      <w:b/>
      <w:bCs/>
      <w:sz w:val="20"/>
      <w:szCs w:val="20"/>
    </w:rPr>
  </w:style>
  <w:style w:type="character" w:styleId="UnresolvedMention">
    <w:name w:val="Unresolved Mention"/>
    <w:basedOn w:val="DefaultParagraphFont"/>
    <w:uiPriority w:val="99"/>
    <w:semiHidden/>
    <w:unhideWhenUsed/>
    <w:rsid w:val="00111F87"/>
    <w:rPr>
      <w:color w:val="605E5C"/>
      <w:shd w:val="clear" w:color="auto" w:fill="E1DFDD"/>
    </w:rPr>
  </w:style>
  <w:style w:type="paragraph" w:styleId="ListParagraph">
    <w:name w:val="List Paragraph"/>
    <w:basedOn w:val="Normal"/>
    <w:uiPriority w:val="34"/>
    <w:qFormat/>
    <w:rsid w:val="0073332A"/>
    <w:pPr>
      <w:ind w:left="720"/>
      <w:contextualSpacing/>
    </w:pPr>
  </w:style>
  <w:style w:type="paragraph" w:customStyle="1" w:styleId="Paragraph">
    <w:name w:val="Paragraph"/>
    <w:basedOn w:val="Normal"/>
    <w:link w:val="ParagraphChar"/>
    <w:qFormat/>
    <w:rsid w:val="00672CAA"/>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basedOn w:val="DefaultParagraphFont"/>
    <w:link w:val="Paragraph"/>
    <w:rsid w:val="00672CAA"/>
    <w:rPr>
      <w:rFonts w:ascii="Times New Roman" w:eastAsia="Times New Roman" w:hAnsi="Times New Roman" w:cs="Times New Roman"/>
      <w:szCs w:val="20"/>
      <w:lang w:eastAsia="en-AU"/>
    </w:rPr>
  </w:style>
  <w:style w:type="paragraph" w:styleId="Revision">
    <w:name w:val="Revision"/>
    <w:hidden/>
    <w:uiPriority w:val="99"/>
    <w:semiHidden/>
    <w:rsid w:val="00BA55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445666">
      <w:bodyDiv w:val="1"/>
      <w:marLeft w:val="0"/>
      <w:marRight w:val="0"/>
      <w:marTop w:val="0"/>
      <w:marBottom w:val="0"/>
      <w:divBdr>
        <w:top w:val="none" w:sz="0" w:space="0" w:color="auto"/>
        <w:left w:val="none" w:sz="0" w:space="0" w:color="auto"/>
        <w:bottom w:val="none" w:sz="0" w:space="0" w:color="auto"/>
        <w:right w:val="none" w:sz="0" w:space="0" w:color="auto"/>
      </w:divBdr>
    </w:div>
    <w:div w:id="1088580818">
      <w:bodyDiv w:val="1"/>
      <w:marLeft w:val="0"/>
      <w:marRight w:val="0"/>
      <w:marTop w:val="0"/>
      <w:marBottom w:val="0"/>
      <w:divBdr>
        <w:top w:val="none" w:sz="0" w:space="0" w:color="auto"/>
        <w:left w:val="none" w:sz="0" w:space="0" w:color="auto"/>
        <w:bottom w:val="none" w:sz="0" w:space="0" w:color="auto"/>
        <w:right w:val="none" w:sz="0" w:space="0" w:color="auto"/>
      </w:divBdr>
    </w:div>
    <w:div w:id="1182206474">
      <w:bodyDiv w:val="1"/>
      <w:marLeft w:val="0"/>
      <w:marRight w:val="0"/>
      <w:marTop w:val="0"/>
      <w:marBottom w:val="0"/>
      <w:divBdr>
        <w:top w:val="none" w:sz="0" w:space="0" w:color="auto"/>
        <w:left w:val="none" w:sz="0" w:space="0" w:color="auto"/>
        <w:bottom w:val="none" w:sz="0" w:space="0" w:color="auto"/>
        <w:right w:val="none" w:sz="0" w:space="0" w:color="auto"/>
      </w:divBdr>
    </w:div>
    <w:div w:id="131807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1325</Words>
  <Characters>8031</Characters>
  <Application>Microsoft Office Word</Application>
  <DocSecurity>0</DocSecurity>
  <Lines>349</Lines>
  <Paragraphs>233</Paragraphs>
  <ScaleCrop>false</ScaleCrop>
  <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2025-06-26T06:44:00Z</dcterms:created>
  <dcterms:modified xsi:type="dcterms:W3CDTF">2025-06-26T06:44:00Z</dcterms:modified>
</cp:coreProperties>
</file>