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A0982" w14:textId="77777777" w:rsidR="00715914" w:rsidRPr="00817FCA" w:rsidRDefault="00DA186E" w:rsidP="00817FCA">
      <w:pPr>
        <w:rPr>
          <w:sz w:val="28"/>
        </w:rPr>
      </w:pPr>
      <w:r w:rsidRPr="00817FCA">
        <w:rPr>
          <w:noProof/>
          <w:lang w:eastAsia="en-AU"/>
        </w:rPr>
        <w:drawing>
          <wp:inline distT="0" distB="0" distL="0" distR="0" wp14:anchorId="32E59284" wp14:editId="0967703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FB7A00" w14:textId="77777777" w:rsidR="00715914" w:rsidRPr="00817FCA" w:rsidRDefault="00715914" w:rsidP="00817FCA">
      <w:pPr>
        <w:rPr>
          <w:sz w:val="19"/>
        </w:rPr>
      </w:pPr>
    </w:p>
    <w:p w14:paraId="32840733" w14:textId="16B19D17" w:rsidR="00554826" w:rsidRPr="00817FCA" w:rsidRDefault="00D07CE0" w:rsidP="00817FCA">
      <w:pPr>
        <w:pStyle w:val="ShortT"/>
      </w:pPr>
      <w:bookmarkStart w:id="0" w:name="_Hlk71724890"/>
      <w:r w:rsidRPr="00817FCA">
        <w:t>Automatic M</w:t>
      </w:r>
      <w:r w:rsidR="003E5EC7" w:rsidRPr="00817FCA">
        <w:t>utual Recognition (</w:t>
      </w:r>
      <w:r w:rsidR="000F6D08" w:rsidRPr="00817FCA">
        <w:t>Australian Capital Territory</w:t>
      </w:r>
      <w:r w:rsidR="003E5EC7" w:rsidRPr="00817FCA">
        <w:t>) (Exemption</w:t>
      </w:r>
      <w:r w:rsidR="004F0883" w:rsidRPr="00817FCA">
        <w:t>—</w:t>
      </w:r>
      <w:r w:rsidR="00C11D7A" w:rsidRPr="00817FCA">
        <w:t>Dangerous Substances</w:t>
      </w:r>
      <w:r w:rsidR="0091567C">
        <w:t xml:space="preserve"> and Labour Hire Provider</w:t>
      </w:r>
      <w:r w:rsidR="003E5EC7" w:rsidRPr="00817FCA">
        <w:t xml:space="preserve">) Declaration </w:t>
      </w:r>
      <w:r w:rsidR="000F6D08" w:rsidRPr="00817FCA">
        <w:t>202</w:t>
      </w:r>
      <w:r w:rsidR="00FB5952">
        <w:t>5</w:t>
      </w:r>
    </w:p>
    <w:p w14:paraId="0E150805" w14:textId="3DCCBB43" w:rsidR="00554826" w:rsidRPr="00817FCA" w:rsidRDefault="00554826" w:rsidP="00817FCA">
      <w:pPr>
        <w:pStyle w:val="SignCoverPageStart"/>
        <w:spacing w:before="240"/>
        <w:ind w:right="91"/>
        <w:rPr>
          <w:szCs w:val="22"/>
        </w:rPr>
      </w:pPr>
      <w:r w:rsidRPr="00817FCA">
        <w:rPr>
          <w:szCs w:val="22"/>
        </w:rPr>
        <w:t xml:space="preserve">I, </w:t>
      </w:r>
      <w:r w:rsidR="009C271A">
        <w:rPr>
          <w:szCs w:val="22"/>
        </w:rPr>
        <w:t>Yvette Berry</w:t>
      </w:r>
      <w:r w:rsidRPr="00817FCA">
        <w:rPr>
          <w:szCs w:val="22"/>
        </w:rPr>
        <w:t xml:space="preserve">, </w:t>
      </w:r>
      <w:r w:rsidR="009C271A">
        <w:rPr>
          <w:szCs w:val="22"/>
        </w:rPr>
        <w:t xml:space="preserve">Acting </w:t>
      </w:r>
      <w:r w:rsidR="000F6D08" w:rsidRPr="00817FCA">
        <w:rPr>
          <w:szCs w:val="22"/>
        </w:rPr>
        <w:t>Chief Minister for the Australian Capital Territory</w:t>
      </w:r>
      <w:r w:rsidRPr="00817FCA">
        <w:rPr>
          <w:szCs w:val="22"/>
        </w:rPr>
        <w:t>, make the following</w:t>
      </w:r>
      <w:r w:rsidR="00D07CE0" w:rsidRPr="00817FCA">
        <w:rPr>
          <w:szCs w:val="22"/>
        </w:rPr>
        <w:t xml:space="preserve"> declaration</w:t>
      </w:r>
      <w:r w:rsidRPr="00817FCA">
        <w:rPr>
          <w:szCs w:val="22"/>
        </w:rPr>
        <w:t>.</w:t>
      </w:r>
    </w:p>
    <w:p w14:paraId="57E16F26" w14:textId="0919281D" w:rsidR="00554826" w:rsidRPr="00817FCA" w:rsidRDefault="00554826" w:rsidP="00817FCA">
      <w:pPr>
        <w:keepNext/>
        <w:spacing w:before="300" w:line="240" w:lineRule="atLeast"/>
        <w:ind w:right="397"/>
        <w:jc w:val="both"/>
        <w:rPr>
          <w:szCs w:val="22"/>
        </w:rPr>
      </w:pPr>
      <w:r w:rsidRPr="00817FCA">
        <w:rPr>
          <w:szCs w:val="22"/>
        </w:rPr>
        <w:t>Dated</w:t>
      </w:r>
      <w:r w:rsidRPr="00817FCA">
        <w:rPr>
          <w:szCs w:val="22"/>
        </w:rPr>
        <w:tab/>
      </w:r>
      <w:r w:rsidRPr="00817FCA">
        <w:rPr>
          <w:szCs w:val="22"/>
        </w:rPr>
        <w:tab/>
      </w:r>
      <w:r w:rsidR="009C271A">
        <w:rPr>
          <w:szCs w:val="22"/>
        </w:rPr>
        <w:t xml:space="preserve">30 </w:t>
      </w:r>
      <w:r w:rsidR="00491757" w:rsidRPr="00026616">
        <w:rPr>
          <w:szCs w:val="22"/>
        </w:rPr>
        <w:t>June</w:t>
      </w:r>
      <w:r w:rsidR="00A165C7" w:rsidRPr="00026616">
        <w:rPr>
          <w:szCs w:val="22"/>
        </w:rPr>
        <w:t xml:space="preserve"> 202</w:t>
      </w:r>
      <w:r w:rsidR="00FB5952" w:rsidRPr="00026616">
        <w:rPr>
          <w:szCs w:val="22"/>
        </w:rPr>
        <w:t>5</w:t>
      </w:r>
      <w:r w:rsidRPr="00817FCA">
        <w:rPr>
          <w:szCs w:val="22"/>
        </w:rPr>
        <w:tab/>
      </w:r>
      <w:r w:rsidRPr="00817FCA">
        <w:rPr>
          <w:szCs w:val="22"/>
        </w:rPr>
        <w:tab/>
      </w:r>
    </w:p>
    <w:p w14:paraId="7E71DBA5" w14:textId="7D108DB8" w:rsidR="00554826" w:rsidRPr="00817FCA" w:rsidRDefault="009C271A" w:rsidP="00817FCA">
      <w:pPr>
        <w:keepNext/>
        <w:tabs>
          <w:tab w:val="left" w:pos="3402"/>
        </w:tabs>
        <w:spacing w:before="1440" w:line="300" w:lineRule="atLeast"/>
        <w:ind w:right="397"/>
        <w:rPr>
          <w:b/>
          <w:szCs w:val="22"/>
        </w:rPr>
      </w:pPr>
      <w:r>
        <w:rPr>
          <w:szCs w:val="22"/>
        </w:rPr>
        <w:t>Yvette Berry</w:t>
      </w:r>
      <w:r w:rsidR="00554826" w:rsidRPr="00817FCA">
        <w:rPr>
          <w:szCs w:val="22"/>
        </w:rPr>
        <w:t xml:space="preserve"> </w:t>
      </w:r>
    </w:p>
    <w:p w14:paraId="710436C9" w14:textId="1C117FF2" w:rsidR="00554826" w:rsidRPr="00817FCA" w:rsidRDefault="009C271A" w:rsidP="00817FCA">
      <w:pPr>
        <w:pStyle w:val="SignCoverPageEnd"/>
        <w:ind w:right="91"/>
        <w:rPr>
          <w:sz w:val="22"/>
        </w:rPr>
      </w:pPr>
      <w:r>
        <w:rPr>
          <w:sz w:val="22"/>
        </w:rPr>
        <w:t xml:space="preserve">Acting </w:t>
      </w:r>
      <w:r w:rsidR="000F6D08" w:rsidRPr="00817FCA">
        <w:rPr>
          <w:sz w:val="22"/>
        </w:rPr>
        <w:t>Chief Minister</w:t>
      </w:r>
    </w:p>
    <w:p w14:paraId="49B6A1F3" w14:textId="77777777" w:rsidR="00554826" w:rsidRPr="00817FCA" w:rsidRDefault="00554826" w:rsidP="00817FCA"/>
    <w:p w14:paraId="7E6FB486" w14:textId="77777777" w:rsidR="00554826" w:rsidRPr="00817FCA" w:rsidRDefault="00554826" w:rsidP="00817FCA"/>
    <w:bookmarkEnd w:id="0"/>
    <w:p w14:paraId="1E6D834D" w14:textId="77777777" w:rsidR="00F6696E" w:rsidRPr="00817FCA" w:rsidRDefault="00F6696E" w:rsidP="00817FCA"/>
    <w:p w14:paraId="6A52D5F2" w14:textId="77777777" w:rsidR="00F6696E" w:rsidRPr="00817FCA" w:rsidRDefault="00F6696E" w:rsidP="00817FCA">
      <w:pPr>
        <w:sectPr w:rsidR="00F6696E" w:rsidRPr="00817FCA"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06E68EDE" w14:textId="77777777" w:rsidR="007500C8" w:rsidRPr="00817FCA" w:rsidRDefault="00715914" w:rsidP="00817FCA">
      <w:pPr>
        <w:outlineLvl w:val="0"/>
        <w:rPr>
          <w:sz w:val="36"/>
        </w:rPr>
      </w:pPr>
      <w:bookmarkStart w:id="1" w:name="_Hlk71724986"/>
      <w:r w:rsidRPr="00817FCA">
        <w:rPr>
          <w:sz w:val="36"/>
        </w:rPr>
        <w:lastRenderedPageBreak/>
        <w:t>Contents</w:t>
      </w:r>
    </w:p>
    <w:p w14:paraId="15277A16" w14:textId="036F067A" w:rsidR="00737236" w:rsidRPr="00817FCA" w:rsidRDefault="00B418CB" w:rsidP="00817FCA">
      <w:pPr>
        <w:pStyle w:val="TOC5"/>
        <w:rPr>
          <w:rFonts w:asciiTheme="minorHAnsi" w:eastAsiaTheme="minorEastAsia" w:hAnsiTheme="minorHAnsi" w:cstheme="minorBidi"/>
          <w:noProof/>
          <w:kern w:val="0"/>
          <w:sz w:val="22"/>
          <w:szCs w:val="22"/>
        </w:rPr>
      </w:pPr>
      <w:r w:rsidRPr="00817FCA">
        <w:fldChar w:fldCharType="begin"/>
      </w:r>
      <w:r w:rsidRPr="00817FCA">
        <w:instrText xml:space="preserve"> TOC \o "1-9" </w:instrText>
      </w:r>
      <w:r w:rsidRPr="00817FCA">
        <w:fldChar w:fldCharType="separate"/>
      </w:r>
      <w:r w:rsidR="00737236" w:rsidRPr="00817FCA">
        <w:rPr>
          <w:noProof/>
        </w:rPr>
        <w:t>1  Name</w:t>
      </w:r>
      <w:r w:rsidR="00737236" w:rsidRPr="00817FCA">
        <w:rPr>
          <w:noProof/>
        </w:rPr>
        <w:tab/>
      </w:r>
      <w:r w:rsidR="00737236" w:rsidRPr="00817FCA">
        <w:rPr>
          <w:noProof/>
        </w:rPr>
        <w:fldChar w:fldCharType="begin"/>
      </w:r>
      <w:r w:rsidR="00737236" w:rsidRPr="00817FCA">
        <w:rPr>
          <w:noProof/>
        </w:rPr>
        <w:instrText xml:space="preserve"> PAGEREF _Toc107386469 \h </w:instrText>
      </w:r>
      <w:r w:rsidR="00737236" w:rsidRPr="00817FCA">
        <w:rPr>
          <w:noProof/>
        </w:rPr>
      </w:r>
      <w:r w:rsidR="00737236" w:rsidRPr="00817FCA">
        <w:rPr>
          <w:noProof/>
        </w:rPr>
        <w:fldChar w:fldCharType="separate"/>
      </w:r>
      <w:r w:rsidR="00737236" w:rsidRPr="00817FCA">
        <w:rPr>
          <w:noProof/>
        </w:rPr>
        <w:t>1</w:t>
      </w:r>
      <w:r w:rsidR="00737236" w:rsidRPr="00817FCA">
        <w:rPr>
          <w:noProof/>
        </w:rPr>
        <w:fldChar w:fldCharType="end"/>
      </w:r>
    </w:p>
    <w:p w14:paraId="26836148" w14:textId="6D083C66" w:rsidR="00737236" w:rsidRPr="00817FCA" w:rsidRDefault="00737236" w:rsidP="00817FCA">
      <w:pPr>
        <w:pStyle w:val="TOC5"/>
        <w:rPr>
          <w:rFonts w:asciiTheme="minorHAnsi" w:eastAsiaTheme="minorEastAsia" w:hAnsiTheme="minorHAnsi" w:cstheme="minorBidi"/>
          <w:noProof/>
          <w:kern w:val="0"/>
          <w:sz w:val="22"/>
          <w:szCs w:val="22"/>
        </w:rPr>
      </w:pPr>
      <w:r w:rsidRPr="00817FCA">
        <w:rPr>
          <w:noProof/>
        </w:rPr>
        <w:t>2  Commencement</w:t>
      </w:r>
      <w:r w:rsidRPr="00817FCA">
        <w:rPr>
          <w:noProof/>
        </w:rPr>
        <w:tab/>
      </w:r>
      <w:r w:rsidRPr="00817FCA">
        <w:rPr>
          <w:noProof/>
        </w:rPr>
        <w:fldChar w:fldCharType="begin"/>
      </w:r>
      <w:r w:rsidRPr="00817FCA">
        <w:rPr>
          <w:noProof/>
        </w:rPr>
        <w:instrText xml:space="preserve"> PAGEREF _Toc107386470 \h </w:instrText>
      </w:r>
      <w:r w:rsidRPr="00817FCA">
        <w:rPr>
          <w:noProof/>
        </w:rPr>
      </w:r>
      <w:r w:rsidRPr="00817FCA">
        <w:rPr>
          <w:noProof/>
        </w:rPr>
        <w:fldChar w:fldCharType="separate"/>
      </w:r>
      <w:r w:rsidRPr="00817FCA">
        <w:rPr>
          <w:noProof/>
        </w:rPr>
        <w:t>1</w:t>
      </w:r>
      <w:r w:rsidRPr="00817FCA">
        <w:rPr>
          <w:noProof/>
        </w:rPr>
        <w:fldChar w:fldCharType="end"/>
      </w:r>
    </w:p>
    <w:p w14:paraId="1937BEFB" w14:textId="5E33CE61" w:rsidR="00737236" w:rsidRPr="00817FCA" w:rsidRDefault="00737236" w:rsidP="00817FCA">
      <w:pPr>
        <w:pStyle w:val="TOC5"/>
        <w:rPr>
          <w:rFonts w:asciiTheme="minorHAnsi" w:eastAsiaTheme="minorEastAsia" w:hAnsiTheme="minorHAnsi" w:cstheme="minorBidi"/>
          <w:noProof/>
          <w:kern w:val="0"/>
          <w:sz w:val="22"/>
          <w:szCs w:val="22"/>
        </w:rPr>
      </w:pPr>
      <w:r w:rsidRPr="00817FCA">
        <w:rPr>
          <w:noProof/>
        </w:rPr>
        <w:t>3  Authority</w:t>
      </w:r>
      <w:r w:rsidRPr="00817FCA">
        <w:rPr>
          <w:noProof/>
        </w:rPr>
        <w:tab/>
      </w:r>
      <w:r w:rsidRPr="00817FCA">
        <w:rPr>
          <w:noProof/>
        </w:rPr>
        <w:fldChar w:fldCharType="begin"/>
      </w:r>
      <w:r w:rsidRPr="00817FCA">
        <w:rPr>
          <w:noProof/>
        </w:rPr>
        <w:instrText xml:space="preserve"> PAGEREF _Toc107386471 \h </w:instrText>
      </w:r>
      <w:r w:rsidRPr="00817FCA">
        <w:rPr>
          <w:noProof/>
        </w:rPr>
      </w:r>
      <w:r w:rsidRPr="00817FCA">
        <w:rPr>
          <w:noProof/>
        </w:rPr>
        <w:fldChar w:fldCharType="separate"/>
      </w:r>
      <w:r w:rsidRPr="00817FCA">
        <w:rPr>
          <w:noProof/>
        </w:rPr>
        <w:t>1</w:t>
      </w:r>
      <w:r w:rsidRPr="00817FCA">
        <w:rPr>
          <w:noProof/>
        </w:rPr>
        <w:fldChar w:fldCharType="end"/>
      </w:r>
    </w:p>
    <w:p w14:paraId="0AA66307" w14:textId="0298E624" w:rsidR="00737236" w:rsidRPr="00817FCA" w:rsidRDefault="00737236" w:rsidP="00817FCA">
      <w:pPr>
        <w:pStyle w:val="TOC5"/>
        <w:rPr>
          <w:rFonts w:asciiTheme="minorHAnsi" w:eastAsiaTheme="minorEastAsia" w:hAnsiTheme="minorHAnsi" w:cstheme="minorBidi"/>
          <w:noProof/>
          <w:kern w:val="0"/>
          <w:sz w:val="22"/>
          <w:szCs w:val="22"/>
        </w:rPr>
      </w:pPr>
      <w:r w:rsidRPr="00817FCA">
        <w:rPr>
          <w:noProof/>
        </w:rPr>
        <w:t>4  Simplified outline of this instrument</w:t>
      </w:r>
      <w:r w:rsidRPr="00817FCA">
        <w:rPr>
          <w:noProof/>
        </w:rPr>
        <w:tab/>
      </w:r>
      <w:r w:rsidRPr="00817FCA">
        <w:rPr>
          <w:noProof/>
        </w:rPr>
        <w:fldChar w:fldCharType="begin"/>
      </w:r>
      <w:r w:rsidRPr="00817FCA">
        <w:rPr>
          <w:noProof/>
        </w:rPr>
        <w:instrText xml:space="preserve"> PAGEREF _Toc107386472 \h </w:instrText>
      </w:r>
      <w:r w:rsidRPr="00817FCA">
        <w:rPr>
          <w:noProof/>
        </w:rPr>
      </w:r>
      <w:r w:rsidRPr="00817FCA">
        <w:rPr>
          <w:noProof/>
        </w:rPr>
        <w:fldChar w:fldCharType="separate"/>
      </w:r>
      <w:r w:rsidRPr="00817FCA">
        <w:rPr>
          <w:noProof/>
        </w:rPr>
        <w:t>1</w:t>
      </w:r>
      <w:r w:rsidRPr="00817FCA">
        <w:rPr>
          <w:noProof/>
        </w:rPr>
        <w:fldChar w:fldCharType="end"/>
      </w:r>
    </w:p>
    <w:p w14:paraId="2C31ADBB" w14:textId="7DE5A110" w:rsidR="00737236" w:rsidRPr="00817FCA" w:rsidRDefault="00737236" w:rsidP="00817FCA">
      <w:pPr>
        <w:pStyle w:val="TOC5"/>
        <w:rPr>
          <w:rFonts w:asciiTheme="minorHAnsi" w:eastAsiaTheme="minorEastAsia" w:hAnsiTheme="minorHAnsi" w:cstheme="minorBidi"/>
          <w:noProof/>
          <w:kern w:val="0"/>
          <w:sz w:val="22"/>
          <w:szCs w:val="22"/>
        </w:rPr>
      </w:pPr>
      <w:r w:rsidRPr="00817FCA">
        <w:rPr>
          <w:noProof/>
        </w:rPr>
        <w:t>5  Definitions</w:t>
      </w:r>
      <w:r w:rsidRPr="00817FCA">
        <w:rPr>
          <w:noProof/>
        </w:rPr>
        <w:tab/>
      </w:r>
      <w:r w:rsidRPr="00817FCA">
        <w:rPr>
          <w:noProof/>
        </w:rPr>
        <w:fldChar w:fldCharType="begin"/>
      </w:r>
      <w:r w:rsidRPr="00817FCA">
        <w:rPr>
          <w:noProof/>
        </w:rPr>
        <w:instrText xml:space="preserve"> PAGEREF _Toc107386473 \h </w:instrText>
      </w:r>
      <w:r w:rsidRPr="00817FCA">
        <w:rPr>
          <w:noProof/>
        </w:rPr>
      </w:r>
      <w:r w:rsidRPr="00817FCA">
        <w:rPr>
          <w:noProof/>
        </w:rPr>
        <w:fldChar w:fldCharType="separate"/>
      </w:r>
      <w:r w:rsidRPr="00817FCA">
        <w:rPr>
          <w:noProof/>
        </w:rPr>
        <w:t>1</w:t>
      </w:r>
      <w:r w:rsidRPr="00817FCA">
        <w:rPr>
          <w:noProof/>
        </w:rPr>
        <w:fldChar w:fldCharType="end"/>
      </w:r>
    </w:p>
    <w:p w14:paraId="08E29C87" w14:textId="6404B302" w:rsidR="00737236" w:rsidRPr="00817FCA" w:rsidRDefault="00737236" w:rsidP="00817FCA">
      <w:pPr>
        <w:pStyle w:val="TOC5"/>
        <w:rPr>
          <w:rFonts w:asciiTheme="minorHAnsi" w:eastAsiaTheme="minorEastAsia" w:hAnsiTheme="minorHAnsi" w:cstheme="minorBidi"/>
          <w:noProof/>
          <w:kern w:val="0"/>
          <w:sz w:val="22"/>
          <w:szCs w:val="22"/>
        </w:rPr>
      </w:pPr>
      <w:r w:rsidRPr="00817FCA">
        <w:rPr>
          <w:noProof/>
        </w:rPr>
        <w:t>6  Exemption</w:t>
      </w:r>
      <w:r w:rsidRPr="00817FCA">
        <w:rPr>
          <w:noProof/>
        </w:rPr>
        <w:tab/>
      </w:r>
      <w:r w:rsidRPr="00817FCA">
        <w:rPr>
          <w:noProof/>
        </w:rPr>
        <w:fldChar w:fldCharType="begin"/>
      </w:r>
      <w:r w:rsidRPr="00817FCA">
        <w:rPr>
          <w:noProof/>
        </w:rPr>
        <w:instrText xml:space="preserve"> PAGEREF _Toc107386474 \h </w:instrText>
      </w:r>
      <w:r w:rsidRPr="00817FCA">
        <w:rPr>
          <w:noProof/>
        </w:rPr>
      </w:r>
      <w:r w:rsidRPr="00817FCA">
        <w:rPr>
          <w:noProof/>
        </w:rPr>
        <w:fldChar w:fldCharType="separate"/>
      </w:r>
      <w:r w:rsidRPr="00817FCA">
        <w:rPr>
          <w:noProof/>
        </w:rPr>
        <w:t>2</w:t>
      </w:r>
      <w:r w:rsidRPr="00817FCA">
        <w:rPr>
          <w:noProof/>
        </w:rPr>
        <w:fldChar w:fldCharType="end"/>
      </w:r>
    </w:p>
    <w:p w14:paraId="0649DD8F" w14:textId="189A5578" w:rsidR="00737236" w:rsidRPr="00817FCA" w:rsidRDefault="00C17E26" w:rsidP="00817FCA">
      <w:pPr>
        <w:pStyle w:val="TOC5"/>
        <w:rPr>
          <w:rFonts w:asciiTheme="minorHAnsi" w:eastAsiaTheme="minorEastAsia" w:hAnsiTheme="minorHAnsi" w:cstheme="minorBidi"/>
          <w:noProof/>
          <w:kern w:val="0"/>
          <w:sz w:val="22"/>
          <w:szCs w:val="22"/>
        </w:rPr>
      </w:pPr>
      <w:r>
        <w:rPr>
          <w:noProof/>
        </w:rPr>
        <w:t>7</w:t>
      </w:r>
      <w:r w:rsidR="00737236" w:rsidRPr="00817FCA">
        <w:rPr>
          <w:noProof/>
        </w:rPr>
        <w:t xml:space="preserve">  Human Rights Act statement</w:t>
      </w:r>
      <w:r w:rsidR="00737236" w:rsidRPr="00817FCA">
        <w:rPr>
          <w:noProof/>
        </w:rPr>
        <w:tab/>
      </w:r>
      <w:r w:rsidR="00413DF1">
        <w:rPr>
          <w:noProof/>
        </w:rPr>
        <w:t>3</w:t>
      </w:r>
    </w:p>
    <w:p w14:paraId="26115257" w14:textId="5AC56B06" w:rsidR="00F6696E" w:rsidRPr="00817FCA" w:rsidRDefault="00B418CB" w:rsidP="00817FCA">
      <w:pPr>
        <w:outlineLvl w:val="0"/>
      </w:pPr>
      <w:r w:rsidRPr="00817FCA">
        <w:fldChar w:fldCharType="end"/>
      </w:r>
    </w:p>
    <w:bookmarkEnd w:id="1"/>
    <w:p w14:paraId="01908B22" w14:textId="77777777" w:rsidR="00F6696E" w:rsidRPr="00817FCA" w:rsidRDefault="00F6696E" w:rsidP="00817FCA">
      <w:pPr>
        <w:outlineLvl w:val="0"/>
        <w:rPr>
          <w:sz w:val="20"/>
        </w:rPr>
      </w:pPr>
    </w:p>
    <w:p w14:paraId="21363B52" w14:textId="77777777" w:rsidR="00F6696E" w:rsidRPr="00817FCA" w:rsidRDefault="00F6696E" w:rsidP="00817FCA">
      <w:pPr>
        <w:sectPr w:rsidR="00F6696E" w:rsidRPr="00817FCA" w:rsidSect="008648A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388E7376" w14:textId="77777777" w:rsidR="00554826" w:rsidRPr="00817FCA" w:rsidRDefault="00554826" w:rsidP="00817FCA">
      <w:pPr>
        <w:pStyle w:val="ActHead5"/>
      </w:pPr>
      <w:bookmarkStart w:id="2" w:name="_Toc107386469"/>
      <w:bookmarkStart w:id="3" w:name="_Hlk71724957"/>
      <w:r w:rsidRPr="00817FCA">
        <w:lastRenderedPageBreak/>
        <w:t>1  Name</w:t>
      </w:r>
      <w:bookmarkEnd w:id="2"/>
    </w:p>
    <w:p w14:paraId="622FDE8A" w14:textId="4F1971FA" w:rsidR="004F0883" w:rsidRPr="00817FCA" w:rsidRDefault="00554826" w:rsidP="00817FCA">
      <w:pPr>
        <w:pStyle w:val="subsection"/>
      </w:pPr>
      <w:r w:rsidRPr="00817FCA">
        <w:tab/>
      </w:r>
      <w:r w:rsidRPr="00817FCA">
        <w:tab/>
        <w:t xml:space="preserve">This instrument is the </w:t>
      </w:r>
      <w:bookmarkStart w:id="4" w:name="BKCheck15B_3"/>
      <w:bookmarkEnd w:id="4"/>
      <w:r w:rsidR="00D07CE0" w:rsidRPr="00817FCA">
        <w:t>Automatic Mutual Recognition (</w:t>
      </w:r>
      <w:r w:rsidR="000F6D08" w:rsidRPr="00817FCA">
        <w:t>Australian Capital Territory</w:t>
      </w:r>
      <w:r w:rsidR="00D07CE0" w:rsidRPr="00817FCA">
        <w:t>) (Exemption</w:t>
      </w:r>
      <w:r w:rsidR="000C28FC" w:rsidRPr="00817FCA">
        <w:t>—</w:t>
      </w:r>
      <w:r w:rsidR="00C11D7A" w:rsidRPr="00817FCA">
        <w:t>Dangerous Substances</w:t>
      </w:r>
      <w:r w:rsidR="00CA52A5">
        <w:t xml:space="preserve"> and Labour Hire Provider</w:t>
      </w:r>
      <w:r w:rsidR="00D07CE0" w:rsidRPr="00817FCA">
        <w:t xml:space="preserve">) Declaration </w:t>
      </w:r>
      <w:r w:rsidR="000F6D08" w:rsidRPr="00817FCA">
        <w:t>202</w:t>
      </w:r>
      <w:r w:rsidR="00E83AA4">
        <w:t>5</w:t>
      </w:r>
      <w:r w:rsidRPr="00817FCA">
        <w:t>.</w:t>
      </w:r>
    </w:p>
    <w:p w14:paraId="66D55BE8" w14:textId="77777777" w:rsidR="00554826" w:rsidRPr="00817FCA" w:rsidRDefault="00554826" w:rsidP="00817FCA">
      <w:pPr>
        <w:pStyle w:val="ActHead5"/>
      </w:pPr>
      <w:bookmarkStart w:id="5" w:name="_Toc107386470"/>
      <w:r w:rsidRPr="00817FCA">
        <w:t>2  Commencement</w:t>
      </w:r>
      <w:bookmarkEnd w:id="5"/>
    </w:p>
    <w:p w14:paraId="2233CDA4" w14:textId="2327AEC2" w:rsidR="003767E2" w:rsidRPr="00817FCA" w:rsidRDefault="003767E2" w:rsidP="00817FCA">
      <w:pPr>
        <w:pStyle w:val="subsection"/>
      </w:pPr>
      <w:r w:rsidRPr="00817FCA">
        <w:tab/>
        <w:t>(1)</w:t>
      </w:r>
      <w:r w:rsidRPr="00817FCA">
        <w:tab/>
        <w:t xml:space="preserve">Each provision of this instrument specified in column 1 of the table commences, or is taken to have commenced, in accordance with column 2 of the </w:t>
      </w:r>
      <w:r w:rsidR="007F37B6">
        <w:t>table</w:t>
      </w:r>
      <w:r w:rsidRPr="00817FCA">
        <w:t>. Any other statement in column 2 has effect according to its terms.</w:t>
      </w:r>
    </w:p>
    <w:p w14:paraId="3864D7CF" w14:textId="77777777" w:rsidR="003767E2" w:rsidRPr="00817FCA" w:rsidRDefault="003767E2" w:rsidP="00817FCA">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817FCA" w14:paraId="1C5CCD35" w14:textId="77777777" w:rsidTr="004358AB">
        <w:trPr>
          <w:tblHeader/>
        </w:trPr>
        <w:tc>
          <w:tcPr>
            <w:tcW w:w="8364" w:type="dxa"/>
            <w:gridSpan w:val="3"/>
            <w:tcBorders>
              <w:top w:val="single" w:sz="12" w:space="0" w:color="auto"/>
              <w:bottom w:val="single" w:sz="6" w:space="0" w:color="auto"/>
            </w:tcBorders>
            <w:shd w:val="clear" w:color="auto" w:fill="auto"/>
            <w:hideMark/>
          </w:tcPr>
          <w:p w14:paraId="0FB7E1C4" w14:textId="77777777" w:rsidR="003767E2" w:rsidRPr="00817FCA" w:rsidRDefault="003767E2" w:rsidP="00817FCA">
            <w:pPr>
              <w:pStyle w:val="TableHeading"/>
            </w:pPr>
            <w:r w:rsidRPr="00817FCA">
              <w:t>Commencement information</w:t>
            </w:r>
          </w:p>
        </w:tc>
      </w:tr>
      <w:tr w:rsidR="00841A80" w:rsidRPr="00817FCA" w14:paraId="61AD1A93" w14:textId="77777777" w:rsidTr="00D818C8">
        <w:trPr>
          <w:tblHeader/>
        </w:trPr>
        <w:tc>
          <w:tcPr>
            <w:tcW w:w="2127" w:type="dxa"/>
            <w:tcBorders>
              <w:top w:val="single" w:sz="6" w:space="0" w:color="auto"/>
              <w:bottom w:val="single" w:sz="6" w:space="0" w:color="auto"/>
            </w:tcBorders>
            <w:shd w:val="clear" w:color="auto" w:fill="auto"/>
            <w:hideMark/>
          </w:tcPr>
          <w:p w14:paraId="2F393C27" w14:textId="77777777" w:rsidR="00841A80" w:rsidRPr="00817FCA" w:rsidRDefault="00841A80" w:rsidP="00841A80">
            <w:pPr>
              <w:pStyle w:val="TableHeading"/>
            </w:pPr>
            <w:r w:rsidRPr="00817FCA">
              <w:t>Column 1</w:t>
            </w:r>
          </w:p>
        </w:tc>
        <w:tc>
          <w:tcPr>
            <w:tcW w:w="4394" w:type="dxa"/>
            <w:tcBorders>
              <w:top w:val="single" w:sz="6" w:space="0" w:color="auto"/>
              <w:bottom w:val="single" w:sz="6" w:space="0" w:color="auto"/>
            </w:tcBorders>
            <w:shd w:val="clear" w:color="auto" w:fill="auto"/>
            <w:hideMark/>
          </w:tcPr>
          <w:p w14:paraId="41C56C19" w14:textId="77777777" w:rsidR="00841A80" w:rsidRPr="00817FCA" w:rsidRDefault="00841A80" w:rsidP="00841A80">
            <w:pPr>
              <w:pStyle w:val="TableHeading"/>
            </w:pPr>
            <w:r w:rsidRPr="00817FCA">
              <w:t>Column 2</w:t>
            </w:r>
          </w:p>
        </w:tc>
        <w:tc>
          <w:tcPr>
            <w:tcW w:w="1843" w:type="dxa"/>
            <w:tcBorders>
              <w:top w:val="single" w:sz="6" w:space="0" w:color="auto"/>
              <w:bottom w:val="single" w:sz="6" w:space="0" w:color="auto"/>
            </w:tcBorders>
            <w:shd w:val="clear" w:color="auto" w:fill="auto"/>
          </w:tcPr>
          <w:p w14:paraId="4DD0E34F" w14:textId="708D45DC" w:rsidR="00841A80" w:rsidRPr="00817FCA" w:rsidRDefault="00841A80" w:rsidP="00841A80">
            <w:pPr>
              <w:pStyle w:val="TableHeading"/>
            </w:pPr>
            <w:r w:rsidRPr="00817FCA">
              <w:t>Column 3</w:t>
            </w:r>
          </w:p>
        </w:tc>
      </w:tr>
      <w:tr w:rsidR="00841A80" w:rsidRPr="00817FCA" w14:paraId="35289187" w14:textId="77777777" w:rsidTr="00D818C8">
        <w:trPr>
          <w:tblHeader/>
        </w:trPr>
        <w:tc>
          <w:tcPr>
            <w:tcW w:w="2127" w:type="dxa"/>
            <w:tcBorders>
              <w:top w:val="single" w:sz="6" w:space="0" w:color="auto"/>
              <w:bottom w:val="single" w:sz="12" w:space="0" w:color="auto"/>
            </w:tcBorders>
            <w:shd w:val="clear" w:color="auto" w:fill="auto"/>
            <w:hideMark/>
          </w:tcPr>
          <w:p w14:paraId="48E1612E" w14:textId="77777777" w:rsidR="00841A80" w:rsidRPr="00817FCA" w:rsidRDefault="00841A80" w:rsidP="00841A80">
            <w:pPr>
              <w:pStyle w:val="TableHeading"/>
            </w:pPr>
            <w:r w:rsidRPr="00817FCA">
              <w:t>Provisions</w:t>
            </w:r>
          </w:p>
        </w:tc>
        <w:tc>
          <w:tcPr>
            <w:tcW w:w="4394" w:type="dxa"/>
            <w:tcBorders>
              <w:top w:val="single" w:sz="6" w:space="0" w:color="auto"/>
              <w:bottom w:val="single" w:sz="12" w:space="0" w:color="auto"/>
            </w:tcBorders>
            <w:shd w:val="clear" w:color="auto" w:fill="auto"/>
            <w:hideMark/>
          </w:tcPr>
          <w:p w14:paraId="0959EB25" w14:textId="77777777" w:rsidR="00841A80" w:rsidRPr="00817FCA" w:rsidRDefault="00841A80" w:rsidP="00841A80">
            <w:pPr>
              <w:pStyle w:val="TableHeading"/>
            </w:pPr>
            <w:r w:rsidRPr="00817FCA">
              <w:t>Commencement</w:t>
            </w:r>
          </w:p>
        </w:tc>
        <w:tc>
          <w:tcPr>
            <w:tcW w:w="1843" w:type="dxa"/>
            <w:tcBorders>
              <w:top w:val="single" w:sz="6" w:space="0" w:color="auto"/>
              <w:bottom w:val="single" w:sz="12" w:space="0" w:color="auto"/>
            </w:tcBorders>
            <w:shd w:val="clear" w:color="auto" w:fill="auto"/>
          </w:tcPr>
          <w:p w14:paraId="599E9E37" w14:textId="76BDF424" w:rsidR="00841A80" w:rsidRPr="00817FCA" w:rsidRDefault="00841A80" w:rsidP="00841A80">
            <w:pPr>
              <w:pStyle w:val="TableHeading"/>
            </w:pPr>
            <w:r w:rsidRPr="00817FCA">
              <w:t>Date/Details</w:t>
            </w:r>
          </w:p>
        </w:tc>
      </w:tr>
      <w:tr w:rsidR="00841A80" w:rsidRPr="00817FCA" w14:paraId="737FC730" w14:textId="77777777" w:rsidTr="004358AB">
        <w:tc>
          <w:tcPr>
            <w:tcW w:w="2127" w:type="dxa"/>
            <w:tcBorders>
              <w:top w:val="single" w:sz="12" w:space="0" w:color="auto"/>
              <w:bottom w:val="single" w:sz="12" w:space="0" w:color="auto"/>
            </w:tcBorders>
            <w:shd w:val="clear" w:color="auto" w:fill="auto"/>
            <w:hideMark/>
          </w:tcPr>
          <w:p w14:paraId="7063B0F2" w14:textId="77777777" w:rsidR="00841A80" w:rsidRPr="00817FCA" w:rsidRDefault="00841A80" w:rsidP="00841A80">
            <w:pPr>
              <w:pStyle w:val="Tabletext"/>
              <w:rPr>
                <w:i/>
              </w:rPr>
            </w:pPr>
            <w:r w:rsidRPr="00817FCA">
              <w:t>1.  The whole of this instrument</w:t>
            </w:r>
          </w:p>
        </w:tc>
        <w:tc>
          <w:tcPr>
            <w:tcW w:w="4394" w:type="dxa"/>
            <w:tcBorders>
              <w:top w:val="single" w:sz="12" w:space="0" w:color="auto"/>
              <w:bottom w:val="single" w:sz="12" w:space="0" w:color="auto"/>
            </w:tcBorders>
            <w:shd w:val="clear" w:color="auto" w:fill="auto"/>
            <w:hideMark/>
          </w:tcPr>
          <w:p w14:paraId="3B882A00" w14:textId="06C0F1EA" w:rsidR="00841A80" w:rsidRPr="00817FCA" w:rsidRDefault="00841A80" w:rsidP="00841A80">
            <w:pPr>
              <w:pStyle w:val="Tabletext"/>
            </w:pPr>
            <w:r w:rsidRPr="00817FCA">
              <w:t>1 July 202</w:t>
            </w:r>
            <w:r>
              <w:t>5</w:t>
            </w:r>
            <w:r w:rsidRPr="00817FCA">
              <w:t>.</w:t>
            </w:r>
          </w:p>
        </w:tc>
        <w:tc>
          <w:tcPr>
            <w:tcW w:w="1843" w:type="dxa"/>
            <w:tcBorders>
              <w:top w:val="single" w:sz="12" w:space="0" w:color="auto"/>
              <w:bottom w:val="single" w:sz="12" w:space="0" w:color="auto"/>
            </w:tcBorders>
            <w:shd w:val="clear" w:color="auto" w:fill="auto"/>
          </w:tcPr>
          <w:p w14:paraId="71C02607" w14:textId="1B8A0698" w:rsidR="00841A80" w:rsidRPr="00817FCA" w:rsidRDefault="00841A80" w:rsidP="00841A80">
            <w:pPr>
              <w:pStyle w:val="Tabletext"/>
            </w:pPr>
          </w:p>
        </w:tc>
      </w:tr>
    </w:tbl>
    <w:p w14:paraId="080964F7" w14:textId="77777777" w:rsidR="003767E2" w:rsidRPr="00817FCA" w:rsidRDefault="003767E2" w:rsidP="00817FCA">
      <w:pPr>
        <w:pStyle w:val="notetext"/>
      </w:pPr>
      <w:r w:rsidRPr="00817FCA">
        <w:rPr>
          <w:snapToGrid w:val="0"/>
          <w:lang w:eastAsia="en-US"/>
        </w:rPr>
        <w:t>Note:</w:t>
      </w:r>
      <w:r w:rsidRPr="00817FCA">
        <w:rPr>
          <w:snapToGrid w:val="0"/>
          <w:lang w:eastAsia="en-US"/>
        </w:rPr>
        <w:tab/>
        <w:t>This table relates only to the provisions of this instrument</w:t>
      </w:r>
      <w:r w:rsidRPr="00817FCA">
        <w:t xml:space="preserve"> </w:t>
      </w:r>
      <w:r w:rsidRPr="00817FCA">
        <w:rPr>
          <w:snapToGrid w:val="0"/>
          <w:lang w:eastAsia="en-US"/>
        </w:rPr>
        <w:t>as originally made. It will not be amended to deal with any later amendments of this instrument.</w:t>
      </w:r>
    </w:p>
    <w:p w14:paraId="37535E13" w14:textId="77777777" w:rsidR="00841A80" w:rsidRPr="00817FCA" w:rsidRDefault="00841A80" w:rsidP="00841A80">
      <w:pPr>
        <w:pStyle w:val="subsection"/>
      </w:pPr>
      <w:bookmarkStart w:id="6" w:name="_Toc107386471"/>
      <w:r w:rsidRPr="00817FCA">
        <w:tab/>
        <w:t>(2)</w:t>
      </w:r>
      <w:r w:rsidRPr="00817FCA">
        <w:tab/>
        <w:t xml:space="preserve">Any information in column 3 </w:t>
      </w:r>
      <w:r>
        <w:t>of the table</w:t>
      </w:r>
      <w:r w:rsidRPr="00817FCA">
        <w:t xml:space="preserve"> is not part of this instrument. Information may be inserted in this column, or information in it may be edited, in any published version of this instrument.</w:t>
      </w:r>
    </w:p>
    <w:p w14:paraId="0115DC92" w14:textId="3A03A9A0" w:rsidR="00554826" w:rsidRPr="00817FCA" w:rsidRDefault="00554826" w:rsidP="00817FCA">
      <w:pPr>
        <w:pStyle w:val="ActHead5"/>
      </w:pPr>
      <w:r w:rsidRPr="00817FCA">
        <w:t>3  Authority</w:t>
      </w:r>
      <w:bookmarkEnd w:id="6"/>
    </w:p>
    <w:p w14:paraId="3EBB7919" w14:textId="26971CF8" w:rsidR="00554826" w:rsidRPr="00817FCA" w:rsidRDefault="00554826" w:rsidP="00817FCA">
      <w:pPr>
        <w:pStyle w:val="subsection"/>
      </w:pPr>
      <w:r w:rsidRPr="00817FCA">
        <w:tab/>
      </w:r>
      <w:r w:rsidRPr="00817FCA">
        <w:tab/>
        <w:t>This instrument is made under</w:t>
      </w:r>
      <w:r w:rsidR="00D07CE0" w:rsidRPr="00817FCA">
        <w:t xml:space="preserve"> section 42S of the </w:t>
      </w:r>
      <w:r w:rsidR="00D07CE0" w:rsidRPr="00817FCA">
        <w:rPr>
          <w:i/>
        </w:rPr>
        <w:t>Mutual Recognition Act</w:t>
      </w:r>
      <w:r w:rsidR="00B00CD8" w:rsidRPr="00817FCA">
        <w:rPr>
          <w:i/>
        </w:rPr>
        <w:t> </w:t>
      </w:r>
      <w:r w:rsidR="00D07CE0" w:rsidRPr="00817FCA">
        <w:rPr>
          <w:i/>
        </w:rPr>
        <w:t>1992</w:t>
      </w:r>
      <w:r w:rsidR="00D07CE0" w:rsidRPr="00817FCA">
        <w:t xml:space="preserve"> of the Commonwealth.</w:t>
      </w:r>
    </w:p>
    <w:p w14:paraId="392191EE" w14:textId="77777777" w:rsidR="008648A8" w:rsidRPr="00817FCA" w:rsidRDefault="00AE5AFE" w:rsidP="00817FCA">
      <w:pPr>
        <w:pStyle w:val="ActHead5"/>
      </w:pPr>
      <w:bookmarkStart w:id="7" w:name="_Toc107386472"/>
      <w:r w:rsidRPr="00817FCA">
        <w:t>4</w:t>
      </w:r>
      <w:r w:rsidR="008648A8" w:rsidRPr="00817FCA">
        <w:t xml:space="preserve">  Simplified outline of this instrument</w:t>
      </w:r>
      <w:bookmarkEnd w:id="7"/>
    </w:p>
    <w:p w14:paraId="6C744F8A" w14:textId="2C4C2042" w:rsidR="00DE653C" w:rsidRDefault="00BA698E" w:rsidP="00DE653C">
      <w:pPr>
        <w:pStyle w:val="SOText"/>
      </w:pPr>
      <w:r w:rsidRPr="00817FCA">
        <w:t xml:space="preserve">The purpose of this instrument is to exempt registrations for dangerous substances occupations, activities covered by dangerous substances </w:t>
      </w:r>
      <w:r w:rsidR="00002C77">
        <w:t>licen</w:t>
      </w:r>
      <w:r w:rsidR="00D818C8">
        <w:t>c</w:t>
      </w:r>
      <w:r w:rsidR="00002C77">
        <w:t>es</w:t>
      </w:r>
      <w:r w:rsidR="00FD4BC9">
        <w:t xml:space="preserve"> and labour hire providers or licensing </w:t>
      </w:r>
      <w:r w:rsidRPr="00817FCA">
        <w:t xml:space="preserve">from the automatic deemed registration provisions of the </w:t>
      </w:r>
      <w:r w:rsidRPr="00817FCA">
        <w:rPr>
          <w:i/>
        </w:rPr>
        <w:t>Mutual Recognition Act 1992</w:t>
      </w:r>
      <w:r w:rsidRPr="00817FCA">
        <w:t xml:space="preserve"> of the Commonwealth until 1</w:t>
      </w:r>
      <w:r w:rsidR="00FB5450">
        <w:t> </w:t>
      </w:r>
      <w:r w:rsidRPr="00817FCA">
        <w:t>July 20</w:t>
      </w:r>
      <w:r w:rsidR="00127025">
        <w:t>30</w:t>
      </w:r>
      <w:r w:rsidRPr="00817FCA">
        <w:t xml:space="preserve"> because of a significant risk to the health and safety of workers or the public.</w:t>
      </w:r>
      <w:r w:rsidR="00DE653C">
        <w:t xml:space="preserve"> </w:t>
      </w:r>
      <w:r w:rsidRPr="00817FCA">
        <w:t>This instrument has effect only in relation to the Australian Capital Territory.</w:t>
      </w:r>
    </w:p>
    <w:p w14:paraId="6BB0D02C" w14:textId="64D71A78" w:rsidR="00DE653C" w:rsidRPr="00817FCA" w:rsidRDefault="00DE653C" w:rsidP="00817FCA">
      <w:pPr>
        <w:pStyle w:val="SOText"/>
      </w:pPr>
      <w:r w:rsidRPr="00DE653C">
        <w:t>Unless revoked earlier, this instrument will sunset under section 50 of the </w:t>
      </w:r>
      <w:r w:rsidRPr="00DE653C">
        <w:rPr>
          <w:i/>
          <w:iCs/>
        </w:rPr>
        <w:t>Legislation Act 2003</w:t>
      </w:r>
      <w:r w:rsidRPr="00DE653C">
        <w:t> of the Commonwealth, subject to subsection 42S(6) of the </w:t>
      </w:r>
      <w:r w:rsidRPr="00DE653C">
        <w:rPr>
          <w:i/>
          <w:iCs/>
        </w:rPr>
        <w:t>Mutual Recognition Act 1992</w:t>
      </w:r>
      <w:r w:rsidRPr="00DE653C">
        <w:t> of the Commonwealth. This will generally mean that this instrument will be repealed on the first 1 April or 1 October falling on or after the fifth anniversary of the registration of the instrument on the Federal Register of Legislation.</w:t>
      </w:r>
    </w:p>
    <w:p w14:paraId="48121C8A" w14:textId="77777777" w:rsidR="00554826" w:rsidRPr="00817FCA" w:rsidRDefault="00AE5AFE" w:rsidP="00817FCA">
      <w:pPr>
        <w:pStyle w:val="ActHead5"/>
      </w:pPr>
      <w:bookmarkStart w:id="8" w:name="_Toc107386473"/>
      <w:r w:rsidRPr="00817FCA">
        <w:lastRenderedPageBreak/>
        <w:t>5</w:t>
      </w:r>
      <w:r w:rsidR="00554826" w:rsidRPr="00817FCA">
        <w:t xml:space="preserve">  Definitions</w:t>
      </w:r>
      <w:bookmarkEnd w:id="8"/>
    </w:p>
    <w:p w14:paraId="79DDA941" w14:textId="77777777" w:rsidR="00554826" w:rsidRPr="00817FCA" w:rsidRDefault="00554826" w:rsidP="00817FCA">
      <w:pPr>
        <w:pStyle w:val="subsection"/>
      </w:pPr>
      <w:r w:rsidRPr="00817FCA">
        <w:tab/>
      </w:r>
      <w:r w:rsidRPr="00817FCA">
        <w:tab/>
        <w:t>In this instrument:</w:t>
      </w:r>
    </w:p>
    <w:p w14:paraId="47B31B9F" w14:textId="1689E09F" w:rsidR="00554826" w:rsidRPr="00817FCA" w:rsidRDefault="00D07CE0" w:rsidP="00817FCA">
      <w:pPr>
        <w:pStyle w:val="Definition"/>
      </w:pPr>
      <w:r w:rsidRPr="00817FCA">
        <w:rPr>
          <w:b/>
          <w:i/>
        </w:rPr>
        <w:t>Act</w:t>
      </w:r>
      <w:r w:rsidRPr="00817FCA">
        <w:t xml:space="preserve"> means the </w:t>
      </w:r>
      <w:r w:rsidRPr="00817FCA">
        <w:rPr>
          <w:i/>
        </w:rPr>
        <w:t>Mutual Recognition Act</w:t>
      </w:r>
      <w:r w:rsidR="00DD60B0" w:rsidRPr="00817FCA">
        <w:rPr>
          <w:i/>
        </w:rPr>
        <w:t> </w:t>
      </w:r>
      <w:r w:rsidRPr="00817FCA">
        <w:rPr>
          <w:i/>
        </w:rPr>
        <w:t>1992</w:t>
      </w:r>
      <w:r w:rsidRPr="00817FCA">
        <w:t xml:space="preserve"> of the Commonwealth.</w:t>
      </w:r>
    </w:p>
    <w:p w14:paraId="3005906C" w14:textId="405F85BE" w:rsidR="00D16FD1" w:rsidRPr="00817FCA" w:rsidRDefault="000F4D5A" w:rsidP="00817FCA">
      <w:pPr>
        <w:pStyle w:val="ActHead5"/>
      </w:pPr>
      <w:bookmarkStart w:id="9" w:name="_Toc107386474"/>
      <w:bookmarkStart w:id="10" w:name="_Toc454781205"/>
      <w:r w:rsidRPr="00817FCA">
        <w:t>6</w:t>
      </w:r>
      <w:r w:rsidR="006018FF" w:rsidRPr="00817FCA">
        <w:t xml:space="preserve">  Exemption</w:t>
      </w:r>
      <w:bookmarkEnd w:id="9"/>
      <w:r w:rsidR="001326F5">
        <w:t>s</w:t>
      </w:r>
    </w:p>
    <w:p w14:paraId="34B243A5" w14:textId="358E28ED" w:rsidR="00D17C1A" w:rsidRPr="00D17C1A" w:rsidRDefault="00D17C1A" w:rsidP="00D17C1A">
      <w:pPr>
        <w:pStyle w:val="subsection"/>
        <w:ind w:left="1440" w:hanging="731"/>
      </w:pPr>
      <w:r>
        <w:t xml:space="preserve"> </w:t>
      </w:r>
      <w:r w:rsidR="00BA698E" w:rsidRPr="00817FCA">
        <w:t xml:space="preserve"> </w:t>
      </w:r>
      <w:r w:rsidRPr="00D17C1A">
        <w:t>(1) </w:t>
      </w:r>
      <w:r>
        <w:tab/>
      </w:r>
      <w:r w:rsidRPr="00D17C1A">
        <w:t xml:space="preserve">For the purposes of paragraph 42S(1)(a) of the Act, a registration in column 1 of the table in subsection (3) of this section is excluded from the operation of automatic deemed registration in </w:t>
      </w:r>
      <w:r>
        <w:t>the Australian Capital Territory</w:t>
      </w:r>
      <w:r w:rsidRPr="00D17C1A">
        <w:t>.</w:t>
      </w:r>
    </w:p>
    <w:p w14:paraId="35D9E982" w14:textId="7D95C6A6" w:rsidR="00D17C1A" w:rsidRPr="00D17C1A" w:rsidRDefault="00D17C1A" w:rsidP="00D17C1A">
      <w:pPr>
        <w:pStyle w:val="subsection"/>
        <w:ind w:left="1440" w:hanging="731"/>
      </w:pPr>
      <w:r w:rsidRPr="00D17C1A">
        <w:t> (2) </w:t>
      </w:r>
      <w:r>
        <w:tab/>
      </w:r>
      <w:r w:rsidRPr="00D17C1A">
        <w:t>For the purposes of subsection 42S(2) of the Act, column 2 of the table in subsection (3) of this section sets out a statement of the risk to consumer protection, the environment, animal welfare or the health or safety of workers or the public in relation to each registration in column 1.</w:t>
      </w:r>
    </w:p>
    <w:p w14:paraId="03DFEE88" w14:textId="48C2B8E8" w:rsidR="00D17C1A" w:rsidRPr="00D17C1A" w:rsidRDefault="00D17C1A" w:rsidP="00D17C1A">
      <w:pPr>
        <w:pStyle w:val="subsection"/>
        <w:ind w:hanging="425"/>
      </w:pPr>
      <w:r w:rsidRPr="00D17C1A">
        <w:t> (3) </w:t>
      </w:r>
      <w:r>
        <w:tab/>
      </w:r>
      <w:r>
        <w:tab/>
      </w:r>
      <w:r w:rsidRPr="00D17C1A">
        <w:t>The table is as follows:</w:t>
      </w:r>
    </w:p>
    <w:p w14:paraId="5D2AC170" w14:textId="77777777" w:rsidR="00D17C1A" w:rsidRPr="00D17C1A" w:rsidRDefault="00D17C1A" w:rsidP="00D17C1A">
      <w:pPr>
        <w:spacing w:line="240" w:lineRule="auto"/>
        <w:rPr>
          <w:rFonts w:eastAsia="Times New Roman" w:cs="Times New Roman"/>
          <w:sz w:val="24"/>
          <w:szCs w:val="24"/>
          <w:lang w:eastAsia="en-AU"/>
        </w:rPr>
      </w:pPr>
    </w:p>
    <w:tbl>
      <w:tblPr>
        <w:tblW w:w="8312" w:type="dxa"/>
        <w:tblInd w:w="113" w:type="dxa"/>
        <w:tblCellMar>
          <w:left w:w="0" w:type="dxa"/>
          <w:right w:w="0" w:type="dxa"/>
        </w:tblCellMar>
        <w:tblLook w:val="04A0" w:firstRow="1" w:lastRow="0" w:firstColumn="1" w:lastColumn="0" w:noHBand="0" w:noVBand="1"/>
      </w:tblPr>
      <w:tblGrid>
        <w:gridCol w:w="661"/>
        <w:gridCol w:w="3608"/>
        <w:gridCol w:w="4043"/>
      </w:tblGrid>
      <w:tr w:rsidR="00D17C1A" w:rsidRPr="00D17C1A" w14:paraId="12586033" w14:textId="77777777" w:rsidTr="00D17C1A">
        <w:trPr>
          <w:tblHeader/>
        </w:trPr>
        <w:tc>
          <w:tcPr>
            <w:tcW w:w="8096" w:type="dxa"/>
            <w:gridSpan w:val="3"/>
            <w:tcBorders>
              <w:top w:val="single" w:sz="12" w:space="0" w:color="000000"/>
              <w:bottom w:val="single" w:sz="6" w:space="0" w:color="000000"/>
            </w:tcBorders>
            <w:tcMar>
              <w:top w:w="0" w:type="dxa"/>
              <w:left w:w="108" w:type="dxa"/>
              <w:bottom w:w="0" w:type="dxa"/>
              <w:right w:w="108" w:type="dxa"/>
            </w:tcMar>
            <w:hideMark/>
          </w:tcPr>
          <w:p w14:paraId="4C4BC884" w14:textId="77777777" w:rsidR="00D17C1A" w:rsidRPr="00D17C1A" w:rsidRDefault="00D17C1A" w:rsidP="00D17C1A">
            <w:pPr>
              <w:spacing w:before="60" w:line="240" w:lineRule="atLeast"/>
              <w:rPr>
                <w:rFonts w:eastAsia="Times New Roman" w:cs="Times New Roman"/>
                <w:b/>
                <w:bCs/>
                <w:color w:val="000000"/>
                <w:szCs w:val="22"/>
                <w:lang w:eastAsia="en-AU"/>
              </w:rPr>
            </w:pPr>
            <w:r w:rsidRPr="00D17C1A">
              <w:rPr>
                <w:rFonts w:eastAsia="Times New Roman" w:cs="Times New Roman"/>
                <w:b/>
                <w:bCs/>
                <w:color w:val="000000"/>
                <w:szCs w:val="22"/>
                <w:lang w:eastAsia="en-AU"/>
              </w:rPr>
              <w:t>Exemptions for the purposes of paragraph 42S(1)(a)</w:t>
            </w:r>
          </w:p>
        </w:tc>
      </w:tr>
      <w:tr w:rsidR="00D17C1A" w:rsidRPr="00D17C1A" w14:paraId="2DC2D811" w14:textId="77777777" w:rsidTr="00D17C1A">
        <w:trPr>
          <w:tblHeader/>
        </w:trPr>
        <w:tc>
          <w:tcPr>
            <w:tcW w:w="498" w:type="dxa"/>
            <w:tcBorders>
              <w:top w:val="single" w:sz="6" w:space="0" w:color="000000"/>
              <w:bottom w:val="single" w:sz="12" w:space="0" w:color="000000"/>
            </w:tcBorders>
            <w:tcMar>
              <w:top w:w="0" w:type="dxa"/>
              <w:left w:w="108" w:type="dxa"/>
              <w:bottom w:w="0" w:type="dxa"/>
              <w:right w:w="108" w:type="dxa"/>
            </w:tcMar>
            <w:hideMark/>
          </w:tcPr>
          <w:p w14:paraId="636F3BBF" w14:textId="77777777" w:rsidR="00D17C1A" w:rsidRPr="00D17C1A" w:rsidRDefault="00D17C1A" w:rsidP="00D17C1A">
            <w:pPr>
              <w:spacing w:before="60" w:line="240" w:lineRule="atLeast"/>
              <w:rPr>
                <w:rFonts w:eastAsia="Times New Roman" w:cs="Times New Roman"/>
                <w:b/>
                <w:bCs/>
                <w:color w:val="000000"/>
                <w:szCs w:val="22"/>
                <w:lang w:eastAsia="en-AU"/>
              </w:rPr>
            </w:pPr>
            <w:r w:rsidRPr="00D17C1A">
              <w:rPr>
                <w:rFonts w:eastAsia="Times New Roman" w:cs="Times New Roman"/>
                <w:b/>
                <w:bCs/>
                <w:color w:val="000000"/>
                <w:szCs w:val="22"/>
                <w:lang w:eastAsia="en-AU"/>
              </w:rPr>
              <w:t> </w:t>
            </w:r>
          </w:p>
          <w:p w14:paraId="3D540992" w14:textId="77777777" w:rsidR="00D17C1A" w:rsidRPr="00D17C1A" w:rsidRDefault="00D17C1A" w:rsidP="00D17C1A">
            <w:pPr>
              <w:spacing w:before="60" w:line="240" w:lineRule="atLeast"/>
              <w:rPr>
                <w:rFonts w:eastAsia="Times New Roman" w:cs="Times New Roman"/>
                <w:b/>
                <w:bCs/>
                <w:color w:val="000000"/>
                <w:szCs w:val="22"/>
                <w:lang w:eastAsia="en-AU"/>
              </w:rPr>
            </w:pPr>
            <w:r w:rsidRPr="00D17C1A">
              <w:rPr>
                <w:rFonts w:eastAsia="Times New Roman" w:cs="Times New Roman"/>
                <w:b/>
                <w:bCs/>
                <w:color w:val="000000"/>
                <w:szCs w:val="22"/>
                <w:lang w:eastAsia="en-AU"/>
              </w:rPr>
              <w:t>Item</w:t>
            </w:r>
          </w:p>
        </w:tc>
        <w:tc>
          <w:tcPr>
            <w:tcW w:w="3583" w:type="dxa"/>
            <w:tcBorders>
              <w:top w:val="single" w:sz="6" w:space="0" w:color="000000"/>
              <w:bottom w:val="single" w:sz="12" w:space="0" w:color="000000"/>
            </w:tcBorders>
            <w:tcMar>
              <w:top w:w="0" w:type="dxa"/>
              <w:left w:w="108" w:type="dxa"/>
              <w:bottom w:w="0" w:type="dxa"/>
              <w:right w:w="108" w:type="dxa"/>
            </w:tcMar>
            <w:hideMark/>
          </w:tcPr>
          <w:p w14:paraId="5BFFF131" w14:textId="77777777" w:rsidR="00D17C1A" w:rsidRPr="00D17C1A" w:rsidRDefault="00D17C1A" w:rsidP="00D17C1A">
            <w:pPr>
              <w:spacing w:before="60" w:line="240" w:lineRule="atLeast"/>
              <w:rPr>
                <w:rFonts w:eastAsia="Times New Roman" w:cs="Times New Roman"/>
                <w:b/>
                <w:bCs/>
                <w:color w:val="000000"/>
                <w:szCs w:val="22"/>
                <w:lang w:eastAsia="en-AU"/>
              </w:rPr>
            </w:pPr>
            <w:r w:rsidRPr="00D17C1A">
              <w:rPr>
                <w:rFonts w:eastAsia="Times New Roman" w:cs="Times New Roman"/>
                <w:b/>
                <w:bCs/>
                <w:color w:val="000000"/>
                <w:szCs w:val="22"/>
                <w:lang w:eastAsia="en-AU"/>
              </w:rPr>
              <w:t>Column 1</w:t>
            </w:r>
          </w:p>
          <w:p w14:paraId="04D4C5C3" w14:textId="77777777" w:rsidR="00D17C1A" w:rsidRPr="00D17C1A" w:rsidRDefault="00D17C1A" w:rsidP="00D17C1A">
            <w:pPr>
              <w:spacing w:before="60" w:line="240" w:lineRule="atLeast"/>
              <w:rPr>
                <w:rFonts w:eastAsia="Times New Roman" w:cs="Times New Roman"/>
                <w:b/>
                <w:bCs/>
                <w:color w:val="000000"/>
                <w:szCs w:val="22"/>
                <w:lang w:eastAsia="en-AU"/>
              </w:rPr>
            </w:pPr>
            <w:r w:rsidRPr="00D17C1A">
              <w:rPr>
                <w:rFonts w:eastAsia="Times New Roman" w:cs="Times New Roman"/>
                <w:b/>
                <w:bCs/>
                <w:color w:val="000000"/>
                <w:szCs w:val="22"/>
                <w:lang w:eastAsia="en-AU"/>
              </w:rPr>
              <w:t>Registration</w:t>
            </w:r>
          </w:p>
        </w:tc>
        <w:tc>
          <w:tcPr>
            <w:tcW w:w="3583" w:type="dxa"/>
            <w:tcBorders>
              <w:top w:val="single" w:sz="6" w:space="0" w:color="000000"/>
              <w:bottom w:val="single" w:sz="12" w:space="0" w:color="000000"/>
            </w:tcBorders>
            <w:tcMar>
              <w:top w:w="0" w:type="dxa"/>
              <w:left w:w="108" w:type="dxa"/>
              <w:bottom w:w="0" w:type="dxa"/>
              <w:right w:w="108" w:type="dxa"/>
            </w:tcMar>
            <w:hideMark/>
          </w:tcPr>
          <w:p w14:paraId="71B37EF6" w14:textId="77777777" w:rsidR="00D17C1A" w:rsidRPr="00D17C1A" w:rsidRDefault="00D17C1A" w:rsidP="00D17C1A">
            <w:pPr>
              <w:spacing w:before="60" w:line="240" w:lineRule="atLeast"/>
              <w:rPr>
                <w:rFonts w:eastAsia="Times New Roman" w:cs="Times New Roman"/>
                <w:b/>
                <w:bCs/>
                <w:color w:val="000000"/>
                <w:szCs w:val="22"/>
                <w:lang w:eastAsia="en-AU"/>
              </w:rPr>
            </w:pPr>
            <w:r w:rsidRPr="00D17C1A">
              <w:rPr>
                <w:rFonts w:eastAsia="Times New Roman" w:cs="Times New Roman"/>
                <w:b/>
                <w:bCs/>
                <w:color w:val="000000"/>
                <w:szCs w:val="22"/>
                <w:lang w:eastAsia="en-AU"/>
              </w:rPr>
              <w:t>Column 2</w:t>
            </w:r>
          </w:p>
          <w:p w14:paraId="0E1A9B41" w14:textId="77777777" w:rsidR="00D17C1A" w:rsidRPr="00D17C1A" w:rsidRDefault="00D17C1A" w:rsidP="00D17C1A">
            <w:pPr>
              <w:spacing w:before="60" w:line="240" w:lineRule="atLeast"/>
              <w:rPr>
                <w:rFonts w:eastAsia="Times New Roman" w:cs="Times New Roman"/>
                <w:b/>
                <w:bCs/>
                <w:color w:val="000000"/>
                <w:szCs w:val="22"/>
                <w:lang w:eastAsia="en-AU"/>
              </w:rPr>
            </w:pPr>
            <w:r w:rsidRPr="00D17C1A">
              <w:rPr>
                <w:rFonts w:eastAsia="Times New Roman" w:cs="Times New Roman"/>
                <w:b/>
                <w:bCs/>
                <w:color w:val="000000"/>
                <w:szCs w:val="22"/>
                <w:lang w:eastAsia="en-AU"/>
              </w:rPr>
              <w:t>Statement of risk</w:t>
            </w:r>
          </w:p>
        </w:tc>
      </w:tr>
      <w:tr w:rsidR="00D17C1A" w:rsidRPr="00D17C1A" w14:paraId="59CDABEB" w14:textId="77777777" w:rsidTr="00D17C1A">
        <w:tc>
          <w:tcPr>
            <w:tcW w:w="498" w:type="dxa"/>
            <w:tcBorders>
              <w:top w:val="single" w:sz="12" w:space="0" w:color="000000"/>
              <w:bottom w:val="single" w:sz="6" w:space="0" w:color="000000"/>
            </w:tcBorders>
            <w:tcMar>
              <w:top w:w="0" w:type="dxa"/>
              <w:left w:w="108" w:type="dxa"/>
              <w:bottom w:w="0" w:type="dxa"/>
              <w:right w:w="108" w:type="dxa"/>
            </w:tcMar>
            <w:hideMark/>
          </w:tcPr>
          <w:p w14:paraId="26E7DAA5" w14:textId="77777777" w:rsidR="00D17C1A" w:rsidRPr="00D17C1A" w:rsidRDefault="00D17C1A" w:rsidP="00D17C1A">
            <w:pPr>
              <w:spacing w:before="60" w:line="240" w:lineRule="atLeast"/>
              <w:rPr>
                <w:rFonts w:eastAsia="Times New Roman" w:cs="Times New Roman"/>
                <w:color w:val="000000"/>
                <w:sz w:val="20"/>
                <w:lang w:eastAsia="en-AU"/>
              </w:rPr>
            </w:pPr>
            <w:r w:rsidRPr="00D17C1A">
              <w:rPr>
                <w:rFonts w:eastAsia="Times New Roman" w:cs="Times New Roman"/>
                <w:color w:val="000000"/>
                <w:sz w:val="20"/>
                <w:lang w:eastAsia="en-AU"/>
              </w:rPr>
              <w:t>1</w:t>
            </w:r>
          </w:p>
        </w:tc>
        <w:tc>
          <w:tcPr>
            <w:tcW w:w="3583" w:type="dxa"/>
            <w:tcBorders>
              <w:top w:val="single" w:sz="12" w:space="0" w:color="000000"/>
              <w:bottom w:val="single" w:sz="6" w:space="0" w:color="000000"/>
            </w:tcBorders>
            <w:tcMar>
              <w:top w:w="0" w:type="dxa"/>
              <w:left w:w="108" w:type="dxa"/>
              <w:bottom w:w="0" w:type="dxa"/>
              <w:right w:w="108" w:type="dxa"/>
            </w:tcMar>
            <w:hideMark/>
          </w:tcPr>
          <w:p w14:paraId="27BBB6F2" w14:textId="345393DC" w:rsidR="00D17C1A" w:rsidRPr="00D17C1A" w:rsidRDefault="00D17C1A" w:rsidP="00D17C1A">
            <w:pPr>
              <w:spacing w:before="60" w:line="240" w:lineRule="atLeast"/>
              <w:rPr>
                <w:rFonts w:eastAsia="Times New Roman" w:cs="Times New Roman"/>
                <w:color w:val="000000"/>
                <w:szCs w:val="22"/>
                <w:lang w:eastAsia="en-AU"/>
              </w:rPr>
            </w:pPr>
            <w:r w:rsidRPr="00CB013A">
              <w:rPr>
                <w:rFonts w:eastAsia="Times New Roman" w:cs="Times New Roman"/>
                <w:color w:val="000000"/>
                <w:szCs w:val="22"/>
                <w:lang w:eastAsia="en-AU"/>
              </w:rPr>
              <w:t>Dangerous substances licen</w:t>
            </w:r>
            <w:r w:rsidR="00D818C8">
              <w:rPr>
                <w:rFonts w:eastAsia="Times New Roman" w:cs="Times New Roman"/>
                <w:color w:val="000000"/>
                <w:szCs w:val="22"/>
                <w:lang w:eastAsia="en-AU"/>
              </w:rPr>
              <w:t>c</w:t>
            </w:r>
            <w:r w:rsidRPr="00CB013A">
              <w:rPr>
                <w:rFonts w:eastAsia="Times New Roman" w:cs="Times New Roman"/>
                <w:color w:val="000000"/>
                <w:szCs w:val="22"/>
                <w:lang w:eastAsia="en-AU"/>
              </w:rPr>
              <w:t>es issued under</w:t>
            </w:r>
            <w:r w:rsidR="00C63EE9">
              <w:rPr>
                <w:rFonts w:eastAsia="Times New Roman" w:cs="Times New Roman"/>
                <w:color w:val="000000"/>
                <w:szCs w:val="22"/>
                <w:lang w:eastAsia="en-AU"/>
              </w:rPr>
              <w:t xml:space="preserve"> the</w:t>
            </w:r>
            <w:r w:rsidRPr="00CB013A">
              <w:rPr>
                <w:rFonts w:eastAsia="Times New Roman" w:cs="Times New Roman"/>
                <w:color w:val="000000"/>
                <w:szCs w:val="22"/>
                <w:lang w:eastAsia="en-AU"/>
              </w:rPr>
              <w:t xml:space="preserve"> </w:t>
            </w:r>
            <w:r w:rsidRPr="00CB013A">
              <w:rPr>
                <w:rFonts w:eastAsia="Times New Roman" w:cs="Times New Roman"/>
                <w:i/>
                <w:iCs/>
                <w:color w:val="000000"/>
                <w:szCs w:val="22"/>
                <w:lang w:eastAsia="en-AU"/>
              </w:rPr>
              <w:t>Dangerous Substances (Explosives) Regulation 2004</w:t>
            </w:r>
            <w:r w:rsidRPr="00CB013A">
              <w:rPr>
                <w:rFonts w:eastAsia="Times New Roman" w:cs="Times New Roman"/>
                <w:color w:val="000000"/>
                <w:szCs w:val="22"/>
                <w:lang w:eastAsia="en-AU"/>
              </w:rPr>
              <w:t xml:space="preserve"> and the </w:t>
            </w:r>
            <w:r w:rsidRPr="00CB013A">
              <w:rPr>
                <w:rFonts w:eastAsia="Times New Roman" w:cs="Times New Roman"/>
                <w:i/>
                <w:iCs/>
                <w:color w:val="000000"/>
                <w:szCs w:val="22"/>
                <w:lang w:eastAsia="en-AU"/>
              </w:rPr>
              <w:t>Dangerous Substances (General) Regulation 2004.</w:t>
            </w:r>
          </w:p>
        </w:tc>
        <w:tc>
          <w:tcPr>
            <w:tcW w:w="3583" w:type="dxa"/>
            <w:tcBorders>
              <w:top w:val="single" w:sz="12" w:space="0" w:color="000000"/>
              <w:bottom w:val="single" w:sz="6" w:space="0" w:color="000000"/>
            </w:tcBorders>
            <w:tcMar>
              <w:top w:w="0" w:type="dxa"/>
              <w:left w:w="108" w:type="dxa"/>
              <w:bottom w:w="0" w:type="dxa"/>
              <w:right w:w="108" w:type="dxa"/>
            </w:tcMar>
            <w:hideMark/>
          </w:tcPr>
          <w:p w14:paraId="262E505C" w14:textId="3A70E156" w:rsidR="00D17C1A" w:rsidRPr="00D17C1A" w:rsidRDefault="00CB013A" w:rsidP="00D17C1A">
            <w:pPr>
              <w:spacing w:before="60" w:line="240" w:lineRule="atLeast"/>
              <w:rPr>
                <w:rFonts w:eastAsia="Times New Roman" w:cs="Times New Roman"/>
                <w:color w:val="000000"/>
                <w:szCs w:val="22"/>
                <w:lang w:eastAsia="en-AU"/>
              </w:rPr>
            </w:pPr>
            <w:r w:rsidRPr="00CB013A">
              <w:rPr>
                <w:rFonts w:eastAsia="Times New Roman" w:cs="Times New Roman"/>
                <w:color w:val="000000"/>
                <w:szCs w:val="22"/>
                <w:lang w:eastAsia="en-AU"/>
              </w:rPr>
              <w:t>There are significant health and safety risks in the ACT, particularly concerning dangerous substances. The AMR scheme, while promoting workforce mobility, may reduce regulatory oversight because it only requires a one-time notification to work, weakening ongoing engagement with regulators like WorkSafe ACT. For dangerous substances, this could delay risk mitigation, especially given the high number of interstate workers.</w:t>
            </w:r>
          </w:p>
        </w:tc>
      </w:tr>
      <w:tr w:rsidR="00D17C1A" w:rsidRPr="00D17C1A" w14:paraId="7A704A98" w14:textId="77777777" w:rsidTr="00D17C1A">
        <w:tc>
          <w:tcPr>
            <w:tcW w:w="498" w:type="dxa"/>
            <w:tcBorders>
              <w:top w:val="single" w:sz="6" w:space="0" w:color="000000"/>
              <w:bottom w:val="single" w:sz="6" w:space="0" w:color="000000"/>
            </w:tcBorders>
            <w:tcMar>
              <w:top w:w="0" w:type="dxa"/>
              <w:left w:w="108" w:type="dxa"/>
              <w:bottom w:w="0" w:type="dxa"/>
              <w:right w:w="108" w:type="dxa"/>
            </w:tcMar>
            <w:hideMark/>
          </w:tcPr>
          <w:p w14:paraId="42492FB0" w14:textId="77777777" w:rsidR="00D17C1A" w:rsidRPr="00D17C1A" w:rsidRDefault="00D17C1A" w:rsidP="00D17C1A">
            <w:pPr>
              <w:spacing w:before="60" w:line="240" w:lineRule="atLeast"/>
              <w:rPr>
                <w:rFonts w:eastAsia="Times New Roman" w:cs="Times New Roman"/>
                <w:color w:val="000000"/>
                <w:sz w:val="20"/>
                <w:lang w:eastAsia="en-AU"/>
              </w:rPr>
            </w:pPr>
            <w:r w:rsidRPr="00D17C1A">
              <w:rPr>
                <w:rFonts w:eastAsia="Times New Roman" w:cs="Times New Roman"/>
                <w:color w:val="000000"/>
                <w:sz w:val="20"/>
                <w:lang w:eastAsia="en-AU"/>
              </w:rPr>
              <w:t>2</w:t>
            </w:r>
          </w:p>
        </w:tc>
        <w:tc>
          <w:tcPr>
            <w:tcW w:w="3583" w:type="dxa"/>
            <w:tcBorders>
              <w:top w:val="single" w:sz="6" w:space="0" w:color="000000"/>
              <w:bottom w:val="single" w:sz="6" w:space="0" w:color="000000"/>
            </w:tcBorders>
            <w:tcMar>
              <w:top w:w="0" w:type="dxa"/>
              <w:left w:w="108" w:type="dxa"/>
              <w:bottom w:w="0" w:type="dxa"/>
              <w:right w:w="108" w:type="dxa"/>
            </w:tcMar>
            <w:hideMark/>
          </w:tcPr>
          <w:p w14:paraId="0CB73A33" w14:textId="034F0441" w:rsidR="00D17C1A" w:rsidRPr="00D17C1A" w:rsidRDefault="00CB013A" w:rsidP="00D17C1A">
            <w:pPr>
              <w:spacing w:before="60" w:line="240" w:lineRule="atLeast"/>
              <w:rPr>
                <w:rFonts w:eastAsia="Times New Roman" w:cs="Times New Roman"/>
                <w:color w:val="000000"/>
                <w:szCs w:val="22"/>
                <w:lang w:eastAsia="en-AU"/>
              </w:rPr>
            </w:pPr>
            <w:r w:rsidRPr="00CB013A">
              <w:rPr>
                <w:rFonts w:eastAsia="Times New Roman" w:cs="Times New Roman"/>
                <w:color w:val="000000"/>
                <w:szCs w:val="22"/>
                <w:lang w:eastAsia="en-AU"/>
              </w:rPr>
              <w:t>Licensing provided under</w:t>
            </w:r>
            <w:r w:rsidR="0063284E">
              <w:rPr>
                <w:rFonts w:eastAsia="Times New Roman" w:cs="Times New Roman"/>
                <w:color w:val="000000"/>
                <w:szCs w:val="22"/>
                <w:lang w:eastAsia="en-AU"/>
              </w:rPr>
              <w:t xml:space="preserve"> the</w:t>
            </w:r>
            <w:r w:rsidRPr="00CB013A">
              <w:rPr>
                <w:rFonts w:eastAsia="Times New Roman" w:cs="Times New Roman"/>
                <w:color w:val="000000"/>
                <w:szCs w:val="22"/>
                <w:lang w:eastAsia="en-AU"/>
              </w:rPr>
              <w:t xml:space="preserve"> </w:t>
            </w:r>
            <w:r w:rsidRPr="00CB013A">
              <w:rPr>
                <w:i/>
                <w:iCs/>
                <w:szCs w:val="22"/>
              </w:rPr>
              <w:t>Labour Hire Licensing Act 2020.</w:t>
            </w:r>
          </w:p>
        </w:tc>
        <w:tc>
          <w:tcPr>
            <w:tcW w:w="3583" w:type="dxa"/>
            <w:tcBorders>
              <w:top w:val="single" w:sz="6" w:space="0" w:color="000000"/>
              <w:bottom w:val="single" w:sz="6" w:space="0" w:color="000000"/>
            </w:tcBorders>
            <w:tcMar>
              <w:top w:w="0" w:type="dxa"/>
              <w:left w:w="108" w:type="dxa"/>
              <w:bottom w:w="0" w:type="dxa"/>
              <w:right w:w="108" w:type="dxa"/>
            </w:tcMar>
            <w:hideMark/>
          </w:tcPr>
          <w:p w14:paraId="33D48147" w14:textId="7AF7E9D5" w:rsidR="00D17C1A" w:rsidRPr="00D17C1A" w:rsidRDefault="00285FAD" w:rsidP="00D17C1A">
            <w:pPr>
              <w:spacing w:before="60" w:line="240" w:lineRule="atLeast"/>
              <w:rPr>
                <w:rFonts w:eastAsia="Times New Roman" w:cs="Times New Roman"/>
                <w:color w:val="000000"/>
                <w:szCs w:val="22"/>
                <w:lang w:eastAsia="en-AU"/>
              </w:rPr>
            </w:pPr>
            <w:r>
              <w:rPr>
                <w:rFonts w:eastAsia="Times New Roman" w:cs="Times New Roman"/>
                <w:color w:val="000000"/>
                <w:szCs w:val="22"/>
                <w:lang w:eastAsia="en-AU"/>
              </w:rPr>
              <w:t xml:space="preserve">There are significant risks that </w:t>
            </w:r>
            <w:r w:rsidR="00CB013A" w:rsidRPr="00CB013A">
              <w:rPr>
                <w:rFonts w:eastAsia="Times New Roman" w:cs="Times New Roman"/>
                <w:color w:val="000000"/>
                <w:szCs w:val="22"/>
                <w:lang w:eastAsia="en-AU"/>
              </w:rPr>
              <w:t>AMR may limit the availability of up-to-date information on operational industries, hindering compliance and enforcement. These exclusions help maintain robust oversight and support the development of a nationally consistent regulatory framework.</w:t>
            </w:r>
          </w:p>
        </w:tc>
      </w:tr>
    </w:tbl>
    <w:p w14:paraId="06A18AA4" w14:textId="49F82F64" w:rsidR="00BB716C" w:rsidRPr="00BB716C" w:rsidRDefault="00D17C1A" w:rsidP="00285FAD">
      <w:pPr>
        <w:spacing w:before="60" w:line="240" w:lineRule="atLeast"/>
        <w:rPr>
          <w:rFonts w:eastAsia="Times New Roman" w:cs="Times New Roman"/>
          <w:color w:val="000000"/>
          <w:szCs w:val="22"/>
          <w:lang w:eastAsia="en-AU"/>
        </w:rPr>
      </w:pPr>
      <w:r w:rsidRPr="00D17C1A">
        <w:rPr>
          <w:rFonts w:eastAsia="Times New Roman" w:cs="Times New Roman"/>
          <w:color w:val="000000"/>
          <w:sz w:val="20"/>
          <w:lang w:eastAsia="en-AU"/>
        </w:rPr>
        <w:t> </w:t>
      </w:r>
      <w:r w:rsidR="000F766B">
        <w:rPr>
          <w:rFonts w:eastAsia="Times New Roman" w:cs="Times New Roman"/>
          <w:color w:val="000000"/>
          <w:sz w:val="20"/>
          <w:lang w:eastAsia="en-AU"/>
        </w:rPr>
        <w:br/>
      </w:r>
      <w:r w:rsidR="00BB716C">
        <w:rPr>
          <w:rFonts w:eastAsia="Times New Roman" w:cs="Times New Roman"/>
          <w:color w:val="000000"/>
          <w:sz w:val="20"/>
          <w:lang w:eastAsia="en-AU"/>
        </w:rPr>
        <w:tab/>
      </w:r>
      <w:r w:rsidR="00BB716C" w:rsidRPr="00BB716C">
        <w:rPr>
          <w:rFonts w:eastAsia="Times New Roman" w:cs="Times New Roman"/>
          <w:color w:val="000000"/>
          <w:szCs w:val="22"/>
          <w:lang w:eastAsia="en-AU"/>
        </w:rPr>
        <w:t>(4)</w:t>
      </w:r>
      <w:r w:rsidR="00BB716C" w:rsidRPr="00BB716C">
        <w:rPr>
          <w:rFonts w:eastAsia="Times New Roman" w:cs="Times New Roman"/>
          <w:color w:val="000000"/>
          <w:szCs w:val="22"/>
          <w:lang w:eastAsia="en-AU"/>
        </w:rPr>
        <w:tab/>
        <w:t>This section is repealed on 30 June 2030.</w:t>
      </w:r>
    </w:p>
    <w:p w14:paraId="56A1AF9A" w14:textId="77777777" w:rsidR="00BA698E" w:rsidRPr="00817FCA" w:rsidRDefault="00BA698E" w:rsidP="00817FCA">
      <w:pPr>
        <w:pStyle w:val="ActHead5"/>
      </w:pPr>
      <w:bookmarkStart w:id="11" w:name="_Toc106976103"/>
      <w:bookmarkStart w:id="12" w:name="_Toc107211095"/>
      <w:bookmarkStart w:id="13" w:name="_Toc107386476"/>
      <w:r w:rsidRPr="00817FCA">
        <w:t>8  Human Rights Act statement</w:t>
      </w:r>
      <w:bookmarkEnd w:id="11"/>
      <w:bookmarkEnd w:id="12"/>
      <w:bookmarkEnd w:id="13"/>
    </w:p>
    <w:p w14:paraId="13DA8C07" w14:textId="206D801F" w:rsidR="00BA698E" w:rsidRPr="00817FCA" w:rsidRDefault="00B14726" w:rsidP="00817FCA">
      <w:pPr>
        <w:pStyle w:val="subsection"/>
        <w:tabs>
          <w:tab w:val="clear" w:pos="1021"/>
        </w:tabs>
        <w:ind w:hanging="425"/>
      </w:pPr>
      <w:r w:rsidRPr="00817FCA">
        <w:t xml:space="preserve">        </w:t>
      </w:r>
      <w:r w:rsidR="00BA698E" w:rsidRPr="00817FCA">
        <w:t xml:space="preserve">Section 40B(1) of the </w:t>
      </w:r>
      <w:r w:rsidR="00BA698E" w:rsidRPr="00817FCA">
        <w:rPr>
          <w:i/>
          <w:iCs/>
        </w:rPr>
        <w:t>Human Rights Act 2004</w:t>
      </w:r>
      <w:r w:rsidR="00BA698E" w:rsidRPr="00817FCA">
        <w:t xml:space="preserve"> (ACT) provides that it is unlawful for public authorities to act in a way that is incompatible with a human right or, in </w:t>
      </w:r>
      <w:r w:rsidR="0041161E" w:rsidRPr="00817FCA">
        <w:t>deciding</w:t>
      </w:r>
      <w:r w:rsidR="00BA698E" w:rsidRPr="00817FCA">
        <w:t xml:space="preserve">, fail to give proper consideration to a relevant human right. </w:t>
      </w:r>
      <w:r w:rsidR="00BA698E" w:rsidRPr="00817FCA">
        <w:lastRenderedPageBreak/>
        <w:t>Accordingly, in making th</w:t>
      </w:r>
      <w:r w:rsidR="0098360D">
        <w:t>e</w:t>
      </w:r>
      <w:r w:rsidR="00BA698E" w:rsidRPr="00817FCA">
        <w:t xml:space="preserve"> exclusion</w:t>
      </w:r>
      <w:r w:rsidR="0098360D">
        <w:t>s</w:t>
      </w:r>
      <w:r w:rsidR="00BA698E" w:rsidRPr="00817FCA">
        <w:t xml:space="preserve"> in section 6, I have considered any relevant human rights that may be impacted as required by s40B. Section 27B(1) of the </w:t>
      </w:r>
      <w:r w:rsidR="00BA698E" w:rsidRPr="00817FCA">
        <w:rPr>
          <w:i/>
          <w:iCs/>
        </w:rPr>
        <w:t>Human Rights Act 2004</w:t>
      </w:r>
      <w:r w:rsidR="00BA698E" w:rsidRPr="00817FCA">
        <w:t xml:space="preserve"> provides that everyone has the right to work, including the right to choose their occupation or profession freely. I am satisfied that the making of the exclusion</w:t>
      </w:r>
      <w:r w:rsidR="0098360D">
        <w:t>s</w:t>
      </w:r>
      <w:r w:rsidR="00BA698E" w:rsidRPr="00817FCA">
        <w:t xml:space="preserve"> in section 6 would not be incompatible with the right to work and the right to choose an occupation or profession freely. </w:t>
      </w:r>
    </w:p>
    <w:p w14:paraId="5B0E69EA" w14:textId="479DD9FB" w:rsidR="00BA698E" w:rsidRPr="00BA698E" w:rsidRDefault="00B14726" w:rsidP="00817FCA">
      <w:pPr>
        <w:pStyle w:val="subsection"/>
        <w:tabs>
          <w:tab w:val="clear" w:pos="1021"/>
        </w:tabs>
        <w:ind w:hanging="425"/>
      </w:pPr>
      <w:r w:rsidRPr="00817FCA">
        <w:t xml:space="preserve">       </w:t>
      </w:r>
      <w:r w:rsidR="00BA698E" w:rsidRPr="00817FCA">
        <w:t>While the exclusion</w:t>
      </w:r>
      <w:r w:rsidR="0041161E">
        <w:t>s</w:t>
      </w:r>
      <w:r w:rsidR="00BA698E" w:rsidRPr="00817FCA">
        <w:t xml:space="preserve"> may limit the right to work, it is important to note that the making of the exclusion</w:t>
      </w:r>
      <w:r w:rsidR="0041161E">
        <w:t>s</w:t>
      </w:r>
      <w:r w:rsidR="00BA698E" w:rsidRPr="00817FCA">
        <w:t xml:space="preserve"> does not prevent an individual from carrying on an activity covered by </w:t>
      </w:r>
      <w:r w:rsidRPr="00817FCA">
        <w:t>dangerous substances</w:t>
      </w:r>
      <w:r w:rsidR="0041161E">
        <w:t xml:space="preserve"> or labour hire</w:t>
      </w:r>
      <w:r w:rsidRPr="00817FCA">
        <w:t xml:space="preserve"> </w:t>
      </w:r>
      <w:r w:rsidR="00BA698E" w:rsidRPr="00817FCA">
        <w:t>occupation</w:t>
      </w:r>
      <w:r w:rsidRPr="00817FCA">
        <w:t xml:space="preserve">s </w:t>
      </w:r>
      <w:r w:rsidR="00BA698E" w:rsidRPr="00817FCA">
        <w:t xml:space="preserve">in the ACT. Rather, the making of the exclusion will mean that all individuals who wish to carry on an activity covered by </w:t>
      </w:r>
      <w:r w:rsidRPr="00817FCA">
        <w:t>dangerous substances</w:t>
      </w:r>
      <w:r w:rsidR="0041161E">
        <w:t xml:space="preserve"> or labour hire</w:t>
      </w:r>
      <w:r w:rsidRPr="00817FCA">
        <w:t xml:space="preserve"> </w:t>
      </w:r>
      <w:r w:rsidR="00BA698E" w:rsidRPr="00817FCA">
        <w:t>occupation</w:t>
      </w:r>
      <w:r w:rsidRPr="00817FCA">
        <w:t xml:space="preserve">s </w:t>
      </w:r>
      <w:r w:rsidR="00BA698E" w:rsidRPr="00817FCA">
        <w:t xml:space="preserve">in the ACT must meet particular registration requirements set out in ACT law. Upon meeting the relevant registration requirements, individuals would be able to carry on an activity covered by </w:t>
      </w:r>
      <w:r w:rsidRPr="00817FCA">
        <w:t>dangerous substances</w:t>
      </w:r>
      <w:r w:rsidR="0041161E">
        <w:t xml:space="preserve"> or labour hire</w:t>
      </w:r>
      <w:r w:rsidRPr="00817FCA">
        <w:t xml:space="preserve"> </w:t>
      </w:r>
      <w:r w:rsidR="00BA698E" w:rsidRPr="00817FCA">
        <w:t>occupation</w:t>
      </w:r>
      <w:r w:rsidRPr="00817FCA">
        <w:t xml:space="preserve">s </w:t>
      </w:r>
      <w:r w:rsidR="00BA698E" w:rsidRPr="00817FCA">
        <w:t xml:space="preserve">in the ACT. The registration requirements are a necessary, proportionate and reasonable measure through which safeguards are provided to protect workers. Any limitation on the right to work is reasonable and justified because the exclusion will allow the ACT to address risks associated with </w:t>
      </w:r>
      <w:r w:rsidR="00E20017">
        <w:t xml:space="preserve">the application of </w:t>
      </w:r>
      <w:r w:rsidR="00BA698E" w:rsidRPr="00817FCA">
        <w:t>AMR while ensuring there is no diminution in current levels of safeguards in relation to the health and safety of workers or the public.</w:t>
      </w:r>
    </w:p>
    <w:bookmarkEnd w:id="3"/>
    <w:bookmarkEnd w:id="10"/>
    <w:p w14:paraId="4708AD1A" w14:textId="563A32D7" w:rsidR="00D07CE0" w:rsidRDefault="00D07CE0" w:rsidP="00817FCA">
      <w:pPr>
        <w:pStyle w:val="ActHead5"/>
      </w:pPr>
    </w:p>
    <w:sectPr w:rsidR="00D07CE0"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FD0C8" w14:textId="77777777" w:rsidR="006306A2" w:rsidRDefault="006306A2" w:rsidP="00715914">
      <w:pPr>
        <w:spacing w:line="240" w:lineRule="auto"/>
      </w:pPr>
      <w:r>
        <w:separator/>
      </w:r>
    </w:p>
  </w:endnote>
  <w:endnote w:type="continuationSeparator" w:id="0">
    <w:p w14:paraId="4565C1D6" w14:textId="77777777" w:rsidR="006306A2" w:rsidRDefault="006306A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C58D" w14:textId="77777777" w:rsidR="000D185F" w:rsidRPr="00E33C1C" w:rsidRDefault="000D185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D185F" w14:paraId="65BA7DB8" w14:textId="77777777" w:rsidTr="00B33709">
      <w:tc>
        <w:tcPr>
          <w:tcW w:w="709" w:type="dxa"/>
          <w:tcBorders>
            <w:top w:val="nil"/>
            <w:left w:val="nil"/>
            <w:bottom w:val="nil"/>
            <w:right w:val="nil"/>
          </w:tcBorders>
        </w:tcPr>
        <w:p w14:paraId="6A8CB798" w14:textId="77777777" w:rsidR="000D185F" w:rsidRDefault="000D185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36C2859" w14:textId="77777777" w:rsidR="000D185F" w:rsidRPr="004E1307" w:rsidRDefault="000D185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1383" w:type="dxa"/>
          <w:tcBorders>
            <w:top w:val="nil"/>
            <w:left w:val="nil"/>
            <w:bottom w:val="nil"/>
            <w:right w:val="nil"/>
          </w:tcBorders>
        </w:tcPr>
        <w:p w14:paraId="5754A7E9" w14:textId="77777777" w:rsidR="000D185F" w:rsidRDefault="000D185F" w:rsidP="00A369E3">
          <w:pPr>
            <w:spacing w:line="0" w:lineRule="atLeast"/>
            <w:jc w:val="right"/>
            <w:rPr>
              <w:sz w:val="18"/>
            </w:rPr>
          </w:pPr>
        </w:p>
      </w:tc>
    </w:tr>
    <w:tr w:rsidR="000D185F" w14:paraId="4B4B387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75E126" w14:textId="77777777" w:rsidR="000D185F" w:rsidRDefault="000D185F" w:rsidP="00A369E3">
          <w:pPr>
            <w:jc w:val="right"/>
            <w:rPr>
              <w:sz w:val="18"/>
            </w:rPr>
          </w:pPr>
        </w:p>
      </w:tc>
    </w:tr>
  </w:tbl>
  <w:p w14:paraId="1FC1CF8D" w14:textId="77777777" w:rsidR="000D185F" w:rsidRPr="00ED79B6" w:rsidRDefault="000D185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E306" w14:textId="77777777" w:rsidR="000D185F" w:rsidRPr="00E33C1C" w:rsidRDefault="000D185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0D185F" w14:paraId="1B149072" w14:textId="77777777" w:rsidTr="00A369E3">
      <w:tc>
        <w:tcPr>
          <w:tcW w:w="1384" w:type="dxa"/>
          <w:tcBorders>
            <w:top w:val="nil"/>
            <w:left w:val="nil"/>
            <w:bottom w:val="nil"/>
            <w:right w:val="nil"/>
          </w:tcBorders>
        </w:tcPr>
        <w:p w14:paraId="2A6F48B4" w14:textId="77777777" w:rsidR="000D185F" w:rsidRDefault="000D185F" w:rsidP="00A369E3">
          <w:pPr>
            <w:spacing w:line="0" w:lineRule="atLeast"/>
            <w:rPr>
              <w:sz w:val="18"/>
            </w:rPr>
          </w:pPr>
        </w:p>
      </w:tc>
      <w:tc>
        <w:tcPr>
          <w:tcW w:w="6379" w:type="dxa"/>
          <w:tcBorders>
            <w:top w:val="nil"/>
            <w:left w:val="nil"/>
            <w:bottom w:val="nil"/>
            <w:right w:val="nil"/>
          </w:tcBorders>
        </w:tcPr>
        <w:p w14:paraId="0A44EE0C" w14:textId="77777777" w:rsidR="000D185F" w:rsidRDefault="000D185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709" w:type="dxa"/>
          <w:tcBorders>
            <w:top w:val="nil"/>
            <w:left w:val="nil"/>
            <w:bottom w:val="nil"/>
            <w:right w:val="nil"/>
          </w:tcBorders>
        </w:tcPr>
        <w:p w14:paraId="116CEEDF" w14:textId="77777777" w:rsidR="000D185F" w:rsidRDefault="000D185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D185F" w14:paraId="420615EC"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EF61810" w14:textId="77777777" w:rsidR="000D185F" w:rsidRDefault="000D185F" w:rsidP="00A369E3">
          <w:pPr>
            <w:rPr>
              <w:sz w:val="18"/>
            </w:rPr>
          </w:pPr>
        </w:p>
      </w:tc>
    </w:tr>
  </w:tbl>
  <w:p w14:paraId="7E83DF2A" w14:textId="77777777" w:rsidR="000D185F" w:rsidRPr="00ED79B6" w:rsidRDefault="000D185F"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85D2" w14:textId="77777777" w:rsidR="000D185F" w:rsidRPr="00E33C1C" w:rsidRDefault="000D185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0D185F" w14:paraId="2B6D5AEF" w14:textId="77777777" w:rsidTr="00B33709">
      <w:tc>
        <w:tcPr>
          <w:tcW w:w="1384" w:type="dxa"/>
          <w:tcBorders>
            <w:top w:val="nil"/>
            <w:left w:val="nil"/>
            <w:bottom w:val="nil"/>
            <w:right w:val="nil"/>
          </w:tcBorders>
        </w:tcPr>
        <w:p w14:paraId="575DA00E" w14:textId="77777777" w:rsidR="000D185F" w:rsidRDefault="000D185F" w:rsidP="00A369E3">
          <w:pPr>
            <w:spacing w:line="0" w:lineRule="atLeast"/>
            <w:rPr>
              <w:sz w:val="18"/>
            </w:rPr>
          </w:pPr>
        </w:p>
      </w:tc>
      <w:tc>
        <w:tcPr>
          <w:tcW w:w="6379" w:type="dxa"/>
          <w:tcBorders>
            <w:top w:val="nil"/>
            <w:left w:val="nil"/>
            <w:bottom w:val="nil"/>
            <w:right w:val="nil"/>
          </w:tcBorders>
        </w:tcPr>
        <w:p w14:paraId="3DD21FF7" w14:textId="77777777" w:rsidR="000D185F" w:rsidRDefault="000D185F" w:rsidP="00A369E3">
          <w:pPr>
            <w:spacing w:line="0" w:lineRule="atLeast"/>
            <w:jc w:val="center"/>
            <w:rPr>
              <w:sz w:val="18"/>
            </w:rPr>
          </w:pPr>
        </w:p>
      </w:tc>
      <w:tc>
        <w:tcPr>
          <w:tcW w:w="709" w:type="dxa"/>
          <w:tcBorders>
            <w:top w:val="nil"/>
            <w:left w:val="nil"/>
            <w:bottom w:val="nil"/>
            <w:right w:val="nil"/>
          </w:tcBorders>
        </w:tcPr>
        <w:p w14:paraId="41210944" w14:textId="77777777" w:rsidR="000D185F" w:rsidRDefault="000D185F" w:rsidP="00A369E3">
          <w:pPr>
            <w:spacing w:line="0" w:lineRule="atLeast"/>
            <w:jc w:val="right"/>
            <w:rPr>
              <w:sz w:val="18"/>
            </w:rPr>
          </w:pPr>
        </w:p>
      </w:tc>
    </w:tr>
  </w:tbl>
  <w:p w14:paraId="1D464583" w14:textId="77777777" w:rsidR="000D185F" w:rsidRPr="00ED79B6" w:rsidRDefault="000D185F"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451F"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D185F" w14:paraId="626FFB68" w14:textId="77777777" w:rsidTr="008648A8">
      <w:tc>
        <w:tcPr>
          <w:tcW w:w="365" w:type="pct"/>
        </w:tcPr>
        <w:p w14:paraId="6C62841C" w14:textId="77777777" w:rsidR="000D185F" w:rsidRDefault="000D185F" w:rsidP="008648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A731BD0" w14:textId="77777777"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947" w:type="pct"/>
        </w:tcPr>
        <w:p w14:paraId="4CFEB4EE" w14:textId="77777777" w:rsidR="000D185F" w:rsidRDefault="000D185F" w:rsidP="008648A8">
          <w:pPr>
            <w:spacing w:line="0" w:lineRule="atLeast"/>
            <w:jc w:val="right"/>
            <w:rPr>
              <w:sz w:val="18"/>
            </w:rPr>
          </w:pPr>
        </w:p>
      </w:tc>
    </w:tr>
    <w:tr w:rsidR="000D185F" w14:paraId="68C94473" w14:textId="77777777" w:rsidTr="008648A8">
      <w:tc>
        <w:tcPr>
          <w:tcW w:w="5000" w:type="pct"/>
          <w:gridSpan w:val="3"/>
        </w:tcPr>
        <w:p w14:paraId="7D0CA2AA" w14:textId="77777777" w:rsidR="000D185F" w:rsidRDefault="000D185F" w:rsidP="008648A8">
          <w:pPr>
            <w:jc w:val="right"/>
            <w:rPr>
              <w:sz w:val="18"/>
            </w:rPr>
          </w:pPr>
        </w:p>
      </w:tc>
    </w:tr>
  </w:tbl>
  <w:p w14:paraId="0C53D0D0" w14:textId="77777777" w:rsidR="000D185F" w:rsidRPr="00ED79B6" w:rsidRDefault="000D185F" w:rsidP="008648A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1356F"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D185F" w14:paraId="42B02781" w14:textId="77777777" w:rsidTr="008648A8">
      <w:tc>
        <w:tcPr>
          <w:tcW w:w="947" w:type="pct"/>
        </w:tcPr>
        <w:p w14:paraId="5B2BAF26" w14:textId="77777777" w:rsidR="000D185F" w:rsidRDefault="000D185F" w:rsidP="008648A8">
          <w:pPr>
            <w:spacing w:line="0" w:lineRule="atLeast"/>
            <w:rPr>
              <w:sz w:val="18"/>
            </w:rPr>
          </w:pPr>
        </w:p>
      </w:tc>
      <w:tc>
        <w:tcPr>
          <w:tcW w:w="3688" w:type="pct"/>
        </w:tcPr>
        <w:p w14:paraId="35EB3E1D" w14:textId="268C8015"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C271A">
            <w:rPr>
              <w:i/>
              <w:noProof/>
              <w:sz w:val="18"/>
            </w:rPr>
            <w:t>Automatic Mutual Recognition (Australian Capital Territory) (Exemption—Dangerous Substances and Labour Hire Provider) Declaration 2025</w:t>
          </w:r>
          <w:r w:rsidRPr="004E1307">
            <w:rPr>
              <w:i/>
              <w:sz w:val="18"/>
            </w:rPr>
            <w:fldChar w:fldCharType="end"/>
          </w:r>
        </w:p>
      </w:tc>
      <w:tc>
        <w:tcPr>
          <w:tcW w:w="365" w:type="pct"/>
        </w:tcPr>
        <w:p w14:paraId="1CBABB4D" w14:textId="77777777" w:rsidR="000D185F" w:rsidRDefault="000D185F" w:rsidP="008648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0D185F" w14:paraId="3D9E0D62" w14:textId="77777777" w:rsidTr="008648A8">
      <w:tc>
        <w:tcPr>
          <w:tcW w:w="5000" w:type="pct"/>
          <w:gridSpan w:val="3"/>
        </w:tcPr>
        <w:p w14:paraId="7AE851FB" w14:textId="77777777" w:rsidR="000D185F" w:rsidRDefault="000D185F" w:rsidP="008648A8">
          <w:pPr>
            <w:rPr>
              <w:sz w:val="18"/>
            </w:rPr>
          </w:pPr>
        </w:p>
      </w:tc>
    </w:tr>
  </w:tbl>
  <w:p w14:paraId="73744489" w14:textId="77777777" w:rsidR="000D185F" w:rsidRPr="00ED79B6" w:rsidRDefault="000D185F" w:rsidP="008648A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A557"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D185F" w14:paraId="21DB7950" w14:textId="77777777" w:rsidTr="008648A8">
      <w:tc>
        <w:tcPr>
          <w:tcW w:w="365" w:type="pct"/>
        </w:tcPr>
        <w:p w14:paraId="74ABA204" w14:textId="77777777" w:rsidR="000D185F" w:rsidRDefault="000D185F" w:rsidP="008648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7773621F" w14:textId="1F34A772"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C271A">
            <w:rPr>
              <w:i/>
              <w:noProof/>
              <w:sz w:val="18"/>
            </w:rPr>
            <w:t>Automatic Mutual Recognition (Australian Capital Territory) (Exemption—Dangerous Substances and Labour Hire Provider) Declaration 2025</w:t>
          </w:r>
          <w:r w:rsidRPr="004E1307">
            <w:rPr>
              <w:i/>
              <w:sz w:val="18"/>
            </w:rPr>
            <w:fldChar w:fldCharType="end"/>
          </w:r>
        </w:p>
      </w:tc>
      <w:tc>
        <w:tcPr>
          <w:tcW w:w="947" w:type="pct"/>
        </w:tcPr>
        <w:p w14:paraId="2088240B" w14:textId="77777777" w:rsidR="000D185F" w:rsidRDefault="000D185F" w:rsidP="008648A8">
          <w:pPr>
            <w:spacing w:line="0" w:lineRule="atLeast"/>
            <w:jc w:val="right"/>
            <w:rPr>
              <w:sz w:val="18"/>
            </w:rPr>
          </w:pPr>
        </w:p>
      </w:tc>
    </w:tr>
    <w:tr w:rsidR="000D185F" w14:paraId="04AC309B" w14:textId="77777777" w:rsidTr="008648A8">
      <w:tc>
        <w:tcPr>
          <w:tcW w:w="5000" w:type="pct"/>
          <w:gridSpan w:val="3"/>
        </w:tcPr>
        <w:p w14:paraId="7BC9B831" w14:textId="77777777" w:rsidR="000D185F" w:rsidRDefault="000D185F" w:rsidP="008648A8">
          <w:pPr>
            <w:jc w:val="right"/>
            <w:rPr>
              <w:sz w:val="18"/>
            </w:rPr>
          </w:pPr>
        </w:p>
      </w:tc>
    </w:tr>
  </w:tbl>
  <w:p w14:paraId="5CD16713" w14:textId="77777777" w:rsidR="000D185F" w:rsidRPr="00ED79B6" w:rsidRDefault="000D185F" w:rsidP="008648A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6DF23"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D185F" w14:paraId="5BF29407" w14:textId="77777777" w:rsidTr="009A2A12">
      <w:trPr>
        <w:trHeight w:val="709"/>
      </w:trPr>
      <w:tc>
        <w:tcPr>
          <w:tcW w:w="947" w:type="pct"/>
        </w:tcPr>
        <w:p w14:paraId="092AF1AC" w14:textId="77777777" w:rsidR="000D185F" w:rsidRDefault="000D185F" w:rsidP="008648A8">
          <w:pPr>
            <w:spacing w:line="0" w:lineRule="atLeast"/>
            <w:rPr>
              <w:sz w:val="18"/>
            </w:rPr>
          </w:pPr>
        </w:p>
      </w:tc>
      <w:tc>
        <w:tcPr>
          <w:tcW w:w="3688" w:type="pct"/>
        </w:tcPr>
        <w:p w14:paraId="4F86108D" w14:textId="6FA26663"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C271A">
            <w:rPr>
              <w:i/>
              <w:noProof/>
              <w:sz w:val="18"/>
            </w:rPr>
            <w:t>Automatic Mutual Recognition (Australian Capital Territory) (Exemption—Dangerous Substances and Labour Hire Provider) Declaration 2025</w:t>
          </w:r>
          <w:r w:rsidRPr="004E1307">
            <w:rPr>
              <w:i/>
              <w:sz w:val="18"/>
            </w:rPr>
            <w:fldChar w:fldCharType="end"/>
          </w:r>
        </w:p>
      </w:tc>
      <w:tc>
        <w:tcPr>
          <w:tcW w:w="365" w:type="pct"/>
        </w:tcPr>
        <w:p w14:paraId="6535CC7C" w14:textId="77777777" w:rsidR="000D185F" w:rsidRDefault="000D185F" w:rsidP="008648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0D185F" w14:paraId="33B8A6C4" w14:textId="77777777" w:rsidTr="008648A8">
      <w:tc>
        <w:tcPr>
          <w:tcW w:w="5000" w:type="pct"/>
          <w:gridSpan w:val="3"/>
        </w:tcPr>
        <w:p w14:paraId="0425A85D" w14:textId="77777777" w:rsidR="000D185F" w:rsidRDefault="000D185F" w:rsidP="008648A8">
          <w:pPr>
            <w:rPr>
              <w:sz w:val="18"/>
            </w:rPr>
          </w:pPr>
        </w:p>
      </w:tc>
    </w:tr>
  </w:tbl>
  <w:p w14:paraId="4DE282C5" w14:textId="77777777" w:rsidR="000D185F" w:rsidRPr="00ED79B6" w:rsidRDefault="000D185F" w:rsidP="008648A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ADB0E" w14:textId="77777777" w:rsidR="006306A2" w:rsidRDefault="006306A2" w:rsidP="00715914">
      <w:pPr>
        <w:spacing w:line="240" w:lineRule="auto"/>
      </w:pPr>
      <w:r>
        <w:separator/>
      </w:r>
    </w:p>
  </w:footnote>
  <w:footnote w:type="continuationSeparator" w:id="0">
    <w:p w14:paraId="1ED38387" w14:textId="77777777" w:rsidR="006306A2" w:rsidRDefault="006306A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8B032" w14:textId="77777777" w:rsidR="000D185F" w:rsidRPr="005F1388" w:rsidRDefault="000D185F"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FF9B2" w14:textId="77777777" w:rsidR="000D185F" w:rsidRPr="005F1388" w:rsidRDefault="000D185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0023" w14:textId="77777777" w:rsidR="000D185F" w:rsidRPr="00ED79B6" w:rsidRDefault="000D185F" w:rsidP="008648A8">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A6678" w14:textId="77777777" w:rsidR="000D185F" w:rsidRPr="00ED79B6" w:rsidRDefault="000D185F" w:rsidP="008648A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B9B0" w14:textId="77777777" w:rsidR="000D185F" w:rsidRPr="00ED79B6" w:rsidRDefault="000D185F"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6610" w14:textId="77777777" w:rsidR="000D185F" w:rsidRDefault="000D185F" w:rsidP="00715914">
    <w:pPr>
      <w:rPr>
        <w:sz w:val="20"/>
      </w:rPr>
    </w:pPr>
  </w:p>
  <w:p w14:paraId="6C5E6567" w14:textId="77777777" w:rsidR="000D185F" w:rsidRDefault="000D185F" w:rsidP="00715914">
    <w:pPr>
      <w:rPr>
        <w:sz w:val="20"/>
      </w:rPr>
    </w:pPr>
  </w:p>
  <w:p w14:paraId="7C650857" w14:textId="77777777" w:rsidR="000D185F" w:rsidRPr="007A1328" w:rsidRDefault="000D185F" w:rsidP="00715914">
    <w:pPr>
      <w:rPr>
        <w:sz w:val="20"/>
      </w:rPr>
    </w:pPr>
  </w:p>
  <w:p w14:paraId="4AFDEF69" w14:textId="77777777" w:rsidR="000D185F" w:rsidRPr="007A1328" w:rsidRDefault="000D185F" w:rsidP="00715914">
    <w:pPr>
      <w:rPr>
        <w:b/>
        <w:sz w:val="24"/>
      </w:rPr>
    </w:pPr>
  </w:p>
  <w:p w14:paraId="0AD66817" w14:textId="77777777" w:rsidR="000D185F" w:rsidRPr="007A1328" w:rsidRDefault="000D185F"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100C" w14:textId="77777777" w:rsidR="000D185F" w:rsidRPr="007A1328" w:rsidRDefault="000D185F" w:rsidP="00715914">
    <w:pPr>
      <w:jc w:val="right"/>
      <w:rPr>
        <w:sz w:val="20"/>
      </w:rPr>
    </w:pPr>
  </w:p>
  <w:p w14:paraId="3E826617" w14:textId="77777777" w:rsidR="000D185F" w:rsidRPr="007A1328" w:rsidRDefault="000D185F" w:rsidP="00715914">
    <w:pPr>
      <w:jc w:val="right"/>
      <w:rPr>
        <w:sz w:val="20"/>
      </w:rPr>
    </w:pPr>
  </w:p>
  <w:p w14:paraId="2B935001" w14:textId="77777777" w:rsidR="000D185F" w:rsidRPr="007A1328" w:rsidRDefault="000D185F" w:rsidP="00715914">
    <w:pPr>
      <w:jc w:val="right"/>
      <w:rPr>
        <w:sz w:val="20"/>
      </w:rPr>
    </w:pPr>
  </w:p>
  <w:p w14:paraId="4D71136C" w14:textId="77777777" w:rsidR="000D185F" w:rsidRPr="007A1328" w:rsidRDefault="000D185F" w:rsidP="00715914">
    <w:pPr>
      <w:jc w:val="right"/>
      <w:rPr>
        <w:b/>
        <w:sz w:val="24"/>
      </w:rPr>
    </w:pPr>
  </w:p>
  <w:p w14:paraId="06030701" w14:textId="77777777" w:rsidR="000D185F" w:rsidRPr="007A1328" w:rsidRDefault="000D185F"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5872B8"/>
    <w:multiLevelType w:val="hybridMultilevel"/>
    <w:tmpl w:val="61E2BA2C"/>
    <w:lvl w:ilvl="0" w:tplc="6DBAF65E">
      <w:start w:val="1"/>
      <w:numFmt w:val="decimal"/>
      <w:pStyle w:val="CS-Paragraphnumbering"/>
      <w:lvlText w:val="%1."/>
      <w:lvlJc w:val="left"/>
      <w:pPr>
        <w:ind w:left="644"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7AD62516"/>
    <w:multiLevelType w:val="hybridMultilevel"/>
    <w:tmpl w:val="12E2AE3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1272710886">
    <w:abstractNumId w:val="9"/>
  </w:num>
  <w:num w:numId="2" w16cid:durableId="1230850862">
    <w:abstractNumId w:val="7"/>
  </w:num>
  <w:num w:numId="3" w16cid:durableId="766272611">
    <w:abstractNumId w:val="6"/>
  </w:num>
  <w:num w:numId="4" w16cid:durableId="237327643">
    <w:abstractNumId w:val="5"/>
  </w:num>
  <w:num w:numId="5" w16cid:durableId="1586189526">
    <w:abstractNumId w:val="4"/>
  </w:num>
  <w:num w:numId="6" w16cid:durableId="1056125249">
    <w:abstractNumId w:val="8"/>
  </w:num>
  <w:num w:numId="7" w16cid:durableId="891499740">
    <w:abstractNumId w:val="3"/>
  </w:num>
  <w:num w:numId="8" w16cid:durableId="1844322698">
    <w:abstractNumId w:val="2"/>
  </w:num>
  <w:num w:numId="9" w16cid:durableId="999386047">
    <w:abstractNumId w:val="1"/>
  </w:num>
  <w:num w:numId="10" w16cid:durableId="513106398">
    <w:abstractNumId w:val="0"/>
  </w:num>
  <w:num w:numId="11" w16cid:durableId="997801834">
    <w:abstractNumId w:val="13"/>
  </w:num>
  <w:num w:numId="12" w16cid:durableId="1275668637">
    <w:abstractNumId w:val="10"/>
  </w:num>
  <w:num w:numId="13" w16cid:durableId="572086597">
    <w:abstractNumId w:val="11"/>
  </w:num>
  <w:num w:numId="14" w16cid:durableId="937954554">
    <w:abstractNumId w:val="14"/>
  </w:num>
  <w:num w:numId="15" w16cid:durableId="21102703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EA"/>
    <w:rsid w:val="00002C77"/>
    <w:rsid w:val="00004174"/>
    <w:rsid w:val="00004470"/>
    <w:rsid w:val="000136AF"/>
    <w:rsid w:val="00017264"/>
    <w:rsid w:val="000258B1"/>
    <w:rsid w:val="00026616"/>
    <w:rsid w:val="00033FEB"/>
    <w:rsid w:val="00040A89"/>
    <w:rsid w:val="000437C1"/>
    <w:rsid w:val="000440F1"/>
    <w:rsid w:val="0004455A"/>
    <w:rsid w:val="00045975"/>
    <w:rsid w:val="0005170E"/>
    <w:rsid w:val="0005365D"/>
    <w:rsid w:val="000614BF"/>
    <w:rsid w:val="00063717"/>
    <w:rsid w:val="000653EC"/>
    <w:rsid w:val="0006709C"/>
    <w:rsid w:val="00070E80"/>
    <w:rsid w:val="00074376"/>
    <w:rsid w:val="000817A5"/>
    <w:rsid w:val="000978F5"/>
    <w:rsid w:val="000A0A00"/>
    <w:rsid w:val="000B0964"/>
    <w:rsid w:val="000B15CD"/>
    <w:rsid w:val="000B35EB"/>
    <w:rsid w:val="000C28FC"/>
    <w:rsid w:val="000C5509"/>
    <w:rsid w:val="000D05EF"/>
    <w:rsid w:val="000D185F"/>
    <w:rsid w:val="000E2261"/>
    <w:rsid w:val="000E27DB"/>
    <w:rsid w:val="000E78B7"/>
    <w:rsid w:val="000F21C1"/>
    <w:rsid w:val="000F4D5A"/>
    <w:rsid w:val="000F6D08"/>
    <w:rsid w:val="000F766B"/>
    <w:rsid w:val="0010745C"/>
    <w:rsid w:val="001170A4"/>
    <w:rsid w:val="0011758E"/>
    <w:rsid w:val="00127025"/>
    <w:rsid w:val="001326F5"/>
    <w:rsid w:val="00132CEB"/>
    <w:rsid w:val="001339B0"/>
    <w:rsid w:val="00142B62"/>
    <w:rsid w:val="001441B7"/>
    <w:rsid w:val="001516CB"/>
    <w:rsid w:val="00152336"/>
    <w:rsid w:val="00157B8B"/>
    <w:rsid w:val="001658AE"/>
    <w:rsid w:val="00166C2F"/>
    <w:rsid w:val="001809D7"/>
    <w:rsid w:val="00185E36"/>
    <w:rsid w:val="001939E1"/>
    <w:rsid w:val="00194C3E"/>
    <w:rsid w:val="00195382"/>
    <w:rsid w:val="001A4535"/>
    <w:rsid w:val="001A69CA"/>
    <w:rsid w:val="001B2CB6"/>
    <w:rsid w:val="001C61C5"/>
    <w:rsid w:val="001C69C4"/>
    <w:rsid w:val="001D37EF"/>
    <w:rsid w:val="001D7C9D"/>
    <w:rsid w:val="001E3590"/>
    <w:rsid w:val="001E7407"/>
    <w:rsid w:val="001F5D5E"/>
    <w:rsid w:val="001F6219"/>
    <w:rsid w:val="001F6CD4"/>
    <w:rsid w:val="00205DD5"/>
    <w:rsid w:val="00206C4D"/>
    <w:rsid w:val="00215AF1"/>
    <w:rsid w:val="00216E36"/>
    <w:rsid w:val="002321E8"/>
    <w:rsid w:val="00232984"/>
    <w:rsid w:val="00237A5C"/>
    <w:rsid w:val="0024010F"/>
    <w:rsid w:val="00240749"/>
    <w:rsid w:val="00243018"/>
    <w:rsid w:val="002564A4"/>
    <w:rsid w:val="0026516D"/>
    <w:rsid w:val="0026736C"/>
    <w:rsid w:val="00281308"/>
    <w:rsid w:val="00284719"/>
    <w:rsid w:val="00285B4E"/>
    <w:rsid w:val="00285FAD"/>
    <w:rsid w:val="00293438"/>
    <w:rsid w:val="00297ECB"/>
    <w:rsid w:val="002A4B10"/>
    <w:rsid w:val="002A7BCF"/>
    <w:rsid w:val="002B54D9"/>
    <w:rsid w:val="002C3FD1"/>
    <w:rsid w:val="002D043A"/>
    <w:rsid w:val="002D266B"/>
    <w:rsid w:val="002D6224"/>
    <w:rsid w:val="002E3666"/>
    <w:rsid w:val="002F0A3E"/>
    <w:rsid w:val="002F6559"/>
    <w:rsid w:val="00302DF0"/>
    <w:rsid w:val="00304F8B"/>
    <w:rsid w:val="00321BF5"/>
    <w:rsid w:val="0032384F"/>
    <w:rsid w:val="00335BC6"/>
    <w:rsid w:val="003415D3"/>
    <w:rsid w:val="00344338"/>
    <w:rsid w:val="00344701"/>
    <w:rsid w:val="00352B0F"/>
    <w:rsid w:val="00360459"/>
    <w:rsid w:val="003673B4"/>
    <w:rsid w:val="003747EB"/>
    <w:rsid w:val="003767E2"/>
    <w:rsid w:val="0038049F"/>
    <w:rsid w:val="00380BE2"/>
    <w:rsid w:val="00382953"/>
    <w:rsid w:val="00392F19"/>
    <w:rsid w:val="00395075"/>
    <w:rsid w:val="003A7DB1"/>
    <w:rsid w:val="003B127B"/>
    <w:rsid w:val="003C6231"/>
    <w:rsid w:val="003D0BFE"/>
    <w:rsid w:val="003D3482"/>
    <w:rsid w:val="003D5700"/>
    <w:rsid w:val="003E341B"/>
    <w:rsid w:val="003E4D00"/>
    <w:rsid w:val="003E5EC7"/>
    <w:rsid w:val="00406802"/>
    <w:rsid w:val="0041161E"/>
    <w:rsid w:val="004116CD"/>
    <w:rsid w:val="00413231"/>
    <w:rsid w:val="00413DF1"/>
    <w:rsid w:val="00414FB2"/>
    <w:rsid w:val="00417EB9"/>
    <w:rsid w:val="00420BB0"/>
    <w:rsid w:val="00424CA9"/>
    <w:rsid w:val="004276DF"/>
    <w:rsid w:val="00431E9B"/>
    <w:rsid w:val="004358AB"/>
    <w:rsid w:val="004379E3"/>
    <w:rsid w:val="0044015E"/>
    <w:rsid w:val="0044291A"/>
    <w:rsid w:val="00467661"/>
    <w:rsid w:val="00472DBE"/>
    <w:rsid w:val="00473B6A"/>
    <w:rsid w:val="00474A19"/>
    <w:rsid w:val="00477830"/>
    <w:rsid w:val="00487764"/>
    <w:rsid w:val="00491757"/>
    <w:rsid w:val="00496F97"/>
    <w:rsid w:val="00497C71"/>
    <w:rsid w:val="004B6C48"/>
    <w:rsid w:val="004C4E59"/>
    <w:rsid w:val="004C6809"/>
    <w:rsid w:val="004D4F0B"/>
    <w:rsid w:val="004E063A"/>
    <w:rsid w:val="004E1307"/>
    <w:rsid w:val="004E7BEC"/>
    <w:rsid w:val="004F0883"/>
    <w:rsid w:val="00505D3D"/>
    <w:rsid w:val="00506AF6"/>
    <w:rsid w:val="00516B8D"/>
    <w:rsid w:val="005303C8"/>
    <w:rsid w:val="00534A4E"/>
    <w:rsid w:val="00537FBC"/>
    <w:rsid w:val="0054018D"/>
    <w:rsid w:val="00554826"/>
    <w:rsid w:val="00562877"/>
    <w:rsid w:val="005708D4"/>
    <w:rsid w:val="005709B9"/>
    <w:rsid w:val="00577DAF"/>
    <w:rsid w:val="00584811"/>
    <w:rsid w:val="00584A6A"/>
    <w:rsid w:val="00584D6F"/>
    <w:rsid w:val="00585784"/>
    <w:rsid w:val="00593AA6"/>
    <w:rsid w:val="00594161"/>
    <w:rsid w:val="00594749"/>
    <w:rsid w:val="005A0660"/>
    <w:rsid w:val="005A1B47"/>
    <w:rsid w:val="005A65D5"/>
    <w:rsid w:val="005B4067"/>
    <w:rsid w:val="005B63A1"/>
    <w:rsid w:val="005C3F41"/>
    <w:rsid w:val="005D0488"/>
    <w:rsid w:val="005D1D92"/>
    <w:rsid w:val="005D2D09"/>
    <w:rsid w:val="005E562C"/>
    <w:rsid w:val="005F0C85"/>
    <w:rsid w:val="005F61E4"/>
    <w:rsid w:val="00600219"/>
    <w:rsid w:val="006018FF"/>
    <w:rsid w:val="00604F2A"/>
    <w:rsid w:val="00606674"/>
    <w:rsid w:val="00620076"/>
    <w:rsid w:val="00627E0A"/>
    <w:rsid w:val="006306A2"/>
    <w:rsid w:val="0063284E"/>
    <w:rsid w:val="00634FF8"/>
    <w:rsid w:val="0065488B"/>
    <w:rsid w:val="00670EA1"/>
    <w:rsid w:val="00677CC2"/>
    <w:rsid w:val="0068744B"/>
    <w:rsid w:val="006905DE"/>
    <w:rsid w:val="0069207B"/>
    <w:rsid w:val="006A154F"/>
    <w:rsid w:val="006A437B"/>
    <w:rsid w:val="006B34F0"/>
    <w:rsid w:val="006B5789"/>
    <w:rsid w:val="006C30C5"/>
    <w:rsid w:val="006C3667"/>
    <w:rsid w:val="006C7F8C"/>
    <w:rsid w:val="006E2E1C"/>
    <w:rsid w:val="006E6246"/>
    <w:rsid w:val="006E69C2"/>
    <w:rsid w:val="006E6DCC"/>
    <w:rsid w:val="006F318F"/>
    <w:rsid w:val="0070017E"/>
    <w:rsid w:val="00700B2C"/>
    <w:rsid w:val="007050A2"/>
    <w:rsid w:val="00711DEA"/>
    <w:rsid w:val="00713084"/>
    <w:rsid w:val="00714F20"/>
    <w:rsid w:val="0071590F"/>
    <w:rsid w:val="00715914"/>
    <w:rsid w:val="0072147A"/>
    <w:rsid w:val="00722B22"/>
    <w:rsid w:val="00723585"/>
    <w:rsid w:val="00723791"/>
    <w:rsid w:val="00731E00"/>
    <w:rsid w:val="00737236"/>
    <w:rsid w:val="007440B7"/>
    <w:rsid w:val="007443B8"/>
    <w:rsid w:val="007500C8"/>
    <w:rsid w:val="00756272"/>
    <w:rsid w:val="00762D38"/>
    <w:rsid w:val="007715C9"/>
    <w:rsid w:val="00771613"/>
    <w:rsid w:val="007737C3"/>
    <w:rsid w:val="00774EDD"/>
    <w:rsid w:val="007757EC"/>
    <w:rsid w:val="00783E89"/>
    <w:rsid w:val="00793915"/>
    <w:rsid w:val="007C2253"/>
    <w:rsid w:val="007D235C"/>
    <w:rsid w:val="007D7911"/>
    <w:rsid w:val="007E163D"/>
    <w:rsid w:val="007E385C"/>
    <w:rsid w:val="007E667A"/>
    <w:rsid w:val="007F28C9"/>
    <w:rsid w:val="007F37B6"/>
    <w:rsid w:val="007F51B2"/>
    <w:rsid w:val="008040DD"/>
    <w:rsid w:val="008117E9"/>
    <w:rsid w:val="00817FCA"/>
    <w:rsid w:val="00824498"/>
    <w:rsid w:val="00826BD1"/>
    <w:rsid w:val="00835421"/>
    <w:rsid w:val="008400C3"/>
    <w:rsid w:val="00841643"/>
    <w:rsid w:val="00841A80"/>
    <w:rsid w:val="00851AB1"/>
    <w:rsid w:val="00854D0B"/>
    <w:rsid w:val="00856A31"/>
    <w:rsid w:val="00860B4E"/>
    <w:rsid w:val="008626A0"/>
    <w:rsid w:val="008648A8"/>
    <w:rsid w:val="00867B37"/>
    <w:rsid w:val="008754D0"/>
    <w:rsid w:val="00875D13"/>
    <w:rsid w:val="00882907"/>
    <w:rsid w:val="008855C9"/>
    <w:rsid w:val="00886456"/>
    <w:rsid w:val="00896176"/>
    <w:rsid w:val="00896BEA"/>
    <w:rsid w:val="008A46E1"/>
    <w:rsid w:val="008A4F43"/>
    <w:rsid w:val="008B2706"/>
    <w:rsid w:val="008C2EAC"/>
    <w:rsid w:val="008D0EE0"/>
    <w:rsid w:val="008D2B71"/>
    <w:rsid w:val="008E0027"/>
    <w:rsid w:val="008E6067"/>
    <w:rsid w:val="008F3562"/>
    <w:rsid w:val="008F54E7"/>
    <w:rsid w:val="00903422"/>
    <w:rsid w:val="0091567C"/>
    <w:rsid w:val="00920C0E"/>
    <w:rsid w:val="009254C3"/>
    <w:rsid w:val="0092609A"/>
    <w:rsid w:val="00932377"/>
    <w:rsid w:val="0093591B"/>
    <w:rsid w:val="00941236"/>
    <w:rsid w:val="00943FD5"/>
    <w:rsid w:val="00947D5A"/>
    <w:rsid w:val="00947DC8"/>
    <w:rsid w:val="009532A5"/>
    <w:rsid w:val="009545BD"/>
    <w:rsid w:val="00964CF0"/>
    <w:rsid w:val="00977806"/>
    <w:rsid w:val="00982242"/>
    <w:rsid w:val="0098360D"/>
    <w:rsid w:val="009868E9"/>
    <w:rsid w:val="009900A3"/>
    <w:rsid w:val="00996615"/>
    <w:rsid w:val="009A013E"/>
    <w:rsid w:val="009A2A12"/>
    <w:rsid w:val="009C271A"/>
    <w:rsid w:val="009C3413"/>
    <w:rsid w:val="009E2C81"/>
    <w:rsid w:val="009F74B2"/>
    <w:rsid w:val="00A0441E"/>
    <w:rsid w:val="00A12128"/>
    <w:rsid w:val="00A1257C"/>
    <w:rsid w:val="00A165C7"/>
    <w:rsid w:val="00A22C98"/>
    <w:rsid w:val="00A231E2"/>
    <w:rsid w:val="00A369E3"/>
    <w:rsid w:val="00A478E8"/>
    <w:rsid w:val="00A513B6"/>
    <w:rsid w:val="00A57600"/>
    <w:rsid w:val="00A61BAE"/>
    <w:rsid w:val="00A623F9"/>
    <w:rsid w:val="00A62D3F"/>
    <w:rsid w:val="00A64912"/>
    <w:rsid w:val="00A64FD3"/>
    <w:rsid w:val="00A70A74"/>
    <w:rsid w:val="00A7404A"/>
    <w:rsid w:val="00A75FE9"/>
    <w:rsid w:val="00A96700"/>
    <w:rsid w:val="00AC2570"/>
    <w:rsid w:val="00AD53CC"/>
    <w:rsid w:val="00AD5641"/>
    <w:rsid w:val="00AE3E60"/>
    <w:rsid w:val="00AE5AFE"/>
    <w:rsid w:val="00AF06CF"/>
    <w:rsid w:val="00AF722E"/>
    <w:rsid w:val="00AF774D"/>
    <w:rsid w:val="00B00CD8"/>
    <w:rsid w:val="00B0482E"/>
    <w:rsid w:val="00B07CDB"/>
    <w:rsid w:val="00B11C47"/>
    <w:rsid w:val="00B14726"/>
    <w:rsid w:val="00B16A31"/>
    <w:rsid w:val="00B17DFD"/>
    <w:rsid w:val="00B200D7"/>
    <w:rsid w:val="00B25306"/>
    <w:rsid w:val="00B27831"/>
    <w:rsid w:val="00B308FE"/>
    <w:rsid w:val="00B33709"/>
    <w:rsid w:val="00B33B3C"/>
    <w:rsid w:val="00B36392"/>
    <w:rsid w:val="00B418CB"/>
    <w:rsid w:val="00B47444"/>
    <w:rsid w:val="00B5061F"/>
    <w:rsid w:val="00B50ADC"/>
    <w:rsid w:val="00B566B1"/>
    <w:rsid w:val="00B5698F"/>
    <w:rsid w:val="00B63834"/>
    <w:rsid w:val="00B80199"/>
    <w:rsid w:val="00B83204"/>
    <w:rsid w:val="00B856E7"/>
    <w:rsid w:val="00B911C3"/>
    <w:rsid w:val="00BA220B"/>
    <w:rsid w:val="00BA3A57"/>
    <w:rsid w:val="00BA698E"/>
    <w:rsid w:val="00BB1533"/>
    <w:rsid w:val="00BB223A"/>
    <w:rsid w:val="00BB2810"/>
    <w:rsid w:val="00BB4E1A"/>
    <w:rsid w:val="00BB675D"/>
    <w:rsid w:val="00BB716C"/>
    <w:rsid w:val="00BC015E"/>
    <w:rsid w:val="00BC1D2C"/>
    <w:rsid w:val="00BC76AC"/>
    <w:rsid w:val="00BD0ECB"/>
    <w:rsid w:val="00BD70EB"/>
    <w:rsid w:val="00BE2155"/>
    <w:rsid w:val="00BE56C1"/>
    <w:rsid w:val="00BE719A"/>
    <w:rsid w:val="00BE720A"/>
    <w:rsid w:val="00BF0B51"/>
    <w:rsid w:val="00BF0D73"/>
    <w:rsid w:val="00BF2465"/>
    <w:rsid w:val="00BF5BE5"/>
    <w:rsid w:val="00C11D7A"/>
    <w:rsid w:val="00C16619"/>
    <w:rsid w:val="00C17E26"/>
    <w:rsid w:val="00C2041E"/>
    <w:rsid w:val="00C25E7F"/>
    <w:rsid w:val="00C2746F"/>
    <w:rsid w:val="00C323D6"/>
    <w:rsid w:val="00C324A0"/>
    <w:rsid w:val="00C32AF5"/>
    <w:rsid w:val="00C42BF8"/>
    <w:rsid w:val="00C42F1A"/>
    <w:rsid w:val="00C50043"/>
    <w:rsid w:val="00C63EE9"/>
    <w:rsid w:val="00C7573B"/>
    <w:rsid w:val="00C913B8"/>
    <w:rsid w:val="00C97A54"/>
    <w:rsid w:val="00CA0B82"/>
    <w:rsid w:val="00CA52A5"/>
    <w:rsid w:val="00CA5B23"/>
    <w:rsid w:val="00CB013A"/>
    <w:rsid w:val="00CB0603"/>
    <w:rsid w:val="00CB602E"/>
    <w:rsid w:val="00CB7E90"/>
    <w:rsid w:val="00CC3839"/>
    <w:rsid w:val="00CE051D"/>
    <w:rsid w:val="00CE1335"/>
    <w:rsid w:val="00CE493D"/>
    <w:rsid w:val="00CE5D01"/>
    <w:rsid w:val="00CF07FA"/>
    <w:rsid w:val="00CF0BB2"/>
    <w:rsid w:val="00CF3EE8"/>
    <w:rsid w:val="00D07CE0"/>
    <w:rsid w:val="00D13441"/>
    <w:rsid w:val="00D150E7"/>
    <w:rsid w:val="00D16FD1"/>
    <w:rsid w:val="00D17C1A"/>
    <w:rsid w:val="00D27C43"/>
    <w:rsid w:val="00D33F53"/>
    <w:rsid w:val="00D52DC2"/>
    <w:rsid w:val="00D53BCC"/>
    <w:rsid w:val="00D54C9E"/>
    <w:rsid w:val="00D6537E"/>
    <w:rsid w:val="00D70DFB"/>
    <w:rsid w:val="00D7496B"/>
    <w:rsid w:val="00D766DF"/>
    <w:rsid w:val="00D818C8"/>
    <w:rsid w:val="00D8206C"/>
    <w:rsid w:val="00D91F10"/>
    <w:rsid w:val="00DA186E"/>
    <w:rsid w:val="00DA4116"/>
    <w:rsid w:val="00DB251C"/>
    <w:rsid w:val="00DB4630"/>
    <w:rsid w:val="00DC4F88"/>
    <w:rsid w:val="00DD60B0"/>
    <w:rsid w:val="00DE107C"/>
    <w:rsid w:val="00DE653C"/>
    <w:rsid w:val="00DF2388"/>
    <w:rsid w:val="00DF58AF"/>
    <w:rsid w:val="00E05704"/>
    <w:rsid w:val="00E20017"/>
    <w:rsid w:val="00E338EF"/>
    <w:rsid w:val="00E33ECA"/>
    <w:rsid w:val="00E45197"/>
    <w:rsid w:val="00E544BB"/>
    <w:rsid w:val="00E656FD"/>
    <w:rsid w:val="00E74DC7"/>
    <w:rsid w:val="00E8075A"/>
    <w:rsid w:val="00E83AA4"/>
    <w:rsid w:val="00E9329A"/>
    <w:rsid w:val="00E93D5C"/>
    <w:rsid w:val="00E940D8"/>
    <w:rsid w:val="00E94D5E"/>
    <w:rsid w:val="00EA7100"/>
    <w:rsid w:val="00EA7F9F"/>
    <w:rsid w:val="00EB1274"/>
    <w:rsid w:val="00ED0ABF"/>
    <w:rsid w:val="00ED1137"/>
    <w:rsid w:val="00ED2BB6"/>
    <w:rsid w:val="00ED34E1"/>
    <w:rsid w:val="00ED3B8D"/>
    <w:rsid w:val="00EE5E36"/>
    <w:rsid w:val="00EF2E3A"/>
    <w:rsid w:val="00EF395A"/>
    <w:rsid w:val="00F02C7C"/>
    <w:rsid w:val="00F072A7"/>
    <w:rsid w:val="00F078DC"/>
    <w:rsid w:val="00F31491"/>
    <w:rsid w:val="00F32BA8"/>
    <w:rsid w:val="00F32EE0"/>
    <w:rsid w:val="00F349F1"/>
    <w:rsid w:val="00F4350D"/>
    <w:rsid w:val="00F479C4"/>
    <w:rsid w:val="00F567F7"/>
    <w:rsid w:val="00F63B4B"/>
    <w:rsid w:val="00F6696E"/>
    <w:rsid w:val="00F73BD6"/>
    <w:rsid w:val="00F83989"/>
    <w:rsid w:val="00F85099"/>
    <w:rsid w:val="00F9379C"/>
    <w:rsid w:val="00F94114"/>
    <w:rsid w:val="00F9632C"/>
    <w:rsid w:val="00FA1E52"/>
    <w:rsid w:val="00FB5450"/>
    <w:rsid w:val="00FB5952"/>
    <w:rsid w:val="00FB5A08"/>
    <w:rsid w:val="00FC6A80"/>
    <w:rsid w:val="00FD4BC9"/>
    <w:rsid w:val="00FE4688"/>
    <w:rsid w:val="00FF52FD"/>
    <w:rsid w:val="00FF5704"/>
    <w:rsid w:val="00FF73D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A07A5"/>
  <w15:docId w15:val="{289DA576-1488-4BE4-A0D1-DF456116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D07CE0"/>
    <w:rPr>
      <w:rFonts w:eastAsia="Times New Roman" w:cs="Times New Roman"/>
      <w:b/>
      <w:kern w:val="28"/>
      <w:sz w:val="24"/>
      <w:lang w:eastAsia="en-AU"/>
    </w:rPr>
  </w:style>
  <w:style w:type="character" w:styleId="Hyperlink">
    <w:name w:val="Hyperlink"/>
    <w:basedOn w:val="DefaultParagraphFont"/>
    <w:uiPriority w:val="99"/>
    <w:unhideWhenUsed/>
    <w:rsid w:val="00AE5AFE"/>
    <w:rPr>
      <w:color w:val="0000FF" w:themeColor="hyperlink"/>
      <w:u w:val="single"/>
    </w:rPr>
  </w:style>
  <w:style w:type="character" w:styleId="UnresolvedMention">
    <w:name w:val="Unresolved Mention"/>
    <w:basedOn w:val="DefaultParagraphFont"/>
    <w:uiPriority w:val="99"/>
    <w:semiHidden/>
    <w:unhideWhenUsed/>
    <w:rsid w:val="00AE5AFE"/>
    <w:rPr>
      <w:color w:val="605E5C"/>
      <w:shd w:val="clear" w:color="auto" w:fill="E1DFDD"/>
    </w:rPr>
  </w:style>
  <w:style w:type="character" w:styleId="CommentReference">
    <w:name w:val="annotation reference"/>
    <w:basedOn w:val="DefaultParagraphFont"/>
    <w:uiPriority w:val="99"/>
    <w:semiHidden/>
    <w:unhideWhenUsed/>
    <w:rsid w:val="00C32AF5"/>
    <w:rPr>
      <w:sz w:val="16"/>
      <w:szCs w:val="16"/>
    </w:rPr>
  </w:style>
  <w:style w:type="paragraph" w:styleId="CommentText">
    <w:name w:val="annotation text"/>
    <w:basedOn w:val="Normal"/>
    <w:link w:val="CommentTextChar"/>
    <w:uiPriority w:val="99"/>
    <w:unhideWhenUsed/>
    <w:rsid w:val="00C32AF5"/>
    <w:pPr>
      <w:spacing w:line="240" w:lineRule="auto"/>
    </w:pPr>
    <w:rPr>
      <w:sz w:val="20"/>
    </w:rPr>
  </w:style>
  <w:style w:type="character" w:customStyle="1" w:styleId="CommentTextChar">
    <w:name w:val="Comment Text Char"/>
    <w:basedOn w:val="DefaultParagraphFont"/>
    <w:link w:val="CommentText"/>
    <w:uiPriority w:val="99"/>
    <w:rsid w:val="00C32AF5"/>
  </w:style>
  <w:style w:type="paragraph" w:styleId="CommentSubject">
    <w:name w:val="annotation subject"/>
    <w:basedOn w:val="CommentText"/>
    <w:next w:val="CommentText"/>
    <w:link w:val="CommentSubjectChar"/>
    <w:uiPriority w:val="99"/>
    <w:semiHidden/>
    <w:unhideWhenUsed/>
    <w:rsid w:val="00C32AF5"/>
    <w:rPr>
      <w:b/>
      <w:bCs/>
    </w:rPr>
  </w:style>
  <w:style w:type="character" w:customStyle="1" w:styleId="CommentSubjectChar">
    <w:name w:val="Comment Subject Char"/>
    <w:basedOn w:val="CommentTextChar"/>
    <w:link w:val="CommentSubject"/>
    <w:uiPriority w:val="99"/>
    <w:semiHidden/>
    <w:rsid w:val="00C32AF5"/>
    <w:rPr>
      <w:b/>
      <w:bCs/>
    </w:rPr>
  </w:style>
  <w:style w:type="paragraph" w:customStyle="1" w:styleId="CS-Paragraphnumbering">
    <w:name w:val="CS - Paragraph numbering"/>
    <w:basedOn w:val="Normal"/>
    <w:rsid w:val="00BA698E"/>
    <w:pPr>
      <w:numPr>
        <w:numId w:val="15"/>
      </w:numPr>
      <w:spacing w:after="120" w:line="276" w:lineRule="auto"/>
      <w:ind w:left="785" w:right="-45"/>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7647">
      <w:bodyDiv w:val="1"/>
      <w:marLeft w:val="0"/>
      <w:marRight w:val="0"/>
      <w:marTop w:val="0"/>
      <w:marBottom w:val="0"/>
      <w:divBdr>
        <w:top w:val="none" w:sz="0" w:space="0" w:color="auto"/>
        <w:left w:val="none" w:sz="0" w:space="0" w:color="auto"/>
        <w:bottom w:val="none" w:sz="0" w:space="0" w:color="auto"/>
        <w:right w:val="none" w:sz="0" w:space="0" w:color="auto"/>
      </w:divBdr>
    </w:div>
    <w:div w:id="84808430">
      <w:bodyDiv w:val="1"/>
      <w:marLeft w:val="0"/>
      <w:marRight w:val="0"/>
      <w:marTop w:val="0"/>
      <w:marBottom w:val="0"/>
      <w:divBdr>
        <w:top w:val="none" w:sz="0" w:space="0" w:color="auto"/>
        <w:left w:val="none" w:sz="0" w:space="0" w:color="auto"/>
        <w:bottom w:val="none" w:sz="0" w:space="0" w:color="auto"/>
        <w:right w:val="none" w:sz="0" w:space="0" w:color="auto"/>
      </w:divBdr>
    </w:div>
    <w:div w:id="419301430">
      <w:bodyDiv w:val="1"/>
      <w:marLeft w:val="0"/>
      <w:marRight w:val="0"/>
      <w:marTop w:val="0"/>
      <w:marBottom w:val="0"/>
      <w:divBdr>
        <w:top w:val="none" w:sz="0" w:space="0" w:color="auto"/>
        <w:left w:val="none" w:sz="0" w:space="0" w:color="auto"/>
        <w:bottom w:val="none" w:sz="0" w:space="0" w:color="auto"/>
        <w:right w:val="none" w:sz="0" w:space="0" w:color="auto"/>
      </w:divBdr>
    </w:div>
    <w:div w:id="436294385">
      <w:bodyDiv w:val="1"/>
      <w:marLeft w:val="0"/>
      <w:marRight w:val="0"/>
      <w:marTop w:val="0"/>
      <w:marBottom w:val="0"/>
      <w:divBdr>
        <w:top w:val="none" w:sz="0" w:space="0" w:color="auto"/>
        <w:left w:val="none" w:sz="0" w:space="0" w:color="auto"/>
        <w:bottom w:val="none" w:sz="0" w:space="0" w:color="auto"/>
        <w:right w:val="none" w:sz="0" w:space="0" w:color="auto"/>
      </w:divBdr>
    </w:div>
    <w:div w:id="727923999">
      <w:bodyDiv w:val="1"/>
      <w:marLeft w:val="0"/>
      <w:marRight w:val="0"/>
      <w:marTop w:val="0"/>
      <w:marBottom w:val="0"/>
      <w:divBdr>
        <w:top w:val="none" w:sz="0" w:space="0" w:color="auto"/>
        <w:left w:val="none" w:sz="0" w:space="0" w:color="auto"/>
        <w:bottom w:val="none" w:sz="0" w:space="0" w:color="auto"/>
        <w:right w:val="none" w:sz="0" w:space="0" w:color="auto"/>
      </w:divBdr>
    </w:div>
    <w:div w:id="1043090650">
      <w:bodyDiv w:val="1"/>
      <w:marLeft w:val="0"/>
      <w:marRight w:val="0"/>
      <w:marTop w:val="0"/>
      <w:marBottom w:val="0"/>
      <w:divBdr>
        <w:top w:val="none" w:sz="0" w:space="0" w:color="auto"/>
        <w:left w:val="none" w:sz="0" w:space="0" w:color="auto"/>
        <w:bottom w:val="none" w:sz="0" w:space="0" w:color="auto"/>
        <w:right w:val="none" w:sz="0" w:space="0" w:color="auto"/>
      </w:divBdr>
    </w:div>
    <w:div w:id="1120874283">
      <w:bodyDiv w:val="1"/>
      <w:marLeft w:val="0"/>
      <w:marRight w:val="0"/>
      <w:marTop w:val="0"/>
      <w:marBottom w:val="0"/>
      <w:divBdr>
        <w:top w:val="none" w:sz="0" w:space="0" w:color="auto"/>
        <w:left w:val="none" w:sz="0" w:space="0" w:color="auto"/>
        <w:bottom w:val="none" w:sz="0" w:space="0" w:color="auto"/>
        <w:right w:val="none" w:sz="0" w:space="0" w:color="auto"/>
      </w:divBdr>
    </w:div>
    <w:div w:id="1431580154">
      <w:bodyDiv w:val="1"/>
      <w:marLeft w:val="0"/>
      <w:marRight w:val="0"/>
      <w:marTop w:val="0"/>
      <w:marBottom w:val="0"/>
      <w:divBdr>
        <w:top w:val="none" w:sz="0" w:space="0" w:color="auto"/>
        <w:left w:val="none" w:sz="0" w:space="0" w:color="auto"/>
        <w:bottom w:val="none" w:sz="0" w:space="0" w:color="auto"/>
        <w:right w:val="none" w:sz="0" w:space="0" w:color="auto"/>
      </w:divBdr>
    </w:div>
    <w:div w:id="197050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zelll\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82080-3A4F-44C0-82FD-69F4B9AD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1</TotalTime>
  <Pages>7</Pages>
  <Words>985</Words>
  <Characters>5245</Characters>
  <Application>Microsoft Office Word</Application>
  <DocSecurity>0</DocSecurity>
  <Lines>149</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Henzell, Linley</dc:creator>
  <cp:lastModifiedBy>WSG</cp:lastModifiedBy>
  <cp:revision>3</cp:revision>
  <cp:lastPrinted>2021-05-17T02:20:00Z</cp:lastPrinted>
  <dcterms:created xsi:type="dcterms:W3CDTF">2025-06-30T07:04:00Z</dcterms:created>
  <dcterms:modified xsi:type="dcterms:W3CDTF">2025-06-30T07:05:00Z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MSIP_Label_69af8531-eb46-4968-8cb3-105d2f5ea87e_Enabled">
    <vt:lpwstr>true</vt:lpwstr>
  </property>
  <property fmtid="{D5CDD505-2E9C-101B-9397-08002B2CF9AE}" pid="5" name="MSIP_Label_69af8531-eb46-4968-8cb3-105d2f5ea87e_SetDate">
    <vt:lpwstr>2025-03-20T23:24:26Z</vt:lpwstr>
  </property>
  <property fmtid="{D5CDD505-2E9C-101B-9397-08002B2CF9AE}" pid="6" name="MSIP_Label_69af8531-eb46-4968-8cb3-105d2f5ea87e_Method">
    <vt:lpwstr>Standard</vt:lpwstr>
  </property>
  <property fmtid="{D5CDD505-2E9C-101B-9397-08002B2CF9AE}" pid="7" name="MSIP_Label_69af8531-eb46-4968-8cb3-105d2f5ea87e_Name">
    <vt:lpwstr>Official - No Marking</vt:lpwstr>
  </property>
  <property fmtid="{D5CDD505-2E9C-101B-9397-08002B2CF9AE}" pid="8" name="MSIP_Label_69af8531-eb46-4968-8cb3-105d2f5ea87e_SiteId">
    <vt:lpwstr>b46c1908-0334-4236-b978-585ee88e4199</vt:lpwstr>
  </property>
  <property fmtid="{D5CDD505-2E9C-101B-9397-08002B2CF9AE}" pid="9" name="MSIP_Label_69af8531-eb46-4968-8cb3-105d2f5ea87e_ActionId">
    <vt:lpwstr>923015b9-12ba-4b4f-b4f8-e3e6525dbb5c</vt:lpwstr>
  </property>
  <property fmtid="{D5CDD505-2E9C-101B-9397-08002B2CF9AE}" pid="10" name="MSIP_Label_69af8531-eb46-4968-8cb3-105d2f5ea87e_ContentBits">
    <vt:lpwstr>0</vt:lpwstr>
  </property>
</Properties>
</file>