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F628F" w14:textId="77777777" w:rsidR="00FB640B" w:rsidRPr="008B24C8" w:rsidRDefault="0057002B" w:rsidP="00BB0CF2">
      <w:pPr>
        <w:pStyle w:val="ESTitleHeader"/>
      </w:pPr>
      <w:bookmarkStart w:id="0" w:name="_GoBack"/>
      <w:bookmarkEnd w:id="0"/>
      <w:r w:rsidRPr="008B24C8">
        <w:t>EXPLANATORY STATEMENT</w:t>
      </w:r>
    </w:p>
    <w:p w14:paraId="1374D5F4" w14:textId="322D153D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8B394F">
        <w:t xml:space="preserve">Assistant </w:t>
      </w:r>
      <w:r w:rsidR="003E7F16">
        <w:t xml:space="preserve">Minister for </w:t>
      </w:r>
      <w:r w:rsidR="00C94FCF">
        <w:t>Citizenship</w:t>
      </w:r>
      <w:r w:rsidR="008B394F">
        <w:t>, Customs and Multicultural Affairs</w:t>
      </w:r>
    </w:p>
    <w:p w14:paraId="0440A87E" w14:textId="77777777" w:rsidR="0057002B" w:rsidRPr="008B24C8" w:rsidRDefault="007F2E70" w:rsidP="00BB0CF2">
      <w:pPr>
        <w:pStyle w:val="ESTitleEnablingLegislation"/>
      </w:pPr>
      <w:r>
        <w:t>Migration Regulations 1994</w:t>
      </w:r>
    </w:p>
    <w:p w14:paraId="3F8C9BC0" w14:textId="77777777" w:rsidR="00AA4F77" w:rsidRPr="007F2E70" w:rsidRDefault="007F2E70" w:rsidP="007F2E70">
      <w:pPr>
        <w:pStyle w:val="ESParagraph"/>
        <w:jc w:val="center"/>
        <w:rPr>
          <w:b/>
          <w:i/>
        </w:rPr>
      </w:pPr>
      <w:r w:rsidRPr="007F2E70">
        <w:rPr>
          <w:b/>
          <w:i/>
        </w:rPr>
        <w:t>Migration (Specification of Organisations) Instrument 2025</w:t>
      </w:r>
    </w:p>
    <w:p w14:paraId="103FF483" w14:textId="44FEC9D9" w:rsidR="0057002B" w:rsidRPr="008B24C8" w:rsidRDefault="0057002B" w:rsidP="002C1A5A">
      <w:pPr>
        <w:pStyle w:val="ESPara"/>
      </w:pPr>
      <w:r w:rsidRPr="008B24C8">
        <w:t>The instrume</w:t>
      </w:r>
      <w:r w:rsidR="007F2E70">
        <w:t xml:space="preserve">nt, </w:t>
      </w:r>
      <w:r w:rsidR="00D3280B">
        <w:t>d</w:t>
      </w:r>
      <w:r w:rsidR="007F2E70">
        <w:t>epartmental reference LIN 25/015</w:t>
      </w:r>
      <w:r w:rsidRPr="008B24C8">
        <w:t xml:space="preserve">, is made under </w:t>
      </w:r>
      <w:r w:rsidR="003E7F16" w:rsidRPr="003E7F16">
        <w:t>paragrap</w:t>
      </w:r>
      <w:r w:rsidR="003E7F16">
        <w:t>h </w:t>
      </w:r>
      <w:r w:rsidR="003E7F16" w:rsidRPr="003E7F16">
        <w:t xml:space="preserve">(b) of the definition of </w:t>
      </w:r>
      <w:r w:rsidR="003E7F16" w:rsidRPr="00621001">
        <w:rPr>
          <w:b/>
          <w:i/>
        </w:rPr>
        <w:t>independent expert</w:t>
      </w:r>
      <w:r w:rsidR="003E7F16">
        <w:t xml:space="preserve"> in regulation </w:t>
      </w:r>
      <w:r w:rsidR="003E7F16" w:rsidRPr="003E7F16">
        <w:t>1.21</w:t>
      </w:r>
      <w:r w:rsidRPr="008B24C8">
        <w:t xml:space="preserve"> </w:t>
      </w:r>
      <w:r w:rsidR="006D6F87">
        <w:t xml:space="preserve">of </w:t>
      </w:r>
      <w:r w:rsidRPr="008B24C8">
        <w:t xml:space="preserve">the </w:t>
      </w:r>
      <w:r w:rsidRPr="008B24C8">
        <w:rPr>
          <w:i/>
        </w:rPr>
        <w:t>Migration Regulations 1994</w:t>
      </w:r>
      <w:r w:rsidR="00BA0C6F">
        <w:t xml:space="preserve"> (the Migration Regulations)</w:t>
      </w:r>
      <w:r w:rsidRPr="008B24C8">
        <w:t>.</w:t>
      </w:r>
    </w:p>
    <w:p w14:paraId="0093FE51" w14:textId="23F7E745" w:rsidR="00EA12C9" w:rsidRPr="008B24C8" w:rsidRDefault="003E7F16" w:rsidP="002C1A5A">
      <w:pPr>
        <w:pStyle w:val="ESPara"/>
      </w:pPr>
      <w:r>
        <w:t>This</w:t>
      </w:r>
      <w:r w:rsidR="00EA12C9" w:rsidRPr="008B24C8">
        <w:t xml:space="preserve"> instrument </w:t>
      </w:r>
      <w:r w:rsidR="00BA0C6F">
        <w:t>repeals</w:t>
      </w:r>
      <w:r w:rsidR="002C1A5A">
        <w:t xml:space="preserve"> and replaces</w:t>
      </w:r>
      <w:r w:rsidR="00BA0C6F">
        <w:t xml:space="preserve"> the</w:t>
      </w:r>
      <w:r w:rsidR="00BA0C6F" w:rsidRPr="00BA0C6F">
        <w:t xml:space="preserve"> </w:t>
      </w:r>
      <w:r w:rsidR="00BA0C6F" w:rsidRPr="00BA0C6F">
        <w:rPr>
          <w:i/>
        </w:rPr>
        <w:t>Migration Regulations 1994 - Specificati</w:t>
      </w:r>
      <w:r w:rsidR="00BA0C6F">
        <w:rPr>
          <w:i/>
        </w:rPr>
        <w:t>on of Organisations - IMMI</w:t>
      </w:r>
      <w:r w:rsidR="002C1A5A">
        <w:rPr>
          <w:i/>
        </w:rPr>
        <w:t> </w:t>
      </w:r>
      <w:r w:rsidR="00BA0C6F">
        <w:rPr>
          <w:i/>
        </w:rPr>
        <w:t>13/02</w:t>
      </w:r>
      <w:r w:rsidR="00BA0C6F" w:rsidRPr="00BA0C6F">
        <w:rPr>
          <w:i/>
        </w:rPr>
        <w:t>3</w:t>
      </w:r>
      <w:r w:rsidR="00BA0C6F">
        <w:t xml:space="preserve"> (IMMI 13/023)</w:t>
      </w:r>
      <w:r w:rsidR="002C1A5A">
        <w:t>. The repeal of IMMI 13/023 is done</w:t>
      </w:r>
      <w:r w:rsidR="00BA0C6F">
        <w:t xml:space="preserve"> </w:t>
      </w:r>
      <w:r w:rsidR="00EA12C9" w:rsidRPr="008B24C8">
        <w:t xml:space="preserve">in accordance with subsection 33(3) of the </w:t>
      </w:r>
      <w:r w:rsidR="00EA12C9" w:rsidRPr="008B24C8">
        <w:rPr>
          <w:i/>
        </w:rPr>
        <w:t>Acts Interpretation Act 1901</w:t>
      </w:r>
      <w:r w:rsidR="00BD598E" w:rsidRPr="008B24C8">
        <w:rPr>
          <w:i/>
        </w:rPr>
        <w:t xml:space="preserve"> </w:t>
      </w:r>
      <w:r w:rsidR="00BD598E" w:rsidRPr="008B24C8">
        <w:t>(the Acts Interpretation Act)</w:t>
      </w:r>
      <w:r>
        <w:t xml:space="preserve">. </w:t>
      </w:r>
      <w:r w:rsidR="00EA12C9" w:rsidRPr="008B24C8">
        <w:t xml:space="preserve">That subsection provides that </w:t>
      </w:r>
      <w:r w:rsidR="00FF2426">
        <w:t>a power to make a </w:t>
      </w:r>
      <w:r w:rsidR="00100DFC">
        <w:t>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</w:p>
    <w:p w14:paraId="489009CB" w14:textId="0147950C" w:rsidR="00BD598E" w:rsidRDefault="00AA4557" w:rsidP="002C1A5A">
      <w:pPr>
        <w:pStyle w:val="ESPara"/>
      </w:pPr>
      <w:r>
        <w:t>T</w:t>
      </w:r>
      <w:r w:rsidR="00BA0C6F">
        <w:t>he instrument commences on the day after registration</w:t>
      </w:r>
      <w:r w:rsidR="003E7F16">
        <w:t xml:space="preserve"> on the Federal Register of Legislation</w:t>
      </w:r>
      <w:r w:rsidR="00621001">
        <w:t>. It</w:t>
      </w:r>
      <w:r>
        <w:t xml:space="preserve"> i</w:t>
      </w:r>
      <w:r w:rsidR="00FF2426">
        <w:t>s a </w:t>
      </w:r>
      <w:r>
        <w:t>legislative</w:t>
      </w:r>
      <w:r w:rsidR="00BD598E" w:rsidRPr="008B24C8">
        <w:t xml:space="preserve"> instrument for </w:t>
      </w:r>
      <w:r w:rsidR="00B75478">
        <w:t>the</w:t>
      </w:r>
      <w:r w:rsidR="00773AD4">
        <w:t xml:space="preserve"> purpose of the</w:t>
      </w:r>
      <w:r w:rsidR="00B75478">
        <w:t xml:space="preserve"> </w:t>
      </w:r>
      <w:r w:rsidR="00100DFC">
        <w:rPr>
          <w:i/>
        </w:rPr>
        <w:t>Legislation Act 2003</w:t>
      </w:r>
      <w:r w:rsidR="00100DFC">
        <w:t xml:space="preserve"> (the Legislation Act)</w:t>
      </w:r>
      <w:r w:rsidR="00BD598E" w:rsidRPr="008B24C8">
        <w:t xml:space="preserve">.  </w:t>
      </w:r>
    </w:p>
    <w:p w14:paraId="58D49C91" w14:textId="77777777" w:rsidR="00386CDD" w:rsidRDefault="00386CDD" w:rsidP="00100DFC">
      <w:pPr>
        <w:pStyle w:val="ESHeading"/>
      </w:pPr>
      <w:r>
        <w:t>Background</w:t>
      </w:r>
    </w:p>
    <w:p w14:paraId="36AB2C9F" w14:textId="709E9926" w:rsidR="00386CDD" w:rsidRPr="002520F8" w:rsidRDefault="00386CDD" w:rsidP="002520F8">
      <w:pPr>
        <w:pStyle w:val="ESHeading"/>
        <w:rPr>
          <w:b w:val="0"/>
          <w:i w:val="0"/>
          <w:lang w:eastAsia="en-AU"/>
        </w:rPr>
      </w:pPr>
      <w:r>
        <w:rPr>
          <w:b w:val="0"/>
          <w:i w:val="0"/>
        </w:rPr>
        <w:t xml:space="preserve">The </w:t>
      </w:r>
      <w:r w:rsidRPr="00386CDD">
        <w:rPr>
          <w:b w:val="0"/>
        </w:rPr>
        <w:t xml:space="preserve">Migration Regulations 1994 - Specification of Organisations - IMMI 13/023 </w:t>
      </w:r>
      <w:r w:rsidRPr="00386CDD">
        <w:rPr>
          <w:b w:val="0"/>
          <w:i w:val="0"/>
        </w:rPr>
        <w:t>(IMMI 13/023)</w:t>
      </w:r>
      <w:r>
        <w:rPr>
          <w:b w:val="0"/>
          <w:i w:val="0"/>
        </w:rPr>
        <w:t xml:space="preserve"> commenced on </w:t>
      </w:r>
      <w:r w:rsidR="003E7F16">
        <w:rPr>
          <w:b w:val="0"/>
          <w:i w:val="0"/>
        </w:rPr>
        <w:t xml:space="preserve">3 </w:t>
      </w:r>
      <w:r>
        <w:rPr>
          <w:b w:val="0"/>
          <w:i w:val="0"/>
        </w:rPr>
        <w:t>April 2013.</w:t>
      </w:r>
      <w:r w:rsidR="002520F8">
        <w:rPr>
          <w:b w:val="0"/>
          <w:i w:val="0"/>
        </w:rPr>
        <w:t xml:space="preserve"> </w:t>
      </w:r>
      <w:r w:rsidRPr="002520F8">
        <w:rPr>
          <w:b w:val="0"/>
          <w:i w:val="0"/>
          <w:lang w:eastAsia="en-AU"/>
        </w:rPr>
        <w:t>That instrument was made under</w:t>
      </w:r>
      <w:r w:rsidR="00191A98" w:rsidRPr="002520F8">
        <w:rPr>
          <w:b w:val="0"/>
          <w:i w:val="0"/>
          <w:lang w:eastAsia="en-AU"/>
        </w:rPr>
        <w:t xml:space="preserve"> former </w:t>
      </w:r>
      <w:r w:rsidRPr="002520F8">
        <w:rPr>
          <w:b w:val="0"/>
          <w:i w:val="0"/>
          <w:lang w:eastAsia="en-AU"/>
        </w:rPr>
        <w:t>regulation</w:t>
      </w:r>
      <w:r w:rsidR="00191A98" w:rsidRPr="002520F8">
        <w:rPr>
          <w:b w:val="0"/>
          <w:i w:val="0"/>
          <w:lang w:eastAsia="en-AU"/>
        </w:rPr>
        <w:t> </w:t>
      </w:r>
      <w:r w:rsidRPr="002520F8">
        <w:rPr>
          <w:b w:val="0"/>
          <w:i w:val="0"/>
          <w:lang w:eastAsia="en-AU"/>
        </w:rPr>
        <w:t>1.17 and</w:t>
      </w:r>
      <w:r w:rsidR="00191A98" w:rsidRPr="002520F8">
        <w:rPr>
          <w:b w:val="0"/>
          <w:i w:val="0"/>
          <w:lang w:eastAsia="en-AU"/>
        </w:rPr>
        <w:t xml:space="preserve"> regulation </w:t>
      </w:r>
      <w:r w:rsidRPr="002520F8">
        <w:rPr>
          <w:b w:val="0"/>
          <w:i w:val="0"/>
          <w:lang w:eastAsia="en-AU"/>
        </w:rPr>
        <w:t>1.21</w:t>
      </w:r>
      <w:r w:rsidR="00191A98" w:rsidRPr="002520F8">
        <w:rPr>
          <w:b w:val="0"/>
          <w:i w:val="0"/>
          <w:lang w:eastAsia="en-AU"/>
        </w:rPr>
        <w:t xml:space="preserve"> </w:t>
      </w:r>
      <w:r w:rsidR="00BF1AE8" w:rsidRPr="002520F8">
        <w:rPr>
          <w:b w:val="0"/>
          <w:i w:val="0"/>
          <w:lang w:eastAsia="en-AU"/>
        </w:rPr>
        <w:t xml:space="preserve">of </w:t>
      </w:r>
      <w:r w:rsidRPr="002520F8">
        <w:rPr>
          <w:b w:val="0"/>
          <w:i w:val="0"/>
          <w:lang w:eastAsia="en-AU"/>
        </w:rPr>
        <w:t>the</w:t>
      </w:r>
      <w:r w:rsidR="00CD26CB" w:rsidRPr="002520F8">
        <w:rPr>
          <w:b w:val="0"/>
          <w:i w:val="0"/>
          <w:lang w:eastAsia="en-AU"/>
        </w:rPr>
        <w:t xml:space="preserve"> </w:t>
      </w:r>
      <w:r w:rsidRPr="002520F8">
        <w:rPr>
          <w:b w:val="0"/>
          <w:i w:val="0"/>
          <w:lang w:eastAsia="en-AU"/>
        </w:rPr>
        <w:t>Migration Regulations.</w:t>
      </w:r>
    </w:p>
    <w:p w14:paraId="0D02E3F2" w14:textId="1D4A2D15" w:rsidR="00B4796C" w:rsidRDefault="00B4796C" w:rsidP="00674357">
      <w:pPr>
        <w:pStyle w:val="ESPara"/>
        <w:rPr>
          <w:lang w:eastAsia="en-AU"/>
        </w:rPr>
      </w:pPr>
      <w:r>
        <w:rPr>
          <w:lang w:eastAsia="en-AU"/>
        </w:rPr>
        <w:t xml:space="preserve">The definition of </w:t>
      </w:r>
      <w:r w:rsidRPr="00621001">
        <w:rPr>
          <w:b/>
          <w:i/>
          <w:lang w:eastAsia="en-AU"/>
        </w:rPr>
        <w:t>independent expert</w:t>
      </w:r>
      <w:r>
        <w:rPr>
          <w:lang w:eastAsia="en-AU"/>
        </w:rPr>
        <w:t xml:space="preserve"> in regulation 1.21 </w:t>
      </w:r>
      <w:r w:rsidR="00CC0C27">
        <w:rPr>
          <w:lang w:eastAsia="en-AU"/>
        </w:rPr>
        <w:t xml:space="preserve">of </w:t>
      </w:r>
      <w:r>
        <w:rPr>
          <w:lang w:eastAsia="en-AU"/>
        </w:rPr>
        <w:t xml:space="preserve">the Migration Regulations provides that </w:t>
      </w:r>
      <w:r w:rsidR="00621001" w:rsidRPr="00621001">
        <w:rPr>
          <w:lang w:eastAsia="en-AU"/>
        </w:rPr>
        <w:t>the term</w:t>
      </w:r>
      <w:r>
        <w:rPr>
          <w:lang w:eastAsia="en-AU"/>
        </w:rPr>
        <w:t xml:space="preserve"> means a person who: </w:t>
      </w:r>
    </w:p>
    <w:p w14:paraId="42EF7270" w14:textId="3B4706A7" w:rsidR="00B4796C" w:rsidRDefault="00B4796C" w:rsidP="00674357">
      <w:pPr>
        <w:pStyle w:val="ESPara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is suitably qualified to make independent assessments of non-judicially determined claims of fami</w:t>
      </w:r>
      <w:r w:rsidR="00145D2A">
        <w:rPr>
          <w:lang w:eastAsia="en-AU"/>
        </w:rPr>
        <w:t>ly violence (paragraph </w:t>
      </w:r>
      <w:r>
        <w:rPr>
          <w:lang w:eastAsia="en-AU"/>
        </w:rPr>
        <w:t>(a) of that definition); and</w:t>
      </w:r>
    </w:p>
    <w:p w14:paraId="06C7647C" w14:textId="2179B8D2" w:rsidR="00386CDD" w:rsidRDefault="00B4796C" w:rsidP="00674357">
      <w:pPr>
        <w:pStyle w:val="ESPara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is employed by, or contracted to provide services to, an organisation that is specified, in a legislative instrument made by the Minister for this definition, for the purpose of making independent assessments of non-judicially determined claim</w:t>
      </w:r>
      <w:r w:rsidR="00145D2A">
        <w:rPr>
          <w:lang w:eastAsia="en-AU"/>
        </w:rPr>
        <w:t>s of family violence (paragraph </w:t>
      </w:r>
      <w:r>
        <w:rPr>
          <w:lang w:eastAsia="en-AU"/>
        </w:rPr>
        <w:t>(b) of that definition).</w:t>
      </w:r>
    </w:p>
    <w:p w14:paraId="2A66AEA8" w14:textId="3A6E6E55" w:rsidR="00386CDD" w:rsidRPr="00386CDD" w:rsidRDefault="000C7F7C">
      <w:pPr>
        <w:pStyle w:val="ESPara"/>
        <w:rPr>
          <w:lang w:eastAsia="en-AU"/>
        </w:rPr>
      </w:pPr>
      <w:r>
        <w:rPr>
          <w:lang w:eastAsia="en-AU"/>
        </w:rPr>
        <w:t>IMMI 13/023</w:t>
      </w:r>
      <w:r w:rsidR="00386CDD">
        <w:rPr>
          <w:lang w:eastAsia="en-AU"/>
        </w:rPr>
        <w:t xml:space="preserve"> operated</w:t>
      </w:r>
      <w:r w:rsidR="00386CDD" w:rsidRPr="00386CDD">
        <w:rPr>
          <w:lang w:eastAsia="en-AU"/>
        </w:rPr>
        <w:t xml:space="preserve"> to</w:t>
      </w:r>
      <w:r w:rsidR="00B4796C">
        <w:rPr>
          <w:lang w:eastAsia="en-AU"/>
        </w:rPr>
        <w:t xml:space="preserve"> </w:t>
      </w:r>
      <w:r w:rsidR="00386CDD" w:rsidRPr="00386CDD">
        <w:rPr>
          <w:lang w:eastAsia="en-AU"/>
        </w:rPr>
        <w:t>specify</w:t>
      </w:r>
      <w:r w:rsidR="00B4796C">
        <w:rPr>
          <w:lang w:eastAsia="en-AU"/>
        </w:rPr>
        <w:t xml:space="preserve"> </w:t>
      </w:r>
      <w:r w:rsidR="00386CDD" w:rsidRPr="00386CDD">
        <w:rPr>
          <w:lang w:eastAsia="en-AU"/>
        </w:rPr>
        <w:t>that</w:t>
      </w:r>
      <w:r w:rsidR="00B4796C">
        <w:rPr>
          <w:lang w:eastAsia="en-AU"/>
        </w:rPr>
        <w:t xml:space="preserve"> </w:t>
      </w:r>
      <w:r w:rsidR="00386CDD" w:rsidRPr="00386CDD">
        <w:rPr>
          <w:lang w:eastAsia="en-AU"/>
        </w:rPr>
        <w:t xml:space="preserve">the </w:t>
      </w:r>
      <w:r w:rsidR="006F335C">
        <w:rPr>
          <w:lang w:eastAsia="en-AU"/>
        </w:rPr>
        <w:t xml:space="preserve">former </w:t>
      </w:r>
      <w:r w:rsidR="00386CDD" w:rsidRPr="00386CDD">
        <w:rPr>
          <w:lang w:eastAsia="en-AU"/>
        </w:rPr>
        <w:t>Department of Human Services</w:t>
      </w:r>
      <w:r w:rsidR="00B4796C">
        <w:rPr>
          <w:lang w:eastAsia="en-AU"/>
        </w:rPr>
        <w:t xml:space="preserve"> </w:t>
      </w:r>
      <w:r w:rsidR="00386CDD" w:rsidRPr="00386CDD">
        <w:rPr>
          <w:lang w:eastAsia="en-AU"/>
        </w:rPr>
        <w:t>(DHS)</w:t>
      </w:r>
      <w:r w:rsidR="00B4796C">
        <w:rPr>
          <w:lang w:eastAsia="en-AU"/>
        </w:rPr>
        <w:t xml:space="preserve"> </w:t>
      </w:r>
      <w:r w:rsidR="00386CDD" w:rsidRPr="00386CDD">
        <w:rPr>
          <w:lang w:eastAsia="en-AU"/>
        </w:rPr>
        <w:t>and</w:t>
      </w:r>
      <w:r w:rsidR="00B4796C">
        <w:rPr>
          <w:lang w:eastAsia="en-AU"/>
        </w:rPr>
        <w:t xml:space="preserve"> </w:t>
      </w:r>
      <w:r w:rsidR="00386CDD" w:rsidRPr="00386CDD">
        <w:rPr>
          <w:lang w:eastAsia="en-AU"/>
        </w:rPr>
        <w:t>LSC Psychology</w:t>
      </w:r>
      <w:r w:rsidR="00B4796C">
        <w:rPr>
          <w:i/>
          <w:iCs/>
          <w:lang w:eastAsia="en-AU"/>
        </w:rPr>
        <w:t xml:space="preserve"> </w:t>
      </w:r>
      <w:r w:rsidR="00B4796C" w:rsidRPr="007E4398">
        <w:rPr>
          <w:iCs/>
          <w:lang w:eastAsia="en-AU"/>
        </w:rPr>
        <w:t>were</w:t>
      </w:r>
      <w:r w:rsidR="00B4796C">
        <w:rPr>
          <w:i/>
          <w:iCs/>
          <w:lang w:eastAsia="en-AU"/>
        </w:rPr>
        <w:t xml:space="preserve"> </w:t>
      </w:r>
      <w:r w:rsidR="00386CDD" w:rsidRPr="00386CDD">
        <w:rPr>
          <w:lang w:eastAsia="en-AU"/>
        </w:rPr>
        <w:t>organisations</w:t>
      </w:r>
      <w:r w:rsidR="00B4796C">
        <w:rPr>
          <w:lang w:eastAsia="en-AU"/>
        </w:rPr>
        <w:t xml:space="preserve"> </w:t>
      </w:r>
      <w:r w:rsidR="00386CDD" w:rsidRPr="00386CDD">
        <w:rPr>
          <w:lang w:eastAsia="en-AU"/>
        </w:rPr>
        <w:t>for the purposes of the definition of</w:t>
      </w:r>
      <w:r w:rsidR="00B4796C">
        <w:rPr>
          <w:lang w:eastAsia="en-AU"/>
        </w:rPr>
        <w:t xml:space="preserve"> </w:t>
      </w:r>
      <w:r w:rsidR="00386CDD" w:rsidRPr="007E4398">
        <w:rPr>
          <w:i/>
          <w:lang w:eastAsia="en-AU"/>
        </w:rPr>
        <w:t>independent expert</w:t>
      </w:r>
      <w:r w:rsidR="00B4796C">
        <w:rPr>
          <w:lang w:eastAsia="en-AU"/>
        </w:rPr>
        <w:t xml:space="preserve"> </w:t>
      </w:r>
      <w:r w:rsidR="00386CDD" w:rsidRPr="00386CDD">
        <w:rPr>
          <w:lang w:eastAsia="en-AU"/>
        </w:rPr>
        <w:t>in</w:t>
      </w:r>
      <w:r w:rsidR="00B4796C">
        <w:rPr>
          <w:lang w:eastAsia="en-AU"/>
        </w:rPr>
        <w:t xml:space="preserve"> </w:t>
      </w:r>
      <w:r w:rsidR="00386CDD" w:rsidRPr="00386CDD">
        <w:rPr>
          <w:lang w:eastAsia="en-AU"/>
        </w:rPr>
        <w:t>regulation</w:t>
      </w:r>
      <w:r w:rsidR="00B4796C">
        <w:rPr>
          <w:lang w:eastAsia="en-AU"/>
        </w:rPr>
        <w:t> </w:t>
      </w:r>
      <w:r w:rsidR="00386CDD" w:rsidRPr="00386CDD">
        <w:rPr>
          <w:lang w:eastAsia="en-AU"/>
        </w:rPr>
        <w:t>1.21</w:t>
      </w:r>
      <w:r w:rsidR="00B4796C">
        <w:rPr>
          <w:lang w:eastAsia="en-AU"/>
        </w:rPr>
        <w:t xml:space="preserve"> </w:t>
      </w:r>
      <w:r w:rsidR="00866816">
        <w:rPr>
          <w:lang w:eastAsia="en-AU"/>
        </w:rPr>
        <w:t xml:space="preserve">of </w:t>
      </w:r>
      <w:r w:rsidR="00386CDD" w:rsidRPr="00386CDD">
        <w:rPr>
          <w:lang w:eastAsia="en-AU"/>
        </w:rPr>
        <w:t xml:space="preserve">the </w:t>
      </w:r>
      <w:r w:rsidR="00B4796C">
        <w:rPr>
          <w:lang w:eastAsia="en-AU"/>
        </w:rPr>
        <w:t xml:space="preserve">Migration </w:t>
      </w:r>
      <w:r w:rsidR="00386CDD" w:rsidRPr="00386CDD">
        <w:rPr>
          <w:lang w:eastAsia="en-AU"/>
        </w:rPr>
        <w:t>Regulations.</w:t>
      </w:r>
      <w:r w:rsidR="006F335C">
        <w:rPr>
          <w:lang w:eastAsia="en-AU"/>
        </w:rPr>
        <w:t xml:space="preserve"> The reference to the Department of Human Services is now redundant, noting that in line with the explanatory statement to IMMI 13/023, that Department had been included in the </w:t>
      </w:r>
      <w:r w:rsidR="007B1AF3">
        <w:rPr>
          <w:lang w:eastAsia="en-AU"/>
        </w:rPr>
        <w:t xml:space="preserve">2013 </w:t>
      </w:r>
      <w:r w:rsidR="006F335C">
        <w:rPr>
          <w:lang w:eastAsia="en-AU"/>
        </w:rPr>
        <w:t xml:space="preserve">instrument as </w:t>
      </w:r>
      <w:r w:rsidR="006F335C" w:rsidRPr="006F335C">
        <w:rPr>
          <w:lang w:eastAsia="en-AU"/>
        </w:rPr>
        <w:t xml:space="preserve">an independent expert for claims of family violence referred prior to </w:t>
      </w:r>
      <w:r w:rsidR="006F335C">
        <w:rPr>
          <w:lang w:eastAsia="en-AU"/>
        </w:rPr>
        <w:t>its commencement on 3 April 2013, with</w:t>
      </w:r>
      <w:r w:rsidR="006F335C" w:rsidRPr="006F335C">
        <w:rPr>
          <w:lang w:eastAsia="en-AU"/>
        </w:rPr>
        <w:t xml:space="preserve"> LSC Psychology </w:t>
      </w:r>
      <w:r w:rsidR="006F335C">
        <w:rPr>
          <w:lang w:eastAsia="en-AU"/>
        </w:rPr>
        <w:t xml:space="preserve">specified </w:t>
      </w:r>
      <w:r w:rsidR="006F335C" w:rsidRPr="006F335C">
        <w:rPr>
          <w:lang w:eastAsia="en-AU"/>
        </w:rPr>
        <w:t xml:space="preserve">for claims referred on or after </w:t>
      </w:r>
      <w:r w:rsidR="006F335C">
        <w:rPr>
          <w:lang w:eastAsia="en-AU"/>
        </w:rPr>
        <w:t>that date.</w:t>
      </w:r>
    </w:p>
    <w:p w14:paraId="4047330E" w14:textId="4EA5B81F" w:rsidR="00EA12C9" w:rsidRPr="007E4398" w:rsidRDefault="00BD598E" w:rsidP="00100DFC">
      <w:pPr>
        <w:pStyle w:val="ESHeading"/>
        <w:rPr>
          <w:b w:val="0"/>
          <w:i w:val="0"/>
        </w:rPr>
      </w:pPr>
      <w:r w:rsidRPr="00B4796C">
        <w:t>Purpose</w:t>
      </w:r>
    </w:p>
    <w:p w14:paraId="067E79A1" w14:textId="5258D295" w:rsidR="00386CDD" w:rsidRDefault="00386CDD">
      <w:pPr>
        <w:pStyle w:val="ESPara"/>
        <w:rPr>
          <w:lang w:eastAsia="en-AU"/>
        </w:rPr>
      </w:pPr>
      <w:r w:rsidRPr="00386CDD">
        <w:t>The</w:t>
      </w:r>
      <w:r>
        <w:rPr>
          <w:b/>
          <w:i/>
        </w:rPr>
        <w:t xml:space="preserve"> </w:t>
      </w:r>
      <w:r w:rsidRPr="00386CDD">
        <w:rPr>
          <w:i/>
        </w:rPr>
        <w:t>Migration (Specification of Organisations) Instrument 2025</w:t>
      </w:r>
      <w:r>
        <w:rPr>
          <w:i/>
        </w:rPr>
        <w:t xml:space="preserve"> </w:t>
      </w:r>
      <w:r>
        <w:t>(t</w:t>
      </w:r>
      <w:r w:rsidR="00B4796C">
        <w:t>he</w:t>
      </w:r>
      <w:r>
        <w:t xml:space="preserve"> instrument) is made under </w:t>
      </w:r>
      <w:r w:rsidR="00B4796C">
        <w:rPr>
          <w:lang w:eastAsia="en-AU"/>
        </w:rPr>
        <w:t>paragraph </w:t>
      </w:r>
      <w:r w:rsidR="00B4796C" w:rsidRPr="00B4796C">
        <w:rPr>
          <w:lang w:eastAsia="en-AU"/>
        </w:rPr>
        <w:t xml:space="preserve">(b) of the definition of </w:t>
      </w:r>
      <w:r w:rsidR="00B4796C" w:rsidRPr="00674357">
        <w:rPr>
          <w:b/>
          <w:i/>
          <w:lang w:eastAsia="en-AU"/>
        </w:rPr>
        <w:t>independent expert</w:t>
      </w:r>
      <w:r w:rsidR="00B4796C" w:rsidRPr="00B4796C">
        <w:rPr>
          <w:lang w:eastAsia="en-AU"/>
        </w:rPr>
        <w:t xml:space="preserve"> in regulation 1.21 </w:t>
      </w:r>
      <w:r w:rsidR="00EC6153">
        <w:rPr>
          <w:lang w:eastAsia="en-AU"/>
        </w:rPr>
        <w:t xml:space="preserve">of </w:t>
      </w:r>
      <w:r w:rsidR="00AB3532">
        <w:rPr>
          <w:lang w:eastAsia="en-AU"/>
        </w:rPr>
        <w:t xml:space="preserve">the </w:t>
      </w:r>
      <w:r>
        <w:rPr>
          <w:lang w:eastAsia="en-AU"/>
        </w:rPr>
        <w:t>Migration Regulations.</w:t>
      </w:r>
    </w:p>
    <w:p w14:paraId="5DBC9C49" w14:textId="77777777" w:rsidR="00FF2426" w:rsidRDefault="00FF2426">
      <w:pPr>
        <w:rPr>
          <w:rFonts w:ascii="Times New Roman" w:hAnsi="Times New Roman" w:cs="Times New Roman"/>
          <w:lang w:eastAsia="en-AU"/>
        </w:rPr>
      </w:pPr>
      <w:r>
        <w:rPr>
          <w:lang w:eastAsia="en-AU"/>
        </w:rPr>
        <w:br w:type="page"/>
      </w:r>
    </w:p>
    <w:p w14:paraId="3D0CCB4A" w14:textId="63917183" w:rsidR="00386CDD" w:rsidRDefault="00386CDD">
      <w:pPr>
        <w:pStyle w:val="ESPara"/>
        <w:rPr>
          <w:lang w:eastAsia="en-AU"/>
        </w:rPr>
      </w:pPr>
      <w:r w:rsidRPr="00386CDD">
        <w:rPr>
          <w:lang w:eastAsia="en-AU"/>
        </w:rPr>
        <w:lastRenderedPageBreak/>
        <w:t>The purpose</w:t>
      </w:r>
      <w:r w:rsidR="00352E59">
        <w:rPr>
          <w:lang w:eastAsia="en-AU"/>
        </w:rPr>
        <w:t xml:space="preserve"> </w:t>
      </w:r>
      <w:r w:rsidR="000C7F7C">
        <w:rPr>
          <w:lang w:eastAsia="en-AU"/>
        </w:rPr>
        <w:t xml:space="preserve">of the </w:t>
      </w:r>
      <w:r w:rsidR="00B4796C">
        <w:rPr>
          <w:lang w:eastAsia="en-AU"/>
        </w:rPr>
        <w:t>instrument</w:t>
      </w:r>
      <w:r w:rsidR="00352E59">
        <w:rPr>
          <w:lang w:eastAsia="en-AU"/>
        </w:rPr>
        <w:t xml:space="preserve"> </w:t>
      </w:r>
      <w:r w:rsidR="000C7F7C">
        <w:rPr>
          <w:lang w:eastAsia="en-AU"/>
        </w:rPr>
        <w:t>is to</w:t>
      </w:r>
      <w:r w:rsidR="00352E59">
        <w:rPr>
          <w:lang w:eastAsia="en-AU"/>
        </w:rPr>
        <w:t xml:space="preserve"> </w:t>
      </w:r>
      <w:r w:rsidR="000C7F7C">
        <w:rPr>
          <w:lang w:eastAsia="en-AU"/>
        </w:rPr>
        <w:t>specify</w:t>
      </w:r>
      <w:r w:rsidRPr="00386CDD">
        <w:rPr>
          <w:lang w:eastAsia="en-AU"/>
        </w:rPr>
        <w:t xml:space="preserve"> </w:t>
      </w:r>
      <w:r w:rsidR="00621001">
        <w:rPr>
          <w:lang w:eastAsia="en-AU"/>
        </w:rPr>
        <w:t xml:space="preserve">the organisation </w:t>
      </w:r>
      <w:r w:rsidRPr="00386CDD">
        <w:rPr>
          <w:lang w:eastAsia="en-AU"/>
        </w:rPr>
        <w:t>LSC Psychology</w:t>
      </w:r>
      <w:r w:rsidR="00621001">
        <w:rPr>
          <w:lang w:eastAsia="en-AU"/>
        </w:rPr>
        <w:t xml:space="preserve"> for the purposes of the definition of </w:t>
      </w:r>
      <w:r w:rsidR="00352E59" w:rsidRPr="00306B5D">
        <w:rPr>
          <w:b/>
          <w:i/>
          <w:lang w:eastAsia="en-AU"/>
        </w:rPr>
        <w:t>independent expert</w:t>
      </w:r>
      <w:r w:rsidR="00352E59">
        <w:rPr>
          <w:lang w:eastAsia="en-AU"/>
        </w:rPr>
        <w:t xml:space="preserve"> in regulation 1.21 </w:t>
      </w:r>
      <w:r w:rsidR="007A5623">
        <w:rPr>
          <w:lang w:eastAsia="en-AU"/>
        </w:rPr>
        <w:t xml:space="preserve">of the Migration </w:t>
      </w:r>
      <w:r w:rsidR="00352E59">
        <w:rPr>
          <w:lang w:eastAsia="en-AU"/>
        </w:rPr>
        <w:t>Regulations</w:t>
      </w:r>
      <w:r w:rsidR="00621001">
        <w:rPr>
          <w:lang w:eastAsia="en-AU"/>
        </w:rPr>
        <w:t xml:space="preserve">. The instrument maintains the status of LSC Psychology as an organisation specified for this purpose, as it was under </w:t>
      </w:r>
      <w:r w:rsidR="00621001" w:rsidRPr="00621001">
        <w:rPr>
          <w:lang w:eastAsia="en-AU"/>
        </w:rPr>
        <w:t>IMMI 13/023</w:t>
      </w:r>
      <w:r w:rsidR="00621001">
        <w:rPr>
          <w:lang w:eastAsia="en-AU"/>
        </w:rPr>
        <w:t xml:space="preserve">. The effect of this specification is that a </w:t>
      </w:r>
      <w:r w:rsidR="00621001" w:rsidRPr="00621001">
        <w:rPr>
          <w:lang w:eastAsia="en-AU"/>
        </w:rPr>
        <w:t xml:space="preserve">person who is employed by, or contracted to provide services to, </w:t>
      </w:r>
      <w:r w:rsidR="00621001">
        <w:rPr>
          <w:lang w:eastAsia="en-AU"/>
        </w:rPr>
        <w:t>LSC Psychology</w:t>
      </w:r>
      <w:r w:rsidR="00893319">
        <w:rPr>
          <w:lang w:eastAsia="en-AU"/>
        </w:rPr>
        <w:t>,</w:t>
      </w:r>
      <w:r w:rsidR="00621001" w:rsidRPr="00621001">
        <w:rPr>
          <w:lang w:eastAsia="en-AU"/>
        </w:rPr>
        <w:t xml:space="preserve"> for the purpose of making independent assessments of non-judicially determined claims of family violence</w:t>
      </w:r>
      <w:r w:rsidR="00893319">
        <w:rPr>
          <w:lang w:eastAsia="en-AU"/>
        </w:rPr>
        <w:t>,</w:t>
      </w:r>
      <w:r w:rsidR="00621001">
        <w:rPr>
          <w:lang w:eastAsia="en-AU"/>
        </w:rPr>
        <w:t xml:space="preserve"> is an independent expert for the purpos</w:t>
      </w:r>
      <w:r w:rsidR="00893319">
        <w:rPr>
          <w:lang w:eastAsia="en-AU"/>
        </w:rPr>
        <w:t>es of the s</w:t>
      </w:r>
      <w:r w:rsidR="00621001">
        <w:rPr>
          <w:lang w:eastAsia="en-AU"/>
        </w:rPr>
        <w:t>pecial provisions relating to family violence in Division 1.5 of the Migration Regulations</w:t>
      </w:r>
      <w:r w:rsidR="00352E59">
        <w:rPr>
          <w:lang w:eastAsia="en-AU"/>
        </w:rPr>
        <w:t xml:space="preserve">. </w:t>
      </w:r>
      <w:r w:rsidR="00C975E4">
        <w:rPr>
          <w:lang w:eastAsia="en-AU"/>
        </w:rPr>
        <w:t xml:space="preserve">This means that </w:t>
      </w:r>
      <w:r w:rsidRPr="00386CDD">
        <w:rPr>
          <w:lang w:eastAsia="en-AU"/>
        </w:rPr>
        <w:t>LSC</w:t>
      </w:r>
      <w:r w:rsidR="00352E59">
        <w:rPr>
          <w:lang w:eastAsia="en-AU"/>
        </w:rPr>
        <w:t xml:space="preserve"> </w:t>
      </w:r>
      <w:r w:rsidRPr="00386CDD">
        <w:rPr>
          <w:lang w:eastAsia="en-AU"/>
        </w:rPr>
        <w:t>Psychology</w:t>
      </w:r>
      <w:r w:rsidR="000C7F7C">
        <w:rPr>
          <w:lang w:eastAsia="en-AU"/>
        </w:rPr>
        <w:t xml:space="preserve"> can lawfully undertake independent expert assessments</w:t>
      </w:r>
      <w:r w:rsidR="00352E59">
        <w:rPr>
          <w:lang w:eastAsia="en-AU"/>
        </w:rPr>
        <w:t xml:space="preserve"> </w:t>
      </w:r>
      <w:r w:rsidRPr="00386CDD">
        <w:rPr>
          <w:lang w:eastAsia="en-AU"/>
        </w:rPr>
        <w:t>for claims</w:t>
      </w:r>
      <w:r w:rsidR="00352E59">
        <w:rPr>
          <w:lang w:eastAsia="en-AU"/>
        </w:rPr>
        <w:t xml:space="preserve"> </w:t>
      </w:r>
      <w:r w:rsidRPr="00386CDD">
        <w:rPr>
          <w:lang w:eastAsia="en-AU"/>
        </w:rPr>
        <w:t>referred</w:t>
      </w:r>
      <w:r w:rsidR="00352E59">
        <w:rPr>
          <w:lang w:eastAsia="en-AU"/>
        </w:rPr>
        <w:t xml:space="preserve"> </w:t>
      </w:r>
      <w:r w:rsidRPr="00386CDD">
        <w:rPr>
          <w:lang w:eastAsia="en-AU"/>
        </w:rPr>
        <w:t xml:space="preserve">on or after the </w:t>
      </w:r>
      <w:r>
        <w:rPr>
          <w:lang w:eastAsia="en-AU"/>
        </w:rPr>
        <w:t xml:space="preserve">commencement of this </w:t>
      </w:r>
      <w:r w:rsidR="00352E59">
        <w:rPr>
          <w:lang w:eastAsia="en-AU"/>
        </w:rPr>
        <w:t>instrument</w:t>
      </w:r>
      <w:r>
        <w:rPr>
          <w:lang w:eastAsia="en-AU"/>
        </w:rPr>
        <w:t>.</w:t>
      </w:r>
    </w:p>
    <w:p w14:paraId="2EDF9965" w14:textId="77777777" w:rsidR="008B24C8" w:rsidRDefault="008B24C8" w:rsidP="00100DFC">
      <w:pPr>
        <w:pStyle w:val="ESHeading"/>
      </w:pPr>
      <w:r w:rsidRPr="008B24C8">
        <w:t>Consultation</w:t>
      </w:r>
    </w:p>
    <w:p w14:paraId="3069CC99" w14:textId="5A27A75E" w:rsidR="0084010E" w:rsidRDefault="009B560A">
      <w:pPr>
        <w:pStyle w:val="ESPara"/>
      </w:pPr>
      <w:r>
        <w:t xml:space="preserve">No consultation was </w:t>
      </w:r>
      <w:r w:rsidR="00352E59">
        <w:t>undertaken</w:t>
      </w:r>
      <w:r>
        <w:t xml:space="preserve"> for this instrument. </w:t>
      </w:r>
      <w:r w:rsidR="00352E59">
        <w:t>This</w:t>
      </w:r>
      <w:r>
        <w:t xml:space="preserve"> instrument </w:t>
      </w:r>
      <w:r w:rsidR="007D2767">
        <w:t xml:space="preserve">is made </w:t>
      </w:r>
      <w:r>
        <w:t xml:space="preserve">substantially </w:t>
      </w:r>
      <w:r w:rsidR="007D2767">
        <w:t>in the same form as</w:t>
      </w:r>
      <w:r w:rsidR="00352E59">
        <w:t xml:space="preserve"> IMMI 13/023. This instrument continues to specify that </w:t>
      </w:r>
      <w:r w:rsidR="00352E59" w:rsidRPr="00352E59">
        <w:t xml:space="preserve">LSC Psychology </w:t>
      </w:r>
      <w:r w:rsidR="0084010E" w:rsidRPr="0084010E">
        <w:t>is an organisation</w:t>
      </w:r>
      <w:r w:rsidR="00A7367F">
        <w:t xml:space="preserve"> for </w:t>
      </w:r>
      <w:r w:rsidR="0084010E" w:rsidRPr="0084010E">
        <w:t xml:space="preserve">the </w:t>
      </w:r>
      <w:r w:rsidR="00A7367F">
        <w:t xml:space="preserve">purposes of the </w:t>
      </w:r>
      <w:r w:rsidR="0084010E" w:rsidRPr="0084010E">
        <w:t xml:space="preserve">definition of </w:t>
      </w:r>
      <w:r w:rsidR="0084010E" w:rsidRPr="007E4398">
        <w:rPr>
          <w:i/>
        </w:rPr>
        <w:t>independent expert</w:t>
      </w:r>
      <w:r w:rsidR="0084010E" w:rsidRPr="0084010E">
        <w:t xml:space="preserve"> in regulation 1.21 </w:t>
      </w:r>
      <w:r w:rsidR="00721EDE">
        <w:t>of the Migration</w:t>
      </w:r>
      <w:r w:rsidR="0084010E" w:rsidRPr="0084010E">
        <w:t xml:space="preserve"> Regulations</w:t>
      </w:r>
      <w:r w:rsidR="005619AF">
        <w:t xml:space="preserve"> in relation to</w:t>
      </w:r>
      <w:r w:rsidR="00FF2426">
        <w:t xml:space="preserve"> non</w:t>
      </w:r>
      <w:r w:rsidR="00FF2426">
        <w:noBreakHyphen/>
      </w:r>
      <w:r w:rsidR="0084010E" w:rsidRPr="0084010E">
        <w:t>judicially determined claims of family violence.</w:t>
      </w:r>
    </w:p>
    <w:p w14:paraId="1FBEC7AD" w14:textId="47719814" w:rsidR="00352E59" w:rsidRDefault="00352E59">
      <w:pPr>
        <w:pStyle w:val="ESPara"/>
      </w:pPr>
      <w:r>
        <w:t xml:space="preserve">Additionally, </w:t>
      </w:r>
      <w:r w:rsidR="0084010E">
        <w:t>the repeal of IMMI 13/023 (item </w:t>
      </w:r>
      <w:r>
        <w:t>1 of Sched</w:t>
      </w:r>
      <w:r w:rsidR="0084010E">
        <w:t>ule </w:t>
      </w:r>
      <w:r>
        <w:t>1 to the instrument)</w:t>
      </w:r>
      <w:r w:rsidR="0084010E">
        <w:t xml:space="preserve"> giv</w:t>
      </w:r>
      <w:r w:rsidR="00F56B13">
        <w:t>es</w:t>
      </w:r>
      <w:r w:rsidR="0084010E">
        <w:t xml:space="preserve"> effect to the end of the agreement between the Department of Home Affairs and </w:t>
      </w:r>
      <w:r w:rsidR="00735DE8">
        <w:t>the Department of Human Services</w:t>
      </w:r>
      <w:r w:rsidR="0084010E">
        <w:t>.</w:t>
      </w:r>
      <w:r w:rsidR="002C1A5A">
        <w:t xml:space="preserve"> The new instrument LIN 25/015 reflects this by specifying only LSC Psychology, and discontinuing the reference to the Department of Human Services as a specified organisation. </w:t>
      </w:r>
    </w:p>
    <w:p w14:paraId="4372FB0D" w14:textId="2A07935E" w:rsidR="0084010E" w:rsidRPr="00E379A3" w:rsidRDefault="0084010E" w:rsidP="00100DFC">
      <w:pPr>
        <w:pStyle w:val="ESHeading"/>
        <w:rPr>
          <w:b w:val="0"/>
          <w:i w:val="0"/>
        </w:rPr>
      </w:pPr>
      <w:r w:rsidRPr="00E379A3">
        <w:rPr>
          <w:b w:val="0"/>
          <w:i w:val="0"/>
        </w:rPr>
        <w:t>The Office of Impact Analysis (OIA) has advised that an Impact Analysis is not required</w:t>
      </w:r>
      <w:r w:rsidR="00F43B06">
        <w:rPr>
          <w:b w:val="0"/>
          <w:i w:val="0"/>
        </w:rPr>
        <w:t xml:space="preserve">. </w:t>
      </w:r>
      <w:r w:rsidRPr="00E379A3">
        <w:rPr>
          <w:b w:val="0"/>
          <w:i w:val="0"/>
        </w:rPr>
        <w:t>The OIA Reference is OIA25-09317.</w:t>
      </w:r>
    </w:p>
    <w:p w14:paraId="590B7FC5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29319D28" w14:textId="77777777" w:rsidR="00AA4557" w:rsidRDefault="00AA4557" w:rsidP="004B3BAB">
      <w:pPr>
        <w:pStyle w:val="ESPara"/>
      </w:pPr>
      <w:r>
        <w:t xml:space="preserve">Section 1 </w:t>
      </w:r>
      <w:r w:rsidRPr="002C1A5A">
        <w:t>sets</w:t>
      </w:r>
      <w:r>
        <w:t xml:space="preserve"> out</w:t>
      </w:r>
      <w:r w:rsidR="00E03DCC">
        <w:t xml:space="preserve"> the name of the instrument. </w:t>
      </w:r>
    </w:p>
    <w:p w14:paraId="7ACE6EB6" w14:textId="7FC62FFA" w:rsidR="00B02962" w:rsidRDefault="00AA4557">
      <w:pPr>
        <w:pStyle w:val="ESPara"/>
      </w:pPr>
      <w:r>
        <w:t xml:space="preserve">Section 2 provides for the commencement of the instrument on </w:t>
      </w:r>
      <w:r w:rsidR="005728D8">
        <w:t xml:space="preserve">the day after </w:t>
      </w:r>
      <w:r w:rsidR="00E95759">
        <w:t xml:space="preserve">it is </w:t>
      </w:r>
      <w:r w:rsidR="005728D8">
        <w:t>regist</w:t>
      </w:r>
      <w:r w:rsidR="0084010E">
        <w:t>ered on the Federal Register of Legislation.</w:t>
      </w:r>
    </w:p>
    <w:p w14:paraId="6F66D348" w14:textId="7FAD3B2F" w:rsidR="00AA4557" w:rsidRDefault="00B02962">
      <w:pPr>
        <w:pStyle w:val="ESPara"/>
      </w:pPr>
      <w:r>
        <w:t xml:space="preserve">Section 3 </w:t>
      </w:r>
      <w:r w:rsidRPr="002C1A5A">
        <w:t>provides</w:t>
      </w:r>
      <w:r>
        <w:t xml:space="preserve"> for the instrument being made under paragraph (b) of the definition of </w:t>
      </w:r>
      <w:r w:rsidRPr="007E4398">
        <w:rPr>
          <w:i/>
        </w:rPr>
        <w:t>independent expert</w:t>
      </w:r>
      <w:r>
        <w:t xml:space="preserve"> in regulation 1.21 </w:t>
      </w:r>
      <w:r w:rsidR="00196182">
        <w:t xml:space="preserve">of </w:t>
      </w:r>
      <w:r>
        <w:t xml:space="preserve">the </w:t>
      </w:r>
      <w:r w:rsidRPr="007E4398">
        <w:rPr>
          <w:i/>
        </w:rPr>
        <w:t>Migration Regulations 1994</w:t>
      </w:r>
      <w:r>
        <w:t xml:space="preserve"> (the Migration Regulations).</w:t>
      </w:r>
    </w:p>
    <w:p w14:paraId="56C4637F" w14:textId="13C20F55" w:rsidR="00AA4F77" w:rsidRDefault="00AA4F77" w:rsidP="00674357">
      <w:pPr>
        <w:pStyle w:val="ESPara"/>
      </w:pPr>
      <w:r>
        <w:t xml:space="preserve">Section </w:t>
      </w:r>
      <w:r w:rsidR="00B02962">
        <w:t xml:space="preserve">4 </w:t>
      </w:r>
      <w:r>
        <w:t>sets out definitions of terms used in this instrument.</w:t>
      </w:r>
      <w:r w:rsidR="0084010E">
        <w:t xml:space="preserve"> This </w:t>
      </w:r>
      <w:r w:rsidR="00B02962">
        <w:t xml:space="preserve">section of the </w:t>
      </w:r>
      <w:r w:rsidR="0084010E">
        <w:t xml:space="preserve">instrument provides for the </w:t>
      </w:r>
      <w:r w:rsidR="002C1A5A">
        <w:t xml:space="preserve">term </w:t>
      </w:r>
      <w:r w:rsidR="0084010E" w:rsidRPr="007E4398">
        <w:t>Regulations</w:t>
      </w:r>
      <w:r w:rsidR="0084010E">
        <w:t xml:space="preserve"> </w:t>
      </w:r>
      <w:r w:rsidR="002C1A5A">
        <w:t xml:space="preserve">to </w:t>
      </w:r>
      <w:r w:rsidR="0084010E">
        <w:t>mean</w:t>
      </w:r>
      <w:r w:rsidR="00145D2A">
        <w:t xml:space="preserve"> the</w:t>
      </w:r>
      <w:r w:rsidR="0084010E">
        <w:t xml:space="preserve"> </w:t>
      </w:r>
      <w:r w:rsidR="0084010E" w:rsidRPr="00674357">
        <w:rPr>
          <w:i/>
        </w:rPr>
        <w:t>Migration Regulations 1994</w:t>
      </w:r>
      <w:r w:rsidR="0084010E">
        <w:t>.</w:t>
      </w:r>
    </w:p>
    <w:p w14:paraId="14B68379" w14:textId="77777777" w:rsidR="00DD4744" w:rsidRPr="002C1A5A" w:rsidRDefault="00DD4744" w:rsidP="00674357">
      <w:pPr>
        <w:pStyle w:val="ESPara"/>
      </w:pPr>
      <w:r w:rsidRPr="002C1A5A">
        <w:t>Section 5 provides that each instrument that is specified in a Schedule to this instrument is amended or repealed as set out in each Schedule of this instrument and any other item in a Schedule to this instrument has effect according to its terms.</w:t>
      </w:r>
    </w:p>
    <w:p w14:paraId="38DE677D" w14:textId="41743DA6" w:rsidR="00DD4744" w:rsidRPr="002C1A5A" w:rsidRDefault="00DD4744" w:rsidP="00674357">
      <w:pPr>
        <w:pStyle w:val="ESPara"/>
      </w:pPr>
      <w:r w:rsidRPr="002C1A5A">
        <w:t xml:space="preserve">Section 6 </w:t>
      </w:r>
      <w:r w:rsidR="005409BB" w:rsidRPr="002C1A5A">
        <w:t xml:space="preserve">provides that LSC Psychology is specified as an organisation, for the purpose of making independent assessments of non-judicially determined claims of family violence, in accordance with the definition of independent expert in regulation 1.21 of the </w:t>
      </w:r>
      <w:r w:rsidR="00AB3532" w:rsidRPr="002C1A5A">
        <w:t xml:space="preserve">Migration </w:t>
      </w:r>
      <w:r w:rsidR="005409BB" w:rsidRPr="002C1A5A">
        <w:t>Regulations</w:t>
      </w:r>
      <w:r w:rsidRPr="002C1A5A">
        <w:t>.</w:t>
      </w:r>
    </w:p>
    <w:p w14:paraId="4734F888" w14:textId="5D4AE37A" w:rsidR="00DD4744" w:rsidRPr="002C1A5A" w:rsidRDefault="00B02962" w:rsidP="00674357">
      <w:pPr>
        <w:pStyle w:val="ESPara"/>
      </w:pPr>
      <w:r w:rsidRPr="002C1A5A">
        <w:t xml:space="preserve">Item 1 of </w:t>
      </w:r>
      <w:r w:rsidR="00DD4744" w:rsidRPr="002C1A5A">
        <w:t xml:space="preserve">Schedule 1 provides that the </w:t>
      </w:r>
      <w:r w:rsidR="00DD4744" w:rsidRPr="002C1A5A">
        <w:rPr>
          <w:i/>
        </w:rPr>
        <w:t>Migration Regulations 1994 – Specification of Organisations – IMMI</w:t>
      </w:r>
      <w:r w:rsidRPr="002C1A5A">
        <w:rPr>
          <w:i/>
        </w:rPr>
        <w:t> </w:t>
      </w:r>
      <w:r w:rsidR="00DD4744" w:rsidRPr="002C1A5A">
        <w:rPr>
          <w:i/>
        </w:rPr>
        <w:t>13/023</w:t>
      </w:r>
      <w:r w:rsidR="00DD4744" w:rsidRPr="002C1A5A">
        <w:t xml:space="preserve"> is repealed.</w:t>
      </w:r>
    </w:p>
    <w:p w14:paraId="710C6462" w14:textId="77777777" w:rsidR="00AA4557" w:rsidRPr="00AA4557" w:rsidRDefault="00AA4557" w:rsidP="00100DFC">
      <w:pPr>
        <w:pStyle w:val="ESHeading"/>
      </w:pPr>
      <w:r>
        <w:lastRenderedPageBreak/>
        <w:t xml:space="preserve">Parliamentary scrutiny etc.  </w:t>
      </w:r>
    </w:p>
    <w:p w14:paraId="0373F7F8" w14:textId="77777777" w:rsidR="000C7F7C" w:rsidRDefault="000C7F7C" w:rsidP="000C7F7C">
      <w:pPr>
        <w:pStyle w:val="ESSubparaHeader"/>
        <w:numPr>
          <w:ilvl w:val="0"/>
          <w:numId w:val="0"/>
        </w:numPr>
      </w:pPr>
      <w:r>
        <w:t>The instrument is exempt from disallowance under section 42 of the Legislation Act. This is because the</w:t>
      </w:r>
      <w:r w:rsidR="001E2AC9">
        <w:t xml:space="preserve"> instrument is made under Part 1</w:t>
      </w:r>
      <w:r>
        <w:t xml:space="preserve"> of the Migration Regulations, which is prescribed in sub-item 20(b) of the table in section 10 of the </w:t>
      </w:r>
      <w:r>
        <w:rPr>
          <w:i/>
        </w:rPr>
        <w:t>Legislation (Exemptions and Other Matters) Regulation 2015</w:t>
      </w:r>
      <w:r>
        <w:t>.</w:t>
      </w:r>
    </w:p>
    <w:p w14:paraId="12FC9C05" w14:textId="77777777" w:rsidR="000C7F7C" w:rsidRDefault="000C7F7C" w:rsidP="000C7F7C">
      <w:pPr>
        <w:pStyle w:val="ESSubparaHeader"/>
        <w:numPr>
          <w:ilvl w:val="0"/>
          <w:numId w:val="0"/>
        </w:numPr>
      </w:pPr>
      <w:r>
        <w:t>As the instrument is exempt from disallowance, a Statement of Compatibility with Human Rights is not required.</w:t>
      </w:r>
    </w:p>
    <w:p w14:paraId="3A61287A" w14:textId="14B085FA" w:rsidR="00915032" w:rsidRPr="00DD4744" w:rsidRDefault="000C7F7C" w:rsidP="00FB056D">
      <w:pPr>
        <w:pStyle w:val="ESSubparaHeader"/>
        <w:numPr>
          <w:ilvl w:val="0"/>
          <w:numId w:val="0"/>
        </w:numPr>
      </w:pPr>
      <w:r>
        <w:t xml:space="preserve">The instrument was made by </w:t>
      </w:r>
      <w:r w:rsidR="001E2AC9">
        <w:t>the</w:t>
      </w:r>
      <w:r w:rsidR="006D6E90">
        <w:t xml:space="preserve"> Assistant</w:t>
      </w:r>
      <w:r w:rsidR="001E2AC9">
        <w:t xml:space="preserve"> </w:t>
      </w:r>
      <w:r w:rsidR="001E2AC9" w:rsidRPr="001E2AC9">
        <w:t xml:space="preserve">Minister for </w:t>
      </w:r>
      <w:r w:rsidR="00C94FCF">
        <w:t>Citizenship</w:t>
      </w:r>
      <w:r w:rsidR="006D6E90">
        <w:t>, Customs and Multicultural Affairs</w:t>
      </w:r>
      <w:r>
        <w:t xml:space="preserve"> in accordance with </w:t>
      </w:r>
      <w:r w:rsidR="00B02962" w:rsidRPr="00B02962">
        <w:t>paragraph</w:t>
      </w:r>
      <w:r w:rsidR="005E4493">
        <w:t> </w:t>
      </w:r>
      <w:r w:rsidR="00B02962" w:rsidRPr="00B02962">
        <w:t xml:space="preserve">(b) of the definition of </w:t>
      </w:r>
      <w:r w:rsidR="00B02962" w:rsidRPr="00FB056D">
        <w:rPr>
          <w:b/>
          <w:i/>
        </w:rPr>
        <w:t>independent expert</w:t>
      </w:r>
      <w:r w:rsidR="00B02962" w:rsidRPr="00B02962">
        <w:t xml:space="preserve"> in regulation 1.21 </w:t>
      </w:r>
      <w:r w:rsidR="00DB2B41">
        <w:t xml:space="preserve">of </w:t>
      </w:r>
      <w:r>
        <w:t>the Migration Regulations.</w:t>
      </w:r>
    </w:p>
    <w:sectPr w:rsidR="00915032" w:rsidRPr="00DD4744" w:rsidSect="004F5CE4">
      <w:footerReference w:type="default" r:id="rId11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0E29D" w14:textId="77777777" w:rsidR="005409BB" w:rsidRDefault="005409BB" w:rsidP="005409BB">
      <w:pPr>
        <w:spacing w:after="0" w:line="240" w:lineRule="auto"/>
      </w:pPr>
      <w:r>
        <w:separator/>
      </w:r>
    </w:p>
  </w:endnote>
  <w:endnote w:type="continuationSeparator" w:id="0">
    <w:p w14:paraId="607364F6" w14:textId="77777777" w:rsidR="005409BB" w:rsidRDefault="005409BB" w:rsidP="0054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420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BA6A08" w14:textId="7175CFB3" w:rsidR="005409BB" w:rsidRPr="00306B5D" w:rsidRDefault="005409BB">
        <w:pPr>
          <w:pStyle w:val="Footer"/>
          <w:jc w:val="center"/>
          <w:rPr>
            <w:rFonts w:ascii="Times New Roman" w:hAnsi="Times New Roman" w:cs="Times New Roman"/>
          </w:rPr>
        </w:pPr>
        <w:r w:rsidRPr="00306B5D">
          <w:rPr>
            <w:rFonts w:ascii="Times New Roman" w:hAnsi="Times New Roman" w:cs="Times New Roman"/>
          </w:rPr>
          <w:fldChar w:fldCharType="begin"/>
        </w:r>
        <w:r w:rsidRPr="00306B5D">
          <w:rPr>
            <w:rFonts w:ascii="Times New Roman" w:hAnsi="Times New Roman" w:cs="Times New Roman"/>
          </w:rPr>
          <w:instrText xml:space="preserve"> PAGE   \* MERGEFORMAT </w:instrText>
        </w:r>
        <w:r w:rsidRPr="00306B5D">
          <w:rPr>
            <w:rFonts w:ascii="Times New Roman" w:hAnsi="Times New Roman" w:cs="Times New Roman"/>
          </w:rPr>
          <w:fldChar w:fldCharType="separate"/>
        </w:r>
        <w:r w:rsidR="00B82460">
          <w:rPr>
            <w:rFonts w:ascii="Times New Roman" w:hAnsi="Times New Roman" w:cs="Times New Roman"/>
            <w:noProof/>
          </w:rPr>
          <w:t>3</w:t>
        </w:r>
        <w:r w:rsidRPr="00306B5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D67E3C1" w14:textId="77777777" w:rsidR="005409BB" w:rsidRDefault="00540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0C0E6" w14:textId="77777777" w:rsidR="005409BB" w:rsidRDefault="005409BB" w:rsidP="005409BB">
      <w:pPr>
        <w:spacing w:after="0" w:line="240" w:lineRule="auto"/>
      </w:pPr>
      <w:r>
        <w:separator/>
      </w:r>
    </w:p>
  </w:footnote>
  <w:footnote w:type="continuationSeparator" w:id="0">
    <w:p w14:paraId="60C8A581" w14:textId="77777777" w:rsidR="005409BB" w:rsidRDefault="005409BB" w:rsidP="0054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00C8"/>
    <w:multiLevelType w:val="hybridMultilevel"/>
    <w:tmpl w:val="DBA29A52"/>
    <w:lvl w:ilvl="0" w:tplc="CD364A7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BE2202"/>
    <w:multiLevelType w:val="multilevel"/>
    <w:tmpl w:val="BF38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9110C"/>
    <w:multiLevelType w:val="hybridMultilevel"/>
    <w:tmpl w:val="354E6F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4560B"/>
    <w:multiLevelType w:val="hybridMultilevel"/>
    <w:tmpl w:val="3D2AF1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8B2512"/>
    <w:multiLevelType w:val="hybridMultilevel"/>
    <w:tmpl w:val="B100F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532A9"/>
    <w:multiLevelType w:val="hybridMultilevel"/>
    <w:tmpl w:val="6220D6F4"/>
    <w:lvl w:ilvl="0" w:tplc="0C090001">
      <w:start w:val="1"/>
      <w:numFmt w:val="bullet"/>
      <w:pStyle w:val="ESSubparaHeader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1201D8"/>
    <w:multiLevelType w:val="hybridMultilevel"/>
    <w:tmpl w:val="C89A53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45028"/>
    <w:multiLevelType w:val="hybridMultilevel"/>
    <w:tmpl w:val="19CAA5CE"/>
    <w:lvl w:ilvl="0" w:tplc="B75605BA">
      <w:start w:val="1"/>
      <w:numFmt w:val="decimal"/>
      <w:lvlText w:val="%1."/>
      <w:lvlJc w:val="left"/>
      <w:pPr>
        <w:ind w:left="360" w:hanging="360"/>
      </w:pPr>
    </w:lvl>
    <w:lvl w:ilvl="1" w:tplc="1EF05E3E">
      <w:start w:val="1"/>
      <w:numFmt w:val="lowerLetter"/>
      <w:lvlText w:val="%2."/>
      <w:lvlJc w:val="left"/>
      <w:pPr>
        <w:ind w:left="1080" w:hanging="360"/>
      </w:pPr>
    </w:lvl>
    <w:lvl w:ilvl="2" w:tplc="EE3ADB34">
      <w:numFmt w:val="bullet"/>
      <w:lvlText w:val="•"/>
      <w:lvlJc w:val="left"/>
      <w:pPr>
        <w:ind w:left="2340" w:hanging="720"/>
      </w:pPr>
      <w:rPr>
        <w:rFonts w:ascii="Calibri" w:eastAsia="Times New Roman" w:hAnsi="Calibri" w:cs="Calibri" w:hint="default"/>
      </w:rPr>
    </w:lvl>
    <w:lvl w:ilvl="3" w:tplc="DF0C8826" w:tentative="1">
      <w:start w:val="1"/>
      <w:numFmt w:val="decimal"/>
      <w:lvlText w:val="%4."/>
      <w:lvlJc w:val="left"/>
      <w:pPr>
        <w:ind w:left="2520" w:hanging="360"/>
      </w:pPr>
    </w:lvl>
    <w:lvl w:ilvl="4" w:tplc="8F52AB6C" w:tentative="1">
      <w:start w:val="1"/>
      <w:numFmt w:val="lowerLetter"/>
      <w:lvlText w:val="%5."/>
      <w:lvlJc w:val="left"/>
      <w:pPr>
        <w:ind w:left="3240" w:hanging="360"/>
      </w:pPr>
    </w:lvl>
    <w:lvl w:ilvl="5" w:tplc="CC3A41F6" w:tentative="1">
      <w:start w:val="1"/>
      <w:numFmt w:val="lowerRoman"/>
      <w:lvlText w:val="%6."/>
      <w:lvlJc w:val="right"/>
      <w:pPr>
        <w:ind w:left="3960" w:hanging="180"/>
      </w:pPr>
    </w:lvl>
    <w:lvl w:ilvl="6" w:tplc="F104B97C" w:tentative="1">
      <w:start w:val="1"/>
      <w:numFmt w:val="decimal"/>
      <w:lvlText w:val="%7."/>
      <w:lvlJc w:val="left"/>
      <w:pPr>
        <w:ind w:left="4680" w:hanging="360"/>
      </w:pPr>
    </w:lvl>
    <w:lvl w:ilvl="7" w:tplc="67A243B8" w:tentative="1">
      <w:start w:val="1"/>
      <w:numFmt w:val="lowerLetter"/>
      <w:lvlText w:val="%8."/>
      <w:lvlJc w:val="left"/>
      <w:pPr>
        <w:ind w:left="5400" w:hanging="360"/>
      </w:pPr>
    </w:lvl>
    <w:lvl w:ilvl="8" w:tplc="476C48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4D5E8D"/>
    <w:multiLevelType w:val="hybridMultilevel"/>
    <w:tmpl w:val="91D65212"/>
    <w:lvl w:ilvl="0" w:tplc="CD364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8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70"/>
    <w:rsid w:val="000C7F7C"/>
    <w:rsid w:val="000D014F"/>
    <w:rsid w:val="00100DFC"/>
    <w:rsid w:val="00145D2A"/>
    <w:rsid w:val="00177DC9"/>
    <w:rsid w:val="0019164E"/>
    <w:rsid w:val="00191A98"/>
    <w:rsid w:val="00196182"/>
    <w:rsid w:val="001E2AC9"/>
    <w:rsid w:val="001E5271"/>
    <w:rsid w:val="00210AA5"/>
    <w:rsid w:val="00216B0C"/>
    <w:rsid w:val="002402E0"/>
    <w:rsid w:val="002520F8"/>
    <w:rsid w:val="00257C98"/>
    <w:rsid w:val="00264FF7"/>
    <w:rsid w:val="002A43E5"/>
    <w:rsid w:val="002A5651"/>
    <w:rsid w:val="002C1A5A"/>
    <w:rsid w:val="002D167E"/>
    <w:rsid w:val="00306B5D"/>
    <w:rsid w:val="00321F16"/>
    <w:rsid w:val="00352E59"/>
    <w:rsid w:val="00361546"/>
    <w:rsid w:val="00386CDD"/>
    <w:rsid w:val="003B2F64"/>
    <w:rsid w:val="003C0336"/>
    <w:rsid w:val="003E7F16"/>
    <w:rsid w:val="00434C0E"/>
    <w:rsid w:val="00437BF7"/>
    <w:rsid w:val="00457D4A"/>
    <w:rsid w:val="00464080"/>
    <w:rsid w:val="004B3BAB"/>
    <w:rsid w:val="004F5CE4"/>
    <w:rsid w:val="00533A36"/>
    <w:rsid w:val="0053590A"/>
    <w:rsid w:val="005409BB"/>
    <w:rsid w:val="00560B24"/>
    <w:rsid w:val="005619AF"/>
    <w:rsid w:val="0057002B"/>
    <w:rsid w:val="005728D8"/>
    <w:rsid w:val="005A3733"/>
    <w:rsid w:val="005E4493"/>
    <w:rsid w:val="00604E06"/>
    <w:rsid w:val="00621001"/>
    <w:rsid w:val="00674357"/>
    <w:rsid w:val="006D6E90"/>
    <w:rsid w:val="006D6F87"/>
    <w:rsid w:val="006F335C"/>
    <w:rsid w:val="00721EDE"/>
    <w:rsid w:val="00735DE8"/>
    <w:rsid w:val="00773AD4"/>
    <w:rsid w:val="007A5623"/>
    <w:rsid w:val="007B1AF3"/>
    <w:rsid w:val="007D2767"/>
    <w:rsid w:val="007E4398"/>
    <w:rsid w:val="007E4691"/>
    <w:rsid w:val="007F2E70"/>
    <w:rsid w:val="007F538F"/>
    <w:rsid w:val="0084010E"/>
    <w:rsid w:val="00866816"/>
    <w:rsid w:val="0088407D"/>
    <w:rsid w:val="00893319"/>
    <w:rsid w:val="008B24C8"/>
    <w:rsid w:val="008B394F"/>
    <w:rsid w:val="008F63C1"/>
    <w:rsid w:val="00915032"/>
    <w:rsid w:val="00937C56"/>
    <w:rsid w:val="009B498B"/>
    <w:rsid w:val="009B560A"/>
    <w:rsid w:val="00A56E43"/>
    <w:rsid w:val="00A7367F"/>
    <w:rsid w:val="00AA4557"/>
    <w:rsid w:val="00AA4F77"/>
    <w:rsid w:val="00AB3532"/>
    <w:rsid w:val="00AD7D05"/>
    <w:rsid w:val="00AF72D7"/>
    <w:rsid w:val="00B02962"/>
    <w:rsid w:val="00B445D9"/>
    <w:rsid w:val="00B4796C"/>
    <w:rsid w:val="00B65A06"/>
    <w:rsid w:val="00B75478"/>
    <w:rsid w:val="00B82460"/>
    <w:rsid w:val="00BA0C6F"/>
    <w:rsid w:val="00BB0CF2"/>
    <w:rsid w:val="00BD0680"/>
    <w:rsid w:val="00BD598E"/>
    <w:rsid w:val="00BE3E7F"/>
    <w:rsid w:val="00BF1AE8"/>
    <w:rsid w:val="00C022C3"/>
    <w:rsid w:val="00C27102"/>
    <w:rsid w:val="00C40824"/>
    <w:rsid w:val="00C81A5E"/>
    <w:rsid w:val="00C930F2"/>
    <w:rsid w:val="00C94FCF"/>
    <w:rsid w:val="00C975E4"/>
    <w:rsid w:val="00CC0C27"/>
    <w:rsid w:val="00CD26CB"/>
    <w:rsid w:val="00D3280B"/>
    <w:rsid w:val="00D40E1E"/>
    <w:rsid w:val="00DB2B41"/>
    <w:rsid w:val="00DD3199"/>
    <w:rsid w:val="00DD4744"/>
    <w:rsid w:val="00E03DCC"/>
    <w:rsid w:val="00E34107"/>
    <w:rsid w:val="00E379A3"/>
    <w:rsid w:val="00E421C7"/>
    <w:rsid w:val="00E45FE2"/>
    <w:rsid w:val="00E73E88"/>
    <w:rsid w:val="00E95759"/>
    <w:rsid w:val="00E97C39"/>
    <w:rsid w:val="00EA12C9"/>
    <w:rsid w:val="00EC6153"/>
    <w:rsid w:val="00F03763"/>
    <w:rsid w:val="00F43B06"/>
    <w:rsid w:val="00F56B13"/>
    <w:rsid w:val="00FB056D"/>
    <w:rsid w:val="00FE0FEE"/>
    <w:rsid w:val="00FE71E7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9AE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C1A5A"/>
    <w:pPr>
      <w:keepNext w:val="0"/>
      <w:numPr>
        <w:numId w:val="0"/>
      </w:numPr>
    </w:pPr>
  </w:style>
  <w:style w:type="character" w:customStyle="1" w:styleId="ESParaChar">
    <w:name w:val="ES_Para Char"/>
    <w:basedOn w:val="ESSubparaHeaderChar"/>
    <w:link w:val="ESPara"/>
    <w:rsid w:val="002C1A5A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8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textindent">
    <w:name w:val="bodytextindent"/>
    <w:basedOn w:val="Normal"/>
    <w:rsid w:val="0038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stparagraph0">
    <w:name w:val="listparagraph"/>
    <w:basedOn w:val="Normal"/>
    <w:rsid w:val="0038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Text10">
    <w:name w:val="Body Text1_0"/>
    <w:basedOn w:val="Normal"/>
    <w:rsid w:val="000C7F7C"/>
    <w:pPr>
      <w:spacing w:before="240" w:after="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7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7C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2A43E5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91A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9BB"/>
  </w:style>
  <w:style w:type="paragraph" w:styleId="Footer">
    <w:name w:val="footer"/>
    <w:basedOn w:val="Normal"/>
    <w:link w:val="FooterChar"/>
    <w:uiPriority w:val="99"/>
    <w:unhideWhenUsed/>
    <w:rsid w:val="0054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0A888AD-FD14-4A22-85B1-627E25728F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D6F27B78DD7464686669794D00D9915" ma:contentTypeVersion="" ma:contentTypeDescription="PDMS Document Site Content Type" ma:contentTypeScope="" ma:versionID="79964ceb4b862a0d03444fde61053a6c">
  <xsd:schema xmlns:xsd="http://www.w3.org/2001/XMLSchema" xmlns:xs="http://www.w3.org/2001/XMLSchema" xmlns:p="http://schemas.microsoft.com/office/2006/metadata/properties" xmlns:ns2="40A888AD-FD14-4A22-85B1-627E25728F7D" targetNamespace="http://schemas.microsoft.com/office/2006/metadata/properties" ma:root="true" ma:fieldsID="c811700d8eb47794bb181658917d8473" ns2:_="">
    <xsd:import namespace="40A888AD-FD14-4A22-85B1-627E25728F7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888AD-FD14-4A22-85B1-627E25728F7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0DAA-8B8C-4D83-90B5-283F17279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5FAF8-0A37-4C40-BD90-B53DEDB8ED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0A888AD-FD14-4A22-85B1-627E25728F7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82EC5F-DB71-4861-B5BC-A83F0CD72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888AD-FD14-4A22-85B1-627E25728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6616E-2160-42D9-8E97-6C13B5CB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2025-06-27T06:35:00Z</dcterms:created>
  <dcterms:modified xsi:type="dcterms:W3CDTF">2025-06-27T06:35:00Z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0x010100266966F133664895A6EE3632470D45F5009D6F27B78DD7464686669794D00D9915</vt:lpwstr>
  </property>
</Properties>
</file>