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AC66" w14:textId="77777777" w:rsidR="00715914" w:rsidRPr="00AC7E5F" w:rsidRDefault="00DA186E" w:rsidP="00B05CF4">
      <w:pPr>
        <w:rPr>
          <w:sz w:val="28"/>
        </w:rPr>
      </w:pPr>
      <w:r w:rsidRPr="00AC7E5F">
        <w:rPr>
          <w:noProof/>
          <w:lang w:eastAsia="en-AU"/>
        </w:rPr>
        <w:drawing>
          <wp:inline distT="0" distB="0" distL="0" distR="0" wp14:anchorId="49A5E2B1" wp14:editId="6095075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7905B" w14:textId="77777777" w:rsidR="00715914" w:rsidRPr="00AC7E5F" w:rsidRDefault="00715914" w:rsidP="00715914">
      <w:pPr>
        <w:rPr>
          <w:sz w:val="19"/>
        </w:rPr>
      </w:pPr>
    </w:p>
    <w:p w14:paraId="6EB9E1F3" w14:textId="33BB48DC" w:rsidR="00715914" w:rsidRPr="00AC7E5F" w:rsidRDefault="00F1499D" w:rsidP="00715914">
      <w:pPr>
        <w:pStyle w:val="ShortT"/>
      </w:pPr>
      <w:r w:rsidRPr="00AC7E5F">
        <w:t>Public Governance, Performance and Accountability (</w:t>
      </w:r>
      <w:r w:rsidR="00AC7E5F" w:rsidRPr="00AC7E5F">
        <w:t>Section 7</w:t>
      </w:r>
      <w:r w:rsidRPr="00AC7E5F">
        <w:t xml:space="preserve">5 Transfers) </w:t>
      </w:r>
      <w:r w:rsidR="00AC7E5F" w:rsidRPr="00AC7E5F">
        <w:t>Determination </w:t>
      </w:r>
      <w:r w:rsidR="00795856">
        <w:t>202</w:t>
      </w:r>
      <w:r w:rsidR="008313F2">
        <w:t>5</w:t>
      </w:r>
      <w:r w:rsidR="00795856">
        <w:t>-202</w:t>
      </w:r>
      <w:r w:rsidR="008313F2">
        <w:t>6</w:t>
      </w:r>
    </w:p>
    <w:p w14:paraId="6C1E20E2" w14:textId="0E5C8D87" w:rsidR="00F1499D" w:rsidRPr="00AC7E5F" w:rsidRDefault="00F1499D" w:rsidP="004C762B">
      <w:pPr>
        <w:pStyle w:val="SignCoverPageStart"/>
        <w:rPr>
          <w:szCs w:val="22"/>
        </w:rPr>
      </w:pPr>
      <w:r w:rsidRPr="00AC7E5F">
        <w:rPr>
          <w:szCs w:val="22"/>
        </w:rPr>
        <w:t xml:space="preserve">I, </w:t>
      </w:r>
      <w:r w:rsidR="004C762B">
        <w:rPr>
          <w:szCs w:val="22"/>
        </w:rPr>
        <w:t>A</w:t>
      </w:r>
      <w:r w:rsidR="003A7FF5">
        <w:rPr>
          <w:szCs w:val="22"/>
        </w:rPr>
        <w:t>my Fox</w:t>
      </w:r>
      <w:r w:rsidRPr="00AC7E5F">
        <w:rPr>
          <w:szCs w:val="22"/>
        </w:rPr>
        <w:t xml:space="preserve">, </w:t>
      </w:r>
      <w:r w:rsidR="00E31515" w:rsidRPr="00AC7E5F">
        <w:rPr>
          <w:szCs w:val="22"/>
        </w:rPr>
        <w:t xml:space="preserve">as </w:t>
      </w:r>
      <w:r w:rsidR="00AA6E11" w:rsidRPr="00AC7E5F">
        <w:rPr>
          <w:szCs w:val="22"/>
        </w:rPr>
        <w:t xml:space="preserve">subdelegate of the </w:t>
      </w:r>
      <w:r w:rsidRPr="00AC7E5F">
        <w:rPr>
          <w:szCs w:val="22"/>
        </w:rPr>
        <w:t>Minister for Finance, make the following determination.</w:t>
      </w:r>
    </w:p>
    <w:p w14:paraId="5AE076CF" w14:textId="08C91BBA" w:rsidR="00F1499D" w:rsidRPr="00AC7E5F" w:rsidRDefault="00F1499D" w:rsidP="00057D5A">
      <w:pPr>
        <w:keepNext/>
        <w:spacing w:before="300" w:line="240" w:lineRule="atLeast"/>
        <w:ind w:right="397"/>
        <w:jc w:val="both"/>
        <w:rPr>
          <w:szCs w:val="22"/>
        </w:rPr>
      </w:pPr>
      <w:r w:rsidRPr="00AC7E5F">
        <w:rPr>
          <w:szCs w:val="22"/>
        </w:rPr>
        <w:t>Dated</w:t>
      </w:r>
      <w:r w:rsidR="006F051E">
        <w:rPr>
          <w:szCs w:val="22"/>
        </w:rPr>
        <w:t xml:space="preserve"> 27 June </w:t>
      </w:r>
      <w:r w:rsidR="004119C2" w:rsidRPr="00A301D2">
        <w:rPr>
          <w:szCs w:val="22"/>
        </w:rPr>
        <w:t>202</w:t>
      </w:r>
      <w:r w:rsidR="002D0DCA">
        <w:rPr>
          <w:szCs w:val="22"/>
        </w:rPr>
        <w:t>5</w:t>
      </w:r>
    </w:p>
    <w:p w14:paraId="703AD503" w14:textId="5544D46E" w:rsidR="00F1499D" w:rsidRPr="00AC7E5F" w:rsidRDefault="00EB4C38" w:rsidP="00057D5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</w:t>
      </w:r>
      <w:r w:rsidR="002D0DCA">
        <w:rPr>
          <w:szCs w:val="22"/>
        </w:rPr>
        <w:t>my Fox</w:t>
      </w:r>
      <w:r w:rsidR="00C3418B">
        <w:rPr>
          <w:szCs w:val="22"/>
        </w:rPr>
        <w:t xml:space="preserve"> </w:t>
      </w:r>
    </w:p>
    <w:p w14:paraId="1C0AD0EC" w14:textId="3489C17E" w:rsidR="00AA6E11" w:rsidRPr="00AC7E5F" w:rsidRDefault="00AA6E11" w:rsidP="00AA6E11">
      <w:pPr>
        <w:pStyle w:val="SignCoverPageEnd"/>
        <w:rPr>
          <w:szCs w:val="22"/>
        </w:rPr>
      </w:pPr>
      <w:r w:rsidRPr="00AC7E5F">
        <w:rPr>
          <w:szCs w:val="22"/>
        </w:rPr>
        <w:t>First Assistant Secretary</w:t>
      </w:r>
      <w:r w:rsidRPr="00AC7E5F">
        <w:rPr>
          <w:szCs w:val="22"/>
        </w:rPr>
        <w:br/>
        <w:t>Financial Analysis, Reporting and Management</w:t>
      </w:r>
      <w:r w:rsidRPr="00AC7E5F">
        <w:rPr>
          <w:szCs w:val="22"/>
        </w:rPr>
        <w:br/>
        <w:t>Department of Finance</w:t>
      </w:r>
    </w:p>
    <w:p w14:paraId="65FDB8E3" w14:textId="77777777" w:rsidR="00F1499D" w:rsidRPr="00AC7E5F" w:rsidRDefault="00F1499D" w:rsidP="00057D5A"/>
    <w:p w14:paraId="51AABD6C" w14:textId="77777777" w:rsidR="00715914" w:rsidRPr="00AD3472" w:rsidRDefault="00715914" w:rsidP="00715914">
      <w:pPr>
        <w:pStyle w:val="Header"/>
        <w:tabs>
          <w:tab w:val="clear" w:pos="4150"/>
          <w:tab w:val="clear" w:pos="8307"/>
        </w:tabs>
      </w:pPr>
      <w:r w:rsidRPr="00AD3472">
        <w:rPr>
          <w:rStyle w:val="CharChapNo"/>
        </w:rPr>
        <w:t xml:space="preserve"> </w:t>
      </w:r>
      <w:r w:rsidRPr="00AD3472">
        <w:rPr>
          <w:rStyle w:val="CharChapText"/>
        </w:rPr>
        <w:t xml:space="preserve"> </w:t>
      </w:r>
    </w:p>
    <w:p w14:paraId="1E31B3B9" w14:textId="77777777" w:rsidR="00715914" w:rsidRPr="00AD3472" w:rsidRDefault="00715914" w:rsidP="00715914">
      <w:pPr>
        <w:pStyle w:val="Header"/>
        <w:tabs>
          <w:tab w:val="clear" w:pos="4150"/>
          <w:tab w:val="clear" w:pos="8307"/>
        </w:tabs>
      </w:pPr>
      <w:r w:rsidRPr="00AD3472">
        <w:rPr>
          <w:rStyle w:val="CharPartNo"/>
        </w:rPr>
        <w:t xml:space="preserve"> </w:t>
      </w:r>
      <w:r w:rsidRPr="00AD3472">
        <w:rPr>
          <w:rStyle w:val="CharPartText"/>
        </w:rPr>
        <w:t xml:space="preserve"> </w:t>
      </w:r>
    </w:p>
    <w:p w14:paraId="73C891BA" w14:textId="77777777" w:rsidR="00715914" w:rsidRPr="00AD3472" w:rsidRDefault="00715914" w:rsidP="00715914">
      <w:pPr>
        <w:pStyle w:val="Header"/>
        <w:tabs>
          <w:tab w:val="clear" w:pos="4150"/>
          <w:tab w:val="clear" w:pos="8307"/>
        </w:tabs>
      </w:pPr>
      <w:r w:rsidRPr="00AD3472">
        <w:rPr>
          <w:rStyle w:val="CharDivNo"/>
        </w:rPr>
        <w:t xml:space="preserve"> </w:t>
      </w:r>
      <w:r w:rsidRPr="00AD3472">
        <w:rPr>
          <w:rStyle w:val="CharDivText"/>
        </w:rPr>
        <w:t xml:space="preserve"> </w:t>
      </w:r>
    </w:p>
    <w:p w14:paraId="708B7E62" w14:textId="77777777" w:rsidR="00715914" w:rsidRPr="00AC7E5F" w:rsidRDefault="00715914" w:rsidP="00715914">
      <w:pPr>
        <w:sectPr w:rsidR="00715914" w:rsidRPr="00AC7E5F" w:rsidSect="00CA4B6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27C7282" w14:textId="77777777" w:rsidR="00F67BCA" w:rsidRPr="00AC7E5F" w:rsidRDefault="00715914" w:rsidP="00715914">
      <w:pPr>
        <w:outlineLvl w:val="0"/>
        <w:rPr>
          <w:sz w:val="36"/>
        </w:rPr>
      </w:pPr>
      <w:r w:rsidRPr="00AC7E5F">
        <w:rPr>
          <w:sz w:val="36"/>
        </w:rPr>
        <w:lastRenderedPageBreak/>
        <w:t>Contents</w:t>
      </w:r>
    </w:p>
    <w:p w14:paraId="7B7280A4" w14:textId="178F5249" w:rsidR="00F60AC4" w:rsidRDefault="0020311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C7E5F">
        <w:fldChar w:fldCharType="begin"/>
      </w:r>
      <w:r w:rsidRPr="00AC7E5F">
        <w:instrText xml:space="preserve"> TOC \o "1-9" </w:instrText>
      </w:r>
      <w:r w:rsidRPr="00AC7E5F">
        <w:fldChar w:fldCharType="separate"/>
      </w:r>
      <w:r w:rsidR="00F60AC4">
        <w:rPr>
          <w:noProof/>
        </w:rPr>
        <w:t>1  Name</w:t>
      </w:r>
      <w:r w:rsidR="00F60AC4">
        <w:rPr>
          <w:noProof/>
        </w:rPr>
        <w:tab/>
      </w:r>
      <w:r w:rsidR="00FE61F5">
        <w:rPr>
          <w:noProof/>
        </w:rPr>
        <w:tab/>
      </w:r>
      <w:r w:rsidR="00F60AC4">
        <w:rPr>
          <w:noProof/>
        </w:rPr>
        <w:fldChar w:fldCharType="begin"/>
      </w:r>
      <w:r w:rsidR="00F60AC4">
        <w:rPr>
          <w:noProof/>
        </w:rPr>
        <w:instrText xml:space="preserve"> PAGEREF _Toc201471957 \h </w:instrText>
      </w:r>
      <w:r w:rsidR="00F60AC4">
        <w:rPr>
          <w:noProof/>
        </w:rPr>
      </w:r>
      <w:r w:rsidR="00F60AC4">
        <w:rPr>
          <w:noProof/>
        </w:rPr>
        <w:fldChar w:fldCharType="separate"/>
      </w:r>
      <w:r w:rsidR="00F60AC4">
        <w:rPr>
          <w:noProof/>
        </w:rPr>
        <w:t>1</w:t>
      </w:r>
      <w:r w:rsidR="00F60AC4">
        <w:rPr>
          <w:noProof/>
        </w:rPr>
        <w:fldChar w:fldCharType="end"/>
      </w:r>
    </w:p>
    <w:p w14:paraId="72BE02B2" w14:textId="36ECE467" w:rsidR="00F60AC4" w:rsidRDefault="00F60AC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_Toc201471958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E7A4EE3" w14:textId="4D67F09F" w:rsidR="00F60AC4" w:rsidRDefault="00F60AC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_Toc201471959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314DC8" w14:textId="1882EC71" w:rsidR="00F60AC4" w:rsidRDefault="00F60AC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_Toc201471960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F81BA1D" w14:textId="3D7204F5" w:rsidR="00F60AC4" w:rsidRDefault="00F60AC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Modification of Appropriation Acts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_Toc201471961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ECDB6CF" w14:textId="4C398DC5" w:rsidR="00F60AC4" w:rsidRDefault="00F60AC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 xml:space="preserve">6  Modification of </w:t>
      </w:r>
      <w:r w:rsidRPr="00621241">
        <w:rPr>
          <w:i/>
          <w:iCs/>
          <w:noProof/>
        </w:rPr>
        <w:t>Supply Act (No. 1) 2025-2026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_Toc201471962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4EB1FF4" w14:textId="4F1EC1F9" w:rsidR="00F60AC4" w:rsidRDefault="00F60AC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 xml:space="preserve">7  Modification of </w:t>
      </w:r>
      <w:r w:rsidRPr="00621241">
        <w:rPr>
          <w:i/>
          <w:iCs/>
          <w:noProof/>
        </w:rPr>
        <w:t>Supply Act (No. 2) 2025-2026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_Toc201471963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4395E9C" w14:textId="2B35BE1E" w:rsidR="00670EA1" w:rsidRPr="00AC7E5F" w:rsidRDefault="00203112" w:rsidP="00715914">
      <w:r w:rsidRPr="00AC7E5F">
        <w:fldChar w:fldCharType="end"/>
      </w:r>
    </w:p>
    <w:p w14:paraId="67EF6B99" w14:textId="77777777" w:rsidR="00670EA1" w:rsidRPr="00AC7E5F" w:rsidRDefault="00670EA1" w:rsidP="00715914">
      <w:pPr>
        <w:sectPr w:rsidR="00670EA1" w:rsidRPr="00AC7E5F" w:rsidSect="00CA4B6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6FFC01F" w14:textId="77777777" w:rsidR="00B42258" w:rsidRPr="00AC7E5F" w:rsidRDefault="00B42258" w:rsidP="00B42258">
      <w:pPr>
        <w:pStyle w:val="Header"/>
      </w:pPr>
      <w:r w:rsidRPr="00AD3472">
        <w:lastRenderedPageBreak/>
        <w:t xml:space="preserve">  </w:t>
      </w:r>
    </w:p>
    <w:p w14:paraId="7C7A428B" w14:textId="77777777" w:rsidR="00715914" w:rsidRPr="00AC7E5F" w:rsidRDefault="00715914" w:rsidP="00715914">
      <w:pPr>
        <w:pStyle w:val="Header"/>
      </w:pPr>
      <w:r w:rsidRPr="00AD3472">
        <w:t xml:space="preserve">  </w:t>
      </w:r>
    </w:p>
    <w:p w14:paraId="7957D42A" w14:textId="77777777" w:rsidR="00715914" w:rsidRPr="00AC7E5F" w:rsidRDefault="00715914" w:rsidP="00715914">
      <w:pPr>
        <w:pStyle w:val="ActHead5"/>
      </w:pPr>
      <w:bookmarkStart w:id="0" w:name="_Toc201471957"/>
      <w:r w:rsidRPr="00AD3472">
        <w:rPr>
          <w:rStyle w:val="CharSectno"/>
        </w:rPr>
        <w:t>1</w:t>
      </w:r>
      <w:r w:rsidRPr="00AC7E5F">
        <w:t xml:space="preserve">  </w:t>
      </w:r>
      <w:r w:rsidR="00CE493D" w:rsidRPr="00AC7E5F">
        <w:t>Name</w:t>
      </w:r>
      <w:bookmarkEnd w:id="0"/>
    </w:p>
    <w:p w14:paraId="39735142" w14:textId="07D52E3D" w:rsidR="00715914" w:rsidRPr="00AC7E5F" w:rsidRDefault="00715914" w:rsidP="00715914">
      <w:pPr>
        <w:pStyle w:val="subsection"/>
      </w:pPr>
      <w:r w:rsidRPr="00AC7E5F">
        <w:tab/>
      </w:r>
      <w:r w:rsidRPr="00AC7E5F">
        <w:tab/>
      </w:r>
      <w:r w:rsidR="00F1499D" w:rsidRPr="00AC7E5F">
        <w:t>This instrument is</w:t>
      </w:r>
      <w:r w:rsidR="00CE493D" w:rsidRPr="00AC7E5F">
        <w:t xml:space="preserve"> the </w:t>
      </w:r>
      <w:r w:rsidR="00AC7E5F" w:rsidRPr="00AC7E5F">
        <w:rPr>
          <w:i/>
          <w:noProof/>
        </w:rPr>
        <w:t xml:space="preserve">Public Governance, Performance and Accountability (Section 75 Transfers) Determination </w:t>
      </w:r>
      <w:r w:rsidR="00795856" w:rsidRPr="003C22E5">
        <w:rPr>
          <w:i/>
          <w:noProof/>
        </w:rPr>
        <w:t>202</w:t>
      </w:r>
      <w:r w:rsidR="008C4C02">
        <w:rPr>
          <w:i/>
          <w:noProof/>
        </w:rPr>
        <w:t>5</w:t>
      </w:r>
      <w:r w:rsidR="00795856" w:rsidRPr="003C22E5">
        <w:rPr>
          <w:i/>
          <w:noProof/>
        </w:rPr>
        <w:t>-202</w:t>
      </w:r>
      <w:r w:rsidR="008C4C02">
        <w:rPr>
          <w:i/>
          <w:noProof/>
        </w:rPr>
        <w:t>6</w:t>
      </w:r>
      <w:r w:rsidRPr="003C22E5">
        <w:t>.</w:t>
      </w:r>
    </w:p>
    <w:p w14:paraId="18013083" w14:textId="77777777" w:rsidR="00715914" w:rsidRPr="00AC7E5F" w:rsidRDefault="00715914" w:rsidP="00715914">
      <w:pPr>
        <w:pStyle w:val="ActHead5"/>
      </w:pPr>
      <w:bookmarkStart w:id="1" w:name="_Toc201471958"/>
      <w:r w:rsidRPr="00AD3472">
        <w:rPr>
          <w:rStyle w:val="CharSectno"/>
        </w:rPr>
        <w:t>2</w:t>
      </w:r>
      <w:r w:rsidRPr="00AC7E5F">
        <w:t xml:space="preserve">  Commencement</w:t>
      </w:r>
      <w:bookmarkEnd w:id="1"/>
    </w:p>
    <w:p w14:paraId="00AEDBC6" w14:textId="77777777" w:rsidR="00AE3652" w:rsidRPr="00AC7E5F" w:rsidRDefault="00807626" w:rsidP="00AE3652">
      <w:pPr>
        <w:pStyle w:val="subsection"/>
      </w:pPr>
      <w:r w:rsidRPr="00AC7E5F">
        <w:tab/>
      </w:r>
      <w:r w:rsidR="00AE3652" w:rsidRPr="00AC7E5F">
        <w:t>(1)</w:t>
      </w:r>
      <w:r w:rsidR="00AE3652" w:rsidRPr="00AC7E5F">
        <w:tab/>
        <w:t xml:space="preserve">Each provision of </w:t>
      </w:r>
      <w:r w:rsidR="00F1499D" w:rsidRPr="00AC7E5F">
        <w:t>this instrument</w:t>
      </w:r>
      <w:r w:rsidR="00AE3652" w:rsidRPr="00AC7E5F">
        <w:t xml:space="preserve"> specified in column 1 of the table commences, or is taken to have commenced, in accordance with column 2 of the table. Any other statement in column 2 has effect according to its terms.</w:t>
      </w:r>
    </w:p>
    <w:p w14:paraId="4F31E7A9" w14:textId="77777777" w:rsidR="00AE3652" w:rsidRPr="00AC7E5F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AE3652" w:rsidRPr="00AC7E5F" w14:paraId="03E255D7" w14:textId="77777777" w:rsidTr="00D047A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48912918" w14:textId="77777777" w:rsidR="00AE3652" w:rsidRPr="00AC7E5F" w:rsidRDefault="00AE3652" w:rsidP="00057D5A">
            <w:pPr>
              <w:pStyle w:val="TableHeading"/>
            </w:pPr>
            <w:r w:rsidRPr="00AC7E5F">
              <w:t>Commencement information</w:t>
            </w:r>
          </w:p>
        </w:tc>
      </w:tr>
      <w:tr w:rsidR="00AE3652" w:rsidRPr="00AC7E5F" w14:paraId="6644F9F4" w14:textId="77777777" w:rsidTr="00D047A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D03BD99" w14:textId="77777777" w:rsidR="00AE3652" w:rsidRPr="00AC7E5F" w:rsidRDefault="00AE3652" w:rsidP="00057D5A">
            <w:pPr>
              <w:pStyle w:val="TableHeading"/>
            </w:pPr>
            <w:r w:rsidRPr="00AC7E5F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38D5BAB" w14:textId="77777777" w:rsidR="00AE3652" w:rsidRPr="00AC7E5F" w:rsidRDefault="00AE3652" w:rsidP="00057D5A">
            <w:pPr>
              <w:pStyle w:val="TableHeading"/>
            </w:pPr>
            <w:r w:rsidRPr="00AC7E5F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10274BB" w14:textId="77777777" w:rsidR="00AE3652" w:rsidRPr="00AC7E5F" w:rsidRDefault="00AE3652" w:rsidP="00057D5A">
            <w:pPr>
              <w:pStyle w:val="TableHeading"/>
            </w:pPr>
            <w:r w:rsidRPr="00AC7E5F">
              <w:t>Column 3</w:t>
            </w:r>
          </w:p>
        </w:tc>
      </w:tr>
      <w:tr w:rsidR="00AE3652" w:rsidRPr="00AC7E5F" w14:paraId="6AA897BF" w14:textId="77777777" w:rsidTr="00D047A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7F36058A" w14:textId="77777777" w:rsidR="00AE3652" w:rsidRPr="00AC7E5F" w:rsidRDefault="00AE3652" w:rsidP="00057D5A">
            <w:pPr>
              <w:pStyle w:val="TableHeading"/>
            </w:pPr>
            <w:r w:rsidRPr="00AC7E5F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567F81A8" w14:textId="77777777" w:rsidR="00AE3652" w:rsidRPr="00AC7E5F" w:rsidRDefault="00AE3652" w:rsidP="00057D5A">
            <w:pPr>
              <w:pStyle w:val="TableHeading"/>
            </w:pPr>
            <w:r w:rsidRPr="00AC7E5F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749DF40D" w14:textId="77777777" w:rsidR="00AE3652" w:rsidRPr="00AC7E5F" w:rsidRDefault="00AE3652" w:rsidP="00057D5A">
            <w:pPr>
              <w:pStyle w:val="TableHeading"/>
            </w:pPr>
            <w:r w:rsidRPr="00AC7E5F">
              <w:t>Date/Details</w:t>
            </w:r>
          </w:p>
        </w:tc>
      </w:tr>
      <w:tr w:rsidR="00AE3652" w:rsidRPr="00AC7E5F" w14:paraId="6452C2A6" w14:textId="77777777" w:rsidTr="00D047AF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0D2727F" w14:textId="77777777" w:rsidR="00AE3652" w:rsidRPr="00AC7E5F" w:rsidRDefault="00AE3652" w:rsidP="00057D5A">
            <w:pPr>
              <w:pStyle w:val="Tabletext"/>
            </w:pPr>
            <w:r w:rsidRPr="00AC7E5F">
              <w:t xml:space="preserve">1.  The whole of </w:t>
            </w:r>
            <w:r w:rsidR="00F1499D" w:rsidRPr="00AC7E5F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47F5280" w14:textId="5B54534E" w:rsidR="00AE3652" w:rsidRPr="00CD6F04" w:rsidRDefault="00AD1E7B" w:rsidP="00057D5A">
            <w:pPr>
              <w:pStyle w:val="Tabletext"/>
              <w:rPr>
                <w:highlight w:val="yellow"/>
              </w:rPr>
            </w:pPr>
            <w:r>
              <w:t>1 July 2025</w:t>
            </w:r>
            <w:r w:rsidR="006D515E" w:rsidRPr="00602548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</w:tcPr>
          <w:p w14:paraId="238C9C3E" w14:textId="31D56912" w:rsidR="00AE3652" w:rsidRPr="00CD6F04" w:rsidRDefault="00FE7CC7" w:rsidP="00057D5A">
            <w:pPr>
              <w:pStyle w:val="Tabletext"/>
              <w:rPr>
                <w:highlight w:val="yellow"/>
              </w:rPr>
            </w:pPr>
            <w:r w:rsidRPr="00FE7CC7">
              <w:t>1 July 2025</w:t>
            </w:r>
          </w:p>
        </w:tc>
      </w:tr>
    </w:tbl>
    <w:p w14:paraId="5602491F" w14:textId="77777777" w:rsidR="00AE3652" w:rsidRPr="00AC7E5F" w:rsidRDefault="00AE3652" w:rsidP="00AE3652">
      <w:pPr>
        <w:pStyle w:val="notetext"/>
      </w:pPr>
      <w:r w:rsidRPr="00AC7E5F">
        <w:rPr>
          <w:snapToGrid w:val="0"/>
          <w:lang w:eastAsia="en-US"/>
        </w:rPr>
        <w:t>Note:</w:t>
      </w:r>
      <w:r w:rsidRPr="00AC7E5F">
        <w:rPr>
          <w:snapToGrid w:val="0"/>
          <w:lang w:eastAsia="en-US"/>
        </w:rPr>
        <w:tab/>
        <w:t xml:space="preserve">This table relates only to the provisions of </w:t>
      </w:r>
      <w:r w:rsidR="00F1499D" w:rsidRPr="00AC7E5F">
        <w:rPr>
          <w:snapToGrid w:val="0"/>
          <w:lang w:eastAsia="en-US"/>
        </w:rPr>
        <w:t>this instrument</w:t>
      </w:r>
      <w:r w:rsidRPr="00AC7E5F">
        <w:t xml:space="preserve"> </w:t>
      </w:r>
      <w:r w:rsidRPr="00AC7E5F">
        <w:rPr>
          <w:snapToGrid w:val="0"/>
          <w:lang w:eastAsia="en-US"/>
        </w:rPr>
        <w:t xml:space="preserve">as originally made. It will not be amended to deal with any later amendments of </w:t>
      </w:r>
      <w:r w:rsidR="00F1499D" w:rsidRPr="00AC7E5F">
        <w:rPr>
          <w:snapToGrid w:val="0"/>
          <w:lang w:eastAsia="en-US"/>
        </w:rPr>
        <w:t>this instrument</w:t>
      </w:r>
      <w:r w:rsidRPr="00AC7E5F">
        <w:rPr>
          <w:snapToGrid w:val="0"/>
          <w:lang w:eastAsia="en-US"/>
        </w:rPr>
        <w:t>.</w:t>
      </w:r>
    </w:p>
    <w:p w14:paraId="30BC1CE7" w14:textId="77777777" w:rsidR="00807626" w:rsidRPr="00AC7E5F" w:rsidRDefault="00AE3652" w:rsidP="00AE3652">
      <w:pPr>
        <w:pStyle w:val="subsection"/>
      </w:pPr>
      <w:r w:rsidRPr="00AC7E5F">
        <w:tab/>
        <w:t>(2)</w:t>
      </w:r>
      <w:r w:rsidRPr="00AC7E5F">
        <w:tab/>
        <w:t xml:space="preserve">Any information in column 3 of the table is not part of </w:t>
      </w:r>
      <w:r w:rsidR="00F1499D" w:rsidRPr="00AC7E5F">
        <w:t>this instrument</w:t>
      </w:r>
      <w:r w:rsidRPr="00AC7E5F">
        <w:t xml:space="preserve">. Information may be inserted in this column, or information in it may be edited, in any published version of </w:t>
      </w:r>
      <w:r w:rsidR="00F1499D" w:rsidRPr="00AC7E5F">
        <w:t>this instrument</w:t>
      </w:r>
      <w:r w:rsidRPr="00AC7E5F">
        <w:t>.</w:t>
      </w:r>
    </w:p>
    <w:p w14:paraId="3BADA050" w14:textId="77777777" w:rsidR="007500C8" w:rsidRPr="00AC7E5F" w:rsidRDefault="007500C8" w:rsidP="007500C8">
      <w:pPr>
        <w:pStyle w:val="ActHead5"/>
      </w:pPr>
      <w:bookmarkStart w:id="2" w:name="_Toc201471959"/>
      <w:r w:rsidRPr="00AD3472">
        <w:rPr>
          <w:rStyle w:val="CharSectno"/>
        </w:rPr>
        <w:t>3</w:t>
      </w:r>
      <w:r w:rsidRPr="00AC7E5F">
        <w:t xml:space="preserve">  Authority</w:t>
      </w:r>
      <w:bookmarkEnd w:id="2"/>
    </w:p>
    <w:p w14:paraId="0EEBE11A" w14:textId="77777777" w:rsidR="00157B8B" w:rsidRPr="00AC7E5F" w:rsidRDefault="007500C8" w:rsidP="007E667A">
      <w:pPr>
        <w:pStyle w:val="subsection"/>
      </w:pPr>
      <w:r w:rsidRPr="00AC7E5F">
        <w:tab/>
      </w:r>
      <w:r w:rsidRPr="00AC7E5F">
        <w:tab/>
      </w:r>
      <w:r w:rsidR="00F1499D" w:rsidRPr="00AC7E5F">
        <w:t>This instrument is</w:t>
      </w:r>
      <w:r w:rsidRPr="00AC7E5F">
        <w:t xml:space="preserve"> made under </w:t>
      </w:r>
      <w:r w:rsidR="00B42258" w:rsidRPr="00AC7E5F">
        <w:t>section 7</w:t>
      </w:r>
      <w:r w:rsidR="00F2510F" w:rsidRPr="00AC7E5F">
        <w:t xml:space="preserve">5 of </w:t>
      </w:r>
      <w:r w:rsidRPr="00AC7E5F">
        <w:t>the</w:t>
      </w:r>
      <w:r w:rsidR="00F2510F" w:rsidRPr="00AC7E5F">
        <w:t xml:space="preserve"> </w:t>
      </w:r>
      <w:r w:rsidR="00F2510F" w:rsidRPr="00AC7E5F">
        <w:rPr>
          <w:i/>
        </w:rPr>
        <w:t>Public Governance, Performance and Accountability Act 2013</w:t>
      </w:r>
      <w:r w:rsidR="00F2510F" w:rsidRPr="00AC7E5F">
        <w:t>.</w:t>
      </w:r>
    </w:p>
    <w:p w14:paraId="0A27533A" w14:textId="77777777" w:rsidR="00057D5A" w:rsidRPr="00AC7E5F" w:rsidRDefault="007F4EE1" w:rsidP="00057D5A">
      <w:pPr>
        <w:pStyle w:val="ActHead5"/>
      </w:pPr>
      <w:bookmarkStart w:id="3" w:name="_Toc201471960"/>
      <w:r w:rsidRPr="00C46CFF">
        <w:rPr>
          <w:rStyle w:val="CharSectno"/>
        </w:rPr>
        <w:t>4</w:t>
      </w:r>
      <w:r w:rsidR="00057D5A" w:rsidRPr="00C46CFF">
        <w:t xml:space="preserve">  Definitions</w:t>
      </w:r>
      <w:bookmarkEnd w:id="3"/>
    </w:p>
    <w:p w14:paraId="21B09510" w14:textId="77777777" w:rsidR="00057D5A" w:rsidRPr="00AC7E5F" w:rsidRDefault="00057D5A" w:rsidP="00057D5A">
      <w:pPr>
        <w:pStyle w:val="subsection"/>
      </w:pPr>
      <w:r w:rsidRPr="00AC7E5F">
        <w:tab/>
      </w:r>
      <w:r w:rsidRPr="00AC7E5F">
        <w:tab/>
        <w:t>In this instrument:</w:t>
      </w:r>
    </w:p>
    <w:p w14:paraId="0E535B1C" w14:textId="77777777" w:rsidR="00057D5A" w:rsidRPr="00AC7E5F" w:rsidRDefault="00BE1202" w:rsidP="009F6F84">
      <w:pPr>
        <w:pStyle w:val="Definition"/>
      </w:pPr>
      <w:r w:rsidRPr="00AC7E5F">
        <w:rPr>
          <w:b/>
          <w:i/>
        </w:rPr>
        <w:t>Appropriation</w:t>
      </w:r>
      <w:r w:rsidR="009F6F84" w:rsidRPr="00AC7E5F">
        <w:rPr>
          <w:b/>
          <w:i/>
        </w:rPr>
        <w:t xml:space="preserve"> Act</w:t>
      </w:r>
      <w:r w:rsidR="009F6F84" w:rsidRPr="00AC7E5F">
        <w:t xml:space="preserve"> means:</w:t>
      </w:r>
    </w:p>
    <w:p w14:paraId="22E51F17" w14:textId="48337CDB" w:rsidR="009F6F84" w:rsidRDefault="009F6F84" w:rsidP="009F6F84">
      <w:pPr>
        <w:pStyle w:val="paragraph"/>
        <w:rPr>
          <w:iCs/>
        </w:rPr>
      </w:pPr>
      <w:r w:rsidRPr="00AC7E5F">
        <w:tab/>
      </w:r>
      <w:r w:rsidRPr="004C1CE3">
        <w:t>(a)</w:t>
      </w:r>
      <w:r w:rsidRPr="004C1CE3">
        <w:tab/>
        <w:t xml:space="preserve">the </w:t>
      </w:r>
      <w:r w:rsidR="002354B4">
        <w:rPr>
          <w:i/>
        </w:rPr>
        <w:t xml:space="preserve">Supply </w:t>
      </w:r>
      <w:r w:rsidR="00795856" w:rsidRPr="004C1CE3">
        <w:rPr>
          <w:i/>
        </w:rPr>
        <w:t>Act (No. 1)</w:t>
      </w:r>
      <w:r w:rsidRPr="004C1CE3">
        <w:rPr>
          <w:i/>
        </w:rPr>
        <w:t xml:space="preserve"> </w:t>
      </w:r>
      <w:r w:rsidR="00795856" w:rsidRPr="004C1CE3">
        <w:rPr>
          <w:i/>
        </w:rPr>
        <w:t>202</w:t>
      </w:r>
      <w:r w:rsidR="00D732BF">
        <w:rPr>
          <w:i/>
        </w:rPr>
        <w:t>5</w:t>
      </w:r>
      <w:r w:rsidR="00795856" w:rsidRPr="004C1CE3">
        <w:rPr>
          <w:i/>
        </w:rPr>
        <w:t>-202</w:t>
      </w:r>
      <w:r w:rsidR="00D732BF">
        <w:rPr>
          <w:i/>
        </w:rPr>
        <w:t>6</w:t>
      </w:r>
      <w:r w:rsidR="00B03787">
        <w:rPr>
          <w:iCs/>
        </w:rPr>
        <w:t>; o</w:t>
      </w:r>
      <w:r w:rsidR="00D732BF">
        <w:rPr>
          <w:iCs/>
        </w:rPr>
        <w:t>r</w:t>
      </w:r>
    </w:p>
    <w:p w14:paraId="6804216F" w14:textId="6823FB2C" w:rsidR="00B03787" w:rsidRDefault="00B03787" w:rsidP="00B03787">
      <w:pPr>
        <w:pStyle w:val="paragraph"/>
        <w:rPr>
          <w:iCs/>
        </w:rPr>
      </w:pPr>
      <w:r w:rsidRPr="00AC7E5F">
        <w:tab/>
      </w:r>
      <w:r w:rsidRPr="004C1CE3">
        <w:t>(</w:t>
      </w:r>
      <w:r>
        <w:t>b</w:t>
      </w:r>
      <w:r w:rsidRPr="004C1CE3">
        <w:t>)</w:t>
      </w:r>
      <w:r w:rsidRPr="004C1CE3">
        <w:tab/>
        <w:t xml:space="preserve">the </w:t>
      </w:r>
      <w:r>
        <w:rPr>
          <w:i/>
        </w:rPr>
        <w:t xml:space="preserve">Supply </w:t>
      </w:r>
      <w:r w:rsidRPr="004C1CE3">
        <w:rPr>
          <w:i/>
        </w:rPr>
        <w:t xml:space="preserve">Act (No. </w:t>
      </w:r>
      <w:r w:rsidR="00D732BF">
        <w:rPr>
          <w:i/>
        </w:rPr>
        <w:t>2</w:t>
      </w:r>
      <w:r w:rsidRPr="004C1CE3">
        <w:rPr>
          <w:i/>
        </w:rPr>
        <w:t>) 202</w:t>
      </w:r>
      <w:r w:rsidR="00D732BF">
        <w:rPr>
          <w:i/>
        </w:rPr>
        <w:t>5</w:t>
      </w:r>
      <w:r w:rsidRPr="004C1CE3">
        <w:rPr>
          <w:i/>
        </w:rPr>
        <w:t>-202</w:t>
      </w:r>
      <w:r w:rsidR="00D732BF">
        <w:rPr>
          <w:i/>
        </w:rPr>
        <w:t>6</w:t>
      </w:r>
      <w:r w:rsidR="00D732BF">
        <w:rPr>
          <w:iCs/>
        </w:rPr>
        <w:t>.</w:t>
      </w:r>
    </w:p>
    <w:p w14:paraId="4AE667DB" w14:textId="77777777" w:rsidR="000A76E0" w:rsidRPr="00AC7E5F" w:rsidRDefault="000A76E0" w:rsidP="000A76E0">
      <w:pPr>
        <w:pStyle w:val="Definition"/>
      </w:pPr>
      <w:r w:rsidRPr="00AC7E5F">
        <w:rPr>
          <w:b/>
          <w:i/>
        </w:rPr>
        <w:t>appropriation item</w:t>
      </w:r>
      <w:r w:rsidRPr="00AC7E5F">
        <w:t xml:space="preserve"> means</w:t>
      </w:r>
      <w:r w:rsidR="00382459" w:rsidRPr="00AC7E5F">
        <w:t xml:space="preserve"> </w:t>
      </w:r>
      <w:r w:rsidR="009D2134" w:rsidRPr="00AC7E5F">
        <w:t>an item within the meaning of an Appropriation Act.</w:t>
      </w:r>
    </w:p>
    <w:p w14:paraId="0B383A54" w14:textId="1D166ADA" w:rsidR="00A66D5D" w:rsidRPr="00AC7E5F" w:rsidRDefault="00823CEB" w:rsidP="00A66D5D">
      <w:pPr>
        <w:pStyle w:val="ActHead5"/>
        <w:rPr>
          <w:i/>
        </w:rPr>
      </w:pPr>
      <w:bookmarkStart w:id="4" w:name="_Toc201471961"/>
      <w:bookmarkStart w:id="5" w:name="OLE_LINK1"/>
      <w:r>
        <w:rPr>
          <w:rStyle w:val="CharSectno"/>
        </w:rPr>
        <w:t>5</w:t>
      </w:r>
      <w:r w:rsidR="00A66D5D" w:rsidRPr="00AC7E5F">
        <w:t xml:space="preserve">  Modification of </w:t>
      </w:r>
      <w:r w:rsidR="00EC61AC">
        <w:t>Appropriation Acts</w:t>
      </w:r>
      <w:bookmarkEnd w:id="4"/>
    </w:p>
    <w:p w14:paraId="4CC300A9" w14:textId="1C88898D" w:rsidR="00784F0E" w:rsidRPr="00AC7E5F" w:rsidRDefault="00B93FC2" w:rsidP="00784F0E">
      <w:pPr>
        <w:pStyle w:val="subsection"/>
      </w:pPr>
      <w:r w:rsidRPr="00AC7E5F">
        <w:tab/>
        <w:t>(</w:t>
      </w:r>
      <w:r w:rsidR="009C5585" w:rsidRPr="00AC7E5F">
        <w:t>1</w:t>
      </w:r>
      <w:r w:rsidRPr="00AC7E5F">
        <w:t>)</w:t>
      </w:r>
      <w:r w:rsidRPr="00AC7E5F">
        <w:tab/>
      </w:r>
      <w:r w:rsidR="00784F0E" w:rsidRPr="00AC7E5F">
        <w:t>The</w:t>
      </w:r>
      <w:r w:rsidR="006A1D13">
        <w:t xml:space="preserve"> Appropriation</w:t>
      </w:r>
      <w:r w:rsidR="00784F0E" w:rsidRPr="00AC7E5F">
        <w:t xml:space="preserve"> Act</w:t>
      </w:r>
      <w:r w:rsidR="006A1D13">
        <w:t>s</w:t>
      </w:r>
      <w:r w:rsidR="00784F0E" w:rsidRPr="00AC7E5F">
        <w:t xml:space="preserve"> ha</w:t>
      </w:r>
      <w:r w:rsidR="006A1D13">
        <w:t>ve</w:t>
      </w:r>
      <w:r w:rsidR="00784F0E" w:rsidRPr="00AC7E5F">
        <w:t xml:space="preserve"> effect</w:t>
      </w:r>
      <w:r w:rsidR="006A1D13">
        <w:t xml:space="preserve"> as if</w:t>
      </w:r>
      <w:r w:rsidR="00784F0E" w:rsidRPr="00AC7E5F">
        <w:t>:</w:t>
      </w:r>
    </w:p>
    <w:bookmarkEnd w:id="5"/>
    <w:p w14:paraId="0A9BFAA9" w14:textId="3F0A0B7C" w:rsidR="006A1D13" w:rsidRDefault="00784F0E" w:rsidP="00784F0E">
      <w:pPr>
        <w:pStyle w:val="paragraph"/>
      </w:pPr>
      <w:r w:rsidRPr="00AC7E5F">
        <w:tab/>
        <w:t>(a)</w:t>
      </w:r>
      <w:r w:rsidRPr="00AC7E5F">
        <w:tab/>
      </w:r>
      <w:r w:rsidR="00A27285">
        <w:t xml:space="preserve">references in the Acts to the </w:t>
      </w:r>
      <w:r w:rsidR="00065299">
        <w:t>Health and Aged Care portfolio</w:t>
      </w:r>
      <w:r w:rsidR="000E21D5">
        <w:t xml:space="preserve"> were references to the Health, Disability and Ageing portfolio; and</w:t>
      </w:r>
    </w:p>
    <w:p w14:paraId="1825E729" w14:textId="46C8891C" w:rsidR="00D63836" w:rsidRDefault="00D63836" w:rsidP="00784F0E">
      <w:pPr>
        <w:pStyle w:val="paragraph"/>
      </w:pPr>
      <w:r w:rsidRPr="00AC7E5F">
        <w:tab/>
        <w:t>(</w:t>
      </w:r>
      <w:r>
        <w:t>b</w:t>
      </w:r>
      <w:r w:rsidRPr="00AC7E5F">
        <w:t>)</w:t>
      </w:r>
      <w:r w:rsidRPr="00AC7E5F">
        <w:tab/>
      </w:r>
      <w:r>
        <w:t xml:space="preserve">references in the Acts to the </w:t>
      </w:r>
      <w:r w:rsidR="0083484D">
        <w:t xml:space="preserve">Department of </w:t>
      </w:r>
      <w:r>
        <w:t xml:space="preserve">Health and Aged Care were references to the </w:t>
      </w:r>
      <w:r w:rsidR="00AB77E6">
        <w:t xml:space="preserve">Department of </w:t>
      </w:r>
      <w:r>
        <w:t>Health, Disability and Ageing; and</w:t>
      </w:r>
    </w:p>
    <w:p w14:paraId="220D875A" w14:textId="5C4B3301" w:rsidR="002925A3" w:rsidRDefault="002925A3" w:rsidP="002925A3">
      <w:pPr>
        <w:pStyle w:val="paragraph"/>
      </w:pPr>
      <w:r w:rsidRPr="00AC7E5F">
        <w:tab/>
        <w:t>(</w:t>
      </w:r>
      <w:r w:rsidR="00F16A1C">
        <w:t>c</w:t>
      </w:r>
      <w:r w:rsidRPr="00AC7E5F">
        <w:t>)</w:t>
      </w:r>
      <w:r w:rsidRPr="00AC7E5F">
        <w:tab/>
      </w:r>
      <w:r>
        <w:t xml:space="preserve">references in the Acts to the </w:t>
      </w:r>
      <w:r w:rsidR="00B71813">
        <w:t>Infrastructure, Transport</w:t>
      </w:r>
      <w:r w:rsidR="004D7E3F">
        <w:t>, Regional Development, Communications and the Arts</w:t>
      </w:r>
      <w:r>
        <w:t xml:space="preserve"> portfolio were references to </w:t>
      </w:r>
      <w:r>
        <w:lastRenderedPageBreak/>
        <w:t xml:space="preserve">the </w:t>
      </w:r>
      <w:r w:rsidR="00AF0B29">
        <w:t>Infrastructure, Transport, Regional Development,</w:t>
      </w:r>
      <w:r w:rsidR="00CD66AD">
        <w:t xml:space="preserve"> Communications, Sport and the Arts</w:t>
      </w:r>
      <w:r>
        <w:t xml:space="preserve"> portfolio</w:t>
      </w:r>
      <w:r w:rsidR="005B7A9F">
        <w:t>; and</w:t>
      </w:r>
    </w:p>
    <w:p w14:paraId="14B18574" w14:textId="5DE43BFD" w:rsidR="00E70BB1" w:rsidRDefault="006552C9" w:rsidP="002925A3">
      <w:pPr>
        <w:pStyle w:val="paragraph"/>
      </w:pPr>
      <w:r>
        <w:tab/>
      </w:r>
      <w:r w:rsidRPr="00AC7E5F">
        <w:t>(</w:t>
      </w:r>
      <w:r>
        <w:t>d</w:t>
      </w:r>
      <w:r w:rsidRPr="00AC7E5F">
        <w:t>)</w:t>
      </w:r>
      <w:r w:rsidRPr="00AC7E5F">
        <w:tab/>
      </w:r>
      <w:r>
        <w:t xml:space="preserve">references in the Acts to the </w:t>
      </w:r>
      <w:r w:rsidR="00026F4C">
        <w:t xml:space="preserve">Department of </w:t>
      </w:r>
      <w:r>
        <w:t xml:space="preserve">Infrastructure, Transport, Regional Development, Communications and the Arts were references to the </w:t>
      </w:r>
      <w:r w:rsidR="00EE6E63">
        <w:t xml:space="preserve">Department of </w:t>
      </w:r>
      <w:r>
        <w:t>Infrastructure, Transport, Regional Development, Communications, Sport and the Arts</w:t>
      </w:r>
      <w:r w:rsidR="00792F28">
        <w:t>.</w:t>
      </w:r>
    </w:p>
    <w:p w14:paraId="62944871" w14:textId="44B02B17" w:rsidR="00792F28" w:rsidRPr="00AC7E5F" w:rsidRDefault="00792F28" w:rsidP="00792F28">
      <w:pPr>
        <w:pStyle w:val="subsection"/>
      </w:pPr>
      <w:r w:rsidRPr="00AC7E5F">
        <w:tab/>
        <w:t>(</w:t>
      </w:r>
      <w:r>
        <w:t>2</w:t>
      </w:r>
      <w:r w:rsidRPr="00AC7E5F">
        <w:t>)</w:t>
      </w:r>
      <w:r w:rsidRPr="00AC7E5F">
        <w:tab/>
        <w:t>The</w:t>
      </w:r>
      <w:r>
        <w:t xml:space="preserve"> Appropriation</w:t>
      </w:r>
      <w:r w:rsidRPr="00AC7E5F">
        <w:t xml:space="preserve"> Act</w:t>
      </w:r>
      <w:r>
        <w:t>s</w:t>
      </w:r>
      <w:r w:rsidRPr="00AC7E5F">
        <w:t xml:space="preserve"> ha</w:t>
      </w:r>
      <w:r>
        <w:t>ve</w:t>
      </w:r>
      <w:r w:rsidRPr="00AC7E5F">
        <w:t xml:space="preserve"> effect</w:t>
      </w:r>
      <w:r>
        <w:t xml:space="preserve"> as if</w:t>
      </w:r>
      <w:r w:rsidRPr="00AC7E5F">
        <w:t>:</w:t>
      </w:r>
    </w:p>
    <w:p w14:paraId="6DAC0DA9" w14:textId="01D07B34" w:rsidR="00792F28" w:rsidRDefault="00792F28" w:rsidP="00792F28">
      <w:pPr>
        <w:pStyle w:val="paragraph"/>
      </w:pPr>
      <w:r w:rsidRPr="00AC7E5F">
        <w:tab/>
        <w:t>(a)</w:t>
      </w:r>
      <w:r w:rsidRPr="00AC7E5F">
        <w:tab/>
      </w:r>
      <w:r w:rsidR="005122C4">
        <w:t xml:space="preserve">items and outcomes </w:t>
      </w:r>
      <w:r w:rsidR="00943070">
        <w:t>for the following entities</w:t>
      </w:r>
      <w:r w:rsidR="002C49F5">
        <w:t xml:space="preserve">, included for the </w:t>
      </w:r>
      <w:r w:rsidR="00497745">
        <w:t>Attorney</w:t>
      </w:r>
      <w:r w:rsidR="00CF6097">
        <w:noBreakHyphen/>
      </w:r>
      <w:r w:rsidR="00497745">
        <w:t>General’s</w:t>
      </w:r>
      <w:r>
        <w:t xml:space="preserve"> portfolio</w:t>
      </w:r>
      <w:r w:rsidR="00D30733">
        <w:t>, were instead included for the Home Affairs portfolio</w:t>
      </w:r>
      <w:r w:rsidR="001B2D3B">
        <w:t>:</w:t>
      </w:r>
    </w:p>
    <w:p w14:paraId="1C03776F" w14:textId="19CCD271" w:rsidR="00E72A7D" w:rsidRDefault="00B13E74" w:rsidP="002743B3">
      <w:pPr>
        <w:pStyle w:val="paragraph"/>
        <w:ind w:left="1701" w:hanging="1701"/>
      </w:pPr>
      <w:r>
        <w:tab/>
      </w:r>
      <w:r w:rsidR="00E72A7D">
        <w:tab/>
      </w:r>
      <w:r w:rsidR="000F4C2D">
        <w:t>(i)</w:t>
      </w:r>
      <w:r w:rsidR="00F5226B">
        <w:tab/>
      </w:r>
      <w:r w:rsidR="00CA286F">
        <w:t>Australian Crim</w:t>
      </w:r>
      <w:r w:rsidR="00A02CFC">
        <w:t>inal Intelligence</w:t>
      </w:r>
      <w:r w:rsidR="00CA286F">
        <w:t xml:space="preserve"> </w:t>
      </w:r>
      <w:proofErr w:type="gramStart"/>
      <w:r w:rsidR="00CA286F">
        <w:t>Commission</w:t>
      </w:r>
      <w:r w:rsidR="000C4F6D">
        <w:t>;</w:t>
      </w:r>
      <w:proofErr w:type="gramEnd"/>
    </w:p>
    <w:p w14:paraId="72492E00" w14:textId="140C9800" w:rsidR="000C4F6D" w:rsidRDefault="000C4F6D" w:rsidP="002743B3">
      <w:pPr>
        <w:pStyle w:val="paragraph"/>
        <w:ind w:left="1701" w:hanging="1701"/>
      </w:pPr>
      <w:r>
        <w:tab/>
      </w:r>
      <w:r>
        <w:tab/>
        <w:t>(ii)</w:t>
      </w:r>
      <w:r>
        <w:tab/>
        <w:t xml:space="preserve">Australian </w:t>
      </w:r>
      <w:r w:rsidR="006874B1">
        <w:t xml:space="preserve">Federal </w:t>
      </w:r>
      <w:proofErr w:type="gramStart"/>
      <w:r w:rsidR="006874B1">
        <w:t>Police;</w:t>
      </w:r>
      <w:proofErr w:type="gramEnd"/>
    </w:p>
    <w:p w14:paraId="3CAC3965" w14:textId="7E5AD704" w:rsidR="000C4F6D" w:rsidRDefault="000C4F6D" w:rsidP="002743B3">
      <w:pPr>
        <w:pStyle w:val="paragraph"/>
        <w:ind w:left="1701" w:hanging="1701"/>
      </w:pPr>
      <w:r>
        <w:tab/>
      </w:r>
      <w:r>
        <w:tab/>
        <w:t>(i</w:t>
      </w:r>
      <w:r w:rsidR="00A968A2">
        <w:t>ii</w:t>
      </w:r>
      <w:r>
        <w:t>)</w:t>
      </w:r>
      <w:r w:rsidR="002743B3">
        <w:tab/>
      </w:r>
      <w:r>
        <w:t xml:space="preserve">Australian </w:t>
      </w:r>
      <w:r w:rsidR="00925DD7">
        <w:t xml:space="preserve">Institute of </w:t>
      </w:r>
      <w:proofErr w:type="gramStart"/>
      <w:r w:rsidR="00925DD7">
        <w:t>Criminology;</w:t>
      </w:r>
      <w:proofErr w:type="gramEnd"/>
    </w:p>
    <w:p w14:paraId="30E15AB6" w14:textId="4818180D" w:rsidR="0062487D" w:rsidRDefault="007E2011" w:rsidP="002743B3">
      <w:pPr>
        <w:pStyle w:val="paragraph"/>
        <w:ind w:left="1701" w:hanging="1701"/>
      </w:pPr>
      <w:r>
        <w:tab/>
      </w:r>
      <w:r>
        <w:tab/>
      </w:r>
      <w:r w:rsidR="0062487D">
        <w:t>(iv)</w:t>
      </w:r>
      <w:r>
        <w:tab/>
        <w:t xml:space="preserve">Australian Security Intelligence </w:t>
      </w:r>
      <w:proofErr w:type="gramStart"/>
      <w:r>
        <w:t>Organisation;</w:t>
      </w:r>
      <w:proofErr w:type="gramEnd"/>
    </w:p>
    <w:p w14:paraId="68E94DD9" w14:textId="68FD328F" w:rsidR="00BA2933" w:rsidRDefault="00BA2933" w:rsidP="002743B3">
      <w:pPr>
        <w:pStyle w:val="paragraph"/>
        <w:ind w:left="1701" w:hanging="1701"/>
      </w:pPr>
      <w:r>
        <w:tab/>
      </w:r>
      <w:r>
        <w:tab/>
        <w:t>(v)</w:t>
      </w:r>
      <w:r>
        <w:tab/>
        <w:t>Australian Transaction Reports and Analysis Centre;</w:t>
      </w:r>
      <w:r w:rsidR="00BD2EF7">
        <w:t xml:space="preserve"> and</w:t>
      </w:r>
    </w:p>
    <w:p w14:paraId="4371D907" w14:textId="248AD46B" w:rsidR="00BD2EF7" w:rsidRDefault="00524569" w:rsidP="002743B3">
      <w:pPr>
        <w:pStyle w:val="paragraph"/>
        <w:ind w:left="1701" w:hanging="1701"/>
      </w:pPr>
      <w:r>
        <w:tab/>
        <w:t>(b)</w:t>
      </w:r>
      <w:r>
        <w:tab/>
      </w:r>
      <w:r w:rsidR="00725D59">
        <w:t xml:space="preserve">items and outcomes for </w:t>
      </w:r>
      <w:r w:rsidR="00935755">
        <w:t>the Australian Financial Security Authority</w:t>
      </w:r>
      <w:r w:rsidR="00902389">
        <w:t>, included for the Attorney-General’s portfolio</w:t>
      </w:r>
      <w:r w:rsidR="00821986">
        <w:t>, were instead included</w:t>
      </w:r>
      <w:r w:rsidR="005C5D44">
        <w:t xml:space="preserve"> </w:t>
      </w:r>
      <w:r w:rsidR="000974CF">
        <w:t>for the Treasury portfolio; and</w:t>
      </w:r>
      <w:r w:rsidR="00935755">
        <w:t xml:space="preserve"> </w:t>
      </w:r>
    </w:p>
    <w:p w14:paraId="410EEE9D" w14:textId="0DFE0FB2" w:rsidR="007B09B5" w:rsidRDefault="007B09B5" w:rsidP="007B09B5">
      <w:pPr>
        <w:pStyle w:val="paragraph"/>
      </w:pPr>
      <w:r>
        <w:tab/>
      </w:r>
      <w:r w:rsidRPr="00AC7E5F">
        <w:t>(</w:t>
      </w:r>
      <w:r w:rsidR="004F4B00">
        <w:t>c</w:t>
      </w:r>
      <w:r w:rsidRPr="00AC7E5F">
        <w:t>)</w:t>
      </w:r>
      <w:r w:rsidRPr="00AC7E5F">
        <w:tab/>
      </w:r>
      <w:r>
        <w:t>items and outcomes for the following entities, included for the Health, Disability and Ageing portfolio</w:t>
      </w:r>
      <w:r w:rsidR="0092047B">
        <w:t xml:space="preserve">, were instead </w:t>
      </w:r>
      <w:r w:rsidR="001B2BD6">
        <w:t xml:space="preserve">included for </w:t>
      </w:r>
      <w:r w:rsidR="0099116D">
        <w:t>the</w:t>
      </w:r>
      <w:r w:rsidR="005863DE">
        <w:t xml:space="preserve"> Infrastru</w:t>
      </w:r>
      <w:r w:rsidR="009C03FE">
        <w:t>cture</w:t>
      </w:r>
      <w:r w:rsidR="005A4DF9">
        <w:t>, Transport, Regional Development,</w:t>
      </w:r>
      <w:r w:rsidR="00425855">
        <w:t xml:space="preserve"> Communications, Sport and the Arts portfolio</w:t>
      </w:r>
      <w:r w:rsidR="00F045BE">
        <w:t>:</w:t>
      </w:r>
    </w:p>
    <w:p w14:paraId="4D124240" w14:textId="793FE3A0" w:rsidR="001F6004" w:rsidRDefault="001F6004" w:rsidP="001F6004">
      <w:pPr>
        <w:pStyle w:val="paragraph"/>
        <w:ind w:left="1701" w:hanging="1701"/>
      </w:pPr>
      <w:r>
        <w:tab/>
      </w:r>
      <w:r>
        <w:tab/>
        <w:t>(i)</w:t>
      </w:r>
      <w:r>
        <w:tab/>
        <w:t xml:space="preserve">Australian </w:t>
      </w:r>
      <w:r w:rsidR="00C43461">
        <w:t>Sports</w:t>
      </w:r>
      <w:r>
        <w:t xml:space="preserve"> </w:t>
      </w:r>
      <w:proofErr w:type="gramStart"/>
      <w:r>
        <w:t>Commission;</w:t>
      </w:r>
      <w:proofErr w:type="gramEnd"/>
    </w:p>
    <w:p w14:paraId="55EDED66" w14:textId="7CC9F8E3" w:rsidR="00D64AC8" w:rsidRDefault="00D64AC8" w:rsidP="00D64AC8">
      <w:pPr>
        <w:pStyle w:val="paragraph"/>
        <w:ind w:left="1701" w:hanging="1701"/>
      </w:pPr>
      <w:r>
        <w:tab/>
      </w:r>
      <w:r>
        <w:tab/>
        <w:t>(ii)</w:t>
      </w:r>
      <w:r>
        <w:tab/>
        <w:t>Sport Integrity Australia;</w:t>
      </w:r>
      <w:r w:rsidR="00552786">
        <w:t xml:space="preserve"> and</w:t>
      </w:r>
    </w:p>
    <w:p w14:paraId="0386EC5B" w14:textId="6A9CA858" w:rsidR="009E751A" w:rsidRDefault="009E751A" w:rsidP="009E751A">
      <w:pPr>
        <w:pStyle w:val="paragraph"/>
        <w:ind w:left="1701" w:hanging="1701"/>
      </w:pPr>
      <w:r>
        <w:tab/>
        <w:t>(d)</w:t>
      </w:r>
      <w:r>
        <w:tab/>
        <w:t xml:space="preserve">items and outcomes for the Net Zero Economy Authority, included for the </w:t>
      </w:r>
      <w:r w:rsidR="00FE043C">
        <w:t>Prime Minister and Cabinet</w:t>
      </w:r>
      <w:r>
        <w:t xml:space="preserve"> portfolio, were instead included for the </w:t>
      </w:r>
      <w:r w:rsidR="00974B1A">
        <w:t>Industry</w:t>
      </w:r>
      <w:r w:rsidR="00E13319">
        <w:t>, Science and Resources</w:t>
      </w:r>
      <w:r>
        <w:t xml:space="preserve"> portfolio; and </w:t>
      </w:r>
    </w:p>
    <w:p w14:paraId="68311B14" w14:textId="101377D6" w:rsidR="00B201F7" w:rsidRDefault="00B201F7" w:rsidP="00B201F7">
      <w:pPr>
        <w:pStyle w:val="paragraph"/>
      </w:pPr>
      <w:r>
        <w:tab/>
      </w:r>
      <w:r w:rsidRPr="00AC7E5F">
        <w:t>(</w:t>
      </w:r>
      <w:r>
        <w:t>e</w:t>
      </w:r>
      <w:r w:rsidRPr="00AC7E5F">
        <w:t>)</w:t>
      </w:r>
      <w:r w:rsidRPr="00AC7E5F">
        <w:tab/>
      </w:r>
      <w:r>
        <w:t xml:space="preserve">items and outcomes for the following entities, included for the </w:t>
      </w:r>
      <w:r w:rsidR="00BA78BA">
        <w:t>Social Services</w:t>
      </w:r>
      <w:r>
        <w:t xml:space="preserve"> portfolio, were instead included for the </w:t>
      </w:r>
      <w:r w:rsidR="002B1C0A">
        <w:t>Health, Disability and Ageing</w:t>
      </w:r>
      <w:r>
        <w:t xml:space="preserve"> portfolio:</w:t>
      </w:r>
    </w:p>
    <w:p w14:paraId="307021E8" w14:textId="10B08610" w:rsidR="000A4B23" w:rsidRDefault="000A4B23" w:rsidP="000A4B23">
      <w:pPr>
        <w:pStyle w:val="paragraph"/>
        <w:ind w:left="1701" w:hanging="1701"/>
      </w:pPr>
      <w:r>
        <w:tab/>
      </w:r>
      <w:r>
        <w:tab/>
        <w:t>(i)</w:t>
      </w:r>
      <w:r>
        <w:tab/>
      </w:r>
      <w:r w:rsidR="00805219">
        <w:t xml:space="preserve">National Disability Insurance </w:t>
      </w:r>
      <w:proofErr w:type="gramStart"/>
      <w:r w:rsidR="00805219">
        <w:t>Agency</w:t>
      </w:r>
      <w:r>
        <w:t>;</w:t>
      </w:r>
      <w:proofErr w:type="gramEnd"/>
    </w:p>
    <w:p w14:paraId="070D126D" w14:textId="44C682DD" w:rsidR="006526ED" w:rsidRDefault="006526ED" w:rsidP="006526ED">
      <w:pPr>
        <w:pStyle w:val="paragraph"/>
        <w:ind w:left="1701" w:hanging="1701"/>
      </w:pPr>
      <w:r>
        <w:tab/>
      </w:r>
      <w:r>
        <w:tab/>
        <w:t>(ii)</w:t>
      </w:r>
      <w:r>
        <w:tab/>
      </w:r>
      <w:r w:rsidR="00953E0E">
        <w:t>NDIS Quality and Safeguards Commission</w:t>
      </w:r>
      <w:r w:rsidR="00487ED5">
        <w:t>;</w:t>
      </w:r>
      <w:r w:rsidR="009A2B47">
        <w:t xml:space="preserve"> and</w:t>
      </w:r>
    </w:p>
    <w:p w14:paraId="4BBB5F4F" w14:textId="575FF260" w:rsidR="009A2B47" w:rsidRDefault="009A2B47" w:rsidP="006526ED">
      <w:pPr>
        <w:pStyle w:val="paragraph"/>
        <w:ind w:left="1701" w:hanging="1701"/>
      </w:pPr>
      <w:r>
        <w:tab/>
        <w:t>(</w:t>
      </w:r>
      <w:r w:rsidR="00BA5E9F">
        <w:t>f</w:t>
      </w:r>
      <w:r>
        <w:t>)</w:t>
      </w:r>
      <w:r>
        <w:tab/>
        <w:t xml:space="preserve">items and outcomes for </w:t>
      </w:r>
      <w:r w:rsidR="003B319E">
        <w:t>Services Australia</w:t>
      </w:r>
      <w:r>
        <w:t xml:space="preserve">, included for the </w:t>
      </w:r>
      <w:r w:rsidR="00BD0EF4">
        <w:t>Social Services</w:t>
      </w:r>
      <w:r>
        <w:t xml:space="preserve"> portfolio, were instead included for the </w:t>
      </w:r>
      <w:r w:rsidR="00506D68">
        <w:t>Finance</w:t>
      </w:r>
      <w:r>
        <w:t xml:space="preserve"> portfolio</w:t>
      </w:r>
      <w:r w:rsidR="000962EA">
        <w:t>.</w:t>
      </w:r>
    </w:p>
    <w:p w14:paraId="126E4661" w14:textId="30B04FDC" w:rsidR="00516AA8" w:rsidRPr="00AC7E5F" w:rsidRDefault="00516AA8" w:rsidP="00516AA8">
      <w:pPr>
        <w:pStyle w:val="ActHead5"/>
        <w:rPr>
          <w:i/>
        </w:rPr>
      </w:pPr>
      <w:bookmarkStart w:id="6" w:name="_Toc201471962"/>
      <w:bookmarkStart w:id="7" w:name="OLE_LINK2"/>
      <w:r>
        <w:t>6</w:t>
      </w:r>
      <w:r w:rsidRPr="00AC7E5F">
        <w:t xml:space="preserve">  Modification of </w:t>
      </w:r>
      <w:r w:rsidRPr="00DD259E">
        <w:rPr>
          <w:i/>
          <w:iCs/>
        </w:rPr>
        <w:t>Supply Act (No. 1) 2025-2026</w:t>
      </w:r>
      <w:bookmarkEnd w:id="6"/>
    </w:p>
    <w:p w14:paraId="2B8EB189" w14:textId="4F9D7E59" w:rsidR="00516AA8" w:rsidRPr="00AC7E5F" w:rsidRDefault="00516AA8" w:rsidP="00516AA8">
      <w:pPr>
        <w:pStyle w:val="subsection"/>
      </w:pPr>
      <w:r w:rsidRPr="00AC7E5F">
        <w:tab/>
        <w:t>(1)</w:t>
      </w:r>
      <w:r w:rsidRPr="00AC7E5F">
        <w:tab/>
        <w:t>Th</w:t>
      </w:r>
      <w:r w:rsidR="00DD259E">
        <w:t xml:space="preserve">is section applies to the </w:t>
      </w:r>
      <w:r w:rsidR="00DD259E" w:rsidRPr="007114DD">
        <w:rPr>
          <w:i/>
          <w:iCs/>
        </w:rPr>
        <w:t xml:space="preserve">Supply Act </w:t>
      </w:r>
      <w:r w:rsidR="007114DD" w:rsidRPr="007114DD">
        <w:rPr>
          <w:i/>
          <w:iCs/>
        </w:rPr>
        <w:t>(No. 1) 2025-2026</w:t>
      </w:r>
      <w:r w:rsidR="007114DD">
        <w:t>.</w:t>
      </w:r>
    </w:p>
    <w:p w14:paraId="173397CD" w14:textId="78C1DA17" w:rsidR="002E6F64" w:rsidRDefault="002E6779" w:rsidP="002E6779">
      <w:pPr>
        <w:pStyle w:val="subsection"/>
      </w:pPr>
      <w:r>
        <w:tab/>
      </w:r>
      <w:r w:rsidRPr="00AC7E5F">
        <w:t>(</w:t>
      </w:r>
      <w:r>
        <w:t>2</w:t>
      </w:r>
      <w:r w:rsidRPr="00AC7E5F">
        <w:t>)</w:t>
      </w:r>
      <w:r w:rsidRPr="00AC7E5F">
        <w:tab/>
        <w:t>The</w:t>
      </w:r>
      <w:r>
        <w:t xml:space="preserve"> Act </w:t>
      </w:r>
      <w:r w:rsidRPr="00AC7E5F">
        <w:t>ha</w:t>
      </w:r>
      <w:r>
        <w:t>s</w:t>
      </w:r>
      <w:r w:rsidRPr="00AC7E5F">
        <w:t xml:space="preserve"> effect</w:t>
      </w:r>
      <w:r>
        <w:t xml:space="preserve"> as </w:t>
      </w:r>
      <w:r w:rsidR="002E6F64">
        <w:t>if:</w:t>
      </w:r>
    </w:p>
    <w:p w14:paraId="691AE24C" w14:textId="5AE8F511" w:rsidR="00785C7F" w:rsidRDefault="002E6F64" w:rsidP="002E6F64">
      <w:pPr>
        <w:pStyle w:val="paragraph"/>
      </w:pPr>
      <w:bookmarkStart w:id="8" w:name="OLE_LINK3"/>
      <w:r w:rsidRPr="00AC7E5F">
        <w:tab/>
        <w:t>(a)</w:t>
      </w:r>
      <w:r w:rsidRPr="00AC7E5F">
        <w:tab/>
      </w:r>
      <w:r w:rsidR="00075B03">
        <w:t>Outcome 4</w:t>
      </w:r>
      <w:r w:rsidR="00D15E44">
        <w:t xml:space="preserve"> for the Depa</w:t>
      </w:r>
      <w:r w:rsidR="007C2C73">
        <w:t xml:space="preserve">rtment </w:t>
      </w:r>
      <w:r w:rsidR="008E3A41">
        <w:t>of Health, Disability and Ageing</w:t>
      </w:r>
      <w:r w:rsidR="007B6DC1">
        <w:t xml:space="preserve"> in Schedule 1 to the Act were </w:t>
      </w:r>
      <w:r w:rsidR="001F472D">
        <w:t>omitted and substituted</w:t>
      </w:r>
      <w:r w:rsidR="0023586F">
        <w:t xml:space="preserve"> with the following outcome:</w:t>
      </w:r>
    </w:p>
    <w:bookmarkEnd w:id="8"/>
    <w:p w14:paraId="3FA5B8AD" w14:textId="4A7BB3C4" w:rsidR="007B7F70" w:rsidRPr="006D07B2" w:rsidRDefault="007B7F70" w:rsidP="007B7F70">
      <w:pPr>
        <w:pStyle w:val="paragraph"/>
        <w:spacing w:before="18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6D07B2">
        <w:rPr>
          <w:b/>
          <w:bCs/>
        </w:rPr>
        <w:t xml:space="preserve">Outcome </w:t>
      </w:r>
      <w:r>
        <w:rPr>
          <w:b/>
          <w:bCs/>
        </w:rPr>
        <w:t>4</w:t>
      </w:r>
    </w:p>
    <w:p w14:paraId="53AA8D87" w14:textId="77777777" w:rsidR="007B7F70" w:rsidRDefault="007B7F70" w:rsidP="005068B3">
      <w:pPr>
        <w:pStyle w:val="paragraph"/>
        <w:spacing w:after="180"/>
      </w:pPr>
      <w:r>
        <w:tab/>
      </w:r>
      <w:r>
        <w:tab/>
        <w:t>Supporting the independence of people with disability and carers by providing targeted supports</w:t>
      </w:r>
    </w:p>
    <w:bookmarkEnd w:id="7"/>
    <w:p w14:paraId="30D6E59C" w14:textId="757B3CEC" w:rsidR="00837050" w:rsidRDefault="00837050" w:rsidP="00837050">
      <w:pPr>
        <w:pStyle w:val="paragraph"/>
      </w:pPr>
      <w:r w:rsidRPr="00AC7E5F">
        <w:lastRenderedPageBreak/>
        <w:tab/>
        <w:t>(</w:t>
      </w:r>
      <w:r w:rsidR="00405A89">
        <w:t>b</w:t>
      </w:r>
      <w:r w:rsidRPr="00AC7E5F">
        <w:t>)</w:t>
      </w:r>
      <w:r w:rsidRPr="00AC7E5F">
        <w:tab/>
      </w:r>
      <w:r w:rsidR="00BF766C">
        <w:t>an administered item</w:t>
      </w:r>
      <w:r w:rsidR="00FF6F15">
        <w:t xml:space="preserve"> </w:t>
      </w:r>
      <w:proofErr w:type="gramStart"/>
      <w:r w:rsidR="00FF6F15">
        <w:t>were</w:t>
      </w:r>
      <w:proofErr w:type="gramEnd"/>
      <w:r w:rsidR="00FF6F15">
        <w:t xml:space="preserve"> included f</w:t>
      </w:r>
      <w:r>
        <w:t xml:space="preserve">or the </w:t>
      </w:r>
      <w:r w:rsidR="00A321F4">
        <w:t xml:space="preserve">Department of </w:t>
      </w:r>
      <w:r w:rsidR="00FF6F15">
        <w:t>Infrastructure, Transport, Regional Development, Communications, Sport and the Arts</w:t>
      </w:r>
      <w:r>
        <w:t xml:space="preserve"> in Schedule 1 to the Act </w:t>
      </w:r>
      <w:r w:rsidR="006E5E5E">
        <w:t xml:space="preserve">opposite </w:t>
      </w:r>
      <w:r>
        <w:t>the following outcome:</w:t>
      </w:r>
    </w:p>
    <w:p w14:paraId="34C73B15" w14:textId="26CA42B0" w:rsidR="0078131E" w:rsidRPr="006D07B2" w:rsidRDefault="0078131E" w:rsidP="0078131E">
      <w:pPr>
        <w:pStyle w:val="paragraph"/>
        <w:spacing w:before="18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6D07B2">
        <w:rPr>
          <w:b/>
          <w:bCs/>
        </w:rPr>
        <w:t xml:space="preserve">Outcome </w:t>
      </w:r>
      <w:r>
        <w:rPr>
          <w:b/>
          <w:bCs/>
        </w:rPr>
        <w:t>7</w:t>
      </w:r>
    </w:p>
    <w:p w14:paraId="0800C2C4" w14:textId="7D7AEE06" w:rsidR="00085976" w:rsidRDefault="0078131E" w:rsidP="0078131E">
      <w:pPr>
        <w:pStyle w:val="paragraph"/>
      </w:pPr>
      <w:r>
        <w:tab/>
      </w:r>
      <w:r>
        <w:tab/>
      </w:r>
      <w:r w:rsidR="009D4B79">
        <w:t>Contribute to healthy, active communities and a sustainable sport</w:t>
      </w:r>
      <w:r w:rsidR="00A072FD">
        <w:t xml:space="preserve"> system</w:t>
      </w:r>
      <w:r w:rsidR="00E11DCA">
        <w:t xml:space="preserve"> through policy development, coordination</w:t>
      </w:r>
      <w:r w:rsidR="006D323D">
        <w:t xml:space="preserve"> and targeted support</w:t>
      </w:r>
    </w:p>
    <w:p w14:paraId="7EB8EDC7" w14:textId="399AD7A5" w:rsidR="00A55B2D" w:rsidRDefault="00A55B2D" w:rsidP="00A55B2D">
      <w:pPr>
        <w:pStyle w:val="subsection"/>
      </w:pPr>
      <w:r>
        <w:tab/>
      </w:r>
      <w:r w:rsidRPr="00AC7E5F">
        <w:t>(</w:t>
      </w:r>
      <w:r w:rsidR="009A51E4">
        <w:t>3</w:t>
      </w:r>
      <w:r w:rsidRPr="00AC7E5F">
        <w:t>)</w:t>
      </w:r>
      <w:r w:rsidRPr="00AC7E5F">
        <w:tab/>
        <w:t>The</w:t>
      </w:r>
      <w:r>
        <w:t xml:space="preserve"> Act </w:t>
      </w:r>
      <w:r w:rsidRPr="00AC7E5F">
        <w:t>ha</w:t>
      </w:r>
      <w:r>
        <w:t>s</w:t>
      </w:r>
      <w:r w:rsidRPr="00AC7E5F">
        <w:t xml:space="preserve"> effect:</w:t>
      </w:r>
    </w:p>
    <w:p w14:paraId="0CFDD5CF" w14:textId="188B6307" w:rsidR="002F433B" w:rsidRDefault="002F433B" w:rsidP="002F433B">
      <w:pPr>
        <w:pStyle w:val="paragraph"/>
      </w:pPr>
      <w:r w:rsidRPr="00AC7E5F">
        <w:tab/>
        <w:t>(a)</w:t>
      </w:r>
      <w:r w:rsidRPr="00AC7E5F">
        <w:tab/>
        <w:t xml:space="preserve">as if appropriation items in Schedule 1 to the Act were increased or decreased in accordance with the following </w:t>
      </w:r>
      <w:proofErr w:type="gramStart"/>
      <w:r w:rsidRPr="00AC7E5F">
        <w:t>table;</w:t>
      </w:r>
      <w:proofErr w:type="gramEnd"/>
      <w:r w:rsidRPr="00AC7E5F">
        <w:t xml:space="preserve"> and</w:t>
      </w:r>
    </w:p>
    <w:p w14:paraId="5E612C9B" w14:textId="77777777" w:rsidR="00784F0E" w:rsidRPr="00AC7E5F" w:rsidRDefault="00784F0E" w:rsidP="00784F0E">
      <w:pPr>
        <w:pStyle w:val="paragraph"/>
      </w:pPr>
      <w:r w:rsidRPr="00AC7E5F">
        <w:tab/>
        <w:t>(b)</w:t>
      </w:r>
      <w:r w:rsidRPr="00AC7E5F">
        <w:tab/>
      </w:r>
      <w:r w:rsidR="000A76E0" w:rsidRPr="00AC7E5F">
        <w:t>if the table specifies an increase for an appropriation item which is an appropriation item that has effect because of this determination</w:t>
      </w:r>
      <w:r w:rsidR="00382459" w:rsidRPr="00AC7E5F">
        <w:t>—as if the increase were from a nil amount.</w:t>
      </w:r>
    </w:p>
    <w:p w14:paraId="50F920A2" w14:textId="77777777" w:rsidR="007D6C45" w:rsidRPr="00AC7E5F" w:rsidRDefault="007D6C45" w:rsidP="00533F54">
      <w:pPr>
        <w:pStyle w:val="Tabletext"/>
      </w:pP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8"/>
        <w:gridCol w:w="3224"/>
        <w:gridCol w:w="1884"/>
      </w:tblGrid>
      <w:tr w:rsidR="00977058" w:rsidRPr="00AC7E5F" w14:paraId="592B48A8" w14:textId="77777777" w:rsidTr="16BFAF2B">
        <w:trPr>
          <w:trHeight w:val="252"/>
          <w:tblHeader/>
        </w:trPr>
        <w:tc>
          <w:tcPr>
            <w:tcW w:w="840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065B707" w14:textId="77777777" w:rsidR="00977058" w:rsidRPr="00AC7E5F" w:rsidRDefault="00977058" w:rsidP="00AE5071">
            <w:pPr>
              <w:pStyle w:val="TableHeading"/>
            </w:pPr>
            <w:r w:rsidRPr="00AC7E5F">
              <w:t>Increases and decreases in appropriation items</w:t>
            </w:r>
          </w:p>
        </w:tc>
      </w:tr>
      <w:tr w:rsidR="00977058" w:rsidRPr="00AC7E5F" w14:paraId="6C55666D" w14:textId="77777777" w:rsidTr="16BFAF2B">
        <w:trPr>
          <w:trHeight w:val="657"/>
          <w:tblHeader/>
        </w:trPr>
        <w:tc>
          <w:tcPr>
            <w:tcW w:w="70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C8F28F3" w14:textId="77777777" w:rsidR="00977058" w:rsidRPr="00AC7E5F" w:rsidRDefault="00977058" w:rsidP="00AE5071">
            <w:pPr>
              <w:pStyle w:val="TableHeading"/>
            </w:pPr>
            <w:r w:rsidRPr="00AC7E5F">
              <w:t>Item</w:t>
            </w:r>
          </w:p>
        </w:tc>
        <w:tc>
          <w:tcPr>
            <w:tcW w:w="25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B22EB49" w14:textId="77777777" w:rsidR="00977058" w:rsidRPr="00AC7E5F" w:rsidRDefault="00977058" w:rsidP="00AE5071">
            <w:pPr>
              <w:pStyle w:val="TableHeading"/>
            </w:pPr>
            <w:r w:rsidRPr="00AC7E5F">
              <w:t>Entity</w:t>
            </w:r>
          </w:p>
        </w:tc>
        <w:tc>
          <w:tcPr>
            <w:tcW w:w="322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A936D9" w14:textId="77777777" w:rsidR="00977058" w:rsidRPr="00AC7E5F" w:rsidRDefault="00977058" w:rsidP="00AE5071">
            <w:pPr>
              <w:pStyle w:val="TableHeading"/>
            </w:pPr>
            <w:r w:rsidRPr="00AC7E5F">
              <w:t>Appropriation item</w:t>
            </w: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7A9E8D1" w14:textId="77777777" w:rsidR="00977058" w:rsidRPr="00AC7E5F" w:rsidRDefault="00977058" w:rsidP="00AE5071">
            <w:pPr>
              <w:pStyle w:val="TableHeading"/>
              <w:jc w:val="right"/>
            </w:pPr>
            <w:r w:rsidRPr="00AC7E5F">
              <w:t>Increase (+)/</w:t>
            </w:r>
            <w:r w:rsidRPr="00AC7E5F">
              <w:br/>
              <w:t>decrease (</w:t>
            </w:r>
            <w:r w:rsidR="00AC7E5F">
              <w:noBreakHyphen/>
            </w:r>
            <w:r w:rsidRPr="00AC7E5F">
              <w:t>)</w:t>
            </w:r>
            <w:r w:rsidRPr="00AC7E5F">
              <w:br/>
              <w:t>($)</w:t>
            </w:r>
          </w:p>
        </w:tc>
      </w:tr>
      <w:tr w:rsidR="00EA3CEE" w:rsidRPr="00B314A1" w14:paraId="6780DF1F" w14:textId="77777777" w:rsidTr="16BFAF2B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0361D62" w14:textId="78B4BE4C" w:rsidR="00EA3CEE" w:rsidRPr="00B314A1" w:rsidRDefault="00795856" w:rsidP="00AE5071">
            <w:pPr>
              <w:pStyle w:val="Tabletext"/>
            </w:pPr>
            <w:r w:rsidRPr="00B314A1">
              <w:t>1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3711E03D" w14:textId="316638E3" w:rsidR="00EA3CEE" w:rsidRPr="00B314A1" w:rsidRDefault="00802579" w:rsidP="00AE5071">
            <w:pPr>
              <w:pStyle w:val="Tabletext"/>
            </w:pPr>
            <w:r w:rsidRPr="00B314A1">
              <w:t>A</w:t>
            </w:r>
            <w:r w:rsidR="00AD539E" w:rsidRPr="00B314A1">
              <w:t>ttorney-</w:t>
            </w:r>
            <w:r w:rsidR="00B314A1">
              <w:t>General’s Department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3D4615F" w14:textId="77777777" w:rsidR="00EA3CEE" w:rsidRPr="00B314A1" w:rsidRDefault="00EA3CEE" w:rsidP="00AE5071">
            <w:pPr>
              <w:pStyle w:val="Tabletext"/>
            </w:pPr>
            <w:r w:rsidRPr="00B314A1">
              <w:t>Departmental item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5A8603D" w14:textId="2E01B7D5" w:rsidR="00EA3CEE" w:rsidRPr="00B314A1" w:rsidRDefault="00AC7E5F" w:rsidP="00AE5071">
            <w:pPr>
              <w:pStyle w:val="Tabletext"/>
              <w:jc w:val="right"/>
            </w:pPr>
            <w:r w:rsidRPr="00B314A1">
              <w:noBreakHyphen/>
            </w:r>
            <w:r w:rsidR="003C34EA">
              <w:t>1</w:t>
            </w:r>
            <w:r w:rsidR="00FB3E0B">
              <w:t>1</w:t>
            </w:r>
            <w:r w:rsidR="00CE4502" w:rsidRPr="00B314A1">
              <w:t>,</w:t>
            </w:r>
            <w:r w:rsidR="00802579" w:rsidRPr="00B314A1">
              <w:t>3</w:t>
            </w:r>
            <w:r w:rsidR="00FB3E0B">
              <w:t>85</w:t>
            </w:r>
            <w:r w:rsidR="00CE4502" w:rsidRPr="00B314A1">
              <w:t>,</w:t>
            </w:r>
            <w:r w:rsidR="003C34EA">
              <w:t>878</w:t>
            </w:r>
            <w:r w:rsidR="00CE4502" w:rsidRPr="00B314A1">
              <w:t>.</w:t>
            </w:r>
            <w:r w:rsidR="008E55E4" w:rsidRPr="00B314A1">
              <w:t>4</w:t>
            </w:r>
            <w:r w:rsidR="003C34EA">
              <w:t>4</w:t>
            </w:r>
          </w:p>
        </w:tc>
      </w:tr>
      <w:tr w:rsidR="00EA41AB" w:rsidRPr="00AC7E5F" w14:paraId="3C78639F" w14:textId="77777777" w:rsidTr="00291CA5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007E4" w14:textId="5B9496B7" w:rsidR="00EA41AB" w:rsidRPr="00B314A1" w:rsidRDefault="00C26561" w:rsidP="00AE5071">
            <w:pPr>
              <w:pStyle w:val="Tabletext"/>
            </w:pPr>
            <w:r w:rsidRPr="00B314A1"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B72AC" w14:textId="04A8A0CD" w:rsidR="00EA41AB" w:rsidRPr="00B314A1" w:rsidRDefault="00B92021" w:rsidP="00AE5071">
            <w:pPr>
              <w:pStyle w:val="Tabletext"/>
            </w:pPr>
            <w:r>
              <w:t>De</w:t>
            </w:r>
            <w:r w:rsidR="00F664B4">
              <w:t>partment of Health, Disability and Ageing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AF6D7" w14:textId="262C1C27" w:rsidR="00EA41AB" w:rsidRPr="00B314A1" w:rsidRDefault="00795856" w:rsidP="00AE5071">
            <w:pPr>
              <w:pStyle w:val="Tabletext"/>
            </w:pPr>
            <w:r w:rsidRPr="00B314A1">
              <w:t>Departmental item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C8574" w14:textId="7F944AFF" w:rsidR="00EA41AB" w:rsidRPr="00B314A1" w:rsidRDefault="00640E04" w:rsidP="00CA4B6B">
            <w:pPr>
              <w:pStyle w:val="Tabletext"/>
              <w:jc w:val="right"/>
            </w:pPr>
            <w:r>
              <w:t>-1</w:t>
            </w:r>
            <w:r w:rsidR="00CE4502" w:rsidRPr="00B314A1">
              <w:t>,</w:t>
            </w:r>
            <w:r w:rsidR="00291CA5" w:rsidRPr="00B314A1">
              <w:t>10</w:t>
            </w:r>
            <w:r>
              <w:t>9</w:t>
            </w:r>
            <w:r w:rsidR="00CE4502" w:rsidRPr="00B314A1">
              <w:t>,</w:t>
            </w:r>
            <w:r>
              <w:t>00</w:t>
            </w:r>
            <w:r w:rsidR="00291CA5" w:rsidRPr="00B314A1">
              <w:t>0</w:t>
            </w:r>
            <w:r w:rsidR="00CE4502" w:rsidRPr="00B314A1">
              <w:t>.</w:t>
            </w:r>
            <w:r>
              <w:t>00</w:t>
            </w:r>
          </w:p>
        </w:tc>
      </w:tr>
      <w:tr w:rsidR="00291CA5" w:rsidRPr="00AC7E5F" w14:paraId="5FF80694" w14:textId="77777777" w:rsidTr="00F802B3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8D2F7" w14:textId="0ADEC1C6" w:rsidR="00291CA5" w:rsidRPr="00A05CE4" w:rsidRDefault="00291CA5" w:rsidP="00AE5071">
            <w:pPr>
              <w:pStyle w:val="Tabletext"/>
            </w:pPr>
            <w: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25175" w14:textId="5B872C58" w:rsidR="00291CA5" w:rsidRPr="00A05CE4" w:rsidRDefault="00640E04" w:rsidP="005F3661">
            <w:pPr>
              <w:pStyle w:val="Tabletext"/>
            </w:pPr>
            <w:r>
              <w:t>Department of Home Affairs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BB592" w14:textId="43E456E2" w:rsidR="00291CA5" w:rsidRPr="00A05CE4" w:rsidRDefault="00072174" w:rsidP="00AE5071">
            <w:pPr>
              <w:pStyle w:val="Tabletext"/>
            </w:pPr>
            <w:r>
              <w:t>Departmental item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16121" w14:textId="53769519" w:rsidR="00291CA5" w:rsidRPr="00A05CE4" w:rsidRDefault="00072174" w:rsidP="00CA4B6B">
            <w:pPr>
              <w:pStyle w:val="Tabletext"/>
              <w:jc w:val="right"/>
            </w:pPr>
            <w:r>
              <w:t>+10,679</w:t>
            </w:r>
            <w:r w:rsidR="00043788">
              <w:t>,094.39</w:t>
            </w:r>
          </w:p>
        </w:tc>
      </w:tr>
      <w:tr w:rsidR="00260E83" w:rsidRPr="00AC7E5F" w14:paraId="50C85FF5" w14:textId="77777777" w:rsidTr="00F802B3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CF76C" w14:textId="4984FE8D" w:rsidR="00260E83" w:rsidRDefault="00260E83" w:rsidP="00AE5071">
            <w:pPr>
              <w:pStyle w:val="Tabletext"/>
            </w:pPr>
            <w: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CC8DE" w14:textId="284D66DF" w:rsidR="00260E83" w:rsidRDefault="00260E83" w:rsidP="005F3661">
            <w:pPr>
              <w:pStyle w:val="Tabletext"/>
            </w:pPr>
            <w:r>
              <w:t>Department of Industry, Science and Resources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2E4B0" w14:textId="0D5762AD" w:rsidR="00260E83" w:rsidRDefault="00260E83" w:rsidP="00AE5071">
            <w:pPr>
              <w:pStyle w:val="Tabletext"/>
            </w:pPr>
            <w:r>
              <w:t>Departmental item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BE6F8" w14:textId="07C28839" w:rsidR="00260E83" w:rsidRDefault="00260E83" w:rsidP="00CA4B6B">
            <w:pPr>
              <w:pStyle w:val="Tabletext"/>
              <w:jc w:val="right"/>
            </w:pPr>
            <w:r>
              <w:t>-</w:t>
            </w:r>
            <w:r w:rsidR="00CB0787">
              <w:t>648,638.94</w:t>
            </w:r>
          </w:p>
        </w:tc>
      </w:tr>
      <w:tr w:rsidR="00F802B3" w:rsidRPr="00AC7E5F" w14:paraId="69023654" w14:textId="77777777" w:rsidTr="00217794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F47D1" w14:textId="5D8A1ED2" w:rsidR="00F802B3" w:rsidRDefault="00CB0787" w:rsidP="00AE5071">
            <w:pPr>
              <w:pStyle w:val="Tabletext"/>
            </w:pPr>
            <w:r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2F425" w14:textId="57F46D60" w:rsidR="00F802B3" w:rsidRDefault="00CB0787" w:rsidP="005F3661">
            <w:pPr>
              <w:pStyle w:val="Tabletext"/>
            </w:pPr>
            <w:r>
              <w:t xml:space="preserve">Department of Infrastructure, </w:t>
            </w:r>
            <w:r w:rsidR="005E5BE2">
              <w:t>Transport, Regional Development, Communications, Sport and the Arts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CF368" w14:textId="10A425DA" w:rsidR="00F802B3" w:rsidRPr="00A05CE4" w:rsidRDefault="006E3430" w:rsidP="00AE5071">
            <w:pPr>
              <w:pStyle w:val="Tabletext"/>
            </w:pPr>
            <w:r>
              <w:t>Departmental item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758D2" w14:textId="77777777" w:rsidR="00F802B3" w:rsidRDefault="006E3430" w:rsidP="00CA4B6B">
            <w:pPr>
              <w:pStyle w:val="Tabletext"/>
              <w:jc w:val="right"/>
            </w:pPr>
            <w:r>
              <w:t>-</w:t>
            </w:r>
            <w:r w:rsidR="005D26D6">
              <w:t>165,844.78</w:t>
            </w:r>
          </w:p>
          <w:p w14:paraId="30528698" w14:textId="74F9226B" w:rsidR="00217794" w:rsidRPr="00A05CE4" w:rsidRDefault="00217794" w:rsidP="00CA4B6B">
            <w:pPr>
              <w:pStyle w:val="Tabletext"/>
              <w:jc w:val="right"/>
            </w:pPr>
          </w:p>
        </w:tc>
      </w:tr>
      <w:tr w:rsidR="00217794" w:rsidRPr="00AC7E5F" w14:paraId="4521B538" w14:textId="77777777" w:rsidTr="002A3496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F5490" w14:textId="7DCF0126" w:rsidR="00217794" w:rsidRDefault="00217794" w:rsidP="00AE5071">
            <w:pPr>
              <w:pStyle w:val="Tabletext"/>
            </w:pPr>
            <w:r>
              <w:t>6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C124B" w14:textId="7F02EB98" w:rsidR="00217794" w:rsidRDefault="00217794" w:rsidP="005F3661">
            <w:pPr>
              <w:pStyle w:val="Tabletext"/>
            </w:pPr>
            <w:r>
              <w:t>Department of the Treasury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6BC5D" w14:textId="1BD1E731" w:rsidR="00217794" w:rsidRDefault="00217794" w:rsidP="00AE5071">
            <w:pPr>
              <w:pStyle w:val="Tabletext"/>
            </w:pPr>
            <w:r>
              <w:t>Departmental item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4EBAA" w14:textId="730BEF02" w:rsidR="00217794" w:rsidRDefault="002A3496" w:rsidP="00CA4B6B">
            <w:pPr>
              <w:pStyle w:val="Tabletext"/>
              <w:jc w:val="right"/>
            </w:pPr>
            <w:r>
              <w:t>+2,630,267.77</w:t>
            </w:r>
          </w:p>
        </w:tc>
      </w:tr>
      <w:tr w:rsidR="002A3496" w:rsidRPr="00AC7E5F" w14:paraId="7FDCDD91" w14:textId="77777777" w:rsidTr="00881056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212CF" w14:textId="37A03100" w:rsidR="002A3496" w:rsidRDefault="002A3496" w:rsidP="00AE5071">
            <w:pPr>
              <w:pStyle w:val="Tabletext"/>
            </w:pPr>
            <w:r>
              <w:t>7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84D3D" w14:textId="3B291D48" w:rsidR="002A3496" w:rsidRDefault="002A3496" w:rsidP="005F3661">
            <w:pPr>
              <w:pStyle w:val="Tabletext"/>
            </w:pPr>
            <w:r>
              <w:t>Attorney-General’s Department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80649" w14:textId="6905173A" w:rsidR="002A3496" w:rsidRDefault="002A3496" w:rsidP="00AE5071">
            <w:pPr>
              <w:pStyle w:val="Tabletext"/>
            </w:pPr>
            <w:r>
              <w:t>Administered item, Outcome 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5F24B" w14:textId="1FA506D7" w:rsidR="002A3496" w:rsidRDefault="00881056" w:rsidP="00CA4B6B">
            <w:pPr>
              <w:pStyle w:val="Tabletext"/>
              <w:jc w:val="right"/>
            </w:pPr>
            <w:r>
              <w:t>-11,140,833.33</w:t>
            </w:r>
          </w:p>
        </w:tc>
      </w:tr>
      <w:tr w:rsidR="00881056" w:rsidRPr="00AC7E5F" w14:paraId="2221EB83" w14:textId="77777777" w:rsidTr="00A6608E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2DB44" w14:textId="1759E6FD" w:rsidR="00881056" w:rsidRDefault="00881056" w:rsidP="00AE5071">
            <w:pPr>
              <w:pStyle w:val="Tabletext"/>
            </w:pPr>
            <w: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2B4D2" w14:textId="60ED17B2" w:rsidR="00881056" w:rsidRDefault="00881056" w:rsidP="005F3661">
            <w:pPr>
              <w:pStyle w:val="Tabletext"/>
            </w:pPr>
            <w:r>
              <w:t>Department of Health, Disability and Ageing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F8C17" w14:textId="559369ED" w:rsidR="00881056" w:rsidRDefault="0092699D" w:rsidP="00AE5071">
            <w:pPr>
              <w:pStyle w:val="Tabletext"/>
            </w:pPr>
            <w:r>
              <w:t>Administered item, Outcome 4 (sport</w:t>
            </w:r>
            <w:r w:rsidR="00C50E16">
              <w:t xml:space="preserve"> and recreation</w:t>
            </w:r>
            <w:r>
              <w:t>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E4A38" w14:textId="28CE0A9B" w:rsidR="00881056" w:rsidRDefault="0092699D" w:rsidP="00CA4B6B">
            <w:pPr>
              <w:pStyle w:val="Tabletext"/>
              <w:jc w:val="right"/>
            </w:pPr>
            <w:r>
              <w:t>-67,020,000.00</w:t>
            </w:r>
          </w:p>
        </w:tc>
      </w:tr>
      <w:tr w:rsidR="00A6608E" w:rsidRPr="00AC7E5F" w14:paraId="388B30CA" w14:textId="77777777" w:rsidTr="005A3F41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C194E" w14:textId="561B83A5" w:rsidR="00A6608E" w:rsidRDefault="00A6608E" w:rsidP="00AE5071">
            <w:pPr>
              <w:pStyle w:val="Tabletext"/>
            </w:pPr>
            <w:r>
              <w:t>9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37C2F" w14:textId="08DAA4CF" w:rsidR="00A6608E" w:rsidRDefault="00A6608E" w:rsidP="005F3661">
            <w:pPr>
              <w:pStyle w:val="Tabletext"/>
            </w:pPr>
            <w:r>
              <w:t>Department of Health, Disability and Ageing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FEF6B" w14:textId="1877554F" w:rsidR="00A6608E" w:rsidRDefault="00A6608E" w:rsidP="00AE5071">
            <w:pPr>
              <w:pStyle w:val="Tabletext"/>
            </w:pPr>
            <w:r>
              <w:t>Administered item, Outcome 4 (</w:t>
            </w:r>
            <w:r w:rsidR="009D32D9">
              <w:t>N</w:t>
            </w:r>
            <w:r w:rsidR="00C50E16">
              <w:t xml:space="preserve">ational </w:t>
            </w:r>
            <w:r w:rsidR="009D32D9">
              <w:t>D</w:t>
            </w:r>
            <w:r w:rsidR="00C50E16">
              <w:t xml:space="preserve">isability </w:t>
            </w:r>
            <w:r w:rsidR="009D32D9">
              <w:t>I</w:t>
            </w:r>
            <w:r w:rsidR="00C50E16">
              <w:t xml:space="preserve">nsurance </w:t>
            </w:r>
            <w:r w:rsidR="009D32D9">
              <w:t>S</w:t>
            </w:r>
            <w:r w:rsidR="00C50E16">
              <w:t>cheme</w:t>
            </w:r>
            <w:r>
              <w:t>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09543" w14:textId="2FB2673B" w:rsidR="00A6608E" w:rsidRDefault="008328E0" w:rsidP="00CA4B6B">
            <w:pPr>
              <w:pStyle w:val="Tabletext"/>
              <w:jc w:val="right"/>
            </w:pPr>
            <w:r>
              <w:t>+27,908,788,465.25</w:t>
            </w:r>
          </w:p>
        </w:tc>
      </w:tr>
      <w:tr w:rsidR="005A3F41" w:rsidRPr="00AC7E5F" w14:paraId="612BF316" w14:textId="77777777" w:rsidTr="00510F3D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131AB" w14:textId="022C5EC3" w:rsidR="005A3F41" w:rsidRDefault="005A3F41" w:rsidP="00AE5071">
            <w:pPr>
              <w:pStyle w:val="Tabletext"/>
            </w:pPr>
            <w: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B36FF" w14:textId="03E6E630" w:rsidR="005A3F41" w:rsidRDefault="008A1094" w:rsidP="005F3661">
            <w:pPr>
              <w:pStyle w:val="Tabletext"/>
            </w:pPr>
            <w:r>
              <w:t>Department of Home Affairs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9D895" w14:textId="5E2C7A8C" w:rsidR="005A3F41" w:rsidRDefault="00C17B88" w:rsidP="00AE5071">
            <w:pPr>
              <w:pStyle w:val="Tabletext"/>
            </w:pPr>
            <w:r>
              <w:t>Administered item, Outcome 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6C764" w14:textId="70A62996" w:rsidR="005A3F41" w:rsidRDefault="00510F3D" w:rsidP="00CA4B6B">
            <w:pPr>
              <w:pStyle w:val="Tabletext"/>
              <w:jc w:val="right"/>
            </w:pPr>
            <w:r>
              <w:t>+11,140,833.33</w:t>
            </w:r>
          </w:p>
        </w:tc>
      </w:tr>
      <w:tr w:rsidR="00510F3D" w:rsidRPr="00AC7E5F" w14:paraId="791A27DB" w14:textId="77777777" w:rsidTr="004E5772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97C00" w14:textId="12192E6B" w:rsidR="00510F3D" w:rsidRDefault="00510F3D" w:rsidP="00AE5071">
            <w:pPr>
              <w:pStyle w:val="Tabletext"/>
            </w:pPr>
            <w:r>
              <w:t>11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6DC9F" w14:textId="0EF4A425" w:rsidR="00510F3D" w:rsidRDefault="00510F3D" w:rsidP="005F3661">
            <w:pPr>
              <w:pStyle w:val="Tabletext"/>
            </w:pPr>
            <w:r>
              <w:t>Department of Infrastructure, Transport, Regional Development, Communications, Sport and the Arts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AAAB0" w14:textId="4C1904A5" w:rsidR="00510F3D" w:rsidRDefault="004E5772" w:rsidP="00AE5071">
            <w:pPr>
              <w:pStyle w:val="Tabletext"/>
            </w:pPr>
            <w:r>
              <w:t>Administered item, Outcome 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2DD21" w14:textId="70A1C698" w:rsidR="00510F3D" w:rsidRDefault="004E5772" w:rsidP="00CA4B6B">
            <w:pPr>
              <w:pStyle w:val="Tabletext"/>
              <w:jc w:val="right"/>
            </w:pPr>
            <w:r>
              <w:t>+67,020,000.00</w:t>
            </w:r>
          </w:p>
        </w:tc>
      </w:tr>
      <w:tr w:rsidR="004E5772" w:rsidRPr="00AC7E5F" w14:paraId="17C8A91C" w14:textId="77777777" w:rsidTr="00547D88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4585D" w14:textId="2F40ABA6" w:rsidR="004E5772" w:rsidRDefault="004E5772" w:rsidP="00AE5071">
            <w:pPr>
              <w:pStyle w:val="Tabletext"/>
            </w:pPr>
            <w:r>
              <w:t>12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EE717" w14:textId="130745E3" w:rsidR="004E5772" w:rsidRDefault="004E5772" w:rsidP="005F3661">
            <w:pPr>
              <w:pStyle w:val="Tabletext"/>
            </w:pPr>
            <w:r>
              <w:t>Department of Social Services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42823" w14:textId="5B392BEE" w:rsidR="004E5772" w:rsidRDefault="004E5772" w:rsidP="00AE5071">
            <w:pPr>
              <w:pStyle w:val="Tabletext"/>
            </w:pPr>
            <w:r>
              <w:t>Administered item, Outcome 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484D4" w14:textId="27940036" w:rsidR="004E5772" w:rsidRDefault="00DA6140" w:rsidP="00CA4B6B">
            <w:pPr>
              <w:pStyle w:val="Tabletext"/>
              <w:jc w:val="right"/>
            </w:pPr>
            <w:r>
              <w:t>-31,785</w:t>
            </w:r>
            <w:r w:rsidR="00547D88">
              <w:t>,000.00</w:t>
            </w:r>
          </w:p>
        </w:tc>
      </w:tr>
      <w:tr w:rsidR="00547D88" w:rsidRPr="00AC7E5F" w14:paraId="6238F7CD" w14:textId="77777777" w:rsidTr="00E83DCA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47254" w14:textId="3BD46C76" w:rsidR="00547D88" w:rsidRDefault="00547D88" w:rsidP="00AE5071">
            <w:pPr>
              <w:pStyle w:val="Tabletext"/>
            </w:pPr>
            <w:r>
              <w:lastRenderedPageBreak/>
              <w:t>13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2E06C" w14:textId="281873CE" w:rsidR="00547D88" w:rsidRDefault="00547D88" w:rsidP="005F3661">
            <w:pPr>
              <w:pStyle w:val="Tabletext"/>
            </w:pPr>
            <w:r>
              <w:t>Department of Social Services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87C41" w14:textId="47B79E19" w:rsidR="00547D88" w:rsidRDefault="00E83DCA" w:rsidP="00AE5071">
            <w:pPr>
              <w:pStyle w:val="Tabletext"/>
            </w:pPr>
            <w:r>
              <w:t>Administered item, Outcome 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3AE78" w14:textId="12216E1F" w:rsidR="00547D88" w:rsidRDefault="00E83DCA" w:rsidP="00CA4B6B">
            <w:pPr>
              <w:pStyle w:val="Tabletext"/>
              <w:jc w:val="right"/>
            </w:pPr>
            <w:r>
              <w:t>-27,908,788,465.25</w:t>
            </w:r>
          </w:p>
        </w:tc>
      </w:tr>
      <w:tr w:rsidR="00E83DCA" w:rsidRPr="00AC7E5F" w14:paraId="47E05BFA" w14:textId="77777777" w:rsidTr="00A95A48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66E7B" w14:textId="13CED795" w:rsidR="00E83DCA" w:rsidRDefault="005D33C7" w:rsidP="00AE5071">
            <w:pPr>
              <w:pStyle w:val="Tabletext"/>
            </w:pPr>
            <w:r>
              <w:t>14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91218" w14:textId="6E9DBA06" w:rsidR="00E83DCA" w:rsidRDefault="005E6438" w:rsidP="005F3661">
            <w:pPr>
              <w:pStyle w:val="Tabletext"/>
            </w:pPr>
            <w:r>
              <w:t>Department of Social Services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7D90B" w14:textId="22AF3D58" w:rsidR="00E83DCA" w:rsidRDefault="005E6438" w:rsidP="00AE5071">
            <w:pPr>
              <w:pStyle w:val="Tabletext"/>
            </w:pPr>
            <w:r>
              <w:t>Administered item, Outcome 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E48EB" w14:textId="1A9121A8" w:rsidR="00E83DCA" w:rsidRDefault="00A95A48" w:rsidP="00CA4B6B">
            <w:pPr>
              <w:pStyle w:val="Tabletext"/>
              <w:jc w:val="right"/>
            </w:pPr>
            <w:r>
              <w:t>-23,554,000.00</w:t>
            </w:r>
          </w:p>
        </w:tc>
      </w:tr>
      <w:tr w:rsidR="00A95A48" w:rsidRPr="00AC7E5F" w14:paraId="01E257E6" w14:textId="77777777" w:rsidTr="009D2BC2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61FCB" w14:textId="351A839D" w:rsidR="00A95A48" w:rsidRDefault="00A95A48" w:rsidP="00AE5071">
            <w:pPr>
              <w:pStyle w:val="Tabletext"/>
            </w:pPr>
            <w:r>
              <w:t>15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E7181" w14:textId="4B420E27" w:rsidR="00A95A48" w:rsidRDefault="00A95A48" w:rsidP="005F3661">
            <w:pPr>
              <w:pStyle w:val="Tabletext"/>
            </w:pPr>
            <w:r>
              <w:t>Department of the Treasury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55BFE" w14:textId="1B2A50D3" w:rsidR="00A95A48" w:rsidRDefault="00A95A48" w:rsidP="00AE5071">
            <w:pPr>
              <w:pStyle w:val="Tabletext"/>
            </w:pPr>
            <w:r>
              <w:t>Administered item, Outcome 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7227A" w14:textId="635D9832" w:rsidR="00A95A48" w:rsidRDefault="009D2BC2" w:rsidP="00CA4B6B">
            <w:pPr>
              <w:pStyle w:val="Tabletext"/>
              <w:jc w:val="right"/>
            </w:pPr>
            <w:r>
              <w:t>+55,339,000.00</w:t>
            </w:r>
          </w:p>
        </w:tc>
      </w:tr>
      <w:tr w:rsidR="009D2BC2" w:rsidRPr="00AC7E5F" w14:paraId="30900EC5" w14:textId="77777777" w:rsidTr="006C662B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C3DA2" w14:textId="39FE2C7D" w:rsidR="009D2BC2" w:rsidRDefault="009D2BC2" w:rsidP="00AE5071">
            <w:pPr>
              <w:pStyle w:val="Tabletext"/>
            </w:pPr>
            <w:r>
              <w:t>16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541D3" w14:textId="7F4183D3" w:rsidR="009D2BC2" w:rsidRDefault="009D2BC2" w:rsidP="005F3661">
            <w:pPr>
              <w:pStyle w:val="Tabletext"/>
            </w:pPr>
            <w:r>
              <w:t>Department of Health</w:t>
            </w:r>
            <w:r w:rsidR="00763850">
              <w:t>, Disability and Ageing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B0A8E" w14:textId="2BC63C5E" w:rsidR="009D2BC2" w:rsidRDefault="00763850" w:rsidP="00AE5071">
            <w:pPr>
              <w:pStyle w:val="Tabletext"/>
            </w:pPr>
            <w:r>
              <w:t>Corporate entity item, Australian Sports Commission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0A754" w14:textId="30A27507" w:rsidR="009D2BC2" w:rsidRDefault="00763850" w:rsidP="00CA4B6B">
            <w:pPr>
              <w:pStyle w:val="Tabletext"/>
              <w:jc w:val="right"/>
            </w:pPr>
            <w:r>
              <w:t>-187</w:t>
            </w:r>
            <w:r w:rsidR="006C662B">
              <w:t>,099,000.00</w:t>
            </w:r>
          </w:p>
        </w:tc>
      </w:tr>
      <w:tr w:rsidR="006C662B" w:rsidRPr="00AC7E5F" w14:paraId="1DAACA7A" w14:textId="77777777" w:rsidTr="00CE4D30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D334C" w14:textId="6A1CB9E8" w:rsidR="006C662B" w:rsidRDefault="006C662B" w:rsidP="00AE5071">
            <w:pPr>
              <w:pStyle w:val="Tabletext"/>
            </w:pPr>
            <w:r>
              <w:t>17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5B2FD" w14:textId="7FF27BA5" w:rsidR="006C662B" w:rsidRDefault="006C662B" w:rsidP="005F3661">
            <w:pPr>
              <w:pStyle w:val="Tabletext"/>
            </w:pPr>
            <w:r>
              <w:t>Department of Health, Disability and Ageing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07F95" w14:textId="4DCEF3BE" w:rsidR="006C662B" w:rsidRDefault="006C662B" w:rsidP="00AE5071">
            <w:pPr>
              <w:pStyle w:val="Tabletext"/>
            </w:pPr>
            <w:r>
              <w:t>Corporate entity item,</w:t>
            </w:r>
            <w:r w:rsidR="00CE4D30">
              <w:t xml:space="preserve"> National Disability Insurance Agency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B51B8" w14:textId="6573387C" w:rsidR="006C662B" w:rsidRDefault="00CE4D30" w:rsidP="00CA4B6B">
            <w:pPr>
              <w:pStyle w:val="Tabletext"/>
              <w:jc w:val="right"/>
            </w:pPr>
            <w:r>
              <w:t>+1,004,650,000.00</w:t>
            </w:r>
          </w:p>
        </w:tc>
      </w:tr>
      <w:tr w:rsidR="00CE4D30" w:rsidRPr="00AC7E5F" w14:paraId="44F0CC29" w14:textId="77777777" w:rsidTr="00D66537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956D9" w14:textId="456157AC" w:rsidR="00CE4D30" w:rsidRDefault="00505524" w:rsidP="00AE5071">
            <w:pPr>
              <w:pStyle w:val="Tabletext"/>
            </w:pPr>
            <w:r>
              <w:t>18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59734" w14:textId="72A37497" w:rsidR="00CE4D30" w:rsidRDefault="00505524" w:rsidP="005F3661">
            <w:pPr>
              <w:pStyle w:val="Tabletext"/>
            </w:pPr>
            <w:r>
              <w:t>Department of Infrastructure, Transport, Regional Development, Communications, Sport and the Arts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66D9A" w14:textId="1FE17D1F" w:rsidR="00CE4D30" w:rsidRDefault="00505524" w:rsidP="00AE5071">
            <w:pPr>
              <w:pStyle w:val="Tabletext"/>
            </w:pPr>
            <w:r>
              <w:t>Corporate entity item, Australian Sports Commission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759E8" w14:textId="1EC1F41B" w:rsidR="00CE4D30" w:rsidRDefault="00505524" w:rsidP="00CA4B6B">
            <w:pPr>
              <w:pStyle w:val="Tabletext"/>
              <w:jc w:val="right"/>
            </w:pPr>
            <w:r>
              <w:t>+187</w:t>
            </w:r>
            <w:r w:rsidR="00D66537">
              <w:t>,099,000.00</w:t>
            </w:r>
          </w:p>
        </w:tc>
      </w:tr>
      <w:tr w:rsidR="00D66537" w:rsidRPr="00AC7E5F" w14:paraId="7B4DD0B6" w14:textId="77777777" w:rsidTr="16BFAF2B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11F5F8C" w14:textId="1CD1A5D3" w:rsidR="00D66537" w:rsidRDefault="00D66537" w:rsidP="00AE5071">
            <w:pPr>
              <w:pStyle w:val="Tabletext"/>
            </w:pPr>
            <w:r>
              <w:t>19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BA13815" w14:textId="2C712063" w:rsidR="00D66537" w:rsidRDefault="00D66537" w:rsidP="005F3661">
            <w:pPr>
              <w:pStyle w:val="Tabletext"/>
            </w:pPr>
            <w:r>
              <w:t>Department of Social Services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2F13646" w14:textId="3B96B6DF" w:rsidR="00D66537" w:rsidRDefault="00D66537" w:rsidP="00AE5071">
            <w:pPr>
              <w:pStyle w:val="Tabletext"/>
            </w:pPr>
            <w:r>
              <w:t>Corporate entity item, National Disability Insurance Agency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ABC0D0F" w14:textId="747EE0E7" w:rsidR="00D66537" w:rsidRDefault="002B7404" w:rsidP="00CA4B6B">
            <w:pPr>
              <w:pStyle w:val="Tabletext"/>
              <w:jc w:val="right"/>
            </w:pPr>
            <w:r>
              <w:t>-1,004,650,000.00</w:t>
            </w:r>
          </w:p>
        </w:tc>
      </w:tr>
    </w:tbl>
    <w:p w14:paraId="38CFD27A" w14:textId="188E2A03" w:rsidR="009104F0" w:rsidRPr="00AC7E5F" w:rsidRDefault="009104F0" w:rsidP="009104F0">
      <w:pPr>
        <w:pStyle w:val="ActHead5"/>
        <w:rPr>
          <w:i/>
        </w:rPr>
      </w:pPr>
      <w:bookmarkStart w:id="9" w:name="_Toc201471963"/>
      <w:r>
        <w:t>7</w:t>
      </w:r>
      <w:r w:rsidRPr="00AC7E5F">
        <w:t xml:space="preserve">  Modification of </w:t>
      </w:r>
      <w:r w:rsidRPr="00DD259E">
        <w:rPr>
          <w:i/>
          <w:iCs/>
        </w:rPr>
        <w:t xml:space="preserve">Supply Act (No. </w:t>
      </w:r>
      <w:r>
        <w:rPr>
          <w:i/>
          <w:iCs/>
        </w:rPr>
        <w:t>2</w:t>
      </w:r>
      <w:r w:rsidRPr="00DD259E">
        <w:rPr>
          <w:i/>
          <w:iCs/>
        </w:rPr>
        <w:t>) 2025-2026</w:t>
      </w:r>
      <w:bookmarkEnd w:id="9"/>
    </w:p>
    <w:p w14:paraId="17CA638C" w14:textId="3B1939F8" w:rsidR="009104F0" w:rsidRPr="00AC7E5F" w:rsidRDefault="009104F0" w:rsidP="009104F0">
      <w:pPr>
        <w:pStyle w:val="subsection"/>
      </w:pPr>
      <w:r w:rsidRPr="00AC7E5F">
        <w:tab/>
        <w:t>(1)</w:t>
      </w:r>
      <w:r w:rsidRPr="00AC7E5F">
        <w:tab/>
        <w:t>Th</w:t>
      </w:r>
      <w:r>
        <w:t xml:space="preserve">is section applies to the </w:t>
      </w:r>
      <w:r w:rsidRPr="007114DD">
        <w:rPr>
          <w:i/>
          <w:iCs/>
        </w:rPr>
        <w:t xml:space="preserve">Supply Act (No. </w:t>
      </w:r>
      <w:r w:rsidR="00787517">
        <w:rPr>
          <w:i/>
          <w:iCs/>
        </w:rPr>
        <w:t>2</w:t>
      </w:r>
      <w:r w:rsidRPr="007114DD">
        <w:rPr>
          <w:i/>
          <w:iCs/>
        </w:rPr>
        <w:t>) 2025-2026</w:t>
      </w:r>
      <w:r>
        <w:t>.</w:t>
      </w:r>
    </w:p>
    <w:p w14:paraId="4A59A170" w14:textId="3CCA8301" w:rsidR="009104F0" w:rsidRPr="00AC7E5F" w:rsidRDefault="009104F0" w:rsidP="009104F0">
      <w:pPr>
        <w:pStyle w:val="subsection"/>
      </w:pPr>
      <w:r>
        <w:tab/>
      </w:r>
      <w:r w:rsidRPr="00AC7E5F">
        <w:t>(</w:t>
      </w:r>
      <w:r>
        <w:t>2</w:t>
      </w:r>
      <w:r w:rsidRPr="00AC7E5F">
        <w:t>)</w:t>
      </w:r>
      <w:r w:rsidRPr="00AC7E5F">
        <w:tab/>
        <w:t>The</w:t>
      </w:r>
      <w:r>
        <w:t xml:space="preserve"> Act </w:t>
      </w:r>
      <w:r w:rsidRPr="00AC7E5F">
        <w:t>ha</w:t>
      </w:r>
      <w:r>
        <w:t>s</w:t>
      </w:r>
      <w:r w:rsidRPr="00AC7E5F">
        <w:t xml:space="preserve"> effect:</w:t>
      </w:r>
    </w:p>
    <w:p w14:paraId="6CC7DF23" w14:textId="495EAB99" w:rsidR="00A7733B" w:rsidRDefault="00A7733B" w:rsidP="00A7733B">
      <w:pPr>
        <w:pStyle w:val="paragraph"/>
      </w:pPr>
      <w:r w:rsidRPr="00AC7E5F">
        <w:tab/>
        <w:t>(a)</w:t>
      </w:r>
      <w:r w:rsidRPr="00AC7E5F">
        <w:tab/>
        <w:t>as if appropriation items in Schedule </w:t>
      </w:r>
      <w:r>
        <w:t>2</w:t>
      </w:r>
      <w:r w:rsidRPr="00AC7E5F">
        <w:t xml:space="preserve"> to the Act were increased or decreased in accordance with the following </w:t>
      </w:r>
      <w:proofErr w:type="gramStart"/>
      <w:r w:rsidRPr="00AC7E5F">
        <w:t>table;</w:t>
      </w:r>
      <w:proofErr w:type="gramEnd"/>
      <w:r w:rsidRPr="00AC7E5F">
        <w:t xml:space="preserve"> and</w:t>
      </w:r>
    </w:p>
    <w:p w14:paraId="4AC83614" w14:textId="77777777" w:rsidR="00A7733B" w:rsidRPr="00AC7E5F" w:rsidRDefault="00A7733B" w:rsidP="00A7733B">
      <w:pPr>
        <w:pStyle w:val="paragraph"/>
      </w:pPr>
      <w:r w:rsidRPr="00AC7E5F">
        <w:tab/>
        <w:t>(b)</w:t>
      </w:r>
      <w:r w:rsidRPr="00AC7E5F">
        <w:tab/>
        <w:t>if the table specifies an increase for an appropriation item which is an appropriation item that has effect because of this determination—as if the increase were from a nil amount.</w:t>
      </w:r>
    </w:p>
    <w:p w14:paraId="7DCF7A8C" w14:textId="77777777" w:rsidR="00A7733B" w:rsidRPr="00AC7E5F" w:rsidRDefault="00A7733B" w:rsidP="00A7733B">
      <w:pPr>
        <w:pStyle w:val="Tabletext"/>
      </w:pP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8"/>
        <w:gridCol w:w="3224"/>
        <w:gridCol w:w="1884"/>
      </w:tblGrid>
      <w:tr w:rsidR="00A7733B" w:rsidRPr="00AC7E5F" w14:paraId="7D74070A" w14:textId="77777777" w:rsidTr="00123E5C">
        <w:trPr>
          <w:trHeight w:val="252"/>
          <w:tblHeader/>
        </w:trPr>
        <w:tc>
          <w:tcPr>
            <w:tcW w:w="840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B9D5289" w14:textId="77777777" w:rsidR="00A7733B" w:rsidRPr="00AC7E5F" w:rsidRDefault="00A7733B" w:rsidP="00123E5C">
            <w:pPr>
              <w:pStyle w:val="TableHeading"/>
            </w:pPr>
            <w:r w:rsidRPr="00AC7E5F">
              <w:t>Increases and decreases in appropriation items</w:t>
            </w:r>
          </w:p>
        </w:tc>
      </w:tr>
      <w:tr w:rsidR="00A7733B" w:rsidRPr="00AC7E5F" w14:paraId="15A5BA3C" w14:textId="77777777" w:rsidTr="00123E5C">
        <w:trPr>
          <w:trHeight w:val="657"/>
          <w:tblHeader/>
        </w:trPr>
        <w:tc>
          <w:tcPr>
            <w:tcW w:w="70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3F1074" w14:textId="77777777" w:rsidR="00A7733B" w:rsidRPr="00AC7E5F" w:rsidRDefault="00A7733B" w:rsidP="00123E5C">
            <w:pPr>
              <w:pStyle w:val="TableHeading"/>
            </w:pPr>
            <w:r w:rsidRPr="00AC7E5F">
              <w:t>Item</w:t>
            </w:r>
          </w:p>
        </w:tc>
        <w:tc>
          <w:tcPr>
            <w:tcW w:w="25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9671BDC" w14:textId="77777777" w:rsidR="00A7733B" w:rsidRPr="00AC7E5F" w:rsidRDefault="00A7733B" w:rsidP="00123E5C">
            <w:pPr>
              <w:pStyle w:val="TableHeading"/>
            </w:pPr>
            <w:r w:rsidRPr="00AC7E5F">
              <w:t>Entity</w:t>
            </w:r>
          </w:p>
        </w:tc>
        <w:tc>
          <w:tcPr>
            <w:tcW w:w="322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3A4D271" w14:textId="77777777" w:rsidR="00A7733B" w:rsidRPr="00AC7E5F" w:rsidRDefault="00A7733B" w:rsidP="00123E5C">
            <w:pPr>
              <w:pStyle w:val="TableHeading"/>
            </w:pPr>
            <w:r w:rsidRPr="00AC7E5F">
              <w:t>Appropriation item</w:t>
            </w: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29F4EB" w14:textId="77777777" w:rsidR="00A7733B" w:rsidRPr="00AC7E5F" w:rsidRDefault="00A7733B" w:rsidP="00123E5C">
            <w:pPr>
              <w:pStyle w:val="TableHeading"/>
              <w:jc w:val="right"/>
            </w:pPr>
            <w:r w:rsidRPr="00AC7E5F">
              <w:t>Increase (+)/</w:t>
            </w:r>
            <w:r w:rsidRPr="00AC7E5F">
              <w:br/>
              <w:t>decrease (</w:t>
            </w:r>
            <w:r>
              <w:noBreakHyphen/>
            </w:r>
            <w:r w:rsidRPr="00AC7E5F">
              <w:t>)</w:t>
            </w:r>
            <w:r w:rsidRPr="00AC7E5F">
              <w:br/>
              <w:t>($)</w:t>
            </w:r>
          </w:p>
        </w:tc>
      </w:tr>
      <w:tr w:rsidR="00A7733B" w:rsidRPr="0074583A" w14:paraId="6C4FE2E0" w14:textId="77777777" w:rsidTr="00123E5C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1E641A1" w14:textId="77777777" w:rsidR="00A7733B" w:rsidRPr="0074583A" w:rsidRDefault="00A7733B" w:rsidP="00123E5C">
            <w:pPr>
              <w:pStyle w:val="Tabletext"/>
            </w:pPr>
            <w:r w:rsidRPr="0074583A">
              <w:t>1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97068F2" w14:textId="0A8C0270" w:rsidR="00A7733B" w:rsidRPr="0074583A" w:rsidRDefault="0074583A" w:rsidP="00123E5C">
            <w:pPr>
              <w:pStyle w:val="Tabletext"/>
            </w:pPr>
            <w:r w:rsidRPr="0074583A">
              <w:t>Department</w:t>
            </w:r>
            <w:r w:rsidR="007A5D99">
              <w:t xml:space="preserve"> of Health, Disability and Ageing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876F33D" w14:textId="5E2E2684" w:rsidR="00A7733B" w:rsidRPr="0074583A" w:rsidRDefault="007A5D99" w:rsidP="00123E5C">
            <w:pPr>
              <w:pStyle w:val="Tabletext"/>
            </w:pPr>
            <w:r>
              <w:t xml:space="preserve">Administered </w:t>
            </w:r>
            <w:r w:rsidR="00C64332">
              <w:t>A</w:t>
            </w:r>
            <w:r>
              <w:t xml:space="preserve">ssets and </w:t>
            </w:r>
            <w:r w:rsidR="00C64332">
              <w:t>L</w:t>
            </w:r>
            <w:r>
              <w:t>iabilities item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65E5783" w14:textId="2BB9C3E0" w:rsidR="00A7733B" w:rsidRPr="0074583A" w:rsidRDefault="00A7733B" w:rsidP="00123E5C">
            <w:pPr>
              <w:pStyle w:val="Tabletext"/>
              <w:jc w:val="right"/>
            </w:pPr>
            <w:r w:rsidRPr="0074583A">
              <w:noBreakHyphen/>
            </w:r>
            <w:r w:rsidR="00AF738E">
              <w:t>68,370,000.00</w:t>
            </w:r>
          </w:p>
        </w:tc>
      </w:tr>
      <w:tr w:rsidR="00A7733B" w:rsidRPr="00AC7E5F" w14:paraId="1482519E" w14:textId="77777777" w:rsidTr="00123E5C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FA49C" w14:textId="77777777" w:rsidR="00A7733B" w:rsidRPr="0074583A" w:rsidRDefault="00A7733B" w:rsidP="00123E5C">
            <w:pPr>
              <w:pStyle w:val="Tabletext"/>
            </w:pPr>
            <w:r w:rsidRPr="0074583A"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ACA9E" w14:textId="60FFD63D" w:rsidR="00A7733B" w:rsidRPr="0074583A" w:rsidRDefault="00584D29" w:rsidP="00123E5C">
            <w:pPr>
              <w:pStyle w:val="Tabletext"/>
            </w:pPr>
            <w:r>
              <w:t>Department of Infrastructure, Transport, Regional Development, Communications, Sport and the Arts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BCFFC" w14:textId="3979FDCD" w:rsidR="00A7733B" w:rsidRPr="0074583A" w:rsidRDefault="00584D29" w:rsidP="00123E5C">
            <w:pPr>
              <w:pStyle w:val="Tabletext"/>
            </w:pPr>
            <w:r>
              <w:t>Administered Assets and Liabilities item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6E66B" w14:textId="7AA0AA33" w:rsidR="00A7733B" w:rsidRPr="0074583A" w:rsidRDefault="007641DF" w:rsidP="00123E5C">
            <w:pPr>
              <w:pStyle w:val="Tabletext"/>
              <w:jc w:val="right"/>
            </w:pPr>
            <w:r>
              <w:t>+68,</w:t>
            </w:r>
            <w:r w:rsidR="0026722E">
              <w:t>370,000.00</w:t>
            </w:r>
          </w:p>
        </w:tc>
      </w:tr>
      <w:tr w:rsidR="00A7733B" w:rsidRPr="00AC7E5F" w14:paraId="18D17F54" w14:textId="77777777" w:rsidTr="00123E5C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1DD75" w14:textId="77777777" w:rsidR="00A7733B" w:rsidRPr="00A05CE4" w:rsidRDefault="00A7733B" w:rsidP="00123E5C">
            <w:pPr>
              <w:pStyle w:val="Tabletext"/>
            </w:pPr>
            <w: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9C126" w14:textId="22571CA7" w:rsidR="00A7733B" w:rsidRPr="00A05CE4" w:rsidRDefault="003B137A" w:rsidP="00123E5C">
            <w:pPr>
              <w:pStyle w:val="Tabletext"/>
            </w:pPr>
            <w:r>
              <w:t>Department of Health, Disability and Ageing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39B02" w14:textId="5733B5C8" w:rsidR="00A7733B" w:rsidRPr="00A05CE4" w:rsidRDefault="00546C35" w:rsidP="00123E5C">
            <w:pPr>
              <w:pStyle w:val="Tabletext"/>
            </w:pPr>
            <w:r>
              <w:t>Corporate entity item, Australian Sports Commission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E6B27" w14:textId="660251D0" w:rsidR="00A7733B" w:rsidRPr="00A05CE4" w:rsidRDefault="00546C35" w:rsidP="00123E5C">
            <w:pPr>
              <w:pStyle w:val="Tabletext"/>
              <w:jc w:val="right"/>
            </w:pPr>
            <w:r>
              <w:t>-296,000.00</w:t>
            </w:r>
          </w:p>
        </w:tc>
      </w:tr>
      <w:tr w:rsidR="00A7733B" w:rsidRPr="00AC7E5F" w14:paraId="10F2FDF0" w14:textId="77777777" w:rsidTr="00D83E11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E69EC" w14:textId="77777777" w:rsidR="00A7733B" w:rsidRDefault="00A7733B" w:rsidP="00123E5C">
            <w:pPr>
              <w:pStyle w:val="Tabletext"/>
            </w:pPr>
            <w: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24340" w14:textId="0B28AB4F" w:rsidR="00A7733B" w:rsidRDefault="00546C35" w:rsidP="00123E5C">
            <w:pPr>
              <w:pStyle w:val="Tabletext"/>
            </w:pPr>
            <w:r>
              <w:t>Department of Health, Disability and Ageing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AB0CA" w14:textId="4D949378" w:rsidR="00A7733B" w:rsidRPr="00A05CE4" w:rsidRDefault="00137A81" w:rsidP="00123E5C">
            <w:pPr>
              <w:pStyle w:val="Tabletext"/>
            </w:pPr>
            <w:r>
              <w:t>Corporate entity item, National Disability Insurance Agency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CF43F" w14:textId="0940AF38" w:rsidR="00A7733B" w:rsidRPr="00A05CE4" w:rsidRDefault="00D83E11" w:rsidP="00123E5C">
            <w:pPr>
              <w:pStyle w:val="Tabletext"/>
              <w:jc w:val="right"/>
            </w:pPr>
            <w:r>
              <w:t>+1,963,000.00</w:t>
            </w:r>
          </w:p>
        </w:tc>
      </w:tr>
      <w:tr w:rsidR="00D83E11" w:rsidRPr="00AC7E5F" w14:paraId="2DC3D3FD" w14:textId="77777777" w:rsidTr="000B1FA8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52D13" w14:textId="7CA95F5B" w:rsidR="00D83E11" w:rsidRDefault="00D83E11" w:rsidP="00123E5C">
            <w:pPr>
              <w:pStyle w:val="Tabletext"/>
            </w:pPr>
            <w:r>
              <w:lastRenderedPageBreak/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F16C1" w14:textId="2478AF27" w:rsidR="00D83E11" w:rsidRDefault="000B1FA8" w:rsidP="00123E5C">
            <w:pPr>
              <w:pStyle w:val="Tabletext"/>
            </w:pPr>
            <w:r>
              <w:t>Department of Infrastructure, Transport, Regional Development, Communications, Sport and the Arts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8D6AF" w14:textId="637B8827" w:rsidR="00D83E11" w:rsidRDefault="000B1FA8" w:rsidP="00123E5C">
            <w:pPr>
              <w:pStyle w:val="Tabletext"/>
            </w:pPr>
            <w:r>
              <w:t>Corporate entity item, Australian Sports Commission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0D90F" w14:textId="06481C14" w:rsidR="00D83E11" w:rsidRDefault="000B1FA8" w:rsidP="00123E5C">
            <w:pPr>
              <w:pStyle w:val="Tabletext"/>
              <w:jc w:val="right"/>
            </w:pPr>
            <w:r>
              <w:t>+296,000.00</w:t>
            </w:r>
          </w:p>
        </w:tc>
      </w:tr>
      <w:tr w:rsidR="000B1FA8" w:rsidRPr="00AC7E5F" w14:paraId="3155C571" w14:textId="77777777" w:rsidTr="00123E5C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3B361E" w14:textId="2A779C6D" w:rsidR="000B1FA8" w:rsidRDefault="000B1FA8" w:rsidP="00123E5C">
            <w:pPr>
              <w:pStyle w:val="Tabletext"/>
            </w:pPr>
            <w:r>
              <w:t>6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097E50E" w14:textId="4D9225EA" w:rsidR="000B1FA8" w:rsidRDefault="000B1FA8" w:rsidP="00123E5C">
            <w:pPr>
              <w:pStyle w:val="Tabletext"/>
            </w:pPr>
            <w:r>
              <w:t>Department of Social Services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E3B20DA" w14:textId="77C192E2" w:rsidR="000B1FA8" w:rsidRDefault="000B1FA8" w:rsidP="00123E5C">
            <w:pPr>
              <w:pStyle w:val="Tabletext"/>
            </w:pPr>
            <w:r>
              <w:t>Corporate entity item, National Disability Insurance Agency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D683212" w14:textId="0458F977" w:rsidR="000B1FA8" w:rsidRDefault="000B1FA8" w:rsidP="00123E5C">
            <w:pPr>
              <w:pStyle w:val="Tabletext"/>
              <w:jc w:val="right"/>
            </w:pPr>
            <w:r>
              <w:t>-1,963,000.00</w:t>
            </w:r>
          </w:p>
        </w:tc>
      </w:tr>
    </w:tbl>
    <w:p w14:paraId="4F09E513" w14:textId="77777777" w:rsidR="00284355" w:rsidRPr="00AC7E5F" w:rsidRDefault="00284355" w:rsidP="00070C8E">
      <w:pPr>
        <w:pStyle w:val="Tabletext"/>
      </w:pPr>
    </w:p>
    <w:sectPr w:rsidR="00284355" w:rsidRPr="00AC7E5F" w:rsidSect="00CA4B6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F3173" w14:textId="77777777" w:rsidR="006B3FA4" w:rsidRDefault="006B3FA4" w:rsidP="00715914">
      <w:pPr>
        <w:spacing w:line="240" w:lineRule="auto"/>
      </w:pPr>
      <w:r>
        <w:separator/>
      </w:r>
    </w:p>
  </w:endnote>
  <w:endnote w:type="continuationSeparator" w:id="0">
    <w:p w14:paraId="6E38377A" w14:textId="77777777" w:rsidR="006B3FA4" w:rsidRDefault="006B3FA4" w:rsidP="00715914">
      <w:pPr>
        <w:spacing w:line="240" w:lineRule="auto"/>
      </w:pPr>
      <w:r>
        <w:continuationSeparator/>
      </w:r>
    </w:p>
  </w:endnote>
  <w:endnote w:type="continuationNotice" w:id="1">
    <w:p w14:paraId="2A8264BE" w14:textId="77777777" w:rsidR="006B3FA4" w:rsidRDefault="006B3F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9122" w14:textId="77777777" w:rsidR="00AD3472" w:rsidRPr="002A2538" w:rsidRDefault="002A2538" w:rsidP="002A2538">
    <w:pPr>
      <w:pStyle w:val="Footer"/>
      <w:rPr>
        <w:i/>
        <w:sz w:val="18"/>
      </w:rPr>
    </w:pPr>
    <w:r w:rsidRPr="002A2538">
      <w:rPr>
        <w:i/>
        <w:sz w:val="18"/>
      </w:rPr>
      <w:t>OPC66001 -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CF3A9" w14:textId="77777777" w:rsidR="00050E70" w:rsidRDefault="00050E70" w:rsidP="00D047AF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25F1F" w14:textId="77777777" w:rsidR="00050E70" w:rsidRPr="002A2538" w:rsidRDefault="002A2538" w:rsidP="002A253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A2538">
      <w:rPr>
        <w:i/>
        <w:sz w:val="18"/>
      </w:rPr>
      <w:t>OPC66001 -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E01A8" w14:textId="77777777" w:rsidR="00050E70" w:rsidRPr="00E33C1C" w:rsidRDefault="00050E70" w:rsidP="00D047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691"/>
      <w:gridCol w:w="6218"/>
      <w:gridCol w:w="1349"/>
    </w:tblGrid>
    <w:tr w:rsidR="00050E70" w14:paraId="012635B1" w14:textId="77777777" w:rsidTr="00AD3472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9726359" w14:textId="77777777" w:rsidR="00050E70" w:rsidRDefault="00050E70" w:rsidP="00057D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45A1496" w14:textId="279F97E5" w:rsidR="00050E70" w:rsidRDefault="00050E70" w:rsidP="00057D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6BCF">
            <w:rPr>
              <w:i/>
              <w:sz w:val="18"/>
            </w:rPr>
            <w:t>Public Governance, Performance and Accountability (Section 75 Transfers) Determination 2022-2023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ED4B4BB" w14:textId="77777777" w:rsidR="00050E70" w:rsidRDefault="00050E70" w:rsidP="00057D5A">
          <w:pPr>
            <w:spacing w:line="0" w:lineRule="atLeast"/>
            <w:jc w:val="right"/>
            <w:rPr>
              <w:sz w:val="18"/>
            </w:rPr>
          </w:pPr>
        </w:p>
      </w:tc>
    </w:tr>
  </w:tbl>
  <w:p w14:paraId="31E66CEA" w14:textId="77777777" w:rsidR="00050E70" w:rsidRPr="002A2538" w:rsidRDefault="002A2538" w:rsidP="002A2538">
    <w:pPr>
      <w:rPr>
        <w:rFonts w:cs="Times New Roman"/>
        <w:i/>
        <w:sz w:val="18"/>
      </w:rPr>
    </w:pPr>
    <w:r w:rsidRPr="002A2538">
      <w:rPr>
        <w:rFonts w:cs="Times New Roman"/>
        <w:i/>
        <w:sz w:val="18"/>
      </w:rPr>
      <w:t>OPC66001 -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663D8" w14:textId="77777777" w:rsidR="00050E70" w:rsidRPr="00E33C1C" w:rsidRDefault="00050E70" w:rsidP="00D047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6"/>
      <w:gridCol w:w="6260"/>
      <w:gridCol w:w="697"/>
    </w:tblGrid>
    <w:tr w:rsidR="00050E70" w14:paraId="63D88E3C" w14:textId="77777777" w:rsidTr="00AD3472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0531602A" w14:textId="77777777" w:rsidR="00050E70" w:rsidRDefault="00050E70" w:rsidP="00057D5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242E720" w14:textId="6C0ABA23" w:rsidR="00050E70" w:rsidRDefault="00D4689A" w:rsidP="00057D5A">
          <w:pPr>
            <w:spacing w:line="0" w:lineRule="atLeast"/>
            <w:jc w:val="center"/>
            <w:rPr>
              <w:sz w:val="18"/>
            </w:rPr>
          </w:pPr>
          <w:r w:rsidRPr="002B6BCF">
            <w:rPr>
              <w:i/>
              <w:sz w:val="18"/>
            </w:rPr>
            <w:t>Public Governance, Performance and Accountability (Section 75 Transfers) Determination 202</w:t>
          </w:r>
          <w:r w:rsidR="008F2C31">
            <w:rPr>
              <w:i/>
              <w:sz w:val="18"/>
            </w:rPr>
            <w:t>5</w:t>
          </w:r>
          <w:r w:rsidRPr="002B6BCF">
            <w:rPr>
              <w:i/>
              <w:sz w:val="18"/>
            </w:rPr>
            <w:t>-202</w:t>
          </w:r>
          <w:r w:rsidR="008F2C31">
            <w:rPr>
              <w:i/>
              <w:sz w:val="18"/>
            </w:rPr>
            <w:t>6</w:t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6BA9957B" w14:textId="77777777" w:rsidR="00050E70" w:rsidRDefault="00050E70" w:rsidP="00057D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D58C10" w14:textId="09739D8F" w:rsidR="00050E70" w:rsidRPr="002A2538" w:rsidRDefault="00050E70" w:rsidP="00921772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1FAA" w14:textId="77777777" w:rsidR="00050E70" w:rsidRPr="00E33C1C" w:rsidRDefault="00050E70" w:rsidP="00D047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50E70" w14:paraId="57A03A49" w14:textId="77777777" w:rsidTr="00AD34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289E9E" w14:textId="77777777" w:rsidR="00050E70" w:rsidRDefault="00050E70" w:rsidP="00057D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59CF6A" w14:textId="439F22C2" w:rsidR="00050E70" w:rsidRDefault="00D4689A" w:rsidP="00057D5A">
          <w:pPr>
            <w:spacing w:line="0" w:lineRule="atLeast"/>
            <w:jc w:val="center"/>
            <w:rPr>
              <w:sz w:val="18"/>
            </w:rPr>
          </w:pPr>
          <w:r w:rsidRPr="002B6BCF">
            <w:rPr>
              <w:i/>
              <w:sz w:val="18"/>
            </w:rPr>
            <w:t>Public Governance, Performance and Accountability (Section 75 Transfers) Determination 202</w:t>
          </w:r>
          <w:r w:rsidR="00953E0E">
            <w:rPr>
              <w:i/>
              <w:sz w:val="18"/>
            </w:rPr>
            <w:t>5</w:t>
          </w:r>
          <w:r w:rsidRPr="002B6BCF">
            <w:rPr>
              <w:i/>
              <w:sz w:val="18"/>
            </w:rPr>
            <w:t>-202</w:t>
          </w:r>
          <w:r w:rsidR="00953E0E">
            <w:rPr>
              <w:i/>
              <w:sz w:val="18"/>
            </w:rPr>
            <w:t>6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77024F" w14:textId="77777777" w:rsidR="00050E70" w:rsidRDefault="00050E70" w:rsidP="00057D5A">
          <w:pPr>
            <w:spacing w:line="0" w:lineRule="atLeast"/>
            <w:jc w:val="right"/>
            <w:rPr>
              <w:sz w:val="18"/>
            </w:rPr>
          </w:pPr>
        </w:p>
      </w:tc>
    </w:tr>
  </w:tbl>
  <w:p w14:paraId="38E8D517" w14:textId="48F74CA2" w:rsidR="00050E70" w:rsidRPr="002A2538" w:rsidRDefault="00050E70" w:rsidP="00A571E7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5DB6" w14:textId="77777777" w:rsidR="00050E70" w:rsidRPr="00E33C1C" w:rsidRDefault="00050E70" w:rsidP="00D047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8"/>
      <w:gridCol w:w="6260"/>
      <w:gridCol w:w="695"/>
    </w:tblGrid>
    <w:tr w:rsidR="00050E70" w14:paraId="168A7E40" w14:textId="77777777" w:rsidTr="00D047A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ECB05BB" w14:textId="77777777" w:rsidR="00050E70" w:rsidRDefault="00050E70" w:rsidP="00057D5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DA79F04" w14:textId="473C8F32" w:rsidR="00050E70" w:rsidRDefault="002B6BCF" w:rsidP="00057D5A">
          <w:pPr>
            <w:spacing w:line="0" w:lineRule="atLeast"/>
            <w:jc w:val="center"/>
            <w:rPr>
              <w:sz w:val="18"/>
            </w:rPr>
          </w:pPr>
          <w:r w:rsidRPr="002B6BCF">
            <w:rPr>
              <w:i/>
              <w:sz w:val="18"/>
            </w:rPr>
            <w:t>Public Governance, Performance and Accountability (Section 75 Transfers) Determination 202</w:t>
          </w:r>
          <w:r w:rsidR="007E7DB5">
            <w:rPr>
              <w:i/>
              <w:sz w:val="18"/>
            </w:rPr>
            <w:t>5</w:t>
          </w:r>
          <w:r w:rsidRPr="002B6BCF">
            <w:rPr>
              <w:i/>
              <w:sz w:val="18"/>
            </w:rPr>
            <w:t>-202</w:t>
          </w:r>
          <w:r w:rsidR="007E7DB5">
            <w:rPr>
              <w:i/>
              <w:sz w:val="18"/>
            </w:rPr>
            <w:t>6</w:t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428C2C40" w14:textId="77777777" w:rsidR="00050E70" w:rsidRDefault="00050E70" w:rsidP="00057D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1A1F69" w14:textId="67445B84" w:rsidR="00050E70" w:rsidRPr="002A2538" w:rsidRDefault="00050E70" w:rsidP="003F648F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B0E0" w14:textId="77777777" w:rsidR="00050E70" w:rsidRPr="00E33C1C" w:rsidRDefault="00050E7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50"/>
      <w:gridCol w:w="6218"/>
      <w:gridCol w:w="690"/>
    </w:tblGrid>
    <w:tr w:rsidR="00050E70" w14:paraId="17A839B9" w14:textId="77777777" w:rsidTr="00AD3472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27D42EF" w14:textId="77777777" w:rsidR="00050E70" w:rsidRDefault="00050E70" w:rsidP="00057D5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A7DC88E" w14:textId="6800444B" w:rsidR="00050E70" w:rsidRDefault="00050E70" w:rsidP="00057D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6BCF">
            <w:rPr>
              <w:i/>
              <w:sz w:val="18"/>
            </w:rPr>
            <w:t>Public Governance, Performance and Accountability (Section 75 Transfers) Determination 2022-2023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683C1A2" w14:textId="77777777" w:rsidR="00050E70" w:rsidRDefault="00050E70" w:rsidP="00057D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BB27D4" w14:textId="77777777" w:rsidR="00050E70" w:rsidRPr="002A2538" w:rsidRDefault="002A2538" w:rsidP="002A2538">
    <w:pPr>
      <w:rPr>
        <w:rFonts w:cs="Times New Roman"/>
        <w:i/>
        <w:sz w:val="18"/>
      </w:rPr>
    </w:pPr>
    <w:r w:rsidRPr="002A2538">
      <w:rPr>
        <w:rFonts w:cs="Times New Roman"/>
        <w:i/>
        <w:sz w:val="18"/>
      </w:rPr>
      <w:t>OPC66001 -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31EED" w14:textId="77777777" w:rsidR="006B3FA4" w:rsidRDefault="006B3FA4" w:rsidP="00715914">
      <w:pPr>
        <w:spacing w:line="240" w:lineRule="auto"/>
      </w:pPr>
      <w:r>
        <w:separator/>
      </w:r>
    </w:p>
  </w:footnote>
  <w:footnote w:type="continuationSeparator" w:id="0">
    <w:p w14:paraId="5C501ED3" w14:textId="77777777" w:rsidR="006B3FA4" w:rsidRDefault="006B3FA4" w:rsidP="00715914">
      <w:pPr>
        <w:spacing w:line="240" w:lineRule="auto"/>
      </w:pPr>
      <w:r>
        <w:continuationSeparator/>
      </w:r>
    </w:p>
  </w:footnote>
  <w:footnote w:type="continuationNotice" w:id="1">
    <w:p w14:paraId="17E290EA" w14:textId="77777777" w:rsidR="006B3FA4" w:rsidRDefault="006B3F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30AA" w14:textId="77777777" w:rsidR="00050E70" w:rsidRPr="005F1388" w:rsidRDefault="00050E7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112D6" w14:textId="77777777" w:rsidR="00050E70" w:rsidRPr="005F1388" w:rsidRDefault="00050E7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13FA" w14:textId="77777777" w:rsidR="00050E70" w:rsidRPr="005F1388" w:rsidRDefault="00050E7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FC2F" w14:textId="77777777" w:rsidR="00050E70" w:rsidRPr="00ED79B6" w:rsidRDefault="00050E7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5AE3" w14:textId="77777777" w:rsidR="00050E70" w:rsidRPr="00ED79B6" w:rsidRDefault="00050E7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E876" w14:textId="77777777" w:rsidR="00050E70" w:rsidRPr="00ED79B6" w:rsidRDefault="00050E7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7D575" w14:textId="2A40F153" w:rsidR="00050E70" w:rsidRDefault="00050E7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8B4AEF7" w14:textId="0C14FC72" w:rsidR="00050E70" w:rsidRDefault="00050E7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6A8FBD1" w14:textId="753BA062" w:rsidR="00050E70" w:rsidRPr="007A1328" w:rsidRDefault="00050E7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BD162B6" w14:textId="77777777" w:rsidR="00050E70" w:rsidRPr="007A1328" w:rsidRDefault="00050E70" w:rsidP="00715914">
    <w:pPr>
      <w:rPr>
        <w:b/>
        <w:sz w:val="24"/>
      </w:rPr>
    </w:pPr>
  </w:p>
  <w:p w14:paraId="7AC4952A" w14:textId="7E7BB08A" w:rsidR="00050E70" w:rsidRPr="007A1328" w:rsidRDefault="00050E70" w:rsidP="00D047A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B6BC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E61F5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256FE" w14:textId="54A0A843" w:rsidR="00050E70" w:rsidRPr="007A1328" w:rsidRDefault="00050E7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AE051B2" w14:textId="15744E33" w:rsidR="00050E70" w:rsidRPr="007A1328" w:rsidRDefault="00050E7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AAB0A94" w14:textId="269205F4" w:rsidR="00050E70" w:rsidRPr="007A1328" w:rsidRDefault="00050E7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EC1C5B4" w14:textId="77777777" w:rsidR="00050E70" w:rsidRPr="007A1328" w:rsidRDefault="00050E70" w:rsidP="00715914">
    <w:pPr>
      <w:jc w:val="right"/>
      <w:rPr>
        <w:b/>
        <w:sz w:val="24"/>
      </w:rPr>
    </w:pPr>
  </w:p>
  <w:p w14:paraId="2ACA607C" w14:textId="207C6E02" w:rsidR="00050E70" w:rsidRPr="007A1328" w:rsidRDefault="00050E70" w:rsidP="00D047A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B6BC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E61F5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137B" w14:textId="77777777" w:rsidR="00050E70" w:rsidRPr="007A1328" w:rsidRDefault="00050E7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A3247"/>
    <w:multiLevelType w:val="hybridMultilevel"/>
    <w:tmpl w:val="294CA1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CE069A"/>
    <w:multiLevelType w:val="hybridMultilevel"/>
    <w:tmpl w:val="552E20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65675"/>
    <w:multiLevelType w:val="hybridMultilevel"/>
    <w:tmpl w:val="B5BA38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2483BF5"/>
    <w:multiLevelType w:val="hybridMultilevel"/>
    <w:tmpl w:val="BD7A92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4548161D"/>
    <w:multiLevelType w:val="hybridMultilevel"/>
    <w:tmpl w:val="1EE2144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D7177B"/>
    <w:multiLevelType w:val="hybridMultilevel"/>
    <w:tmpl w:val="FFE6D26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946C7A"/>
    <w:multiLevelType w:val="hybridMultilevel"/>
    <w:tmpl w:val="9BB64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82997"/>
    <w:multiLevelType w:val="hybridMultilevel"/>
    <w:tmpl w:val="695098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ED5B72"/>
    <w:multiLevelType w:val="hybridMultilevel"/>
    <w:tmpl w:val="B9D842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E22A7"/>
    <w:multiLevelType w:val="hybridMultilevel"/>
    <w:tmpl w:val="31F282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26355">
    <w:abstractNumId w:val="9"/>
  </w:num>
  <w:num w:numId="2" w16cid:durableId="9068698">
    <w:abstractNumId w:val="7"/>
  </w:num>
  <w:num w:numId="3" w16cid:durableId="110100765">
    <w:abstractNumId w:val="6"/>
  </w:num>
  <w:num w:numId="4" w16cid:durableId="1628581890">
    <w:abstractNumId w:val="5"/>
  </w:num>
  <w:num w:numId="5" w16cid:durableId="1399208496">
    <w:abstractNumId w:val="4"/>
  </w:num>
  <w:num w:numId="6" w16cid:durableId="1378971138">
    <w:abstractNumId w:val="8"/>
  </w:num>
  <w:num w:numId="7" w16cid:durableId="2079548546">
    <w:abstractNumId w:val="3"/>
  </w:num>
  <w:num w:numId="8" w16cid:durableId="736391987">
    <w:abstractNumId w:val="2"/>
  </w:num>
  <w:num w:numId="9" w16cid:durableId="1040398760">
    <w:abstractNumId w:val="1"/>
  </w:num>
  <w:num w:numId="10" w16cid:durableId="430513893">
    <w:abstractNumId w:val="0"/>
  </w:num>
  <w:num w:numId="11" w16cid:durableId="398141329">
    <w:abstractNumId w:val="19"/>
  </w:num>
  <w:num w:numId="12" w16cid:durableId="1359426900">
    <w:abstractNumId w:val="11"/>
  </w:num>
  <w:num w:numId="13" w16cid:durableId="1799839101">
    <w:abstractNumId w:val="13"/>
  </w:num>
  <w:num w:numId="14" w16cid:durableId="254286940">
    <w:abstractNumId w:val="17"/>
  </w:num>
  <w:num w:numId="15" w16cid:durableId="1734959921">
    <w:abstractNumId w:val="14"/>
  </w:num>
  <w:num w:numId="16" w16cid:durableId="1626812670">
    <w:abstractNumId w:val="10"/>
  </w:num>
  <w:num w:numId="17" w16cid:durableId="1025326607">
    <w:abstractNumId w:val="21"/>
  </w:num>
  <w:num w:numId="18" w16cid:durableId="1182864634">
    <w:abstractNumId w:val="20"/>
  </w:num>
  <w:num w:numId="19" w16cid:durableId="303584672">
    <w:abstractNumId w:val="19"/>
  </w:num>
  <w:num w:numId="20" w16cid:durableId="1937208130">
    <w:abstractNumId w:val="27"/>
  </w:num>
  <w:num w:numId="21" w16cid:durableId="1188257586">
    <w:abstractNumId w:val="24"/>
  </w:num>
  <w:num w:numId="22" w16cid:durableId="188494171">
    <w:abstractNumId w:val="25"/>
  </w:num>
  <w:num w:numId="23" w16cid:durableId="1624578208">
    <w:abstractNumId w:val="15"/>
  </w:num>
  <w:num w:numId="24" w16cid:durableId="191311421">
    <w:abstractNumId w:val="26"/>
  </w:num>
  <w:num w:numId="25" w16cid:durableId="1043598472">
    <w:abstractNumId w:val="12"/>
  </w:num>
  <w:num w:numId="26" w16cid:durableId="1283540660">
    <w:abstractNumId w:val="18"/>
  </w:num>
  <w:num w:numId="27" w16cid:durableId="1310591347">
    <w:abstractNumId w:val="22"/>
  </w:num>
  <w:num w:numId="28" w16cid:durableId="81688350">
    <w:abstractNumId w:val="16"/>
  </w:num>
  <w:num w:numId="29" w16cid:durableId="18994322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9D"/>
    <w:rsid w:val="000018D6"/>
    <w:rsid w:val="00004470"/>
    <w:rsid w:val="0001278C"/>
    <w:rsid w:val="000136AF"/>
    <w:rsid w:val="0001707F"/>
    <w:rsid w:val="00020FC4"/>
    <w:rsid w:val="00026F4C"/>
    <w:rsid w:val="00034F9B"/>
    <w:rsid w:val="00043788"/>
    <w:rsid w:val="000437C1"/>
    <w:rsid w:val="0004720B"/>
    <w:rsid w:val="000479E6"/>
    <w:rsid w:val="00047CB6"/>
    <w:rsid w:val="00047EBE"/>
    <w:rsid w:val="00050E70"/>
    <w:rsid w:val="000533C7"/>
    <w:rsid w:val="0005365D"/>
    <w:rsid w:val="00057D5A"/>
    <w:rsid w:val="000613FF"/>
    <w:rsid w:val="000614BF"/>
    <w:rsid w:val="0006485C"/>
    <w:rsid w:val="00065299"/>
    <w:rsid w:val="00066CAE"/>
    <w:rsid w:val="00070C8E"/>
    <w:rsid w:val="000715DC"/>
    <w:rsid w:val="00072174"/>
    <w:rsid w:val="00072AE3"/>
    <w:rsid w:val="00073EAA"/>
    <w:rsid w:val="00075B03"/>
    <w:rsid w:val="00077415"/>
    <w:rsid w:val="00082384"/>
    <w:rsid w:val="00083C16"/>
    <w:rsid w:val="00084D5B"/>
    <w:rsid w:val="00085976"/>
    <w:rsid w:val="0008749C"/>
    <w:rsid w:val="00095A5D"/>
    <w:rsid w:val="000962EA"/>
    <w:rsid w:val="00096B5F"/>
    <w:rsid w:val="000974CF"/>
    <w:rsid w:val="000A1E2C"/>
    <w:rsid w:val="000A4B23"/>
    <w:rsid w:val="000A76E0"/>
    <w:rsid w:val="000B065C"/>
    <w:rsid w:val="000B1FA8"/>
    <w:rsid w:val="000B37FF"/>
    <w:rsid w:val="000B58FA"/>
    <w:rsid w:val="000B5D83"/>
    <w:rsid w:val="000B7E30"/>
    <w:rsid w:val="000C4F6D"/>
    <w:rsid w:val="000D05EF"/>
    <w:rsid w:val="000D22DC"/>
    <w:rsid w:val="000E0B3B"/>
    <w:rsid w:val="000E21D5"/>
    <w:rsid w:val="000E2261"/>
    <w:rsid w:val="000E2823"/>
    <w:rsid w:val="000E2D67"/>
    <w:rsid w:val="000F1F40"/>
    <w:rsid w:val="000F21C1"/>
    <w:rsid w:val="000F3689"/>
    <w:rsid w:val="000F4C2D"/>
    <w:rsid w:val="00100A9F"/>
    <w:rsid w:val="00100BC4"/>
    <w:rsid w:val="00101D36"/>
    <w:rsid w:val="00104E04"/>
    <w:rsid w:val="0010745C"/>
    <w:rsid w:val="00112B67"/>
    <w:rsid w:val="001145D9"/>
    <w:rsid w:val="00114C44"/>
    <w:rsid w:val="001159D6"/>
    <w:rsid w:val="001161D5"/>
    <w:rsid w:val="0012162C"/>
    <w:rsid w:val="00123E5C"/>
    <w:rsid w:val="00126014"/>
    <w:rsid w:val="001263AC"/>
    <w:rsid w:val="00127312"/>
    <w:rsid w:val="00127F22"/>
    <w:rsid w:val="00132CEB"/>
    <w:rsid w:val="00134F0B"/>
    <w:rsid w:val="0013731A"/>
    <w:rsid w:val="00137A81"/>
    <w:rsid w:val="00142B62"/>
    <w:rsid w:val="00142FC6"/>
    <w:rsid w:val="0014406E"/>
    <w:rsid w:val="001444C1"/>
    <w:rsid w:val="0014539C"/>
    <w:rsid w:val="00153893"/>
    <w:rsid w:val="00157B8B"/>
    <w:rsid w:val="00162457"/>
    <w:rsid w:val="00163021"/>
    <w:rsid w:val="0016352F"/>
    <w:rsid w:val="00166863"/>
    <w:rsid w:val="00166C2F"/>
    <w:rsid w:val="00166F35"/>
    <w:rsid w:val="001721AC"/>
    <w:rsid w:val="00172390"/>
    <w:rsid w:val="001727FE"/>
    <w:rsid w:val="001809D7"/>
    <w:rsid w:val="0018646E"/>
    <w:rsid w:val="0018667F"/>
    <w:rsid w:val="001939E1"/>
    <w:rsid w:val="00194C3E"/>
    <w:rsid w:val="00195382"/>
    <w:rsid w:val="001963E4"/>
    <w:rsid w:val="00196F22"/>
    <w:rsid w:val="001A443A"/>
    <w:rsid w:val="001A4BC6"/>
    <w:rsid w:val="001A6410"/>
    <w:rsid w:val="001B2BD6"/>
    <w:rsid w:val="001B2D3B"/>
    <w:rsid w:val="001B3025"/>
    <w:rsid w:val="001C0602"/>
    <w:rsid w:val="001C4866"/>
    <w:rsid w:val="001C61C5"/>
    <w:rsid w:val="001C69C4"/>
    <w:rsid w:val="001D1839"/>
    <w:rsid w:val="001D37EF"/>
    <w:rsid w:val="001D4F0F"/>
    <w:rsid w:val="001D530D"/>
    <w:rsid w:val="001D6482"/>
    <w:rsid w:val="001E09ED"/>
    <w:rsid w:val="001E3590"/>
    <w:rsid w:val="001E7407"/>
    <w:rsid w:val="001F36C2"/>
    <w:rsid w:val="001F472D"/>
    <w:rsid w:val="001F5D5E"/>
    <w:rsid w:val="001F6004"/>
    <w:rsid w:val="001F6219"/>
    <w:rsid w:val="001F6CD4"/>
    <w:rsid w:val="00203112"/>
    <w:rsid w:val="00206C4D"/>
    <w:rsid w:val="00207E8D"/>
    <w:rsid w:val="0021053C"/>
    <w:rsid w:val="00210B42"/>
    <w:rsid w:val="00212E36"/>
    <w:rsid w:val="002150FD"/>
    <w:rsid w:val="00215AF1"/>
    <w:rsid w:val="00217794"/>
    <w:rsid w:val="00224851"/>
    <w:rsid w:val="00226562"/>
    <w:rsid w:val="002321E8"/>
    <w:rsid w:val="0023243B"/>
    <w:rsid w:val="0023329F"/>
    <w:rsid w:val="0023348C"/>
    <w:rsid w:val="00233E9D"/>
    <w:rsid w:val="002354B4"/>
    <w:rsid w:val="0023586F"/>
    <w:rsid w:val="00236EEC"/>
    <w:rsid w:val="0024010F"/>
    <w:rsid w:val="00240749"/>
    <w:rsid w:val="00242028"/>
    <w:rsid w:val="002420AC"/>
    <w:rsid w:val="00243018"/>
    <w:rsid w:val="0024651C"/>
    <w:rsid w:val="00246E09"/>
    <w:rsid w:val="00253728"/>
    <w:rsid w:val="002564A4"/>
    <w:rsid w:val="00256F61"/>
    <w:rsid w:val="00260E83"/>
    <w:rsid w:val="0026249F"/>
    <w:rsid w:val="0026722E"/>
    <w:rsid w:val="0026736C"/>
    <w:rsid w:val="002743B3"/>
    <w:rsid w:val="002753E3"/>
    <w:rsid w:val="002773F3"/>
    <w:rsid w:val="00281308"/>
    <w:rsid w:val="002816A5"/>
    <w:rsid w:val="00282B10"/>
    <w:rsid w:val="00284355"/>
    <w:rsid w:val="00284719"/>
    <w:rsid w:val="00286F5D"/>
    <w:rsid w:val="00290488"/>
    <w:rsid w:val="00291CA5"/>
    <w:rsid w:val="002925A3"/>
    <w:rsid w:val="00293E37"/>
    <w:rsid w:val="00297876"/>
    <w:rsid w:val="00297ECB"/>
    <w:rsid w:val="002A2538"/>
    <w:rsid w:val="002A2A17"/>
    <w:rsid w:val="002A3496"/>
    <w:rsid w:val="002A6BAE"/>
    <w:rsid w:val="002A7BCF"/>
    <w:rsid w:val="002B15C4"/>
    <w:rsid w:val="002B1C0A"/>
    <w:rsid w:val="002B3787"/>
    <w:rsid w:val="002B6BCF"/>
    <w:rsid w:val="002B7404"/>
    <w:rsid w:val="002C00BC"/>
    <w:rsid w:val="002C49F5"/>
    <w:rsid w:val="002C4A40"/>
    <w:rsid w:val="002C5B7E"/>
    <w:rsid w:val="002D043A"/>
    <w:rsid w:val="002D0DCA"/>
    <w:rsid w:val="002D4667"/>
    <w:rsid w:val="002D6224"/>
    <w:rsid w:val="002E1B11"/>
    <w:rsid w:val="002E3F4B"/>
    <w:rsid w:val="002E5A61"/>
    <w:rsid w:val="002E6779"/>
    <w:rsid w:val="002E6F64"/>
    <w:rsid w:val="002F433B"/>
    <w:rsid w:val="002F7BA5"/>
    <w:rsid w:val="003027EF"/>
    <w:rsid w:val="00304F8B"/>
    <w:rsid w:val="003055B6"/>
    <w:rsid w:val="0030648F"/>
    <w:rsid w:val="00313559"/>
    <w:rsid w:val="0031520B"/>
    <w:rsid w:val="003176AF"/>
    <w:rsid w:val="00323253"/>
    <w:rsid w:val="003349E9"/>
    <w:rsid w:val="003349F7"/>
    <w:rsid w:val="003354D2"/>
    <w:rsid w:val="003354D7"/>
    <w:rsid w:val="00335BC6"/>
    <w:rsid w:val="003415D3"/>
    <w:rsid w:val="00344012"/>
    <w:rsid w:val="003443DD"/>
    <w:rsid w:val="00344701"/>
    <w:rsid w:val="00346AF4"/>
    <w:rsid w:val="003472D9"/>
    <w:rsid w:val="00352B0F"/>
    <w:rsid w:val="00354128"/>
    <w:rsid w:val="00354545"/>
    <w:rsid w:val="00356690"/>
    <w:rsid w:val="00360459"/>
    <w:rsid w:val="00362BA1"/>
    <w:rsid w:val="00362DCC"/>
    <w:rsid w:val="00366C8F"/>
    <w:rsid w:val="0037095A"/>
    <w:rsid w:val="0037173D"/>
    <w:rsid w:val="00375BB2"/>
    <w:rsid w:val="003762D1"/>
    <w:rsid w:val="00382459"/>
    <w:rsid w:val="003854E9"/>
    <w:rsid w:val="00390E1F"/>
    <w:rsid w:val="003921B1"/>
    <w:rsid w:val="00394972"/>
    <w:rsid w:val="00394C90"/>
    <w:rsid w:val="003A44B7"/>
    <w:rsid w:val="003A5FB3"/>
    <w:rsid w:val="003A7FF5"/>
    <w:rsid w:val="003B137A"/>
    <w:rsid w:val="003B319E"/>
    <w:rsid w:val="003B77A7"/>
    <w:rsid w:val="003C1E87"/>
    <w:rsid w:val="003C22E5"/>
    <w:rsid w:val="003C34EA"/>
    <w:rsid w:val="003C6231"/>
    <w:rsid w:val="003D0BFE"/>
    <w:rsid w:val="003D2A51"/>
    <w:rsid w:val="003D5700"/>
    <w:rsid w:val="003D72B3"/>
    <w:rsid w:val="003E24C7"/>
    <w:rsid w:val="003E341B"/>
    <w:rsid w:val="003F0C5D"/>
    <w:rsid w:val="003F48FF"/>
    <w:rsid w:val="003F648F"/>
    <w:rsid w:val="00400CA1"/>
    <w:rsid w:val="00405A89"/>
    <w:rsid w:val="0040692F"/>
    <w:rsid w:val="00406F75"/>
    <w:rsid w:val="004116CD"/>
    <w:rsid w:val="004119C2"/>
    <w:rsid w:val="004144EC"/>
    <w:rsid w:val="0041636D"/>
    <w:rsid w:val="00417EB9"/>
    <w:rsid w:val="0042154E"/>
    <w:rsid w:val="00424CA9"/>
    <w:rsid w:val="00425407"/>
    <w:rsid w:val="00425855"/>
    <w:rsid w:val="00431E9B"/>
    <w:rsid w:val="0043443E"/>
    <w:rsid w:val="00434861"/>
    <w:rsid w:val="004379E3"/>
    <w:rsid w:val="00437E5C"/>
    <w:rsid w:val="0044015E"/>
    <w:rsid w:val="0044291A"/>
    <w:rsid w:val="0044386F"/>
    <w:rsid w:val="0044482C"/>
    <w:rsid w:val="00444ABD"/>
    <w:rsid w:val="0044602D"/>
    <w:rsid w:val="00453190"/>
    <w:rsid w:val="00455AAE"/>
    <w:rsid w:val="00456F84"/>
    <w:rsid w:val="0046135C"/>
    <w:rsid w:val="00461C81"/>
    <w:rsid w:val="00464581"/>
    <w:rsid w:val="00467661"/>
    <w:rsid w:val="004705B7"/>
    <w:rsid w:val="00470A7E"/>
    <w:rsid w:val="00472DBE"/>
    <w:rsid w:val="00473A6B"/>
    <w:rsid w:val="00474A19"/>
    <w:rsid w:val="00482A14"/>
    <w:rsid w:val="00487ED5"/>
    <w:rsid w:val="00490272"/>
    <w:rsid w:val="0049231E"/>
    <w:rsid w:val="00495FFE"/>
    <w:rsid w:val="00496F97"/>
    <w:rsid w:val="00497745"/>
    <w:rsid w:val="004A1C76"/>
    <w:rsid w:val="004A2259"/>
    <w:rsid w:val="004B1136"/>
    <w:rsid w:val="004C1CE3"/>
    <w:rsid w:val="004C6AE8"/>
    <w:rsid w:val="004C762B"/>
    <w:rsid w:val="004D3370"/>
    <w:rsid w:val="004D3593"/>
    <w:rsid w:val="004D7E3F"/>
    <w:rsid w:val="004E063A"/>
    <w:rsid w:val="004E5772"/>
    <w:rsid w:val="004E6FCA"/>
    <w:rsid w:val="004E7BEC"/>
    <w:rsid w:val="004F01F1"/>
    <w:rsid w:val="004F4B00"/>
    <w:rsid w:val="004F4E33"/>
    <w:rsid w:val="004F53FA"/>
    <w:rsid w:val="004F66FA"/>
    <w:rsid w:val="0050154D"/>
    <w:rsid w:val="00505524"/>
    <w:rsid w:val="00505D3D"/>
    <w:rsid w:val="005068B3"/>
    <w:rsid w:val="00506AF6"/>
    <w:rsid w:val="00506D68"/>
    <w:rsid w:val="005107B9"/>
    <w:rsid w:val="00510E2A"/>
    <w:rsid w:val="00510E8F"/>
    <w:rsid w:val="00510F3D"/>
    <w:rsid w:val="005122C4"/>
    <w:rsid w:val="00514295"/>
    <w:rsid w:val="00515C60"/>
    <w:rsid w:val="00516AA8"/>
    <w:rsid w:val="00516B8D"/>
    <w:rsid w:val="0052266D"/>
    <w:rsid w:val="00524569"/>
    <w:rsid w:val="00527B0A"/>
    <w:rsid w:val="005334F5"/>
    <w:rsid w:val="00533F54"/>
    <w:rsid w:val="00534D3B"/>
    <w:rsid w:val="00537D91"/>
    <w:rsid w:val="00537FBC"/>
    <w:rsid w:val="00541996"/>
    <w:rsid w:val="00542546"/>
    <w:rsid w:val="005444CC"/>
    <w:rsid w:val="00546C35"/>
    <w:rsid w:val="00547D88"/>
    <w:rsid w:val="00552786"/>
    <w:rsid w:val="00554954"/>
    <w:rsid w:val="00555550"/>
    <w:rsid w:val="005574D1"/>
    <w:rsid w:val="00560E70"/>
    <w:rsid w:val="00562422"/>
    <w:rsid w:val="005635F6"/>
    <w:rsid w:val="005638AB"/>
    <w:rsid w:val="00565C4C"/>
    <w:rsid w:val="00570480"/>
    <w:rsid w:val="00571DE2"/>
    <w:rsid w:val="00574282"/>
    <w:rsid w:val="00584811"/>
    <w:rsid w:val="00584D29"/>
    <w:rsid w:val="00585784"/>
    <w:rsid w:val="005863DE"/>
    <w:rsid w:val="00590B78"/>
    <w:rsid w:val="0059232F"/>
    <w:rsid w:val="00593AA6"/>
    <w:rsid w:val="00594161"/>
    <w:rsid w:val="00594749"/>
    <w:rsid w:val="00596633"/>
    <w:rsid w:val="005A3F41"/>
    <w:rsid w:val="005A4D0D"/>
    <w:rsid w:val="005A4DF9"/>
    <w:rsid w:val="005B165D"/>
    <w:rsid w:val="005B385C"/>
    <w:rsid w:val="005B4067"/>
    <w:rsid w:val="005B7A9F"/>
    <w:rsid w:val="005B7F14"/>
    <w:rsid w:val="005C3F41"/>
    <w:rsid w:val="005C415B"/>
    <w:rsid w:val="005C594D"/>
    <w:rsid w:val="005C5D44"/>
    <w:rsid w:val="005D26D6"/>
    <w:rsid w:val="005D2D09"/>
    <w:rsid w:val="005D33C7"/>
    <w:rsid w:val="005D51B8"/>
    <w:rsid w:val="005E1078"/>
    <w:rsid w:val="005E5BE2"/>
    <w:rsid w:val="005E6438"/>
    <w:rsid w:val="005F3661"/>
    <w:rsid w:val="005F4BD8"/>
    <w:rsid w:val="005F583F"/>
    <w:rsid w:val="00600219"/>
    <w:rsid w:val="00602212"/>
    <w:rsid w:val="00602548"/>
    <w:rsid w:val="00603DC4"/>
    <w:rsid w:val="00610E36"/>
    <w:rsid w:val="00613474"/>
    <w:rsid w:val="00620076"/>
    <w:rsid w:val="00621D71"/>
    <w:rsid w:val="00624304"/>
    <w:rsid w:val="0062487D"/>
    <w:rsid w:val="00627D09"/>
    <w:rsid w:val="00634E09"/>
    <w:rsid w:val="00640E04"/>
    <w:rsid w:val="0064146A"/>
    <w:rsid w:val="006464F8"/>
    <w:rsid w:val="006526ED"/>
    <w:rsid w:val="006552C9"/>
    <w:rsid w:val="00657194"/>
    <w:rsid w:val="0066222D"/>
    <w:rsid w:val="00666FB6"/>
    <w:rsid w:val="00670EA1"/>
    <w:rsid w:val="00676E54"/>
    <w:rsid w:val="00677CC2"/>
    <w:rsid w:val="0068124C"/>
    <w:rsid w:val="006874B1"/>
    <w:rsid w:val="00690281"/>
    <w:rsid w:val="006905DE"/>
    <w:rsid w:val="00690890"/>
    <w:rsid w:val="006914B2"/>
    <w:rsid w:val="00691D1E"/>
    <w:rsid w:val="0069207B"/>
    <w:rsid w:val="006944A8"/>
    <w:rsid w:val="006956FB"/>
    <w:rsid w:val="00697272"/>
    <w:rsid w:val="006A013B"/>
    <w:rsid w:val="006A1D13"/>
    <w:rsid w:val="006A550F"/>
    <w:rsid w:val="006B3FA4"/>
    <w:rsid w:val="006B5789"/>
    <w:rsid w:val="006B6323"/>
    <w:rsid w:val="006C07AD"/>
    <w:rsid w:val="006C30C5"/>
    <w:rsid w:val="006C361C"/>
    <w:rsid w:val="006C4E8F"/>
    <w:rsid w:val="006C662B"/>
    <w:rsid w:val="006C6D0D"/>
    <w:rsid w:val="006C7F8C"/>
    <w:rsid w:val="006D07B2"/>
    <w:rsid w:val="006D323D"/>
    <w:rsid w:val="006D3C04"/>
    <w:rsid w:val="006D43F4"/>
    <w:rsid w:val="006D4ECF"/>
    <w:rsid w:val="006D515E"/>
    <w:rsid w:val="006E2918"/>
    <w:rsid w:val="006E3430"/>
    <w:rsid w:val="006E5E5E"/>
    <w:rsid w:val="006E6246"/>
    <w:rsid w:val="006E715B"/>
    <w:rsid w:val="006F051E"/>
    <w:rsid w:val="006F318F"/>
    <w:rsid w:val="006F4226"/>
    <w:rsid w:val="0070017E"/>
    <w:rsid w:val="007004A4"/>
    <w:rsid w:val="00700B2C"/>
    <w:rsid w:val="00700CAD"/>
    <w:rsid w:val="007050A2"/>
    <w:rsid w:val="007071A5"/>
    <w:rsid w:val="00711229"/>
    <w:rsid w:val="007114DD"/>
    <w:rsid w:val="00711CA5"/>
    <w:rsid w:val="00713084"/>
    <w:rsid w:val="0071313B"/>
    <w:rsid w:val="007132B5"/>
    <w:rsid w:val="00714F20"/>
    <w:rsid w:val="0071590F"/>
    <w:rsid w:val="00715914"/>
    <w:rsid w:val="00725D59"/>
    <w:rsid w:val="00731E00"/>
    <w:rsid w:val="0073301F"/>
    <w:rsid w:val="0073449F"/>
    <w:rsid w:val="00734B21"/>
    <w:rsid w:val="007362FC"/>
    <w:rsid w:val="00737A90"/>
    <w:rsid w:val="007440B7"/>
    <w:rsid w:val="007456C0"/>
    <w:rsid w:val="0074583A"/>
    <w:rsid w:val="007500C8"/>
    <w:rsid w:val="00751FDF"/>
    <w:rsid w:val="00752938"/>
    <w:rsid w:val="0075303A"/>
    <w:rsid w:val="00753CE5"/>
    <w:rsid w:val="00755F2F"/>
    <w:rsid w:val="00756272"/>
    <w:rsid w:val="00762EFF"/>
    <w:rsid w:val="00763850"/>
    <w:rsid w:val="007641DF"/>
    <w:rsid w:val="007651D8"/>
    <w:rsid w:val="0076681A"/>
    <w:rsid w:val="00766C34"/>
    <w:rsid w:val="007677C5"/>
    <w:rsid w:val="007715C9"/>
    <w:rsid w:val="00771613"/>
    <w:rsid w:val="0077461D"/>
    <w:rsid w:val="00774EDD"/>
    <w:rsid w:val="007757EC"/>
    <w:rsid w:val="007767B0"/>
    <w:rsid w:val="00777AFE"/>
    <w:rsid w:val="0078131E"/>
    <w:rsid w:val="0078247A"/>
    <w:rsid w:val="00782C84"/>
    <w:rsid w:val="00783E89"/>
    <w:rsid w:val="00784E0B"/>
    <w:rsid w:val="00784F0E"/>
    <w:rsid w:val="00785C7F"/>
    <w:rsid w:val="00787472"/>
    <w:rsid w:val="00787517"/>
    <w:rsid w:val="00791FB0"/>
    <w:rsid w:val="00792F28"/>
    <w:rsid w:val="00793915"/>
    <w:rsid w:val="00795856"/>
    <w:rsid w:val="00795FE8"/>
    <w:rsid w:val="007A2BC2"/>
    <w:rsid w:val="007A5D99"/>
    <w:rsid w:val="007A67DF"/>
    <w:rsid w:val="007A7D69"/>
    <w:rsid w:val="007B0770"/>
    <w:rsid w:val="007B09B5"/>
    <w:rsid w:val="007B34EB"/>
    <w:rsid w:val="007B6DC1"/>
    <w:rsid w:val="007B7BC6"/>
    <w:rsid w:val="007B7F70"/>
    <w:rsid w:val="007C2253"/>
    <w:rsid w:val="007C2C73"/>
    <w:rsid w:val="007C3762"/>
    <w:rsid w:val="007D31E1"/>
    <w:rsid w:val="007D51E5"/>
    <w:rsid w:val="007D5A63"/>
    <w:rsid w:val="007D6C45"/>
    <w:rsid w:val="007D7B81"/>
    <w:rsid w:val="007E163D"/>
    <w:rsid w:val="007E2011"/>
    <w:rsid w:val="007E667A"/>
    <w:rsid w:val="007E7333"/>
    <w:rsid w:val="007E7DB5"/>
    <w:rsid w:val="007F04F2"/>
    <w:rsid w:val="007F22FD"/>
    <w:rsid w:val="007F28C9"/>
    <w:rsid w:val="007F4EE1"/>
    <w:rsid w:val="007F52BE"/>
    <w:rsid w:val="007F6F28"/>
    <w:rsid w:val="00802579"/>
    <w:rsid w:val="00803587"/>
    <w:rsid w:val="00804486"/>
    <w:rsid w:val="00805219"/>
    <w:rsid w:val="00805459"/>
    <w:rsid w:val="0080701D"/>
    <w:rsid w:val="00807626"/>
    <w:rsid w:val="008117E9"/>
    <w:rsid w:val="00820DF6"/>
    <w:rsid w:val="00821986"/>
    <w:rsid w:val="008219C2"/>
    <w:rsid w:val="00821F57"/>
    <w:rsid w:val="00822119"/>
    <w:rsid w:val="00823CEB"/>
    <w:rsid w:val="00824498"/>
    <w:rsid w:val="008313F2"/>
    <w:rsid w:val="008328E0"/>
    <w:rsid w:val="0083484D"/>
    <w:rsid w:val="00836980"/>
    <w:rsid w:val="00837050"/>
    <w:rsid w:val="00837E1A"/>
    <w:rsid w:val="00840020"/>
    <w:rsid w:val="00853847"/>
    <w:rsid w:val="0085622D"/>
    <w:rsid w:val="00856A31"/>
    <w:rsid w:val="008609C3"/>
    <w:rsid w:val="00864B24"/>
    <w:rsid w:val="00867B37"/>
    <w:rsid w:val="008713C1"/>
    <w:rsid w:val="00872550"/>
    <w:rsid w:val="008754D0"/>
    <w:rsid w:val="00881056"/>
    <w:rsid w:val="0088345E"/>
    <w:rsid w:val="008848F0"/>
    <w:rsid w:val="008855C9"/>
    <w:rsid w:val="00886456"/>
    <w:rsid w:val="00887612"/>
    <w:rsid w:val="008935D1"/>
    <w:rsid w:val="00896754"/>
    <w:rsid w:val="008A0030"/>
    <w:rsid w:val="008A07A3"/>
    <w:rsid w:val="008A1094"/>
    <w:rsid w:val="008A3CD2"/>
    <w:rsid w:val="008A46E1"/>
    <w:rsid w:val="008A4F43"/>
    <w:rsid w:val="008A6031"/>
    <w:rsid w:val="008B24BE"/>
    <w:rsid w:val="008B2706"/>
    <w:rsid w:val="008B2BB2"/>
    <w:rsid w:val="008B421A"/>
    <w:rsid w:val="008B4F98"/>
    <w:rsid w:val="008C00AB"/>
    <w:rsid w:val="008C4C02"/>
    <w:rsid w:val="008C6B0C"/>
    <w:rsid w:val="008D06A7"/>
    <w:rsid w:val="008D0EE0"/>
    <w:rsid w:val="008D4E24"/>
    <w:rsid w:val="008E33F8"/>
    <w:rsid w:val="008E3A41"/>
    <w:rsid w:val="008E3C4F"/>
    <w:rsid w:val="008E52B0"/>
    <w:rsid w:val="008E55E4"/>
    <w:rsid w:val="008E6067"/>
    <w:rsid w:val="008F1BD1"/>
    <w:rsid w:val="008F2C31"/>
    <w:rsid w:val="008F319D"/>
    <w:rsid w:val="008F54E7"/>
    <w:rsid w:val="008F5561"/>
    <w:rsid w:val="00900477"/>
    <w:rsid w:val="00902389"/>
    <w:rsid w:val="00903422"/>
    <w:rsid w:val="009104F0"/>
    <w:rsid w:val="009112B2"/>
    <w:rsid w:val="00915DF9"/>
    <w:rsid w:val="009173B1"/>
    <w:rsid w:val="0092047B"/>
    <w:rsid w:val="00921772"/>
    <w:rsid w:val="0092431E"/>
    <w:rsid w:val="009254C3"/>
    <w:rsid w:val="00925DD7"/>
    <w:rsid w:val="0092699D"/>
    <w:rsid w:val="00926F62"/>
    <w:rsid w:val="00930A99"/>
    <w:rsid w:val="00932377"/>
    <w:rsid w:val="00933E7B"/>
    <w:rsid w:val="00934BE9"/>
    <w:rsid w:val="0093512E"/>
    <w:rsid w:val="00935755"/>
    <w:rsid w:val="00935BCD"/>
    <w:rsid w:val="009401DF"/>
    <w:rsid w:val="00943070"/>
    <w:rsid w:val="00943854"/>
    <w:rsid w:val="00943B7B"/>
    <w:rsid w:val="00943C48"/>
    <w:rsid w:val="00947D5A"/>
    <w:rsid w:val="0095018F"/>
    <w:rsid w:val="00951AA3"/>
    <w:rsid w:val="009532A5"/>
    <w:rsid w:val="009538E6"/>
    <w:rsid w:val="00953E0E"/>
    <w:rsid w:val="00956789"/>
    <w:rsid w:val="00965D3C"/>
    <w:rsid w:val="00974B1A"/>
    <w:rsid w:val="00976484"/>
    <w:rsid w:val="00977058"/>
    <w:rsid w:val="00980CC0"/>
    <w:rsid w:val="0098202A"/>
    <w:rsid w:val="00982242"/>
    <w:rsid w:val="00984963"/>
    <w:rsid w:val="009868E9"/>
    <w:rsid w:val="009903F8"/>
    <w:rsid w:val="0099116D"/>
    <w:rsid w:val="00991BF5"/>
    <w:rsid w:val="009979CD"/>
    <w:rsid w:val="009A0ADB"/>
    <w:rsid w:val="009A2B47"/>
    <w:rsid w:val="009A35F8"/>
    <w:rsid w:val="009A51E4"/>
    <w:rsid w:val="009B1A4F"/>
    <w:rsid w:val="009B39CB"/>
    <w:rsid w:val="009B3B3B"/>
    <w:rsid w:val="009B5AB3"/>
    <w:rsid w:val="009C03FE"/>
    <w:rsid w:val="009C39F8"/>
    <w:rsid w:val="009C4823"/>
    <w:rsid w:val="009C5585"/>
    <w:rsid w:val="009C706A"/>
    <w:rsid w:val="009D2134"/>
    <w:rsid w:val="009D2BC2"/>
    <w:rsid w:val="009D32D9"/>
    <w:rsid w:val="009D47C2"/>
    <w:rsid w:val="009D4B79"/>
    <w:rsid w:val="009D7BB4"/>
    <w:rsid w:val="009E1604"/>
    <w:rsid w:val="009E274E"/>
    <w:rsid w:val="009E2B7E"/>
    <w:rsid w:val="009E4BEB"/>
    <w:rsid w:val="009E5CFC"/>
    <w:rsid w:val="009E73A1"/>
    <w:rsid w:val="009E751A"/>
    <w:rsid w:val="009F2B48"/>
    <w:rsid w:val="009F38C8"/>
    <w:rsid w:val="009F5BA3"/>
    <w:rsid w:val="009F6F84"/>
    <w:rsid w:val="009F7257"/>
    <w:rsid w:val="00A0045F"/>
    <w:rsid w:val="00A02CFC"/>
    <w:rsid w:val="00A03949"/>
    <w:rsid w:val="00A03F13"/>
    <w:rsid w:val="00A04F65"/>
    <w:rsid w:val="00A0527B"/>
    <w:rsid w:val="00A05CE4"/>
    <w:rsid w:val="00A072FD"/>
    <w:rsid w:val="00A079CB"/>
    <w:rsid w:val="00A119C4"/>
    <w:rsid w:val="00A12128"/>
    <w:rsid w:val="00A17907"/>
    <w:rsid w:val="00A22C98"/>
    <w:rsid w:val="00A231E2"/>
    <w:rsid w:val="00A24AE9"/>
    <w:rsid w:val="00A27285"/>
    <w:rsid w:val="00A301D2"/>
    <w:rsid w:val="00A321F4"/>
    <w:rsid w:val="00A33837"/>
    <w:rsid w:val="00A3601F"/>
    <w:rsid w:val="00A36CB7"/>
    <w:rsid w:val="00A413BC"/>
    <w:rsid w:val="00A41987"/>
    <w:rsid w:val="00A41CDE"/>
    <w:rsid w:val="00A441DF"/>
    <w:rsid w:val="00A46298"/>
    <w:rsid w:val="00A47748"/>
    <w:rsid w:val="00A55B2D"/>
    <w:rsid w:val="00A571E7"/>
    <w:rsid w:val="00A57565"/>
    <w:rsid w:val="00A621D8"/>
    <w:rsid w:val="00A64912"/>
    <w:rsid w:val="00A656BF"/>
    <w:rsid w:val="00A6608E"/>
    <w:rsid w:val="00A66BCA"/>
    <w:rsid w:val="00A66D5D"/>
    <w:rsid w:val="00A70A74"/>
    <w:rsid w:val="00A7263F"/>
    <w:rsid w:val="00A758DD"/>
    <w:rsid w:val="00A7733B"/>
    <w:rsid w:val="00A8337A"/>
    <w:rsid w:val="00A83CA4"/>
    <w:rsid w:val="00A860B4"/>
    <w:rsid w:val="00A90C98"/>
    <w:rsid w:val="00A94D52"/>
    <w:rsid w:val="00A95A48"/>
    <w:rsid w:val="00A968A2"/>
    <w:rsid w:val="00A976C8"/>
    <w:rsid w:val="00AA2BC8"/>
    <w:rsid w:val="00AA5A2C"/>
    <w:rsid w:val="00AA6E11"/>
    <w:rsid w:val="00AB049F"/>
    <w:rsid w:val="00AB4CEB"/>
    <w:rsid w:val="00AB590D"/>
    <w:rsid w:val="00AB77E6"/>
    <w:rsid w:val="00AB783D"/>
    <w:rsid w:val="00AC0CB4"/>
    <w:rsid w:val="00AC1082"/>
    <w:rsid w:val="00AC151C"/>
    <w:rsid w:val="00AC27D5"/>
    <w:rsid w:val="00AC7E5F"/>
    <w:rsid w:val="00AD15B1"/>
    <w:rsid w:val="00AD1E7B"/>
    <w:rsid w:val="00AD3472"/>
    <w:rsid w:val="00AD425F"/>
    <w:rsid w:val="00AD485C"/>
    <w:rsid w:val="00AD539E"/>
    <w:rsid w:val="00AD5629"/>
    <w:rsid w:val="00AD5641"/>
    <w:rsid w:val="00AD7889"/>
    <w:rsid w:val="00AE3652"/>
    <w:rsid w:val="00AE5071"/>
    <w:rsid w:val="00AE5186"/>
    <w:rsid w:val="00AF021B"/>
    <w:rsid w:val="00AF06CF"/>
    <w:rsid w:val="00AF0B29"/>
    <w:rsid w:val="00AF4303"/>
    <w:rsid w:val="00AF525F"/>
    <w:rsid w:val="00AF738E"/>
    <w:rsid w:val="00B03787"/>
    <w:rsid w:val="00B05CF4"/>
    <w:rsid w:val="00B07CDB"/>
    <w:rsid w:val="00B13E74"/>
    <w:rsid w:val="00B16483"/>
    <w:rsid w:val="00B16A31"/>
    <w:rsid w:val="00B17DFD"/>
    <w:rsid w:val="00B201F7"/>
    <w:rsid w:val="00B20B16"/>
    <w:rsid w:val="00B21CF7"/>
    <w:rsid w:val="00B308FE"/>
    <w:rsid w:val="00B314A1"/>
    <w:rsid w:val="00B33355"/>
    <w:rsid w:val="00B33709"/>
    <w:rsid w:val="00B33820"/>
    <w:rsid w:val="00B33B3C"/>
    <w:rsid w:val="00B42258"/>
    <w:rsid w:val="00B4450F"/>
    <w:rsid w:val="00B44B3B"/>
    <w:rsid w:val="00B44B95"/>
    <w:rsid w:val="00B47381"/>
    <w:rsid w:val="00B50ADC"/>
    <w:rsid w:val="00B51FC7"/>
    <w:rsid w:val="00B54847"/>
    <w:rsid w:val="00B5498F"/>
    <w:rsid w:val="00B566B1"/>
    <w:rsid w:val="00B6285B"/>
    <w:rsid w:val="00B6340B"/>
    <w:rsid w:val="00B63834"/>
    <w:rsid w:val="00B658C4"/>
    <w:rsid w:val="00B65E6F"/>
    <w:rsid w:val="00B65F8A"/>
    <w:rsid w:val="00B67DCF"/>
    <w:rsid w:val="00B70408"/>
    <w:rsid w:val="00B71813"/>
    <w:rsid w:val="00B72734"/>
    <w:rsid w:val="00B757D8"/>
    <w:rsid w:val="00B76677"/>
    <w:rsid w:val="00B80199"/>
    <w:rsid w:val="00B83204"/>
    <w:rsid w:val="00B86D0B"/>
    <w:rsid w:val="00B87364"/>
    <w:rsid w:val="00B87CF2"/>
    <w:rsid w:val="00B92021"/>
    <w:rsid w:val="00B93FC2"/>
    <w:rsid w:val="00B94F8B"/>
    <w:rsid w:val="00B9713B"/>
    <w:rsid w:val="00BA0C87"/>
    <w:rsid w:val="00BA220B"/>
    <w:rsid w:val="00BA2933"/>
    <w:rsid w:val="00BA3A57"/>
    <w:rsid w:val="00BA5E9F"/>
    <w:rsid w:val="00BA691F"/>
    <w:rsid w:val="00BA78BA"/>
    <w:rsid w:val="00BB17C5"/>
    <w:rsid w:val="00BB23FF"/>
    <w:rsid w:val="00BB4B2B"/>
    <w:rsid w:val="00BB4E1A"/>
    <w:rsid w:val="00BC00B4"/>
    <w:rsid w:val="00BC015E"/>
    <w:rsid w:val="00BC23C3"/>
    <w:rsid w:val="00BC3293"/>
    <w:rsid w:val="00BC76AC"/>
    <w:rsid w:val="00BD0ECB"/>
    <w:rsid w:val="00BD0EF4"/>
    <w:rsid w:val="00BD2385"/>
    <w:rsid w:val="00BD2EF7"/>
    <w:rsid w:val="00BD5EF1"/>
    <w:rsid w:val="00BE1202"/>
    <w:rsid w:val="00BE2155"/>
    <w:rsid w:val="00BE2213"/>
    <w:rsid w:val="00BE2287"/>
    <w:rsid w:val="00BE719A"/>
    <w:rsid w:val="00BE720A"/>
    <w:rsid w:val="00BF0D73"/>
    <w:rsid w:val="00BF2465"/>
    <w:rsid w:val="00BF2F9E"/>
    <w:rsid w:val="00BF766C"/>
    <w:rsid w:val="00BF7CAC"/>
    <w:rsid w:val="00C03CB0"/>
    <w:rsid w:val="00C144C9"/>
    <w:rsid w:val="00C1483A"/>
    <w:rsid w:val="00C15B3A"/>
    <w:rsid w:val="00C17B88"/>
    <w:rsid w:val="00C25E7F"/>
    <w:rsid w:val="00C2611F"/>
    <w:rsid w:val="00C26561"/>
    <w:rsid w:val="00C2746F"/>
    <w:rsid w:val="00C324A0"/>
    <w:rsid w:val="00C3300F"/>
    <w:rsid w:val="00C3418B"/>
    <w:rsid w:val="00C34888"/>
    <w:rsid w:val="00C42BF8"/>
    <w:rsid w:val="00C43461"/>
    <w:rsid w:val="00C46CFF"/>
    <w:rsid w:val="00C47509"/>
    <w:rsid w:val="00C4763A"/>
    <w:rsid w:val="00C50043"/>
    <w:rsid w:val="00C50E16"/>
    <w:rsid w:val="00C5515E"/>
    <w:rsid w:val="00C64332"/>
    <w:rsid w:val="00C7573B"/>
    <w:rsid w:val="00C84E76"/>
    <w:rsid w:val="00C84FF3"/>
    <w:rsid w:val="00C87ABA"/>
    <w:rsid w:val="00C90B3A"/>
    <w:rsid w:val="00C92E82"/>
    <w:rsid w:val="00C93C03"/>
    <w:rsid w:val="00C952F7"/>
    <w:rsid w:val="00CA22C6"/>
    <w:rsid w:val="00CA286F"/>
    <w:rsid w:val="00CA4B6B"/>
    <w:rsid w:val="00CA5CD1"/>
    <w:rsid w:val="00CA7A6C"/>
    <w:rsid w:val="00CB0787"/>
    <w:rsid w:val="00CB2C8E"/>
    <w:rsid w:val="00CB41C5"/>
    <w:rsid w:val="00CB602E"/>
    <w:rsid w:val="00CD66AD"/>
    <w:rsid w:val="00CD6F04"/>
    <w:rsid w:val="00CD7FD8"/>
    <w:rsid w:val="00CE051D"/>
    <w:rsid w:val="00CE119D"/>
    <w:rsid w:val="00CE1335"/>
    <w:rsid w:val="00CE4502"/>
    <w:rsid w:val="00CE493D"/>
    <w:rsid w:val="00CE4D30"/>
    <w:rsid w:val="00CF0418"/>
    <w:rsid w:val="00CF07FA"/>
    <w:rsid w:val="00CF0826"/>
    <w:rsid w:val="00CF0BB2"/>
    <w:rsid w:val="00CF3EE8"/>
    <w:rsid w:val="00CF6097"/>
    <w:rsid w:val="00CF734E"/>
    <w:rsid w:val="00CF76B2"/>
    <w:rsid w:val="00D032C2"/>
    <w:rsid w:val="00D047AF"/>
    <w:rsid w:val="00D050E6"/>
    <w:rsid w:val="00D05918"/>
    <w:rsid w:val="00D05AF2"/>
    <w:rsid w:val="00D13441"/>
    <w:rsid w:val="00D150E7"/>
    <w:rsid w:val="00D15E44"/>
    <w:rsid w:val="00D21CC6"/>
    <w:rsid w:val="00D21FAC"/>
    <w:rsid w:val="00D22FF1"/>
    <w:rsid w:val="00D30733"/>
    <w:rsid w:val="00D32787"/>
    <w:rsid w:val="00D32964"/>
    <w:rsid w:val="00D32F65"/>
    <w:rsid w:val="00D370B2"/>
    <w:rsid w:val="00D4320C"/>
    <w:rsid w:val="00D44385"/>
    <w:rsid w:val="00D4643D"/>
    <w:rsid w:val="00D4689A"/>
    <w:rsid w:val="00D52DC2"/>
    <w:rsid w:val="00D52E3C"/>
    <w:rsid w:val="00D53BCC"/>
    <w:rsid w:val="00D63836"/>
    <w:rsid w:val="00D63993"/>
    <w:rsid w:val="00D64A51"/>
    <w:rsid w:val="00D64AC8"/>
    <w:rsid w:val="00D65AF6"/>
    <w:rsid w:val="00D66537"/>
    <w:rsid w:val="00D67E8A"/>
    <w:rsid w:val="00D70036"/>
    <w:rsid w:val="00D70DFB"/>
    <w:rsid w:val="00D71EE1"/>
    <w:rsid w:val="00D732BF"/>
    <w:rsid w:val="00D762F8"/>
    <w:rsid w:val="00D766DF"/>
    <w:rsid w:val="00D828DB"/>
    <w:rsid w:val="00D82E4A"/>
    <w:rsid w:val="00D83E11"/>
    <w:rsid w:val="00D907E3"/>
    <w:rsid w:val="00D9205C"/>
    <w:rsid w:val="00D92ADF"/>
    <w:rsid w:val="00D93D6D"/>
    <w:rsid w:val="00D96DAB"/>
    <w:rsid w:val="00D96E4C"/>
    <w:rsid w:val="00DA186E"/>
    <w:rsid w:val="00DA4116"/>
    <w:rsid w:val="00DA417A"/>
    <w:rsid w:val="00DA6140"/>
    <w:rsid w:val="00DB251C"/>
    <w:rsid w:val="00DB4630"/>
    <w:rsid w:val="00DC4F88"/>
    <w:rsid w:val="00DC500A"/>
    <w:rsid w:val="00DC6E57"/>
    <w:rsid w:val="00DD0871"/>
    <w:rsid w:val="00DD0AD3"/>
    <w:rsid w:val="00DD259E"/>
    <w:rsid w:val="00DD3189"/>
    <w:rsid w:val="00DD419C"/>
    <w:rsid w:val="00DE1D4C"/>
    <w:rsid w:val="00DF3BC6"/>
    <w:rsid w:val="00DF3C9D"/>
    <w:rsid w:val="00DF7AC9"/>
    <w:rsid w:val="00E038D8"/>
    <w:rsid w:val="00E04FC3"/>
    <w:rsid w:val="00E05149"/>
    <w:rsid w:val="00E05704"/>
    <w:rsid w:val="00E05CDF"/>
    <w:rsid w:val="00E11DCA"/>
    <w:rsid w:val="00E11E44"/>
    <w:rsid w:val="00E13319"/>
    <w:rsid w:val="00E13D6B"/>
    <w:rsid w:val="00E14924"/>
    <w:rsid w:val="00E26CC4"/>
    <w:rsid w:val="00E30FE5"/>
    <w:rsid w:val="00E31515"/>
    <w:rsid w:val="00E3270E"/>
    <w:rsid w:val="00E338EF"/>
    <w:rsid w:val="00E33E51"/>
    <w:rsid w:val="00E35BE8"/>
    <w:rsid w:val="00E42500"/>
    <w:rsid w:val="00E44419"/>
    <w:rsid w:val="00E4619C"/>
    <w:rsid w:val="00E473C3"/>
    <w:rsid w:val="00E544BB"/>
    <w:rsid w:val="00E5676A"/>
    <w:rsid w:val="00E57BE4"/>
    <w:rsid w:val="00E60114"/>
    <w:rsid w:val="00E63BFA"/>
    <w:rsid w:val="00E662CB"/>
    <w:rsid w:val="00E6662A"/>
    <w:rsid w:val="00E70BB1"/>
    <w:rsid w:val="00E72A7D"/>
    <w:rsid w:val="00E74DC7"/>
    <w:rsid w:val="00E75EAA"/>
    <w:rsid w:val="00E76806"/>
    <w:rsid w:val="00E8075A"/>
    <w:rsid w:val="00E83DCA"/>
    <w:rsid w:val="00E869D6"/>
    <w:rsid w:val="00E86A19"/>
    <w:rsid w:val="00E90B91"/>
    <w:rsid w:val="00E94D5E"/>
    <w:rsid w:val="00E95BA9"/>
    <w:rsid w:val="00E972EF"/>
    <w:rsid w:val="00E97354"/>
    <w:rsid w:val="00EA20FC"/>
    <w:rsid w:val="00EA3CEE"/>
    <w:rsid w:val="00EA41AB"/>
    <w:rsid w:val="00EA7100"/>
    <w:rsid w:val="00EA7F9F"/>
    <w:rsid w:val="00EB1274"/>
    <w:rsid w:val="00EB4C38"/>
    <w:rsid w:val="00EB6AD0"/>
    <w:rsid w:val="00EC03C8"/>
    <w:rsid w:val="00EC5765"/>
    <w:rsid w:val="00EC61AC"/>
    <w:rsid w:val="00ED2BB6"/>
    <w:rsid w:val="00ED34E1"/>
    <w:rsid w:val="00ED3B8D"/>
    <w:rsid w:val="00ED659C"/>
    <w:rsid w:val="00EE52F7"/>
    <w:rsid w:val="00EE6A28"/>
    <w:rsid w:val="00EE6E63"/>
    <w:rsid w:val="00EF2E3A"/>
    <w:rsid w:val="00F045BE"/>
    <w:rsid w:val="00F05297"/>
    <w:rsid w:val="00F05C22"/>
    <w:rsid w:val="00F06DFF"/>
    <w:rsid w:val="00F0719A"/>
    <w:rsid w:val="00F072A7"/>
    <w:rsid w:val="00F0773F"/>
    <w:rsid w:val="00F078DC"/>
    <w:rsid w:val="00F10BEB"/>
    <w:rsid w:val="00F1499D"/>
    <w:rsid w:val="00F16A1C"/>
    <w:rsid w:val="00F2510F"/>
    <w:rsid w:val="00F32BA8"/>
    <w:rsid w:val="00F341BB"/>
    <w:rsid w:val="00F34526"/>
    <w:rsid w:val="00F349F1"/>
    <w:rsid w:val="00F40918"/>
    <w:rsid w:val="00F4350D"/>
    <w:rsid w:val="00F5226B"/>
    <w:rsid w:val="00F54C19"/>
    <w:rsid w:val="00F55791"/>
    <w:rsid w:val="00F567F7"/>
    <w:rsid w:val="00F571DE"/>
    <w:rsid w:val="00F60AC4"/>
    <w:rsid w:val="00F62036"/>
    <w:rsid w:val="00F65B52"/>
    <w:rsid w:val="00F664B4"/>
    <w:rsid w:val="00F67BCA"/>
    <w:rsid w:val="00F72B73"/>
    <w:rsid w:val="00F73BD6"/>
    <w:rsid w:val="00F802B3"/>
    <w:rsid w:val="00F83989"/>
    <w:rsid w:val="00F841FC"/>
    <w:rsid w:val="00F85099"/>
    <w:rsid w:val="00F92FE4"/>
    <w:rsid w:val="00F9379C"/>
    <w:rsid w:val="00F9632C"/>
    <w:rsid w:val="00F9655A"/>
    <w:rsid w:val="00FA1E52"/>
    <w:rsid w:val="00FA2657"/>
    <w:rsid w:val="00FA2FEA"/>
    <w:rsid w:val="00FA4598"/>
    <w:rsid w:val="00FB135B"/>
    <w:rsid w:val="00FB1409"/>
    <w:rsid w:val="00FB1910"/>
    <w:rsid w:val="00FB375B"/>
    <w:rsid w:val="00FB3E0B"/>
    <w:rsid w:val="00FB4AFF"/>
    <w:rsid w:val="00FC0D81"/>
    <w:rsid w:val="00FC2B82"/>
    <w:rsid w:val="00FC463D"/>
    <w:rsid w:val="00FC5E7F"/>
    <w:rsid w:val="00FC7089"/>
    <w:rsid w:val="00FE043C"/>
    <w:rsid w:val="00FE32EA"/>
    <w:rsid w:val="00FE4688"/>
    <w:rsid w:val="00FE61F5"/>
    <w:rsid w:val="00FE7CC7"/>
    <w:rsid w:val="00FF2800"/>
    <w:rsid w:val="00FF6F15"/>
    <w:rsid w:val="072059A5"/>
    <w:rsid w:val="0A43398D"/>
    <w:rsid w:val="16BFAF2B"/>
    <w:rsid w:val="25731B81"/>
    <w:rsid w:val="50C9FF82"/>
    <w:rsid w:val="51202B59"/>
    <w:rsid w:val="5FC808A8"/>
    <w:rsid w:val="61BA3E71"/>
    <w:rsid w:val="68CF99EB"/>
    <w:rsid w:val="7E1847E5"/>
    <w:rsid w:val="7E3CF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6F068"/>
  <w15:docId w15:val="{C18C4E98-2CFA-4386-A9FD-4C75A352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C7E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E5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E5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E5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7E5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7E5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7E5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C7E5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7E5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C7E5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7E5F"/>
  </w:style>
  <w:style w:type="paragraph" w:customStyle="1" w:styleId="OPCParaBase">
    <w:name w:val="OPCParaBase"/>
    <w:qFormat/>
    <w:rsid w:val="00AC7E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7E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7E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7E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7E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7E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C7E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7E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7E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7E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7E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7E5F"/>
  </w:style>
  <w:style w:type="paragraph" w:customStyle="1" w:styleId="Blocks">
    <w:name w:val="Blocks"/>
    <w:aliases w:val="bb"/>
    <w:basedOn w:val="OPCParaBase"/>
    <w:qFormat/>
    <w:rsid w:val="00AC7E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7E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7E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7E5F"/>
    <w:rPr>
      <w:i/>
    </w:rPr>
  </w:style>
  <w:style w:type="paragraph" w:customStyle="1" w:styleId="BoxList">
    <w:name w:val="BoxList"/>
    <w:aliases w:val="bl"/>
    <w:basedOn w:val="BoxText"/>
    <w:qFormat/>
    <w:rsid w:val="00AC7E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7E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7E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7E5F"/>
    <w:pPr>
      <w:ind w:left="1985" w:hanging="851"/>
    </w:pPr>
  </w:style>
  <w:style w:type="character" w:customStyle="1" w:styleId="CharAmPartNo">
    <w:name w:val="CharAmPartNo"/>
    <w:basedOn w:val="OPCCharBase"/>
    <w:qFormat/>
    <w:rsid w:val="00AC7E5F"/>
  </w:style>
  <w:style w:type="character" w:customStyle="1" w:styleId="CharAmPartText">
    <w:name w:val="CharAmPartText"/>
    <w:basedOn w:val="OPCCharBase"/>
    <w:qFormat/>
    <w:rsid w:val="00AC7E5F"/>
  </w:style>
  <w:style w:type="character" w:customStyle="1" w:styleId="CharAmSchNo">
    <w:name w:val="CharAmSchNo"/>
    <w:basedOn w:val="OPCCharBase"/>
    <w:qFormat/>
    <w:rsid w:val="00AC7E5F"/>
  </w:style>
  <w:style w:type="character" w:customStyle="1" w:styleId="CharAmSchText">
    <w:name w:val="CharAmSchText"/>
    <w:basedOn w:val="OPCCharBase"/>
    <w:qFormat/>
    <w:rsid w:val="00AC7E5F"/>
  </w:style>
  <w:style w:type="character" w:customStyle="1" w:styleId="CharBoldItalic">
    <w:name w:val="CharBoldItalic"/>
    <w:basedOn w:val="OPCCharBase"/>
    <w:uiPriority w:val="1"/>
    <w:qFormat/>
    <w:rsid w:val="00AC7E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7E5F"/>
  </w:style>
  <w:style w:type="character" w:customStyle="1" w:styleId="CharChapText">
    <w:name w:val="CharChapText"/>
    <w:basedOn w:val="OPCCharBase"/>
    <w:uiPriority w:val="1"/>
    <w:qFormat/>
    <w:rsid w:val="00AC7E5F"/>
  </w:style>
  <w:style w:type="character" w:customStyle="1" w:styleId="CharDivNo">
    <w:name w:val="CharDivNo"/>
    <w:basedOn w:val="OPCCharBase"/>
    <w:uiPriority w:val="1"/>
    <w:qFormat/>
    <w:rsid w:val="00AC7E5F"/>
  </w:style>
  <w:style w:type="character" w:customStyle="1" w:styleId="CharDivText">
    <w:name w:val="CharDivText"/>
    <w:basedOn w:val="OPCCharBase"/>
    <w:uiPriority w:val="1"/>
    <w:qFormat/>
    <w:rsid w:val="00AC7E5F"/>
  </w:style>
  <w:style w:type="character" w:customStyle="1" w:styleId="CharItalic">
    <w:name w:val="CharItalic"/>
    <w:basedOn w:val="OPCCharBase"/>
    <w:uiPriority w:val="1"/>
    <w:qFormat/>
    <w:rsid w:val="00AC7E5F"/>
    <w:rPr>
      <w:i/>
    </w:rPr>
  </w:style>
  <w:style w:type="character" w:customStyle="1" w:styleId="CharPartNo">
    <w:name w:val="CharPartNo"/>
    <w:basedOn w:val="OPCCharBase"/>
    <w:uiPriority w:val="1"/>
    <w:qFormat/>
    <w:rsid w:val="00AC7E5F"/>
  </w:style>
  <w:style w:type="character" w:customStyle="1" w:styleId="CharPartText">
    <w:name w:val="CharPartText"/>
    <w:basedOn w:val="OPCCharBase"/>
    <w:uiPriority w:val="1"/>
    <w:qFormat/>
    <w:rsid w:val="00AC7E5F"/>
  </w:style>
  <w:style w:type="character" w:customStyle="1" w:styleId="CharSectno">
    <w:name w:val="CharSectno"/>
    <w:basedOn w:val="OPCCharBase"/>
    <w:qFormat/>
    <w:rsid w:val="00AC7E5F"/>
  </w:style>
  <w:style w:type="character" w:customStyle="1" w:styleId="CharSubdNo">
    <w:name w:val="CharSubdNo"/>
    <w:basedOn w:val="OPCCharBase"/>
    <w:uiPriority w:val="1"/>
    <w:qFormat/>
    <w:rsid w:val="00AC7E5F"/>
  </w:style>
  <w:style w:type="character" w:customStyle="1" w:styleId="CharSubdText">
    <w:name w:val="CharSubdText"/>
    <w:basedOn w:val="OPCCharBase"/>
    <w:uiPriority w:val="1"/>
    <w:qFormat/>
    <w:rsid w:val="00AC7E5F"/>
  </w:style>
  <w:style w:type="paragraph" w:customStyle="1" w:styleId="CTA--">
    <w:name w:val="CTA --"/>
    <w:basedOn w:val="OPCParaBase"/>
    <w:next w:val="Normal"/>
    <w:rsid w:val="00AC7E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7E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7E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7E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7E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7E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7E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7E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7E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7E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7E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7E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7E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7E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7E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7E5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C7E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7E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7E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7E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7E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7E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7E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7E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7E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7E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7E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7E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7E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7E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7E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7E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7E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7E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7E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C7E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7E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7E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7E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7E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7E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7E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7E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7E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7E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7E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7E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7E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7E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7E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7E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7E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7E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7E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7E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C7E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C7E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C7E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C7E5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C7E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C7E5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C7E5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C7E5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C7E5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C7E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7E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7E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7E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7E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7E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7E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7E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C7E5F"/>
    <w:rPr>
      <w:sz w:val="16"/>
    </w:rPr>
  </w:style>
  <w:style w:type="table" w:customStyle="1" w:styleId="CFlag">
    <w:name w:val="CFlag"/>
    <w:basedOn w:val="TableNormal"/>
    <w:uiPriority w:val="99"/>
    <w:rsid w:val="00AC7E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C7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7E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7E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7E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7E5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7E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7E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7E5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C7E5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C7E5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C7E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7E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C7E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7E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7E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7E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7E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7E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7E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7E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C7E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7E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7E5F"/>
  </w:style>
  <w:style w:type="character" w:customStyle="1" w:styleId="CharSubPartNoCASA">
    <w:name w:val="CharSubPartNo(CASA)"/>
    <w:basedOn w:val="OPCCharBase"/>
    <w:uiPriority w:val="1"/>
    <w:rsid w:val="00AC7E5F"/>
  </w:style>
  <w:style w:type="paragraph" w:customStyle="1" w:styleId="ENoteTTIndentHeadingSub">
    <w:name w:val="ENoteTTIndentHeadingSub"/>
    <w:aliases w:val="enTTHis"/>
    <w:basedOn w:val="OPCParaBase"/>
    <w:rsid w:val="00AC7E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7E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7E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7E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7E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C7E5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7E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7E5F"/>
    <w:rPr>
      <w:sz w:val="22"/>
    </w:rPr>
  </w:style>
  <w:style w:type="paragraph" w:customStyle="1" w:styleId="SOTextNote">
    <w:name w:val="SO TextNote"/>
    <w:aliases w:val="sont"/>
    <w:basedOn w:val="SOText"/>
    <w:qFormat/>
    <w:rsid w:val="00AC7E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7E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7E5F"/>
    <w:rPr>
      <w:sz w:val="22"/>
    </w:rPr>
  </w:style>
  <w:style w:type="paragraph" w:customStyle="1" w:styleId="FileName">
    <w:name w:val="FileName"/>
    <w:basedOn w:val="Normal"/>
    <w:rsid w:val="00AC7E5F"/>
  </w:style>
  <w:style w:type="paragraph" w:customStyle="1" w:styleId="TableHeading">
    <w:name w:val="TableHeading"/>
    <w:aliases w:val="th"/>
    <w:basedOn w:val="OPCParaBase"/>
    <w:next w:val="Tabletext"/>
    <w:rsid w:val="00AC7E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7E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7E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7E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7E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7E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7E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7E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7E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7E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7E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7E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7E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C7E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7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7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7E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C7E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C7E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C7E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C7E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C7E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C7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C7E5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C7E5F"/>
    <w:pPr>
      <w:ind w:left="240" w:hanging="240"/>
    </w:pPr>
  </w:style>
  <w:style w:type="paragraph" w:styleId="Index2">
    <w:name w:val="index 2"/>
    <w:basedOn w:val="Normal"/>
    <w:next w:val="Normal"/>
    <w:autoRedefine/>
    <w:rsid w:val="00AC7E5F"/>
    <w:pPr>
      <w:ind w:left="480" w:hanging="240"/>
    </w:pPr>
  </w:style>
  <w:style w:type="paragraph" w:styleId="Index3">
    <w:name w:val="index 3"/>
    <w:basedOn w:val="Normal"/>
    <w:next w:val="Normal"/>
    <w:autoRedefine/>
    <w:rsid w:val="00AC7E5F"/>
    <w:pPr>
      <w:ind w:left="720" w:hanging="240"/>
    </w:pPr>
  </w:style>
  <w:style w:type="paragraph" w:styleId="Index4">
    <w:name w:val="index 4"/>
    <w:basedOn w:val="Normal"/>
    <w:next w:val="Normal"/>
    <w:autoRedefine/>
    <w:rsid w:val="00AC7E5F"/>
    <w:pPr>
      <w:ind w:left="960" w:hanging="240"/>
    </w:pPr>
  </w:style>
  <w:style w:type="paragraph" w:styleId="Index5">
    <w:name w:val="index 5"/>
    <w:basedOn w:val="Normal"/>
    <w:next w:val="Normal"/>
    <w:autoRedefine/>
    <w:rsid w:val="00AC7E5F"/>
    <w:pPr>
      <w:ind w:left="1200" w:hanging="240"/>
    </w:pPr>
  </w:style>
  <w:style w:type="paragraph" w:styleId="Index6">
    <w:name w:val="index 6"/>
    <w:basedOn w:val="Normal"/>
    <w:next w:val="Normal"/>
    <w:autoRedefine/>
    <w:rsid w:val="00AC7E5F"/>
    <w:pPr>
      <w:ind w:left="1440" w:hanging="240"/>
    </w:pPr>
  </w:style>
  <w:style w:type="paragraph" w:styleId="Index7">
    <w:name w:val="index 7"/>
    <w:basedOn w:val="Normal"/>
    <w:next w:val="Normal"/>
    <w:autoRedefine/>
    <w:rsid w:val="00AC7E5F"/>
    <w:pPr>
      <w:ind w:left="1680" w:hanging="240"/>
    </w:pPr>
  </w:style>
  <w:style w:type="paragraph" w:styleId="Index8">
    <w:name w:val="index 8"/>
    <w:basedOn w:val="Normal"/>
    <w:next w:val="Normal"/>
    <w:autoRedefine/>
    <w:rsid w:val="00AC7E5F"/>
    <w:pPr>
      <w:ind w:left="1920" w:hanging="240"/>
    </w:pPr>
  </w:style>
  <w:style w:type="paragraph" w:styleId="Index9">
    <w:name w:val="index 9"/>
    <w:basedOn w:val="Normal"/>
    <w:next w:val="Normal"/>
    <w:autoRedefine/>
    <w:rsid w:val="00AC7E5F"/>
    <w:pPr>
      <w:ind w:left="2160" w:hanging="240"/>
    </w:pPr>
  </w:style>
  <w:style w:type="paragraph" w:styleId="NormalIndent">
    <w:name w:val="Normal Indent"/>
    <w:basedOn w:val="Normal"/>
    <w:rsid w:val="00AC7E5F"/>
    <w:pPr>
      <w:ind w:left="720"/>
    </w:pPr>
  </w:style>
  <w:style w:type="paragraph" w:styleId="FootnoteText">
    <w:name w:val="footnote text"/>
    <w:basedOn w:val="Normal"/>
    <w:link w:val="FootnoteTextChar"/>
    <w:rsid w:val="00AC7E5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C7E5F"/>
  </w:style>
  <w:style w:type="paragraph" w:styleId="CommentText">
    <w:name w:val="annotation text"/>
    <w:basedOn w:val="Normal"/>
    <w:link w:val="CommentTextChar"/>
    <w:rsid w:val="00AC7E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7E5F"/>
  </w:style>
  <w:style w:type="paragraph" w:styleId="IndexHeading">
    <w:name w:val="index heading"/>
    <w:basedOn w:val="Normal"/>
    <w:next w:val="Index1"/>
    <w:rsid w:val="00AC7E5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C7E5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C7E5F"/>
    <w:pPr>
      <w:ind w:left="480" w:hanging="480"/>
    </w:pPr>
  </w:style>
  <w:style w:type="paragraph" w:styleId="EnvelopeAddress">
    <w:name w:val="envelope address"/>
    <w:basedOn w:val="Normal"/>
    <w:rsid w:val="00AC7E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C7E5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C7E5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C7E5F"/>
    <w:rPr>
      <w:sz w:val="16"/>
      <w:szCs w:val="16"/>
    </w:rPr>
  </w:style>
  <w:style w:type="character" w:styleId="PageNumber">
    <w:name w:val="page number"/>
    <w:basedOn w:val="DefaultParagraphFont"/>
    <w:rsid w:val="00AC7E5F"/>
  </w:style>
  <w:style w:type="character" w:styleId="EndnoteReference">
    <w:name w:val="endnote reference"/>
    <w:basedOn w:val="DefaultParagraphFont"/>
    <w:rsid w:val="00AC7E5F"/>
    <w:rPr>
      <w:vertAlign w:val="superscript"/>
    </w:rPr>
  </w:style>
  <w:style w:type="paragraph" w:styleId="EndnoteText">
    <w:name w:val="endnote text"/>
    <w:basedOn w:val="Normal"/>
    <w:link w:val="EndnoteTextChar"/>
    <w:rsid w:val="00AC7E5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C7E5F"/>
  </w:style>
  <w:style w:type="paragraph" w:styleId="TableofAuthorities">
    <w:name w:val="table of authorities"/>
    <w:basedOn w:val="Normal"/>
    <w:next w:val="Normal"/>
    <w:rsid w:val="00AC7E5F"/>
    <w:pPr>
      <w:ind w:left="240" w:hanging="240"/>
    </w:pPr>
  </w:style>
  <w:style w:type="paragraph" w:styleId="MacroText">
    <w:name w:val="macro"/>
    <w:link w:val="MacroTextChar"/>
    <w:rsid w:val="00AC7E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C7E5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C7E5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C7E5F"/>
    <w:pPr>
      <w:ind w:left="283" w:hanging="283"/>
    </w:pPr>
  </w:style>
  <w:style w:type="paragraph" w:styleId="ListBullet">
    <w:name w:val="List Bullet"/>
    <w:basedOn w:val="Normal"/>
    <w:autoRedefine/>
    <w:rsid w:val="00AC7E5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C7E5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C7E5F"/>
    <w:pPr>
      <w:ind w:left="566" w:hanging="283"/>
    </w:pPr>
  </w:style>
  <w:style w:type="paragraph" w:styleId="List3">
    <w:name w:val="List 3"/>
    <w:basedOn w:val="Normal"/>
    <w:rsid w:val="00AC7E5F"/>
    <w:pPr>
      <w:ind w:left="849" w:hanging="283"/>
    </w:pPr>
  </w:style>
  <w:style w:type="paragraph" w:styleId="List4">
    <w:name w:val="List 4"/>
    <w:basedOn w:val="Normal"/>
    <w:rsid w:val="00AC7E5F"/>
    <w:pPr>
      <w:ind w:left="1132" w:hanging="283"/>
    </w:pPr>
  </w:style>
  <w:style w:type="paragraph" w:styleId="List5">
    <w:name w:val="List 5"/>
    <w:basedOn w:val="Normal"/>
    <w:rsid w:val="00AC7E5F"/>
    <w:pPr>
      <w:ind w:left="1415" w:hanging="283"/>
    </w:pPr>
  </w:style>
  <w:style w:type="paragraph" w:styleId="ListBullet2">
    <w:name w:val="List Bullet 2"/>
    <w:basedOn w:val="Normal"/>
    <w:autoRedefine/>
    <w:rsid w:val="00AC7E5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C7E5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C7E5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C7E5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C7E5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C7E5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C7E5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C7E5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C7E5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C7E5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C7E5F"/>
    <w:pPr>
      <w:ind w:left="4252"/>
    </w:pPr>
  </w:style>
  <w:style w:type="character" w:customStyle="1" w:styleId="ClosingChar">
    <w:name w:val="Closing Char"/>
    <w:basedOn w:val="DefaultParagraphFont"/>
    <w:link w:val="Closing"/>
    <w:rsid w:val="00AC7E5F"/>
    <w:rPr>
      <w:sz w:val="22"/>
    </w:rPr>
  </w:style>
  <w:style w:type="paragraph" w:styleId="Signature">
    <w:name w:val="Signature"/>
    <w:basedOn w:val="Normal"/>
    <w:link w:val="SignatureChar"/>
    <w:rsid w:val="00AC7E5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C7E5F"/>
    <w:rPr>
      <w:sz w:val="22"/>
    </w:rPr>
  </w:style>
  <w:style w:type="paragraph" w:styleId="BodyText">
    <w:name w:val="Body Text"/>
    <w:basedOn w:val="Normal"/>
    <w:link w:val="BodyTextChar"/>
    <w:rsid w:val="00AC7E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7E5F"/>
    <w:rPr>
      <w:sz w:val="22"/>
    </w:rPr>
  </w:style>
  <w:style w:type="paragraph" w:styleId="BodyTextIndent">
    <w:name w:val="Body Text Indent"/>
    <w:basedOn w:val="Normal"/>
    <w:link w:val="BodyTextIndentChar"/>
    <w:rsid w:val="00AC7E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C7E5F"/>
    <w:rPr>
      <w:sz w:val="22"/>
    </w:rPr>
  </w:style>
  <w:style w:type="paragraph" w:styleId="ListContinue">
    <w:name w:val="List Continue"/>
    <w:basedOn w:val="Normal"/>
    <w:rsid w:val="00AC7E5F"/>
    <w:pPr>
      <w:spacing w:after="120"/>
      <w:ind w:left="283"/>
    </w:pPr>
  </w:style>
  <w:style w:type="paragraph" w:styleId="ListContinue2">
    <w:name w:val="List Continue 2"/>
    <w:basedOn w:val="Normal"/>
    <w:rsid w:val="00AC7E5F"/>
    <w:pPr>
      <w:spacing w:after="120"/>
      <w:ind w:left="566"/>
    </w:pPr>
  </w:style>
  <w:style w:type="paragraph" w:styleId="ListContinue3">
    <w:name w:val="List Continue 3"/>
    <w:basedOn w:val="Normal"/>
    <w:rsid w:val="00AC7E5F"/>
    <w:pPr>
      <w:spacing w:after="120"/>
      <w:ind w:left="849"/>
    </w:pPr>
  </w:style>
  <w:style w:type="paragraph" w:styleId="ListContinue4">
    <w:name w:val="List Continue 4"/>
    <w:basedOn w:val="Normal"/>
    <w:rsid w:val="00AC7E5F"/>
    <w:pPr>
      <w:spacing w:after="120"/>
      <w:ind w:left="1132"/>
    </w:pPr>
  </w:style>
  <w:style w:type="paragraph" w:styleId="ListContinue5">
    <w:name w:val="List Continue 5"/>
    <w:basedOn w:val="Normal"/>
    <w:rsid w:val="00AC7E5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C7E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C7E5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C7E5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C7E5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C7E5F"/>
  </w:style>
  <w:style w:type="character" w:customStyle="1" w:styleId="SalutationChar">
    <w:name w:val="Salutation Char"/>
    <w:basedOn w:val="DefaultParagraphFont"/>
    <w:link w:val="Salutation"/>
    <w:rsid w:val="00AC7E5F"/>
    <w:rPr>
      <w:sz w:val="22"/>
    </w:rPr>
  </w:style>
  <w:style w:type="paragraph" w:styleId="Date">
    <w:name w:val="Date"/>
    <w:basedOn w:val="Normal"/>
    <w:next w:val="Normal"/>
    <w:link w:val="DateChar"/>
    <w:rsid w:val="00AC7E5F"/>
  </w:style>
  <w:style w:type="character" w:customStyle="1" w:styleId="DateChar">
    <w:name w:val="Date Char"/>
    <w:basedOn w:val="DefaultParagraphFont"/>
    <w:link w:val="Date"/>
    <w:rsid w:val="00AC7E5F"/>
    <w:rPr>
      <w:sz w:val="22"/>
    </w:rPr>
  </w:style>
  <w:style w:type="paragraph" w:styleId="BodyTextFirstIndent">
    <w:name w:val="Body Text First Indent"/>
    <w:basedOn w:val="BodyText"/>
    <w:link w:val="BodyTextFirstIndentChar"/>
    <w:rsid w:val="00AC7E5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C7E5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C7E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C7E5F"/>
    <w:rPr>
      <w:sz w:val="22"/>
    </w:rPr>
  </w:style>
  <w:style w:type="paragraph" w:styleId="BodyText2">
    <w:name w:val="Body Text 2"/>
    <w:basedOn w:val="Normal"/>
    <w:link w:val="BodyText2Char"/>
    <w:rsid w:val="00AC7E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C7E5F"/>
    <w:rPr>
      <w:sz w:val="22"/>
    </w:rPr>
  </w:style>
  <w:style w:type="paragraph" w:styleId="BodyText3">
    <w:name w:val="Body Text 3"/>
    <w:basedOn w:val="Normal"/>
    <w:link w:val="BodyText3Char"/>
    <w:rsid w:val="00AC7E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C7E5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C7E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7E5F"/>
    <w:rPr>
      <w:sz w:val="22"/>
    </w:rPr>
  </w:style>
  <w:style w:type="paragraph" w:styleId="BodyTextIndent3">
    <w:name w:val="Body Text Indent 3"/>
    <w:basedOn w:val="Normal"/>
    <w:link w:val="BodyTextIndent3Char"/>
    <w:rsid w:val="00AC7E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C7E5F"/>
    <w:rPr>
      <w:sz w:val="16"/>
      <w:szCs w:val="16"/>
    </w:rPr>
  </w:style>
  <w:style w:type="paragraph" w:styleId="BlockText">
    <w:name w:val="Block Text"/>
    <w:basedOn w:val="Normal"/>
    <w:rsid w:val="00AC7E5F"/>
    <w:pPr>
      <w:spacing w:after="120"/>
      <w:ind w:left="1440" w:right="1440"/>
    </w:pPr>
  </w:style>
  <w:style w:type="character" w:styleId="Hyperlink">
    <w:name w:val="Hyperlink"/>
    <w:basedOn w:val="DefaultParagraphFont"/>
    <w:rsid w:val="00AC7E5F"/>
    <w:rPr>
      <w:color w:val="0000FF"/>
      <w:u w:val="single"/>
    </w:rPr>
  </w:style>
  <w:style w:type="character" w:styleId="FollowedHyperlink">
    <w:name w:val="FollowedHyperlink"/>
    <w:basedOn w:val="DefaultParagraphFont"/>
    <w:rsid w:val="00AC7E5F"/>
    <w:rPr>
      <w:color w:val="800080"/>
      <w:u w:val="single"/>
    </w:rPr>
  </w:style>
  <w:style w:type="character" w:styleId="Strong">
    <w:name w:val="Strong"/>
    <w:basedOn w:val="DefaultParagraphFont"/>
    <w:qFormat/>
    <w:rsid w:val="00AC7E5F"/>
    <w:rPr>
      <w:b/>
      <w:bCs/>
    </w:rPr>
  </w:style>
  <w:style w:type="character" w:styleId="Emphasis">
    <w:name w:val="Emphasis"/>
    <w:basedOn w:val="DefaultParagraphFont"/>
    <w:qFormat/>
    <w:rsid w:val="00AC7E5F"/>
    <w:rPr>
      <w:i/>
      <w:iCs/>
    </w:rPr>
  </w:style>
  <w:style w:type="paragraph" w:styleId="DocumentMap">
    <w:name w:val="Document Map"/>
    <w:basedOn w:val="Normal"/>
    <w:link w:val="DocumentMapChar"/>
    <w:rsid w:val="00AC7E5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C7E5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C7E5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C7E5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C7E5F"/>
  </w:style>
  <w:style w:type="character" w:customStyle="1" w:styleId="E-mailSignatureChar">
    <w:name w:val="E-mail Signature Char"/>
    <w:basedOn w:val="DefaultParagraphFont"/>
    <w:link w:val="E-mailSignature"/>
    <w:rsid w:val="00AC7E5F"/>
    <w:rPr>
      <w:sz w:val="22"/>
    </w:rPr>
  </w:style>
  <w:style w:type="paragraph" w:styleId="NormalWeb">
    <w:name w:val="Normal (Web)"/>
    <w:basedOn w:val="Normal"/>
    <w:rsid w:val="00AC7E5F"/>
  </w:style>
  <w:style w:type="character" w:styleId="HTMLAcronym">
    <w:name w:val="HTML Acronym"/>
    <w:basedOn w:val="DefaultParagraphFont"/>
    <w:rsid w:val="00AC7E5F"/>
  </w:style>
  <w:style w:type="paragraph" w:styleId="HTMLAddress">
    <w:name w:val="HTML Address"/>
    <w:basedOn w:val="Normal"/>
    <w:link w:val="HTMLAddressChar"/>
    <w:rsid w:val="00AC7E5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C7E5F"/>
    <w:rPr>
      <w:i/>
      <w:iCs/>
      <w:sz w:val="22"/>
    </w:rPr>
  </w:style>
  <w:style w:type="character" w:styleId="HTMLCite">
    <w:name w:val="HTML Cite"/>
    <w:basedOn w:val="DefaultParagraphFont"/>
    <w:rsid w:val="00AC7E5F"/>
    <w:rPr>
      <w:i/>
      <w:iCs/>
    </w:rPr>
  </w:style>
  <w:style w:type="character" w:styleId="HTMLCode">
    <w:name w:val="HTML Code"/>
    <w:basedOn w:val="DefaultParagraphFont"/>
    <w:rsid w:val="00AC7E5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C7E5F"/>
    <w:rPr>
      <w:i/>
      <w:iCs/>
    </w:rPr>
  </w:style>
  <w:style w:type="character" w:styleId="HTMLKeyboard">
    <w:name w:val="HTML Keyboard"/>
    <w:basedOn w:val="DefaultParagraphFont"/>
    <w:rsid w:val="00AC7E5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C7E5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C7E5F"/>
    <w:rPr>
      <w:rFonts w:ascii="Courier New" w:hAnsi="Courier New" w:cs="Courier New"/>
    </w:rPr>
  </w:style>
  <w:style w:type="character" w:styleId="HTMLSample">
    <w:name w:val="HTML Sample"/>
    <w:basedOn w:val="DefaultParagraphFont"/>
    <w:rsid w:val="00AC7E5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C7E5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C7E5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C7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E5F"/>
    <w:rPr>
      <w:b/>
      <w:bCs/>
    </w:rPr>
  </w:style>
  <w:style w:type="numbering" w:styleId="1ai">
    <w:name w:val="Outline List 1"/>
    <w:basedOn w:val="NoList"/>
    <w:rsid w:val="00AC7E5F"/>
    <w:pPr>
      <w:numPr>
        <w:numId w:val="14"/>
      </w:numPr>
    </w:pPr>
  </w:style>
  <w:style w:type="numbering" w:styleId="111111">
    <w:name w:val="Outline List 2"/>
    <w:basedOn w:val="NoList"/>
    <w:rsid w:val="00AC7E5F"/>
    <w:pPr>
      <w:numPr>
        <w:numId w:val="15"/>
      </w:numPr>
    </w:pPr>
  </w:style>
  <w:style w:type="numbering" w:styleId="ArticleSection">
    <w:name w:val="Outline List 3"/>
    <w:basedOn w:val="NoList"/>
    <w:rsid w:val="00AC7E5F"/>
    <w:pPr>
      <w:numPr>
        <w:numId w:val="17"/>
      </w:numPr>
    </w:pPr>
  </w:style>
  <w:style w:type="table" w:styleId="TableSimple1">
    <w:name w:val="Table Simple 1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C7E5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C7E5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C7E5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C7E5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C7E5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C7E5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C7E5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C7E5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C7E5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C7E5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C7E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C7E5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C7E5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C7E5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C7E5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C7E5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C7E5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C7E5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C7E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C7E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C7E5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C7E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C7E5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C7E5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C7E5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C7E5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C7E5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C7E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C7E5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C7E5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C7E5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C7E5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C7E5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C7E5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C7E5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C7E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7E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7E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7E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C7E5F"/>
  </w:style>
  <w:style w:type="paragraph" w:styleId="Revision">
    <w:name w:val="Revision"/>
    <w:hidden/>
    <w:uiPriority w:val="99"/>
    <w:semiHidden/>
    <w:rsid w:val="00823CE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Date_x0020_Created xmlns="a334ba3b-e131-42d3-95f3-2728f5a41884" xsi:nil="true"/>
    <_dlc_DocId xmlns="6a7e9632-768a-49bf-85ac-c69233ab2a52">FIN33509-419751877-39271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_ip_UnifiedCompliancePolicyUIAction xmlns="http://schemas.microsoft.com/sharepoint/v3" xsi:nil="true"/>
    <lf395e0388bc45bfb8642f07b9d090f4 xmlns="a334ba3b-e131-42d3-95f3-2728f5a41884">
      <Terms xmlns="http://schemas.microsoft.com/office/infopath/2007/PartnerControls"/>
    </lf395e0388bc45bfb8642f07b9d090f4>
    <_ip_UnifiedCompliancePolicyProperties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lcf76f155ced4ddcb4097134ff3c332f xmlns="ab889122-ddbc-41f8-8d9a-4d3f89258616">
      <Terms xmlns="http://schemas.microsoft.com/office/infopath/2007/PartnerControls"/>
    </lcf76f155ced4ddcb4097134ff3c332f>
    <TaxCatchAll xmlns="a334ba3b-e131-42d3-95f3-2728f5a41884">
      <Value>10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https://financegovau.sharepoint.com/sites/M365_DoF_50033509/_layouts/15/DocIdRedir.aspx?ID=FIN33509-419751877-39271</Url>
      <Description>FIN33509-419751877-39271</Description>
    </_dlc_DocIdUrl>
  </documentManagement>
</p:propertie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5" ma:contentTypeDescription="Create a new document." ma:contentTypeScope="" ma:versionID="05cb18fa8a0fa83c919d80545899f63e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a6654048a0a61a07ff96ae6b3f565341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F50CC-0A2D-4CC0-BE14-03F46DE3DE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69EB02-C7DB-4599-B46C-C69E32B78DB9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customXml/itemProps3.xml><?xml version="1.0" encoding="utf-8"?>
<ds:datastoreItem xmlns:ds="http://schemas.openxmlformats.org/officeDocument/2006/customXml" ds:itemID="{03230981-07F5-4999-AF1A-88703E231B3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1946087-F6A1-4545-A651-1BAD790AD9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6F5A98-6028-4B5A-BDD9-96FCC6D5211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B5D6BA2-9205-4625-AE6C-048A50919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17</TotalTime>
  <Pages>9</Pages>
  <Words>1199</Words>
  <Characters>7213</Characters>
  <Application>Microsoft Office Word</Application>
  <DocSecurity>0</DocSecurity>
  <PresentationFormat/>
  <Lines>298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Marina</dc:creator>
  <cp:keywords>[SEC=OFFICIAL]</cp:keywords>
  <dc:description/>
  <cp:lastModifiedBy>Holland, Natalie</cp:lastModifiedBy>
  <cp:revision>13</cp:revision>
  <cp:lastPrinted>2017-04-26T17:22:00Z</cp:lastPrinted>
  <dcterms:created xsi:type="dcterms:W3CDTF">2025-06-26T06:14:00Z</dcterms:created>
  <dcterms:modified xsi:type="dcterms:W3CDTF">2025-06-27T04:47:00Z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 75 Transfers) Determination 2022-2023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OPC66001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1</vt:lpwstr>
  </property>
  <property fmtid="{D5CDD505-2E9C-101B-9397-08002B2CF9AE}" pid="14" name="ChangedTitle">
    <vt:lpwstr>Public Governance, Performance and Accountability (Section 75 Transfers) Determination 2022-2023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29 June 2022</vt:lpwstr>
  </property>
  <property fmtid="{D5CDD505-2E9C-101B-9397-08002B2CF9AE}" pid="18" name="PM_Namespace">
    <vt:lpwstr>gov.au</vt:lpwstr>
  </property>
  <property fmtid="{D5CDD505-2E9C-101B-9397-08002B2CF9AE}" pid="19" name="PM_Caveats_Count">
    <vt:lpwstr>0</vt:lpwstr>
  </property>
  <property fmtid="{D5CDD505-2E9C-101B-9397-08002B2CF9AE}" pid="20" name="PM_Version">
    <vt:lpwstr>2018.4</vt:lpwstr>
  </property>
  <property fmtid="{D5CDD505-2E9C-101B-9397-08002B2CF9AE}" pid="21" name="PM_Note">
    <vt:lpwstr/>
  </property>
  <property fmtid="{D5CDD505-2E9C-101B-9397-08002B2CF9AE}" pid="22" name="PM_Qualifier">
    <vt:lpwstr/>
  </property>
  <property fmtid="{D5CDD505-2E9C-101B-9397-08002B2CF9AE}" pid="23" name="PM_SecurityClassification">
    <vt:lpwstr>OFFICIAL</vt:lpwstr>
  </property>
  <property fmtid="{D5CDD505-2E9C-101B-9397-08002B2CF9AE}" pid="24" name="PM_ProtectiveMarkingValue_Header">
    <vt:lpwstr>OFFICIAL</vt:lpwstr>
  </property>
  <property fmtid="{D5CDD505-2E9C-101B-9397-08002B2CF9AE}" pid="25" name="PM_OriginationTimeStamp">
    <vt:lpwstr>2023-06-23T04:31:03Z</vt:lpwstr>
  </property>
  <property fmtid="{D5CDD505-2E9C-101B-9397-08002B2CF9AE}" pid="26" name="PM_Markers">
    <vt:lpwstr/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OriginatorUserAccountName_SHA256">
    <vt:lpwstr>CDFA17CA3133263E147CCCA325ACCC45852A9BB0EB2ABCCE3997D7C16C4117FC</vt:lpwstr>
  </property>
  <property fmtid="{D5CDD505-2E9C-101B-9397-08002B2CF9AE}" pid="31" name="MSIP_Label_87d6481e-ccdd-4ab6-8b26-05a0df5699e7_SetDate">
    <vt:lpwstr>2023-06-23T04:31:03Z</vt:lpwstr>
  </property>
  <property fmtid="{D5CDD505-2E9C-101B-9397-08002B2CF9AE}" pid="32" name="MSIP_Label_87d6481e-ccdd-4ab6-8b26-05a0df5699e7_Method">
    <vt:lpwstr>Privileged</vt:lpwstr>
  </property>
  <property fmtid="{D5CDD505-2E9C-101B-9397-08002B2CF9AE}" pid="33" name="MSIP_Label_87d6481e-ccdd-4ab6-8b26-05a0df5699e7_ContentBits">
    <vt:lpwstr>0</vt:lpwstr>
  </property>
  <property fmtid="{D5CDD505-2E9C-101B-9397-08002B2CF9AE}" pid="34" name="PM_InsertionValue">
    <vt:lpwstr>OFFICIAL</vt:lpwstr>
  </property>
  <property fmtid="{D5CDD505-2E9C-101B-9397-08002B2CF9AE}" pid="35" name="PM_Originator_Hash_SHA1">
    <vt:lpwstr>ECDD395D1789E8B39CE1757678EF975A6BC7E37A</vt:lpwstr>
  </property>
  <property fmtid="{D5CDD505-2E9C-101B-9397-08002B2CF9AE}" pid="36" name="PM_DisplayValueSecClassificationWithQualifier">
    <vt:lpwstr>OFFICIAL</vt:lpwstr>
  </property>
  <property fmtid="{D5CDD505-2E9C-101B-9397-08002B2CF9AE}" pid="37" name="PM_Originating_FileId">
    <vt:lpwstr>7F403C764B0848C3A68AD8750377D08A</vt:lpwstr>
  </property>
  <property fmtid="{D5CDD505-2E9C-101B-9397-08002B2CF9AE}" pid="38" name="PM_ProtectiveMarkingValue_Footer">
    <vt:lpwstr>OFFICIAL</vt:lpwstr>
  </property>
  <property fmtid="{D5CDD505-2E9C-101B-9397-08002B2CF9AE}" pid="39" name="PM_ProtectiveMarkingImage_Header">
    <vt:lpwstr>C:\Program Files\Common Files\janusNET Shared\janusSEAL\Images\DocumentSlashBlue.png</vt:lpwstr>
  </property>
  <property fmtid="{D5CDD505-2E9C-101B-9397-08002B2CF9AE}" pid="40" name="PM_ProtectiveMarkingImage_Footer">
    <vt:lpwstr>C:\Program Files\Common Files\janusNET Shared\janusSEAL\Images\DocumentSlashBlue.png</vt:lpwstr>
  </property>
  <property fmtid="{D5CDD505-2E9C-101B-9397-08002B2CF9AE}" pid="41" name="PM_Display">
    <vt:lpwstr>OFFICIAL</vt:lpwstr>
  </property>
  <property fmtid="{D5CDD505-2E9C-101B-9397-08002B2CF9AE}" pid="42" name="PM_OriginatorDomainName_SHA256">
    <vt:lpwstr>325440F6CA31C4C3BCE4433552DC42928CAAD3E2731ABE35FDE729ECEB763AF0</vt:lpwstr>
  </property>
  <property fmtid="{D5CDD505-2E9C-101B-9397-08002B2CF9AE}" pid="43" name="PMUuid">
    <vt:lpwstr>v=2022.2;d=gov.au;g=46DD6D7C-8107-577B-BC6E-F348953B2E44</vt:lpwstr>
  </property>
  <property fmtid="{D5CDD505-2E9C-101B-9397-08002B2CF9AE}" pid="44" name="PM_Hash_Version">
    <vt:lpwstr>2022.1</vt:lpwstr>
  </property>
  <property fmtid="{D5CDD505-2E9C-101B-9397-08002B2CF9AE}" pid="45" name="TaxKeyword">
    <vt:lpwstr>10;#[SEC=OFFICIAL]|07351cc0-de73-4913-be2f-56f124cbf8bb</vt:lpwstr>
  </property>
  <property fmtid="{D5CDD505-2E9C-101B-9397-08002B2CF9AE}" pid="46" name="ContentTypeId">
    <vt:lpwstr>0x010100B7B479F47583304BA8B631462CC772D7003B6E19515E175D4D905D0F8785CE4C48</vt:lpwstr>
  </property>
  <property fmtid="{D5CDD505-2E9C-101B-9397-08002B2CF9AE}" pid="47" name="Organisation Unit">
    <vt:lpwstr>2;#Annual Appropriations|ebaccee2-17d0-4140-b272-ef935f9ee95f</vt:lpwstr>
  </property>
  <property fmtid="{D5CDD505-2E9C-101B-9397-08002B2CF9AE}" pid="48" name="About Entity">
    <vt:lpwstr>1;#Department of Finance|fd660e8f-8f31-49bd-92a3-d31d4da31afe</vt:lpwstr>
  </property>
  <property fmtid="{D5CDD505-2E9C-101B-9397-08002B2CF9AE}" pid="49" name="Initiating Entity">
    <vt:lpwstr>1;#Department of Finance|fd660e8f-8f31-49bd-92a3-d31d4da31afe</vt:lpwstr>
  </property>
  <property fmtid="{D5CDD505-2E9C-101B-9397-08002B2CF9AE}" pid="50" name="MediaServiceImageTags">
    <vt:lpwstr/>
  </property>
  <property fmtid="{D5CDD505-2E9C-101B-9397-08002B2CF9AE}" pid="51" name="Function and Activity">
    <vt:lpwstr/>
  </property>
  <property fmtid="{D5CDD505-2E9C-101B-9397-08002B2CF9AE}" pid="52" name="PM_SecurityClassification_Prev">
    <vt:lpwstr>OFFICIAL</vt:lpwstr>
  </property>
  <property fmtid="{D5CDD505-2E9C-101B-9397-08002B2CF9AE}" pid="53" name="PM_Qualifier_Prev">
    <vt:lpwstr/>
  </property>
  <property fmtid="{D5CDD505-2E9C-101B-9397-08002B2CF9AE}" pid="54" name="Organisation_x0020_Unit">
    <vt:lpwstr>2;#Annual Appropriations|ebaccee2-17d0-4140-b272-ef935f9ee95f</vt:lpwstr>
  </property>
  <property fmtid="{D5CDD505-2E9C-101B-9397-08002B2CF9AE}" pid="55" name="About_x0020_Entity">
    <vt:lpwstr>1;#Department of Finance|fd660e8f-8f31-49bd-92a3-d31d4da31afe</vt:lpwstr>
  </property>
  <property fmtid="{D5CDD505-2E9C-101B-9397-08002B2CF9AE}" pid="56" name="Function_x0020_and_x0020_Activity">
    <vt:lpwstr/>
  </property>
  <property fmtid="{D5CDD505-2E9C-101B-9397-08002B2CF9AE}" pid="57" name="Initiating_x0020_Entity">
    <vt:lpwstr>1;#Department of Finance|fd660e8f-8f31-49bd-92a3-d31d4da31afe</vt:lpwstr>
  </property>
  <property fmtid="{D5CDD505-2E9C-101B-9397-08002B2CF9AE}" pid="58" name="PMHMAC">
    <vt:lpwstr>v=2022.1;a=SHA256;h=32B54F16931FA4163E71DFEF7CCF5A4770774B8E38B9257AD3E0BED837A27064</vt:lpwstr>
  </property>
  <property fmtid="{D5CDD505-2E9C-101B-9397-08002B2CF9AE}" pid="59" name="MSIP_Label_87d6481e-ccdd-4ab6-8b26-05a0df5699e7_ActionId">
    <vt:lpwstr>b6b42efbd9654a12a36d43cbac2574e9</vt:lpwstr>
  </property>
  <property fmtid="{D5CDD505-2E9C-101B-9397-08002B2CF9AE}" pid="60" name="PM_Hash_Salt_Prev">
    <vt:lpwstr>42E579989B93661EF4A829754EE3B876</vt:lpwstr>
  </property>
  <property fmtid="{D5CDD505-2E9C-101B-9397-08002B2CF9AE}" pid="61" name="PM_Hash_Salt">
    <vt:lpwstr>C1A45FD0DCC7E84D8A7B9044FAC352E9</vt:lpwstr>
  </property>
  <property fmtid="{D5CDD505-2E9C-101B-9397-08002B2CF9AE}" pid="62" name="PM_Hash_SHA1">
    <vt:lpwstr>B0093B8587BE504E7E7BDDE424D72325AD8DB992</vt:lpwstr>
  </property>
  <property fmtid="{D5CDD505-2E9C-101B-9397-08002B2CF9AE}" pid="63" name="_dlc_DocIdItemGuid">
    <vt:lpwstr>c303de46-f33d-4486-98cf-1abe963194d6</vt:lpwstr>
  </property>
</Properties>
</file>