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5B0995" w:rsidRDefault="005E317F" w:rsidP="0038353B">
      <w:pPr>
        <w:spacing w:line="240" w:lineRule="auto"/>
        <w:rPr>
          <w:sz w:val="28"/>
        </w:rPr>
      </w:pPr>
      <w:r w:rsidRPr="005B0995">
        <w:rPr>
          <w:noProof/>
          <w:lang w:eastAsia="en-AU"/>
        </w:rPr>
        <w:drawing>
          <wp:inline distT="0" distB="0" distL="0" distR="0" wp14:anchorId="5BF2B55C" wp14:editId="0A2AE4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5B0995" w:rsidRDefault="007A435D" w:rsidP="0038353B">
      <w:pPr>
        <w:spacing w:line="240" w:lineRule="auto"/>
        <w:rPr>
          <w:sz w:val="19"/>
        </w:rPr>
      </w:pPr>
    </w:p>
    <w:p w14:paraId="644929DB" w14:textId="6A8547DC" w:rsidR="007A435D" w:rsidRPr="005B0995" w:rsidRDefault="00283888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5B0995">
        <w:rPr>
          <w:rFonts w:ascii="Arial" w:hAnsi="Arial" w:cs="Arial"/>
          <w:b/>
          <w:sz w:val="28"/>
          <w:szCs w:val="28"/>
        </w:rPr>
        <w:t xml:space="preserve">PB </w:t>
      </w:r>
      <w:r w:rsidR="003E22A5" w:rsidRPr="005B0995">
        <w:rPr>
          <w:rFonts w:ascii="Arial" w:hAnsi="Arial" w:cs="Arial"/>
          <w:b/>
          <w:sz w:val="28"/>
          <w:szCs w:val="28"/>
        </w:rPr>
        <w:t>78</w:t>
      </w:r>
      <w:r w:rsidR="00462E24" w:rsidRPr="005B0995">
        <w:rPr>
          <w:rFonts w:ascii="Arial" w:hAnsi="Arial" w:cs="Arial"/>
          <w:b/>
          <w:sz w:val="28"/>
          <w:szCs w:val="28"/>
        </w:rPr>
        <w:t xml:space="preserve"> of 202</w:t>
      </w:r>
      <w:r w:rsidR="00D228EC" w:rsidRPr="005B0995">
        <w:rPr>
          <w:rFonts w:ascii="Arial" w:hAnsi="Arial" w:cs="Arial"/>
          <w:b/>
          <w:sz w:val="28"/>
          <w:szCs w:val="28"/>
        </w:rPr>
        <w:t>5</w:t>
      </w:r>
    </w:p>
    <w:p w14:paraId="1BB414BE" w14:textId="77777777" w:rsidR="007A435D" w:rsidRPr="005B0995" w:rsidRDefault="007A435D" w:rsidP="0038353B">
      <w:pPr>
        <w:spacing w:line="240" w:lineRule="auto"/>
        <w:rPr>
          <w:sz w:val="40"/>
          <w:szCs w:val="40"/>
        </w:rPr>
      </w:pPr>
    </w:p>
    <w:p w14:paraId="3177E3C9" w14:textId="5413A562" w:rsidR="00462E24" w:rsidRPr="005B0995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5B0995">
        <w:rPr>
          <w:rFonts w:ascii="Arial" w:hAnsi="Arial" w:cs="Arial"/>
          <w:b/>
          <w:sz w:val="40"/>
          <w:szCs w:val="40"/>
        </w:rPr>
        <w:t xml:space="preserve">National Health (Efficient Funding of Chemotherapy) Special Arrangement Amendment </w:t>
      </w:r>
      <w:r w:rsidR="005008AD" w:rsidRPr="005B0995">
        <w:rPr>
          <w:rFonts w:ascii="Arial" w:hAnsi="Arial" w:cs="Arial"/>
          <w:b/>
          <w:sz w:val="40"/>
          <w:szCs w:val="40"/>
        </w:rPr>
        <w:t>(</w:t>
      </w:r>
      <w:r w:rsidR="00E21248" w:rsidRPr="005B0995">
        <w:rPr>
          <w:rFonts w:ascii="Arial" w:hAnsi="Arial" w:cs="Arial"/>
          <w:b/>
          <w:sz w:val="40"/>
          <w:szCs w:val="40"/>
        </w:rPr>
        <w:t>Ju</w:t>
      </w:r>
      <w:r w:rsidR="00067007" w:rsidRPr="005B0995">
        <w:rPr>
          <w:rFonts w:ascii="Arial" w:hAnsi="Arial" w:cs="Arial"/>
          <w:b/>
          <w:sz w:val="40"/>
          <w:szCs w:val="40"/>
        </w:rPr>
        <w:t>ly</w:t>
      </w:r>
      <w:r w:rsidR="00306F2D" w:rsidRPr="005B0995">
        <w:rPr>
          <w:rFonts w:ascii="Arial" w:hAnsi="Arial" w:cs="Arial"/>
          <w:b/>
          <w:sz w:val="40"/>
          <w:szCs w:val="40"/>
        </w:rPr>
        <w:t xml:space="preserve"> </w:t>
      </w:r>
      <w:r w:rsidR="005008AD" w:rsidRPr="005B0995">
        <w:rPr>
          <w:rFonts w:ascii="Arial" w:hAnsi="Arial" w:cs="Arial"/>
          <w:b/>
          <w:sz w:val="40"/>
          <w:szCs w:val="40"/>
        </w:rPr>
        <w:t xml:space="preserve">Update) </w:t>
      </w:r>
      <w:r w:rsidRPr="005B0995">
        <w:rPr>
          <w:rFonts w:ascii="Arial" w:hAnsi="Arial" w:cs="Arial"/>
          <w:b/>
          <w:sz w:val="40"/>
          <w:szCs w:val="40"/>
        </w:rPr>
        <w:t>Instrument 202</w:t>
      </w:r>
      <w:r w:rsidR="00D228EC" w:rsidRPr="005B0995">
        <w:rPr>
          <w:rFonts w:ascii="Arial" w:hAnsi="Arial" w:cs="Arial"/>
          <w:b/>
          <w:sz w:val="40"/>
          <w:szCs w:val="40"/>
        </w:rPr>
        <w:t>5</w:t>
      </w:r>
    </w:p>
    <w:p w14:paraId="238D8D2E" w14:textId="77777777" w:rsidR="001A286A" w:rsidRPr="005B0995" w:rsidRDefault="001A286A" w:rsidP="0038353B">
      <w:pPr>
        <w:spacing w:line="240" w:lineRule="auto"/>
      </w:pPr>
    </w:p>
    <w:p w14:paraId="086DD131" w14:textId="77777777" w:rsidR="001A286A" w:rsidRPr="005B0995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5B0995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5B0995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39535495" w:rsidR="001A286A" w:rsidRPr="005B0995" w:rsidRDefault="001A286A" w:rsidP="0038353B">
      <w:pPr>
        <w:rPr>
          <w:b/>
          <w:bCs/>
          <w:szCs w:val="22"/>
        </w:rPr>
      </w:pPr>
      <w:r w:rsidRPr="005B0995">
        <w:rPr>
          <w:szCs w:val="22"/>
        </w:rPr>
        <w:t xml:space="preserve">I, </w:t>
      </w:r>
      <w:bookmarkStart w:id="0" w:name="_Hlk106345423"/>
      <w:r w:rsidR="00D228EC" w:rsidRPr="005B0995">
        <w:rPr>
          <w:szCs w:val="22"/>
        </w:rPr>
        <w:t>REBECCA RICHARDSON</w:t>
      </w:r>
      <w:r w:rsidR="007F4155" w:rsidRPr="005B0995">
        <w:rPr>
          <w:szCs w:val="22"/>
        </w:rPr>
        <w:t xml:space="preserve">, Assistant Secretary, </w:t>
      </w:r>
      <w:r w:rsidR="00AD67B8" w:rsidRPr="005B0995">
        <w:rPr>
          <w:szCs w:val="22"/>
        </w:rPr>
        <w:t>Pricing and PBS Policy Branch</w:t>
      </w:r>
      <w:bookmarkEnd w:id="0"/>
      <w:r w:rsidRPr="005B0995">
        <w:rPr>
          <w:szCs w:val="22"/>
        </w:rPr>
        <w:t xml:space="preserve">, Technology Assessment and Access Division, </w:t>
      </w:r>
      <w:r w:rsidR="00482D59" w:rsidRPr="005B0995">
        <w:rPr>
          <w:szCs w:val="22"/>
        </w:rPr>
        <w:t>Department of Health, Disability and Ageing</w:t>
      </w:r>
      <w:r w:rsidRPr="005B0995">
        <w:rPr>
          <w:szCs w:val="22"/>
        </w:rPr>
        <w:t>, delegate of the Minister for Health and Age</w:t>
      </w:r>
      <w:r w:rsidR="00C847C3" w:rsidRPr="005B0995">
        <w:rPr>
          <w:szCs w:val="22"/>
        </w:rPr>
        <w:t>ing</w:t>
      </w:r>
      <w:r w:rsidRPr="005B0995">
        <w:rPr>
          <w:szCs w:val="22"/>
        </w:rPr>
        <w:t xml:space="preserve">, make this Instrument under subsection 100(2) of the </w:t>
      </w:r>
      <w:r w:rsidRPr="005B0995">
        <w:rPr>
          <w:i/>
          <w:szCs w:val="22"/>
        </w:rPr>
        <w:t>National Health Act 1953</w:t>
      </w:r>
      <w:r w:rsidRPr="005B0995">
        <w:rPr>
          <w:szCs w:val="22"/>
        </w:rPr>
        <w:t>.</w:t>
      </w:r>
    </w:p>
    <w:p w14:paraId="542E1E0E" w14:textId="54382D33" w:rsidR="005E317F" w:rsidRPr="005B0995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5B0995">
        <w:rPr>
          <w:szCs w:val="22"/>
        </w:rPr>
        <w:t>Date</w:t>
      </w:r>
      <w:r w:rsidR="00937A8B" w:rsidRPr="005B0995">
        <w:rPr>
          <w:szCs w:val="22"/>
        </w:rPr>
        <w:t>d</w:t>
      </w:r>
      <w:r w:rsidR="00D076E7" w:rsidRPr="005B0995">
        <w:rPr>
          <w:szCs w:val="22"/>
        </w:rPr>
        <w:tab/>
      </w:r>
      <w:r w:rsidR="004031BA" w:rsidRPr="005B0995">
        <w:rPr>
          <w:szCs w:val="22"/>
        </w:rPr>
        <w:t xml:space="preserve">26 June </w:t>
      </w:r>
      <w:r w:rsidR="00D2147E" w:rsidRPr="005B0995">
        <w:t>202</w:t>
      </w:r>
      <w:r w:rsidR="00D228EC" w:rsidRPr="005B0995">
        <w:t>5</w:t>
      </w:r>
    </w:p>
    <w:p w14:paraId="1EF5D8A6" w14:textId="7D9D7C4B" w:rsidR="007F4155" w:rsidRPr="005B0995" w:rsidRDefault="00D228EC" w:rsidP="006F1A19">
      <w:pPr>
        <w:spacing w:before="3000" w:line="240" w:lineRule="auto"/>
        <w:rPr>
          <w:b/>
          <w:bCs/>
        </w:rPr>
      </w:pPr>
      <w:bookmarkStart w:id="1" w:name="_Hlk106345436"/>
      <w:r w:rsidRPr="005B0995">
        <w:rPr>
          <w:b/>
          <w:bCs/>
        </w:rPr>
        <w:t>REBECCA RICHARDSON</w:t>
      </w:r>
    </w:p>
    <w:p w14:paraId="6A226CF5" w14:textId="6A6FC79F" w:rsidR="00AD67B8" w:rsidRPr="005B0995" w:rsidRDefault="007F4155" w:rsidP="0038353B">
      <w:pPr>
        <w:spacing w:line="240" w:lineRule="auto"/>
      </w:pPr>
      <w:r w:rsidRPr="005B0995">
        <w:t>Assistant Secretary</w:t>
      </w:r>
    </w:p>
    <w:p w14:paraId="45BAE1D3" w14:textId="77777777" w:rsidR="00AD67B8" w:rsidRPr="005B0995" w:rsidRDefault="00AD67B8" w:rsidP="0038353B">
      <w:pPr>
        <w:spacing w:line="240" w:lineRule="auto"/>
      </w:pPr>
      <w:r w:rsidRPr="005B0995">
        <w:t>Pricing and PBS Policy Branch</w:t>
      </w:r>
      <w:bookmarkEnd w:id="1"/>
    </w:p>
    <w:p w14:paraId="3981EBD6" w14:textId="46A4B70A" w:rsidR="001A286A" w:rsidRPr="005B0995" w:rsidRDefault="00C1795C" w:rsidP="0038353B">
      <w:pPr>
        <w:spacing w:line="240" w:lineRule="auto"/>
      </w:pPr>
      <w:r w:rsidRPr="005B0995">
        <w:t>Technology Assessment and Access Division</w:t>
      </w:r>
    </w:p>
    <w:p w14:paraId="2FDCD724" w14:textId="54232FE7" w:rsidR="005E317F" w:rsidRPr="005B0995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5B0995" w:rsidRDefault="00B20990" w:rsidP="0038353B">
      <w:pPr>
        <w:spacing w:line="240" w:lineRule="auto"/>
      </w:pPr>
    </w:p>
    <w:p w14:paraId="297B73B7" w14:textId="77777777" w:rsidR="00B20990" w:rsidRPr="005B0995" w:rsidRDefault="00B20990" w:rsidP="0038353B">
      <w:pPr>
        <w:spacing w:line="240" w:lineRule="auto"/>
        <w:sectPr w:rsidR="00B20990" w:rsidRPr="005B0995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Pr="005B0995" w:rsidRDefault="00B20990" w:rsidP="0038353B">
      <w:pPr>
        <w:spacing w:line="240" w:lineRule="auto"/>
        <w:outlineLvl w:val="0"/>
        <w:rPr>
          <w:sz w:val="36"/>
        </w:rPr>
      </w:pPr>
      <w:r w:rsidRPr="005B0995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Pr="005B0995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0995">
        <w:fldChar w:fldCharType="begin"/>
      </w:r>
      <w:r w:rsidRPr="005B0995">
        <w:instrText xml:space="preserve"> TOC \o "1-9" </w:instrText>
      </w:r>
      <w:r w:rsidRPr="005B0995">
        <w:fldChar w:fldCharType="separate"/>
      </w:r>
      <w:r w:rsidR="005E317F" w:rsidRPr="005B0995">
        <w:rPr>
          <w:noProof/>
        </w:rPr>
        <w:t>1</w:t>
      </w:r>
      <w:r w:rsidR="005E317F" w:rsidRPr="005B0995">
        <w:rPr>
          <w:noProof/>
        </w:rPr>
        <w:tab/>
        <w:t>Name</w:t>
      </w:r>
      <w:r w:rsidR="005E317F" w:rsidRPr="005B0995">
        <w:rPr>
          <w:noProof/>
          <w:sz w:val="20"/>
        </w:rPr>
        <w:tab/>
      </w:r>
      <w:r w:rsidR="005E317F" w:rsidRPr="005B0995">
        <w:rPr>
          <w:noProof/>
          <w:sz w:val="20"/>
        </w:rPr>
        <w:fldChar w:fldCharType="begin"/>
      </w:r>
      <w:r w:rsidR="005E317F" w:rsidRPr="005B0995">
        <w:rPr>
          <w:noProof/>
          <w:sz w:val="20"/>
        </w:rPr>
        <w:instrText xml:space="preserve"> PAGEREF _Toc478567687 \h </w:instrText>
      </w:r>
      <w:r w:rsidR="005E317F" w:rsidRPr="005B0995">
        <w:rPr>
          <w:noProof/>
          <w:sz w:val="20"/>
        </w:rPr>
      </w:r>
      <w:r w:rsidR="005E317F" w:rsidRPr="005B0995">
        <w:rPr>
          <w:noProof/>
          <w:sz w:val="20"/>
        </w:rPr>
        <w:fldChar w:fldCharType="separate"/>
      </w:r>
      <w:r w:rsidR="00C07DD6" w:rsidRPr="005B0995">
        <w:rPr>
          <w:noProof/>
          <w:sz w:val="20"/>
        </w:rPr>
        <w:t>1</w:t>
      </w:r>
      <w:r w:rsidR="005E317F" w:rsidRPr="005B0995">
        <w:rPr>
          <w:noProof/>
          <w:sz w:val="20"/>
        </w:rPr>
        <w:fldChar w:fldCharType="end"/>
      </w:r>
    </w:p>
    <w:p w14:paraId="4D04226C" w14:textId="7ADF1A69" w:rsidR="005E317F" w:rsidRPr="005B0995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0995">
        <w:rPr>
          <w:noProof/>
        </w:rPr>
        <w:t>2</w:t>
      </w:r>
      <w:r w:rsidRPr="005B0995">
        <w:rPr>
          <w:noProof/>
        </w:rPr>
        <w:tab/>
        <w:t>Commencement</w:t>
      </w:r>
      <w:r w:rsidRPr="005B0995">
        <w:rPr>
          <w:noProof/>
          <w:sz w:val="20"/>
        </w:rPr>
        <w:tab/>
      </w:r>
      <w:r w:rsidRPr="005B0995">
        <w:rPr>
          <w:noProof/>
          <w:sz w:val="20"/>
        </w:rPr>
        <w:fldChar w:fldCharType="begin"/>
      </w:r>
      <w:r w:rsidRPr="005B0995">
        <w:rPr>
          <w:noProof/>
          <w:sz w:val="20"/>
        </w:rPr>
        <w:instrText xml:space="preserve"> PAGEREF _Toc478567688 \h </w:instrText>
      </w:r>
      <w:r w:rsidRPr="005B0995">
        <w:rPr>
          <w:noProof/>
          <w:sz w:val="20"/>
        </w:rPr>
      </w:r>
      <w:r w:rsidRPr="005B0995">
        <w:rPr>
          <w:noProof/>
          <w:sz w:val="20"/>
        </w:rPr>
        <w:fldChar w:fldCharType="separate"/>
      </w:r>
      <w:r w:rsidR="00C07DD6" w:rsidRPr="005B0995">
        <w:rPr>
          <w:noProof/>
          <w:sz w:val="20"/>
        </w:rPr>
        <w:t>1</w:t>
      </w:r>
      <w:r w:rsidRPr="005B0995">
        <w:rPr>
          <w:noProof/>
          <w:sz w:val="20"/>
        </w:rPr>
        <w:fldChar w:fldCharType="end"/>
      </w:r>
    </w:p>
    <w:p w14:paraId="32A95F2E" w14:textId="4E067BB2" w:rsidR="005E317F" w:rsidRPr="005B0995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0995">
        <w:rPr>
          <w:noProof/>
        </w:rPr>
        <w:t>3</w:t>
      </w:r>
      <w:r w:rsidRPr="005B0995">
        <w:rPr>
          <w:noProof/>
        </w:rPr>
        <w:tab/>
        <w:t>Authority</w:t>
      </w:r>
      <w:r w:rsidRPr="005B0995">
        <w:rPr>
          <w:noProof/>
          <w:sz w:val="20"/>
        </w:rPr>
        <w:tab/>
      </w:r>
      <w:r w:rsidRPr="005B0995">
        <w:rPr>
          <w:noProof/>
          <w:sz w:val="20"/>
        </w:rPr>
        <w:fldChar w:fldCharType="begin"/>
      </w:r>
      <w:r w:rsidRPr="005B0995">
        <w:rPr>
          <w:noProof/>
          <w:sz w:val="20"/>
        </w:rPr>
        <w:instrText xml:space="preserve"> PAGEREF _Toc478567689 \h </w:instrText>
      </w:r>
      <w:r w:rsidRPr="005B0995">
        <w:rPr>
          <w:noProof/>
          <w:sz w:val="20"/>
        </w:rPr>
      </w:r>
      <w:r w:rsidRPr="005B0995">
        <w:rPr>
          <w:noProof/>
          <w:sz w:val="20"/>
        </w:rPr>
        <w:fldChar w:fldCharType="separate"/>
      </w:r>
      <w:r w:rsidR="00C07DD6" w:rsidRPr="005B0995">
        <w:rPr>
          <w:noProof/>
          <w:sz w:val="20"/>
        </w:rPr>
        <w:t>1</w:t>
      </w:r>
      <w:r w:rsidRPr="005B0995">
        <w:rPr>
          <w:noProof/>
          <w:sz w:val="20"/>
        </w:rPr>
        <w:fldChar w:fldCharType="end"/>
      </w:r>
    </w:p>
    <w:p w14:paraId="26B5284D" w14:textId="290E72F9" w:rsidR="005E317F" w:rsidRPr="005B0995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B0995">
        <w:rPr>
          <w:noProof/>
        </w:rPr>
        <w:t>4</w:t>
      </w:r>
      <w:r w:rsidRPr="005B0995">
        <w:rPr>
          <w:noProof/>
        </w:rPr>
        <w:tab/>
        <w:t>Schedules</w:t>
      </w:r>
      <w:r w:rsidRPr="005B0995">
        <w:rPr>
          <w:noProof/>
          <w:sz w:val="20"/>
        </w:rPr>
        <w:tab/>
      </w:r>
      <w:r w:rsidRPr="005B0995">
        <w:rPr>
          <w:noProof/>
          <w:sz w:val="20"/>
        </w:rPr>
        <w:fldChar w:fldCharType="begin"/>
      </w:r>
      <w:r w:rsidRPr="005B0995">
        <w:rPr>
          <w:noProof/>
          <w:sz w:val="20"/>
        </w:rPr>
        <w:instrText xml:space="preserve"> PAGEREF _Toc478567690 \h </w:instrText>
      </w:r>
      <w:r w:rsidRPr="005B0995">
        <w:rPr>
          <w:noProof/>
          <w:sz w:val="20"/>
        </w:rPr>
      </w:r>
      <w:r w:rsidRPr="005B0995">
        <w:rPr>
          <w:noProof/>
          <w:sz w:val="20"/>
        </w:rPr>
        <w:fldChar w:fldCharType="separate"/>
      </w:r>
      <w:r w:rsidR="00C07DD6" w:rsidRPr="005B0995">
        <w:rPr>
          <w:noProof/>
          <w:sz w:val="20"/>
        </w:rPr>
        <w:t>1</w:t>
      </w:r>
      <w:r w:rsidRPr="005B0995">
        <w:rPr>
          <w:noProof/>
          <w:sz w:val="20"/>
        </w:rPr>
        <w:fldChar w:fldCharType="end"/>
      </w:r>
    </w:p>
    <w:p w14:paraId="0ED7DB7B" w14:textId="6287DF5C" w:rsidR="005E317F" w:rsidRPr="005B0995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B0995">
        <w:rPr>
          <w:noProof/>
        </w:rPr>
        <w:t>Schedule 1—Amendments</w:t>
      </w:r>
      <w:r w:rsidRPr="005B0995">
        <w:rPr>
          <w:b w:val="0"/>
          <w:noProof/>
          <w:sz w:val="20"/>
        </w:rPr>
        <w:tab/>
      </w:r>
      <w:r w:rsidRPr="005B0995">
        <w:rPr>
          <w:b w:val="0"/>
          <w:noProof/>
          <w:sz w:val="20"/>
        </w:rPr>
        <w:fldChar w:fldCharType="begin"/>
      </w:r>
      <w:r w:rsidRPr="005B0995">
        <w:rPr>
          <w:b w:val="0"/>
          <w:noProof/>
          <w:sz w:val="20"/>
        </w:rPr>
        <w:instrText xml:space="preserve"> PAGEREF _Toc478567691 \h </w:instrText>
      </w:r>
      <w:r w:rsidRPr="005B0995">
        <w:rPr>
          <w:b w:val="0"/>
          <w:noProof/>
          <w:sz w:val="20"/>
        </w:rPr>
      </w:r>
      <w:r w:rsidRPr="005B0995">
        <w:rPr>
          <w:b w:val="0"/>
          <w:noProof/>
          <w:sz w:val="20"/>
        </w:rPr>
        <w:fldChar w:fldCharType="separate"/>
      </w:r>
      <w:r w:rsidR="00C07DD6" w:rsidRPr="005B0995">
        <w:rPr>
          <w:b w:val="0"/>
          <w:noProof/>
          <w:sz w:val="20"/>
        </w:rPr>
        <w:t>2</w:t>
      </w:r>
      <w:r w:rsidRPr="005B0995">
        <w:rPr>
          <w:b w:val="0"/>
          <w:noProof/>
          <w:sz w:val="20"/>
        </w:rPr>
        <w:fldChar w:fldCharType="end"/>
      </w:r>
    </w:p>
    <w:p w14:paraId="0A0BB86E" w14:textId="570AA1E8" w:rsidR="005E317F" w:rsidRPr="005B0995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0995">
        <w:t xml:space="preserve">National Health (Efficient Funding of Chemotherapy) Special Arrangement </w:t>
      </w:r>
      <w:r w:rsidR="00053793" w:rsidRPr="005B0995">
        <w:t>2024</w:t>
      </w:r>
      <w:r w:rsidRPr="005B0995">
        <w:br/>
        <w:t xml:space="preserve">(PB </w:t>
      </w:r>
      <w:r w:rsidR="00053793" w:rsidRPr="005B0995">
        <w:t>31</w:t>
      </w:r>
      <w:r w:rsidRPr="005B0995">
        <w:t xml:space="preserve"> of </w:t>
      </w:r>
      <w:r w:rsidR="00053793" w:rsidRPr="005B0995">
        <w:t>2024</w:t>
      </w:r>
      <w:r w:rsidRPr="005B0995">
        <w:t>)</w:t>
      </w:r>
      <w:r w:rsidR="005E317F" w:rsidRPr="005B0995">
        <w:rPr>
          <w:i w:val="0"/>
          <w:noProof/>
        </w:rPr>
        <w:tab/>
      </w:r>
      <w:r w:rsidR="00C904FE" w:rsidRPr="005B0995">
        <w:rPr>
          <w:i w:val="0"/>
          <w:noProof/>
        </w:rPr>
        <w:t>2</w:t>
      </w:r>
    </w:p>
    <w:p w14:paraId="5B851D38" w14:textId="6FD219C0" w:rsidR="005E317F" w:rsidRPr="005B0995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5B0995" w:rsidRDefault="00B20990" w:rsidP="0038353B">
      <w:pPr>
        <w:spacing w:line="240" w:lineRule="auto"/>
      </w:pPr>
      <w:r w:rsidRPr="005B0995">
        <w:rPr>
          <w:rFonts w:cs="Times New Roman"/>
          <w:sz w:val="20"/>
        </w:rPr>
        <w:fldChar w:fldCharType="end"/>
      </w:r>
    </w:p>
    <w:p w14:paraId="5E7341AB" w14:textId="77777777" w:rsidR="00B20990" w:rsidRPr="005B0995" w:rsidRDefault="00B20990" w:rsidP="0038353B">
      <w:pPr>
        <w:spacing w:line="240" w:lineRule="auto"/>
      </w:pPr>
    </w:p>
    <w:p w14:paraId="2C1CCB12" w14:textId="77777777" w:rsidR="00E32692" w:rsidRPr="005B0995" w:rsidRDefault="00E32692" w:rsidP="0038353B">
      <w:pPr>
        <w:spacing w:line="240" w:lineRule="auto"/>
        <w:sectPr w:rsidR="00E32692" w:rsidRPr="005B0995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5B0995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5B0995">
        <w:lastRenderedPageBreak/>
        <w:t>Name</w:t>
      </w:r>
      <w:bookmarkEnd w:id="3"/>
    </w:p>
    <w:p w14:paraId="77205F69" w14:textId="10B6CB5B" w:rsidR="005E317F" w:rsidRPr="005B0995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5B0995">
        <w:t xml:space="preserve">This instrument is the </w:t>
      </w:r>
      <w:bookmarkStart w:id="4" w:name="BKCheck15B_3"/>
      <w:bookmarkStart w:id="5" w:name="_Hlk80090919"/>
      <w:bookmarkEnd w:id="4"/>
      <w:r w:rsidR="001A286A" w:rsidRPr="005B0995">
        <w:rPr>
          <w:i/>
        </w:rPr>
        <w:t xml:space="preserve">National Health (Efficient Funding of Chemotherapy) Special Arrangement Amendment </w:t>
      </w:r>
      <w:r w:rsidR="008B09C7" w:rsidRPr="005B0995">
        <w:rPr>
          <w:i/>
        </w:rPr>
        <w:t>(</w:t>
      </w:r>
      <w:r w:rsidR="00EF3CFD" w:rsidRPr="005B0995">
        <w:rPr>
          <w:i/>
        </w:rPr>
        <w:t>Ju</w:t>
      </w:r>
      <w:r w:rsidR="00067007" w:rsidRPr="005B0995">
        <w:rPr>
          <w:i/>
        </w:rPr>
        <w:t>ly</w:t>
      </w:r>
      <w:r w:rsidR="008B09C7" w:rsidRPr="005B0995">
        <w:rPr>
          <w:i/>
        </w:rPr>
        <w:t xml:space="preserve"> Update) </w:t>
      </w:r>
      <w:r w:rsidR="001A286A" w:rsidRPr="005B0995">
        <w:rPr>
          <w:i/>
        </w:rPr>
        <w:t>Instrument 202</w:t>
      </w:r>
      <w:bookmarkEnd w:id="5"/>
      <w:r w:rsidR="00D228EC" w:rsidRPr="005B0995">
        <w:rPr>
          <w:i/>
        </w:rPr>
        <w:t>5</w:t>
      </w:r>
      <w:r w:rsidR="00D4308D" w:rsidRPr="005B0995">
        <w:rPr>
          <w:i/>
        </w:rPr>
        <w:t>.</w:t>
      </w:r>
    </w:p>
    <w:p w14:paraId="0FF7C4A3" w14:textId="139CAF5B" w:rsidR="001A286A" w:rsidRPr="005B0995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5B0995">
        <w:t xml:space="preserve">This instrument may also be cited as </w:t>
      </w:r>
      <w:r w:rsidR="00283888" w:rsidRPr="005B0995">
        <w:t xml:space="preserve">PB </w:t>
      </w:r>
      <w:r w:rsidR="003E22A5" w:rsidRPr="005B0995">
        <w:t>78</w:t>
      </w:r>
      <w:r w:rsidR="002B139F" w:rsidRPr="005B0995">
        <w:t xml:space="preserve"> </w:t>
      </w:r>
      <w:r w:rsidRPr="005B0995">
        <w:t>of 202</w:t>
      </w:r>
      <w:r w:rsidR="00D228EC" w:rsidRPr="005B0995">
        <w:t>5</w:t>
      </w:r>
      <w:r w:rsidR="004E1E67" w:rsidRPr="005B0995">
        <w:t>.</w:t>
      </w:r>
    </w:p>
    <w:p w14:paraId="2FF92845" w14:textId="5AD34580" w:rsidR="005E317F" w:rsidRPr="005B0995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5B0995">
        <w:t>Commencement</w:t>
      </w:r>
      <w:bookmarkEnd w:id="6"/>
    </w:p>
    <w:p w14:paraId="048AB2EA" w14:textId="0E3E42E1" w:rsidR="00002BCC" w:rsidRPr="005B0995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5B099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5B0995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5B0995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Commencement information</w:t>
            </w:r>
          </w:p>
        </w:tc>
      </w:tr>
      <w:tr w:rsidR="00002BCC" w:rsidRPr="005B0995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Column 3</w:t>
            </w:r>
          </w:p>
        </w:tc>
      </w:tr>
      <w:tr w:rsidR="00002BCC" w:rsidRPr="005B0995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5B0995" w:rsidRDefault="00002BCC" w:rsidP="007D1325">
            <w:pPr>
              <w:pStyle w:val="TableHeading"/>
              <w:spacing w:line="240" w:lineRule="auto"/>
            </w:pPr>
            <w:r w:rsidRPr="005B0995">
              <w:t>Date/Details</w:t>
            </w:r>
          </w:p>
        </w:tc>
      </w:tr>
      <w:tr w:rsidR="00002BCC" w:rsidRPr="005B0995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42860ED2" w:rsidR="00002BCC" w:rsidRPr="005B0995" w:rsidRDefault="00002BCC" w:rsidP="007D1325">
            <w:pPr>
              <w:pStyle w:val="Tabletext"/>
              <w:spacing w:line="240" w:lineRule="auto"/>
            </w:pPr>
            <w:r w:rsidRPr="005B0995">
              <w:t xml:space="preserve">1. </w:t>
            </w:r>
            <w:r w:rsidR="001A286A" w:rsidRPr="005B0995"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065978EB" w:rsidR="00002BCC" w:rsidRPr="005B0995" w:rsidRDefault="00981D9C" w:rsidP="007D1325">
            <w:pPr>
              <w:pStyle w:val="Tabletext"/>
              <w:spacing w:line="240" w:lineRule="auto"/>
            </w:pPr>
            <w:r w:rsidRPr="005B0995">
              <w:t xml:space="preserve">1 </w:t>
            </w:r>
            <w:r w:rsidR="00EF3CFD" w:rsidRPr="005B0995">
              <w:t>Ju</w:t>
            </w:r>
            <w:r w:rsidR="00067007" w:rsidRPr="005B0995">
              <w:t>ly</w:t>
            </w:r>
            <w:r w:rsidR="00306F2D" w:rsidRPr="005B0995">
              <w:t xml:space="preserve"> </w:t>
            </w:r>
            <w:r w:rsidR="005252B4" w:rsidRPr="005B0995">
              <w:t>202</w:t>
            </w:r>
            <w:r w:rsidR="00306F2D" w:rsidRPr="005B0995">
              <w:t>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09CC7E6F" w:rsidR="00002BCC" w:rsidRPr="005B0995" w:rsidRDefault="005252B4" w:rsidP="007D1325">
            <w:pPr>
              <w:pStyle w:val="Tabletext"/>
              <w:spacing w:line="240" w:lineRule="auto"/>
            </w:pPr>
            <w:r w:rsidRPr="005B0995">
              <w:t xml:space="preserve">1 </w:t>
            </w:r>
            <w:r w:rsidR="00EF3CFD" w:rsidRPr="005B0995">
              <w:t>Ju</w:t>
            </w:r>
            <w:r w:rsidR="00067007" w:rsidRPr="005B0995">
              <w:t>ly</w:t>
            </w:r>
            <w:r w:rsidR="00105C63" w:rsidRPr="005B0995">
              <w:t xml:space="preserve"> </w:t>
            </w:r>
            <w:r w:rsidRPr="005B0995">
              <w:t>202</w:t>
            </w:r>
            <w:r w:rsidR="00306F2D" w:rsidRPr="005B0995">
              <w:t>5</w:t>
            </w:r>
          </w:p>
        </w:tc>
      </w:tr>
    </w:tbl>
    <w:p w14:paraId="19882BA6" w14:textId="77777777" w:rsidR="00002BCC" w:rsidRPr="005B0995" w:rsidRDefault="00002BCC" w:rsidP="0038353B">
      <w:pPr>
        <w:pStyle w:val="notetext"/>
        <w:spacing w:line="240" w:lineRule="auto"/>
      </w:pPr>
      <w:r w:rsidRPr="005B0995">
        <w:rPr>
          <w:snapToGrid w:val="0"/>
          <w:lang w:eastAsia="en-US"/>
        </w:rPr>
        <w:t>Note:</w:t>
      </w:r>
      <w:r w:rsidRPr="005B0995">
        <w:rPr>
          <w:snapToGrid w:val="0"/>
          <w:lang w:eastAsia="en-US"/>
        </w:rPr>
        <w:tab/>
        <w:t>This table relates only to the provisions of this instrument</w:t>
      </w:r>
      <w:r w:rsidRPr="005B0995">
        <w:t xml:space="preserve"> </w:t>
      </w:r>
      <w:r w:rsidRPr="005B0995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5B0995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5B099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5B0995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5B0995">
        <w:t>Authority</w:t>
      </w:r>
      <w:bookmarkEnd w:id="7"/>
    </w:p>
    <w:p w14:paraId="255D8561" w14:textId="362CA725" w:rsidR="001A286A" w:rsidRPr="005B0995" w:rsidRDefault="005E317F" w:rsidP="0038353B">
      <w:pPr>
        <w:pStyle w:val="subsection"/>
        <w:widowControl w:val="0"/>
        <w:ind w:left="567" w:firstLine="0"/>
      </w:pPr>
      <w:r w:rsidRPr="005B0995">
        <w:t>This instrument is made</w:t>
      </w:r>
      <w:r w:rsidR="001A286A" w:rsidRPr="005B0995">
        <w:t xml:space="preserve"> </w:t>
      </w:r>
      <w:r w:rsidRPr="005B0995">
        <w:t>under</w:t>
      </w:r>
      <w:r w:rsidR="001A286A" w:rsidRPr="005B0995">
        <w:t xml:space="preserve"> subsection 100(2)</w:t>
      </w:r>
      <w:r w:rsidR="00464BBF" w:rsidRPr="005B0995">
        <w:t xml:space="preserve"> of the</w:t>
      </w:r>
      <w:r w:rsidR="001A286A" w:rsidRPr="005B0995">
        <w:t xml:space="preserve"> </w:t>
      </w:r>
      <w:r w:rsidR="001A286A" w:rsidRPr="005B0995">
        <w:rPr>
          <w:i/>
        </w:rPr>
        <w:t>National Health Act 1953</w:t>
      </w:r>
      <w:r w:rsidR="001A286A" w:rsidRPr="005B0995">
        <w:t>.</w:t>
      </w:r>
    </w:p>
    <w:p w14:paraId="418EB651" w14:textId="5B8531A2" w:rsidR="005E317F" w:rsidRPr="005B0995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5B0995">
        <w:t>Schedules</w:t>
      </w:r>
      <w:bookmarkEnd w:id="8"/>
    </w:p>
    <w:p w14:paraId="60AC440F" w14:textId="17024904" w:rsidR="000A4401" w:rsidRPr="005B0995" w:rsidRDefault="005E317F" w:rsidP="0038353B">
      <w:pPr>
        <w:pStyle w:val="subsection"/>
        <w:ind w:left="567" w:firstLine="0"/>
      </w:pPr>
      <w:r w:rsidRPr="005B0995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5B0995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5B0995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5B0995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5B0995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5B0995" w:rsidRDefault="00E32692" w:rsidP="0038353B">
      <w:pPr>
        <w:spacing w:line="240" w:lineRule="auto"/>
        <w:rPr>
          <w:lang w:eastAsia="en-AU"/>
        </w:rPr>
        <w:sectPr w:rsidR="00E32692" w:rsidRPr="005B0995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5B0995" w:rsidRDefault="005E317F" w:rsidP="0038353B">
      <w:pPr>
        <w:pStyle w:val="ActHead6"/>
        <w:pageBreakBefore/>
        <w:rPr>
          <w:rStyle w:val="CharAmSchText"/>
        </w:rPr>
      </w:pPr>
      <w:r w:rsidRPr="005B0995">
        <w:rPr>
          <w:rStyle w:val="CharAmSchNo"/>
        </w:rPr>
        <w:lastRenderedPageBreak/>
        <w:t>Schedule</w:t>
      </w:r>
      <w:r w:rsidR="001A286A" w:rsidRPr="005B0995">
        <w:rPr>
          <w:rStyle w:val="CharAmSchNo"/>
        </w:rPr>
        <w:t xml:space="preserve"> </w:t>
      </w:r>
      <w:r w:rsidRPr="005B0995">
        <w:rPr>
          <w:rStyle w:val="CharAmSchNo"/>
        </w:rPr>
        <w:t>1</w:t>
      </w:r>
      <w:r w:rsidRPr="005B0995">
        <w:t>—</w:t>
      </w:r>
      <w:r w:rsidRPr="005B0995">
        <w:rPr>
          <w:rStyle w:val="CharAmSchText"/>
        </w:rPr>
        <w:t>Amendments</w:t>
      </w:r>
      <w:bookmarkEnd w:id="9"/>
    </w:p>
    <w:p w14:paraId="6485455F" w14:textId="2AD01329" w:rsidR="005E5494" w:rsidRPr="005B0995" w:rsidRDefault="005E5494" w:rsidP="0038353B">
      <w:pPr>
        <w:pStyle w:val="ActHead7"/>
        <w:spacing w:before="120"/>
        <w:rPr>
          <w:i/>
          <w:iCs/>
        </w:rPr>
      </w:pPr>
      <w:r w:rsidRPr="005B0995">
        <w:rPr>
          <w:i/>
          <w:iCs/>
        </w:rPr>
        <w:t xml:space="preserve">National Health (Efficient Funding of Chemotherapy) Special Arrangement </w:t>
      </w:r>
      <w:r w:rsidR="00DB0543" w:rsidRPr="005B0995">
        <w:rPr>
          <w:i/>
          <w:iCs/>
        </w:rPr>
        <w:t>2024</w:t>
      </w:r>
      <w:r w:rsidRPr="005B0995">
        <w:rPr>
          <w:i/>
          <w:iCs/>
        </w:rPr>
        <w:t xml:space="preserve"> (PB </w:t>
      </w:r>
      <w:r w:rsidR="00DB0543" w:rsidRPr="005B0995">
        <w:rPr>
          <w:i/>
          <w:iCs/>
        </w:rPr>
        <w:t>31</w:t>
      </w:r>
      <w:r w:rsidRPr="005B0995">
        <w:rPr>
          <w:i/>
          <w:iCs/>
        </w:rPr>
        <w:t xml:space="preserve"> of </w:t>
      </w:r>
      <w:r w:rsidR="00DB0543" w:rsidRPr="005B0995">
        <w:rPr>
          <w:i/>
          <w:iCs/>
        </w:rPr>
        <w:t>2024</w:t>
      </w:r>
      <w:r w:rsidRPr="005B0995">
        <w:rPr>
          <w:i/>
          <w:iCs/>
        </w:rPr>
        <w:t>)</w:t>
      </w:r>
    </w:p>
    <w:p w14:paraId="2850342A" w14:textId="70C062AF" w:rsidR="00996A31" w:rsidRPr="005B0995" w:rsidRDefault="00996A31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Section 5, Definition for diluent fee</w:t>
      </w:r>
    </w:p>
    <w:p w14:paraId="44865AB0" w14:textId="70BFB74E" w:rsidR="00996A31" w:rsidRPr="005B0995" w:rsidRDefault="00996A31" w:rsidP="00996A31">
      <w:pPr>
        <w:tabs>
          <w:tab w:val="left" w:pos="2694"/>
        </w:tabs>
        <w:spacing w:before="60" w:after="60" w:line="260" w:lineRule="exact"/>
        <w:ind w:left="851"/>
        <w:rPr>
          <w:rFonts w:cs="Times New Roman"/>
          <w:i/>
          <w:iCs/>
          <w:sz w:val="20"/>
          <w:lang w:eastAsia="en-AU"/>
        </w:rPr>
      </w:pPr>
      <w:r w:rsidRPr="005B0995">
        <w:rPr>
          <w:rFonts w:cs="Times New Roman"/>
          <w:i/>
          <w:iCs/>
          <w:sz w:val="20"/>
          <w:lang w:eastAsia="en-AU"/>
        </w:rPr>
        <w:t xml:space="preserve">omit: </w:t>
      </w:r>
      <w:r w:rsidRPr="005B0995">
        <w:rPr>
          <w:rFonts w:cs="Times New Roman"/>
          <w:szCs w:val="22"/>
          <w:lang w:eastAsia="en-AU"/>
        </w:rPr>
        <w:t>$5.95</w:t>
      </w:r>
      <w:r w:rsidRPr="005B0995">
        <w:rPr>
          <w:rFonts w:cs="Times New Roman"/>
          <w:i/>
          <w:iCs/>
          <w:sz w:val="20"/>
          <w:lang w:eastAsia="en-AU"/>
        </w:rPr>
        <w:tab/>
        <w:t xml:space="preserve">substitute: </w:t>
      </w:r>
      <w:r w:rsidRPr="005B0995">
        <w:rPr>
          <w:rFonts w:cs="Times New Roman"/>
          <w:bCs/>
          <w:szCs w:val="22"/>
        </w:rPr>
        <w:t>$6.08</w:t>
      </w:r>
    </w:p>
    <w:p w14:paraId="292CC946" w14:textId="353443CB" w:rsidR="00996A31" w:rsidRPr="005B0995" w:rsidRDefault="00996A31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Section 5, Definition for dispensing fee</w:t>
      </w:r>
    </w:p>
    <w:p w14:paraId="38548A0F" w14:textId="71E8A059" w:rsidR="00996A31" w:rsidRPr="005B0995" w:rsidRDefault="00996A31" w:rsidP="00996A31">
      <w:pPr>
        <w:tabs>
          <w:tab w:val="left" w:pos="2694"/>
        </w:tabs>
        <w:spacing w:before="60" w:after="60" w:line="260" w:lineRule="exact"/>
        <w:ind w:left="851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 xml:space="preserve">omit: </w:t>
      </w:r>
      <w:r w:rsidRPr="005B0995">
        <w:rPr>
          <w:szCs w:val="22"/>
          <w:lang w:eastAsia="en-AU"/>
        </w:rPr>
        <w:t>$8.67</w:t>
      </w:r>
      <w:r w:rsidRPr="005B0995">
        <w:rPr>
          <w:i/>
          <w:iCs/>
          <w:sz w:val="20"/>
          <w:lang w:eastAsia="en-AU"/>
        </w:rPr>
        <w:tab/>
        <w:t xml:space="preserve">substitute: </w:t>
      </w:r>
      <w:r w:rsidRPr="005B0995">
        <w:rPr>
          <w:bCs/>
          <w:szCs w:val="22"/>
        </w:rPr>
        <w:t>$8.88</w:t>
      </w:r>
    </w:p>
    <w:p w14:paraId="3B5D1D69" w14:textId="31715177" w:rsidR="00996A31" w:rsidRPr="005B0995" w:rsidRDefault="00996A31" w:rsidP="00996A31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Section 5, Definition for distribution fee</w:t>
      </w:r>
    </w:p>
    <w:p w14:paraId="7578A7C2" w14:textId="3B76F845" w:rsidR="00996A31" w:rsidRPr="005B0995" w:rsidRDefault="00996A31" w:rsidP="00996A31">
      <w:pPr>
        <w:tabs>
          <w:tab w:val="left" w:pos="2694"/>
        </w:tabs>
        <w:spacing w:before="60" w:after="60" w:line="260" w:lineRule="exact"/>
        <w:ind w:left="851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 xml:space="preserve">omit: </w:t>
      </w:r>
      <w:r w:rsidRPr="005B0995">
        <w:rPr>
          <w:szCs w:val="22"/>
          <w:lang w:eastAsia="en-AU"/>
        </w:rPr>
        <w:t>$30.05</w:t>
      </w:r>
      <w:r w:rsidRPr="005B0995">
        <w:rPr>
          <w:i/>
          <w:iCs/>
          <w:sz w:val="20"/>
          <w:lang w:eastAsia="en-AU"/>
        </w:rPr>
        <w:tab/>
        <w:t xml:space="preserve">substitute: </w:t>
      </w:r>
      <w:r w:rsidRPr="005B0995">
        <w:rPr>
          <w:bCs/>
          <w:szCs w:val="22"/>
        </w:rPr>
        <w:t>$30.71</w:t>
      </w:r>
    </w:p>
    <w:p w14:paraId="690B8539" w14:textId="2B5AF4DF" w:rsidR="00996A31" w:rsidRPr="005B0995" w:rsidRDefault="00996A31" w:rsidP="00996A31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Section 5, Definition for preparation fee</w:t>
      </w:r>
    </w:p>
    <w:p w14:paraId="4C9CA4B4" w14:textId="0EF4737C" w:rsidR="00996A31" w:rsidRPr="005B0995" w:rsidRDefault="00996A31" w:rsidP="00996A31">
      <w:pPr>
        <w:tabs>
          <w:tab w:val="left" w:pos="2694"/>
        </w:tabs>
        <w:spacing w:before="60" w:after="60" w:line="260" w:lineRule="exact"/>
        <w:ind w:left="851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 xml:space="preserve">omit: </w:t>
      </w:r>
      <w:r w:rsidRPr="005B0995">
        <w:rPr>
          <w:szCs w:val="22"/>
          <w:lang w:eastAsia="en-AU"/>
        </w:rPr>
        <w:t>$90.13</w:t>
      </w:r>
      <w:r w:rsidRPr="005B0995">
        <w:rPr>
          <w:i/>
          <w:iCs/>
          <w:sz w:val="20"/>
          <w:lang w:eastAsia="en-AU"/>
        </w:rPr>
        <w:tab/>
        <w:t xml:space="preserve">substitute: </w:t>
      </w:r>
      <w:r w:rsidRPr="005B0995">
        <w:rPr>
          <w:bCs/>
          <w:szCs w:val="22"/>
        </w:rPr>
        <w:t>$91.23</w:t>
      </w:r>
    </w:p>
    <w:p w14:paraId="540E0924" w14:textId="658C9199" w:rsidR="005770E8" w:rsidRPr="005B0995" w:rsidRDefault="005770E8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1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>, entr</w:t>
      </w:r>
      <w:r w:rsidR="00E209B7" w:rsidRPr="005B0995">
        <w:rPr>
          <w:rFonts w:ascii="Arial" w:hAnsi="Arial" w:cs="Arial"/>
          <w:b/>
          <w:bCs/>
          <w:sz w:val="20"/>
          <w:lang w:eastAsia="en-AU"/>
        </w:rPr>
        <w:t>y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 for </w:t>
      </w:r>
      <w:proofErr w:type="spellStart"/>
      <w:r w:rsidR="00996A31" w:rsidRPr="005B0995">
        <w:rPr>
          <w:rFonts w:ascii="Arial" w:hAnsi="Arial" w:cs="Arial"/>
          <w:b/>
          <w:bCs/>
          <w:sz w:val="20"/>
          <w:lang w:eastAsia="en-AU"/>
        </w:rPr>
        <w:t>Bendamustine</w:t>
      </w:r>
      <w:proofErr w:type="spellEnd"/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 in each of the forms: </w:t>
      </w:r>
      <w:r w:rsidR="00996A31" w:rsidRPr="005B0995">
        <w:rPr>
          <w:rFonts w:ascii="Arial" w:hAnsi="Arial" w:cs="Arial"/>
          <w:b/>
          <w:bCs/>
          <w:sz w:val="20"/>
          <w:lang w:eastAsia="en-AU"/>
        </w:rPr>
        <w:t xml:space="preserve">Powder for injection containing </w:t>
      </w:r>
      <w:proofErr w:type="spellStart"/>
      <w:r w:rsidR="00996A31" w:rsidRPr="005B0995">
        <w:rPr>
          <w:rFonts w:ascii="Arial" w:hAnsi="Arial" w:cs="Arial"/>
          <w:b/>
          <w:bCs/>
          <w:sz w:val="20"/>
          <w:lang w:eastAsia="en-AU"/>
        </w:rPr>
        <w:t>bendamustine</w:t>
      </w:r>
      <w:proofErr w:type="spellEnd"/>
      <w:r w:rsidR="00996A31" w:rsidRPr="005B0995">
        <w:rPr>
          <w:rFonts w:ascii="Arial" w:hAnsi="Arial" w:cs="Arial"/>
          <w:b/>
          <w:bCs/>
          <w:sz w:val="20"/>
          <w:lang w:eastAsia="en-AU"/>
        </w:rPr>
        <w:t xml:space="preserve"> hydrochloride 25 mg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; and </w:t>
      </w:r>
      <w:r w:rsidR="00996A31" w:rsidRPr="005B0995">
        <w:rPr>
          <w:rFonts w:ascii="Arial" w:hAnsi="Arial" w:cs="Arial"/>
          <w:b/>
          <w:bCs/>
          <w:sz w:val="20"/>
          <w:lang w:eastAsia="en-AU"/>
        </w:rPr>
        <w:t xml:space="preserve">Powder for injection containing </w:t>
      </w:r>
      <w:proofErr w:type="spellStart"/>
      <w:r w:rsidR="00996A31" w:rsidRPr="005B0995">
        <w:rPr>
          <w:rFonts w:ascii="Arial" w:hAnsi="Arial" w:cs="Arial"/>
          <w:b/>
          <w:bCs/>
          <w:sz w:val="20"/>
          <w:lang w:eastAsia="en-AU"/>
        </w:rPr>
        <w:t>bendamustine</w:t>
      </w:r>
      <w:proofErr w:type="spellEnd"/>
      <w:r w:rsidR="00996A31" w:rsidRPr="005B0995">
        <w:rPr>
          <w:rFonts w:ascii="Arial" w:hAnsi="Arial" w:cs="Arial"/>
          <w:b/>
          <w:bCs/>
          <w:sz w:val="20"/>
          <w:lang w:eastAsia="en-AU"/>
        </w:rPr>
        <w:t xml:space="preserve"> hydrochloride 100 mg</w:t>
      </w:r>
    </w:p>
    <w:p w14:paraId="2CEB63C6" w14:textId="0A368F68" w:rsidR="000C05FD" w:rsidRPr="005B0995" w:rsidRDefault="000C05FD" w:rsidP="00996A31">
      <w:pPr>
        <w:widowControl w:val="0"/>
        <w:spacing w:before="60" w:after="60" w:line="260" w:lineRule="exact"/>
        <w:ind w:left="851"/>
        <w:rPr>
          <w:i/>
          <w:iCs/>
          <w:sz w:val="20"/>
        </w:rPr>
      </w:pPr>
      <w:r w:rsidRPr="005B0995">
        <w:rPr>
          <w:i/>
          <w:iCs/>
          <w:sz w:val="20"/>
        </w:rPr>
        <w:t xml:space="preserve">insert </w:t>
      </w:r>
      <w:r w:rsidR="00996A31" w:rsidRPr="005B0995">
        <w:rPr>
          <w:i/>
          <w:iCs/>
          <w:sz w:val="20"/>
        </w:rPr>
        <w:t>as first entry</w:t>
      </w:r>
      <w:r w:rsidRPr="005B0995">
        <w:rPr>
          <w:i/>
          <w:iCs/>
          <w:sz w:val="20"/>
        </w:rPr>
        <w:t>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2F5028B3" w14:textId="77777777" w:rsidTr="00A73E71">
        <w:tc>
          <w:tcPr>
            <w:tcW w:w="1860" w:type="dxa"/>
            <w:shd w:val="clear" w:color="auto" w:fill="auto"/>
          </w:tcPr>
          <w:p w14:paraId="3FFB7B59" w14:textId="45721A66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2DB7C9E5" w14:textId="6696E23D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7EC91162" w14:textId="4619CB3E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02ACC97A" w14:textId="61BA0AB5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BENDAMUSTINE EUGIA</w:t>
            </w:r>
          </w:p>
        </w:tc>
        <w:tc>
          <w:tcPr>
            <w:tcW w:w="1769" w:type="dxa"/>
            <w:shd w:val="clear" w:color="auto" w:fill="auto"/>
          </w:tcPr>
          <w:p w14:paraId="39B9FDF3" w14:textId="3939A2C9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C7943 C7944 C7972</w:t>
            </w:r>
          </w:p>
        </w:tc>
      </w:tr>
    </w:tbl>
    <w:p w14:paraId="10C2191D" w14:textId="65717ACE" w:rsidR="00996A31" w:rsidRPr="005B0995" w:rsidRDefault="00996A31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1, entry for Doxorubicin in the form Solution for I.V. injection or intravesical administration containing doxorubicin hydrochloride 200 mg in 100 mL single dose vial</w:t>
      </w:r>
    </w:p>
    <w:p w14:paraId="72373D46" w14:textId="44BFF0EA" w:rsidR="00996A31" w:rsidRPr="005B0995" w:rsidRDefault="00996A31" w:rsidP="00996A31">
      <w:pPr>
        <w:widowControl w:val="0"/>
        <w:spacing w:before="60" w:after="60" w:line="260" w:lineRule="exact"/>
        <w:ind w:left="851"/>
        <w:rPr>
          <w:i/>
          <w:iCs/>
          <w:sz w:val="20"/>
        </w:rPr>
      </w:pPr>
      <w:r w:rsidRPr="005B0995">
        <w:rPr>
          <w:i/>
          <w:iCs/>
          <w:sz w:val="20"/>
        </w:rPr>
        <w:t>omit: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60EED9EC" w14:textId="77777777" w:rsidTr="00A73E71">
        <w:tc>
          <w:tcPr>
            <w:tcW w:w="1860" w:type="dxa"/>
            <w:shd w:val="clear" w:color="auto" w:fill="auto"/>
          </w:tcPr>
          <w:p w14:paraId="4C36A25C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66FF8E0B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74F9280A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158204FE" w14:textId="2A4FEED3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16"/>
                <w:lang w:eastAsia="zh-CN"/>
              </w:rPr>
              <w:t>Adriamycin</w:t>
            </w:r>
          </w:p>
        </w:tc>
        <w:tc>
          <w:tcPr>
            <w:tcW w:w="1769" w:type="dxa"/>
            <w:shd w:val="clear" w:color="auto" w:fill="auto"/>
          </w:tcPr>
          <w:p w14:paraId="38063367" w14:textId="46BDB4E9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2689040F" w14:textId="5CA505C1" w:rsidR="00996A31" w:rsidRPr="005B0995" w:rsidRDefault="00996A31" w:rsidP="00996A31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1, entry for Irinotecan</w:t>
      </w:r>
    </w:p>
    <w:p w14:paraId="48FBBA80" w14:textId="71076BD0" w:rsidR="00996A31" w:rsidRPr="005B0995" w:rsidRDefault="00996A31" w:rsidP="00996A31">
      <w:pPr>
        <w:widowControl w:val="0"/>
        <w:spacing w:before="60" w:after="60" w:line="260" w:lineRule="exact"/>
        <w:ind w:left="851"/>
        <w:rPr>
          <w:i/>
          <w:iCs/>
          <w:sz w:val="20"/>
        </w:rPr>
      </w:pPr>
      <w:r w:rsidRPr="005B0995">
        <w:rPr>
          <w:i/>
          <w:iCs/>
          <w:sz w:val="20"/>
        </w:rPr>
        <w:t>omit: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0DA6F2A0" w14:textId="77777777" w:rsidTr="00A73E71">
        <w:tc>
          <w:tcPr>
            <w:tcW w:w="1860" w:type="dxa"/>
            <w:shd w:val="clear" w:color="auto" w:fill="auto"/>
          </w:tcPr>
          <w:p w14:paraId="7C2EAB6B" w14:textId="77777777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25732FCB" w14:textId="2A54636C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I.V. injection containing irinotecan hydrochloride trihydrate 40 mg in 2</w:t>
            </w:r>
            <w:r w:rsidR="0063507B"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 </w:t>
            </w: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mL</w:t>
            </w:r>
          </w:p>
        </w:tc>
        <w:tc>
          <w:tcPr>
            <w:tcW w:w="1860" w:type="dxa"/>
            <w:shd w:val="clear" w:color="auto" w:fill="auto"/>
          </w:tcPr>
          <w:p w14:paraId="4EFD4567" w14:textId="42601FAD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Injection</w:t>
            </w:r>
          </w:p>
        </w:tc>
        <w:tc>
          <w:tcPr>
            <w:tcW w:w="2358" w:type="dxa"/>
            <w:shd w:val="clear" w:color="auto" w:fill="auto"/>
          </w:tcPr>
          <w:p w14:paraId="655C6545" w14:textId="7CABF959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Omegapharm</w:t>
            </w:r>
            <w:proofErr w:type="spellEnd"/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 xml:space="preserve"> Irinotecan</w:t>
            </w:r>
          </w:p>
        </w:tc>
        <w:tc>
          <w:tcPr>
            <w:tcW w:w="1769" w:type="dxa"/>
            <w:shd w:val="clear" w:color="auto" w:fill="auto"/>
          </w:tcPr>
          <w:p w14:paraId="24A5F4A4" w14:textId="77777777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723579AE" w14:textId="1F503EF1" w:rsidR="00996A31" w:rsidRPr="005B0995" w:rsidRDefault="00996A31" w:rsidP="00996A31">
      <w:pPr>
        <w:pStyle w:val="ListParagraph"/>
        <w:keepNext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lastRenderedPageBreak/>
        <w:t xml:space="preserve">Schedule 1, Part 1, entry for </w:t>
      </w:r>
      <w:bookmarkStart w:id="10" w:name="_Hlk200987502"/>
      <w:r w:rsidRPr="005B0995">
        <w:rPr>
          <w:rFonts w:ascii="Arial" w:hAnsi="Arial" w:cs="Arial"/>
          <w:b/>
          <w:bCs/>
          <w:sz w:val="20"/>
          <w:lang w:eastAsia="en-AU"/>
        </w:rPr>
        <w:t>Irinotecan</w:t>
      </w:r>
      <w:bookmarkEnd w:id="10"/>
      <w:r w:rsidRPr="005B0995">
        <w:rPr>
          <w:rFonts w:ascii="Arial" w:hAnsi="Arial" w:cs="Arial"/>
          <w:b/>
          <w:bCs/>
          <w:sz w:val="20"/>
          <w:lang w:eastAsia="en-AU"/>
        </w:rPr>
        <w:t xml:space="preserve"> in the form I.V. injection containing irinotecan hydrochloride trihydrate 100 mg in 5 mL</w:t>
      </w:r>
    </w:p>
    <w:p w14:paraId="6B395AC1" w14:textId="7A07B75C" w:rsidR="00996A31" w:rsidRPr="005B0995" w:rsidRDefault="00996A31" w:rsidP="00996A31">
      <w:pPr>
        <w:pStyle w:val="ListParagraph"/>
        <w:numPr>
          <w:ilvl w:val="0"/>
          <w:numId w:val="35"/>
        </w:numPr>
        <w:spacing w:before="60" w:after="60" w:line="260" w:lineRule="exact"/>
        <w:ind w:left="1418" w:hanging="567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omit: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17302E87" w14:textId="77777777" w:rsidTr="00A73E71">
        <w:tc>
          <w:tcPr>
            <w:tcW w:w="1860" w:type="dxa"/>
            <w:shd w:val="clear" w:color="auto" w:fill="auto"/>
          </w:tcPr>
          <w:p w14:paraId="5BE8E1AA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1026213C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21D5B28C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1E2F5DBB" w14:textId="5F96E7D9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 xml:space="preserve">Irinotecan </w:t>
            </w:r>
            <w:proofErr w:type="spellStart"/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Alphapharm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1A2BA39B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5E90D7FA" w14:textId="57BBA605" w:rsidR="00996A31" w:rsidRPr="005B0995" w:rsidRDefault="00996A31" w:rsidP="00996A31">
      <w:pPr>
        <w:pStyle w:val="ListParagraph"/>
        <w:numPr>
          <w:ilvl w:val="0"/>
          <w:numId w:val="35"/>
        </w:numPr>
        <w:spacing w:before="60" w:after="60" w:line="260" w:lineRule="exact"/>
        <w:ind w:left="1418" w:hanging="567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insert after entry for the brand “IRINOTECAN BAXTER”: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5D1A7D50" w14:textId="77777777" w:rsidTr="00A73E71">
        <w:tc>
          <w:tcPr>
            <w:tcW w:w="1860" w:type="dxa"/>
            <w:shd w:val="clear" w:color="auto" w:fill="auto"/>
          </w:tcPr>
          <w:p w14:paraId="76292F1D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2501515D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3E9B30EE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62B0F3A0" w14:textId="3C545222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16"/>
                <w:lang w:eastAsia="zh-CN"/>
              </w:rPr>
              <w:t>IRINOTECAN EUGIA</w:t>
            </w:r>
          </w:p>
        </w:tc>
        <w:tc>
          <w:tcPr>
            <w:tcW w:w="1769" w:type="dxa"/>
            <w:shd w:val="clear" w:color="auto" w:fill="auto"/>
          </w:tcPr>
          <w:p w14:paraId="397F20CF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1D438001" w14:textId="77777777" w:rsidR="00996A31" w:rsidRPr="005B0995" w:rsidRDefault="00996A31" w:rsidP="00996A31">
      <w:pPr>
        <w:pStyle w:val="ListParagraph"/>
        <w:numPr>
          <w:ilvl w:val="0"/>
          <w:numId w:val="35"/>
        </w:numPr>
        <w:spacing w:before="60" w:after="60" w:line="260" w:lineRule="exact"/>
        <w:ind w:left="1418" w:hanging="567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omit: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2501E76E" w14:textId="77777777" w:rsidTr="00A73E71">
        <w:tc>
          <w:tcPr>
            <w:tcW w:w="1860" w:type="dxa"/>
            <w:shd w:val="clear" w:color="auto" w:fill="auto"/>
          </w:tcPr>
          <w:p w14:paraId="1B707F9F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45DCCA4F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424A007B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2C0148F9" w14:textId="74469AE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5B0995">
              <w:rPr>
                <w:rFonts w:ascii="Arial" w:eastAsia="Arial" w:hAnsi="Arial" w:cs="Arial"/>
                <w:sz w:val="16"/>
                <w:szCs w:val="16"/>
                <w:lang w:eastAsia="zh-CN"/>
              </w:rPr>
              <w:t>Omegapharm</w:t>
            </w:r>
            <w:proofErr w:type="spellEnd"/>
            <w:r w:rsidRPr="005B0995">
              <w:rPr>
                <w:rFonts w:ascii="Arial" w:eastAsia="Arial" w:hAnsi="Arial" w:cs="Arial"/>
                <w:sz w:val="16"/>
                <w:szCs w:val="16"/>
                <w:lang w:eastAsia="zh-CN"/>
              </w:rPr>
              <w:t xml:space="preserve"> Irinotecan</w:t>
            </w:r>
          </w:p>
        </w:tc>
        <w:tc>
          <w:tcPr>
            <w:tcW w:w="1769" w:type="dxa"/>
            <w:shd w:val="clear" w:color="auto" w:fill="auto"/>
          </w:tcPr>
          <w:p w14:paraId="48594D93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2AAAE1EC" w14:textId="02B2F885" w:rsidR="00996A31" w:rsidRPr="005B0995" w:rsidRDefault="00996A31" w:rsidP="00996A31">
      <w:pPr>
        <w:pStyle w:val="ListParagraph"/>
        <w:keepNext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1, entry for Irinotecan in the form I.V. injection containing irinotecan hydrochloride trihydrate 500 mg in 25 mL</w:t>
      </w:r>
    </w:p>
    <w:p w14:paraId="78A9D8FF" w14:textId="77777777" w:rsidR="00996A31" w:rsidRPr="005B0995" w:rsidRDefault="00996A31" w:rsidP="00B505E9">
      <w:pPr>
        <w:pStyle w:val="ListParagraph"/>
        <w:numPr>
          <w:ilvl w:val="0"/>
          <w:numId w:val="36"/>
        </w:numPr>
        <w:spacing w:before="60" w:after="60" w:line="260" w:lineRule="exact"/>
        <w:ind w:left="1418" w:hanging="567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omit: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5EEFD07F" w14:textId="77777777" w:rsidTr="00A73E71">
        <w:tc>
          <w:tcPr>
            <w:tcW w:w="1860" w:type="dxa"/>
            <w:shd w:val="clear" w:color="auto" w:fill="auto"/>
          </w:tcPr>
          <w:p w14:paraId="26F6ACAB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604AE3AD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340D4F98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7DB35BB2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 xml:space="preserve">Irinotecan </w:t>
            </w:r>
            <w:proofErr w:type="spellStart"/>
            <w:r w:rsidRPr="005B0995">
              <w:rPr>
                <w:rFonts w:ascii="Arial" w:eastAsia="Arial" w:hAnsi="Arial" w:cs="Arial"/>
                <w:sz w:val="16"/>
                <w:szCs w:val="22"/>
                <w:lang w:eastAsia="zh-CN"/>
              </w:rPr>
              <w:t>Alphapharm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14:paraId="64D1C7EE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311E8C94" w14:textId="0DB9B176" w:rsidR="00996A31" w:rsidRPr="005B0995" w:rsidRDefault="00996A31" w:rsidP="00B505E9">
      <w:pPr>
        <w:pStyle w:val="ListParagraph"/>
        <w:numPr>
          <w:ilvl w:val="0"/>
          <w:numId w:val="36"/>
        </w:numPr>
        <w:spacing w:before="60" w:after="60" w:line="260" w:lineRule="exact"/>
        <w:ind w:left="1418" w:hanging="567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insert after entry for the brand “Irinotecan Accord”: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996A31" w:rsidRPr="005B0995" w14:paraId="510FC07E" w14:textId="77777777" w:rsidTr="00A73E71">
        <w:tc>
          <w:tcPr>
            <w:tcW w:w="1860" w:type="dxa"/>
            <w:shd w:val="clear" w:color="auto" w:fill="auto"/>
          </w:tcPr>
          <w:p w14:paraId="7C03C794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380C7359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50B1FD77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575599CB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Arial" w:hAnsi="Arial" w:cs="Arial"/>
                <w:sz w:val="16"/>
                <w:szCs w:val="16"/>
                <w:lang w:eastAsia="zh-CN"/>
              </w:rPr>
              <w:t>IRINOTECAN EUGIA</w:t>
            </w:r>
          </w:p>
        </w:tc>
        <w:tc>
          <w:tcPr>
            <w:tcW w:w="1769" w:type="dxa"/>
            <w:shd w:val="clear" w:color="auto" w:fill="auto"/>
          </w:tcPr>
          <w:p w14:paraId="09F9D93D" w14:textId="77777777" w:rsidR="00996A31" w:rsidRPr="005B0995" w:rsidRDefault="00996A31" w:rsidP="00A73E7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6140F2D7" w14:textId="6978931A" w:rsidR="00996A31" w:rsidRPr="005B0995" w:rsidRDefault="00996A31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1, entry for Nivolumab in each of the forms: Injection concentrate for I.V. infusion 40 mg in 4 mL; and Injection concentrate for I.V. infusion 100 mg in 10 mL</w:t>
      </w:r>
    </w:p>
    <w:p w14:paraId="0C9DEA89" w14:textId="2B57C280" w:rsidR="00996A31" w:rsidRPr="005B0995" w:rsidRDefault="00996A31" w:rsidP="00996A31">
      <w:pPr>
        <w:spacing w:before="60" w:after="60" w:line="260" w:lineRule="exact"/>
        <w:ind w:left="851"/>
        <w:rPr>
          <w:rFonts w:ascii="Arial" w:hAnsi="Arial" w:cs="Arial"/>
          <w:b/>
          <w:bCs/>
          <w:sz w:val="20"/>
          <w:lang w:eastAsia="en-AU"/>
        </w:rPr>
      </w:pPr>
      <w:r w:rsidRPr="005B0995">
        <w:rPr>
          <w:rFonts w:cs="Times New Roman"/>
          <w:i/>
          <w:iCs/>
          <w:sz w:val="20"/>
          <w:lang w:eastAsia="en-AU"/>
        </w:rPr>
        <w:t xml:space="preserve">insert in numerical order in the column headed “Circumstances”: </w:t>
      </w:r>
      <w:r w:rsidRPr="005B0995">
        <w:rPr>
          <w:rFonts w:ascii="Arial" w:hAnsi="Arial" w:cs="Arial"/>
          <w:b/>
          <w:bCs/>
          <w:sz w:val="20"/>
          <w:lang w:eastAsia="en-AU"/>
        </w:rPr>
        <w:t>C16755 C16790</w:t>
      </w:r>
    </w:p>
    <w:p w14:paraId="152C1727" w14:textId="4DD45F2A" w:rsidR="00154C5F" w:rsidRPr="005B0995" w:rsidRDefault="00154C5F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>Schedule 1, Part 2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, </w:t>
      </w:r>
      <w:r w:rsidR="00996A31" w:rsidRPr="005B0995">
        <w:rPr>
          <w:rFonts w:ascii="Arial" w:hAnsi="Arial" w:cs="Arial"/>
          <w:b/>
          <w:bCs/>
          <w:sz w:val="20"/>
          <w:lang w:eastAsia="en-AU"/>
        </w:rPr>
        <w:t xml:space="preserve">after 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entry for </w:t>
      </w:r>
      <w:r w:rsidR="00996A31" w:rsidRPr="005B0995">
        <w:rPr>
          <w:rFonts w:ascii="Arial" w:hAnsi="Arial" w:cs="Arial"/>
          <w:b/>
          <w:bCs/>
          <w:sz w:val="20"/>
          <w:lang w:eastAsia="en-AU"/>
        </w:rPr>
        <w:t>Nivolumab</w:t>
      </w:r>
      <w:r w:rsidR="000C05FD" w:rsidRPr="005B0995">
        <w:rPr>
          <w:rFonts w:ascii="Arial" w:hAnsi="Arial" w:cs="Arial"/>
          <w:b/>
          <w:bCs/>
          <w:sz w:val="20"/>
          <w:lang w:eastAsia="en-AU"/>
        </w:rPr>
        <w:t xml:space="preserve"> </w:t>
      </w:r>
      <w:r w:rsidR="000C05FD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[Maximum Amount:</w:t>
      </w:r>
      <w:r w:rsidR="003E22A5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 </w:t>
      </w:r>
      <w:r w:rsidR="00996A31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360 mg</w:t>
      </w:r>
      <w:r w:rsidR="000C05FD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; Number of Repeats: </w:t>
      </w:r>
      <w:r w:rsidR="00996A31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3</w:t>
      </w:r>
      <w:r w:rsidR="000C05FD"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]</w:t>
      </w:r>
    </w:p>
    <w:p w14:paraId="5EC91A1F" w14:textId="4305BAF8" w:rsidR="000C05FD" w:rsidRPr="005B0995" w:rsidRDefault="00996A31" w:rsidP="006D0484">
      <w:pPr>
        <w:pStyle w:val="ListParagraph"/>
        <w:tabs>
          <w:tab w:val="left" w:pos="5670"/>
        </w:tabs>
        <w:spacing w:before="60" w:after="60" w:line="260" w:lineRule="exact"/>
        <w:ind w:left="851"/>
        <w:contextualSpacing w:val="0"/>
        <w:rPr>
          <w:i/>
          <w:iCs/>
          <w:sz w:val="20"/>
          <w:lang w:eastAsia="en-AU"/>
        </w:rPr>
      </w:pPr>
      <w:r w:rsidRPr="005B0995">
        <w:rPr>
          <w:i/>
          <w:iCs/>
          <w:sz w:val="20"/>
          <w:lang w:eastAsia="en-AU"/>
        </w:rPr>
        <w:t>insert</w:t>
      </w:r>
      <w:r w:rsidR="000C05FD" w:rsidRPr="005B0995">
        <w:rPr>
          <w:i/>
          <w:iCs/>
          <w:sz w:val="20"/>
          <w:lang w:eastAsia="en-AU"/>
        </w:rPr>
        <w:t>:</w:t>
      </w:r>
    </w:p>
    <w:tbl>
      <w:tblPr>
        <w:tblW w:w="3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0"/>
        <w:gridCol w:w="2696"/>
        <w:gridCol w:w="2125"/>
        <w:gridCol w:w="2123"/>
      </w:tblGrid>
      <w:tr w:rsidR="00996A31" w:rsidRPr="005B0995" w14:paraId="261454D0" w14:textId="77777777" w:rsidTr="00A73E71">
        <w:trPr>
          <w:trHeight w:val="20"/>
        </w:trPr>
        <w:tc>
          <w:tcPr>
            <w:tcW w:w="1396" w:type="pct"/>
            <w:shd w:val="clear" w:color="auto" w:fill="auto"/>
            <w:vAlign w:val="bottom"/>
          </w:tcPr>
          <w:p w14:paraId="5342F8A4" w14:textId="685ECF51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99" w:type="pct"/>
            <w:shd w:val="clear" w:color="auto" w:fill="auto"/>
            <w:vAlign w:val="bottom"/>
          </w:tcPr>
          <w:p w14:paraId="4B499381" w14:textId="2454D0C1" w:rsidR="00996A31" w:rsidRPr="005B0995" w:rsidRDefault="00996A31" w:rsidP="00996A31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P16790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14:paraId="60AC933A" w14:textId="64D9544D" w:rsidR="00996A31" w:rsidRPr="005B0995" w:rsidRDefault="00996A31" w:rsidP="00996A31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360 mg</w:t>
            </w:r>
          </w:p>
        </w:tc>
        <w:tc>
          <w:tcPr>
            <w:tcW w:w="1102" w:type="pct"/>
            <w:shd w:val="clear" w:color="auto" w:fill="auto"/>
            <w:noWrap/>
            <w:vAlign w:val="center"/>
          </w:tcPr>
          <w:p w14:paraId="57991054" w14:textId="00840629" w:rsidR="00996A31" w:rsidRPr="005B0995" w:rsidRDefault="00996A31" w:rsidP="00996A31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5B09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</w:tr>
    </w:tbl>
    <w:p w14:paraId="25060748" w14:textId="64EB456A" w:rsidR="00996A31" w:rsidRPr="005B0995" w:rsidRDefault="00996A31" w:rsidP="00996A31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lang w:eastAsia="en-AU"/>
        </w:rPr>
        <w:t xml:space="preserve">Schedule 1, Part 2, entry for Nivolumab </w:t>
      </w:r>
      <w:r w:rsidRPr="005B0995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[Maximum Amount: 480 mg; Number of Repeats: 5]</w:t>
      </w:r>
    </w:p>
    <w:p w14:paraId="7FFCEC66" w14:textId="59C105DB" w:rsidR="00996A31" w:rsidRPr="005B0995" w:rsidRDefault="00996A31" w:rsidP="00996A31">
      <w:pPr>
        <w:pStyle w:val="ListParagraph"/>
        <w:tabs>
          <w:tab w:val="left" w:pos="5670"/>
        </w:tabs>
        <w:spacing w:before="60" w:after="60" w:line="260" w:lineRule="exact"/>
        <w:ind w:left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i/>
          <w:iCs/>
          <w:sz w:val="20"/>
          <w:lang w:eastAsia="en-AU"/>
        </w:rPr>
        <w:t xml:space="preserve">insert in numerical order in the column headed “Purposes”: </w:t>
      </w:r>
      <w:r w:rsidRPr="005B0995">
        <w:rPr>
          <w:rFonts w:ascii="Arial" w:hAnsi="Arial" w:cs="Arial"/>
          <w:b/>
          <w:bCs/>
          <w:color w:val="000000"/>
          <w:sz w:val="20"/>
          <w:szCs w:val="20"/>
          <w:lang w:eastAsia="en-AU"/>
        </w:rPr>
        <w:t>P16755</w:t>
      </w:r>
    </w:p>
    <w:p w14:paraId="67D46F93" w14:textId="7AF6929B" w:rsidR="00815371" w:rsidRPr="005B0995" w:rsidRDefault="00815371" w:rsidP="006D0484">
      <w:pPr>
        <w:pStyle w:val="ListParagraph"/>
        <w:numPr>
          <w:ilvl w:val="0"/>
          <w:numId w:val="5"/>
        </w:numPr>
        <w:spacing w:before="120" w:line="260" w:lineRule="exact"/>
        <w:ind w:left="851" w:hanging="851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Schedule 3, Part 1, after entry for Circumstances Code “</w:t>
      </w:r>
      <w:r w:rsidR="00996A31" w:rsidRPr="005B0995">
        <w:rPr>
          <w:rFonts w:ascii="Arial" w:hAnsi="Arial" w:cs="Arial"/>
          <w:b/>
          <w:bCs/>
          <w:sz w:val="20"/>
          <w:szCs w:val="20"/>
          <w:lang w:eastAsia="en-AU"/>
        </w:rPr>
        <w:t>C16657</w:t>
      </w:r>
      <w:r w:rsidRPr="005B0995">
        <w:rPr>
          <w:rFonts w:ascii="Arial" w:hAnsi="Arial" w:cs="Arial"/>
          <w:b/>
          <w:bCs/>
          <w:sz w:val="20"/>
          <w:szCs w:val="20"/>
          <w:lang w:eastAsia="en-AU"/>
        </w:rPr>
        <w:t>”</w:t>
      </w:r>
    </w:p>
    <w:p w14:paraId="5BC94194" w14:textId="12D0B94C" w:rsidR="00017D93" w:rsidRPr="005B0995" w:rsidRDefault="00815371" w:rsidP="006D0484">
      <w:pPr>
        <w:spacing w:before="60" w:after="60" w:line="260" w:lineRule="exact"/>
        <w:ind w:left="851"/>
        <w:rPr>
          <w:rFonts w:cs="Times New Roman"/>
          <w:i/>
          <w:iCs/>
          <w:sz w:val="20"/>
        </w:rPr>
      </w:pPr>
      <w:r w:rsidRPr="005B0995">
        <w:rPr>
          <w:rFonts w:cs="Times New Roman"/>
          <w:i/>
          <w:iCs/>
          <w:sz w:val="20"/>
        </w:rPr>
        <w:t>insert: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850"/>
        <w:gridCol w:w="850"/>
        <w:gridCol w:w="2128"/>
        <w:gridCol w:w="7088"/>
        <w:gridCol w:w="2041"/>
      </w:tblGrid>
      <w:tr w:rsidR="00996A31" w:rsidRPr="005B0995" w14:paraId="3D8F1DCB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5A92D" w14:textId="2F094839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lastRenderedPageBreak/>
              <w:t>C16755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7F817" w14:textId="12247732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t>P16755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574E8" w14:textId="1BFD6D64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t>Nivolumab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A5FF4" w14:textId="77777777" w:rsidR="00996A31" w:rsidRPr="005B0995" w:rsidRDefault="00996A31" w:rsidP="00996A31">
            <w:pPr>
              <w:pStyle w:val="mps3-data"/>
            </w:pPr>
            <w:r w:rsidRPr="005B0995">
              <w:t>Unresectable or metastatic urothelial carcinoma</w:t>
            </w:r>
          </w:p>
          <w:p w14:paraId="7A20108B" w14:textId="77777777" w:rsidR="00996A31" w:rsidRPr="005B0995" w:rsidRDefault="00996A31" w:rsidP="00996A31">
            <w:pPr>
              <w:pStyle w:val="mps3-data"/>
            </w:pPr>
            <w:r w:rsidRPr="005B0995">
              <w:t>Continuing treatment</w:t>
            </w:r>
          </w:p>
          <w:p w14:paraId="3B279CD5" w14:textId="77777777" w:rsidR="00996A31" w:rsidRPr="005B0995" w:rsidRDefault="00996A31" w:rsidP="00996A31">
            <w:pPr>
              <w:pStyle w:val="mps3-data"/>
            </w:pPr>
            <w:r w:rsidRPr="005B0995">
              <w:t>Patient must have previously received up to a maximum 6 doses of combined therapy with both: (</w:t>
            </w:r>
            <w:proofErr w:type="spellStart"/>
            <w:r w:rsidRPr="005B0995">
              <w:t>i</w:t>
            </w:r>
            <w:proofErr w:type="spellEnd"/>
            <w:r w:rsidRPr="005B0995">
              <w:t>) nivolumab, (ii) cisplatin and gemcitabine, as initial treatment for this condition; AND</w:t>
            </w:r>
          </w:p>
          <w:p w14:paraId="79B8666D" w14:textId="77777777" w:rsidR="00996A31" w:rsidRPr="005B0995" w:rsidRDefault="00996A31" w:rsidP="00996A31">
            <w:pPr>
              <w:pStyle w:val="mps3-data"/>
            </w:pPr>
            <w:r w:rsidRPr="005B0995">
              <w:t>The treatment must be as monotherapy for this condition.</w:t>
            </w:r>
          </w:p>
          <w:p w14:paraId="323E55A4" w14:textId="77777777" w:rsidR="00996A31" w:rsidRPr="005B0995" w:rsidRDefault="00996A31" w:rsidP="00996A31">
            <w:pPr>
              <w:pStyle w:val="mps3-data"/>
            </w:pPr>
            <w:r w:rsidRPr="005B0995">
              <w:t>Patient must be undergoing treatment with a dosing regimen as set out in the drug's Therapeutic Goods Administration (TGA) approved Product Information; AND</w:t>
            </w:r>
          </w:p>
          <w:p w14:paraId="1632A700" w14:textId="3A0F7F0A" w:rsidR="00996A31" w:rsidRPr="005B0995" w:rsidRDefault="00996A31" w:rsidP="00FD2F42">
            <w:pPr>
              <w:pStyle w:val="mps3-data"/>
              <w:rPr>
                <w:b/>
                <w:szCs w:val="16"/>
              </w:rPr>
            </w:pPr>
            <w:r w:rsidRPr="005B0995">
              <w:t>Patient must not be undergoing continuing PBS-subsidised treatment where this prescription extends treatment beyond whichever comes first: (</w:t>
            </w:r>
            <w:proofErr w:type="spellStart"/>
            <w:r w:rsidRPr="005B0995">
              <w:t>i</w:t>
            </w:r>
            <w:proofErr w:type="spellEnd"/>
            <w:r w:rsidRPr="005B0995">
              <w:t>) 24 months from treatment initiation, irrespective of whether initial treatment was PBS-subsidised/non-PBS-subsidised, (ii) disease progression despite treatment with this drug, (iii) unacceptable toxicity; annotate any remaining repeat prescriptions with the word 'cancelled' where this occurs.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D5FC0" w14:textId="5A89F410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</w:rPr>
              <w:t>Compliance with Authority Required procedures - Streamlined Authority Code 16755</w:t>
            </w:r>
          </w:p>
        </w:tc>
      </w:tr>
      <w:tr w:rsidR="00996A31" w:rsidRPr="000C05FD" w14:paraId="7388DBCD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4A87" w14:textId="7964E3B9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t>C16790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CFAA2" w14:textId="2E812F36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t>P16790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7C74F" w14:textId="2CFCFFF6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  <w:szCs w:val="16"/>
              </w:rPr>
              <w:t>Nivolumab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455F1" w14:textId="77777777" w:rsidR="00996A31" w:rsidRPr="005B0995" w:rsidRDefault="00996A31" w:rsidP="00996A31">
            <w:pPr>
              <w:pStyle w:val="mps3-data"/>
            </w:pPr>
            <w:r w:rsidRPr="005B0995">
              <w:t>Unresectable or metastatic urothelial carcinoma</w:t>
            </w:r>
          </w:p>
          <w:p w14:paraId="38919C4C" w14:textId="77777777" w:rsidR="00996A31" w:rsidRPr="005B0995" w:rsidRDefault="00996A31" w:rsidP="00996A31">
            <w:pPr>
              <w:pStyle w:val="mps3-data"/>
            </w:pPr>
            <w:r w:rsidRPr="005B0995">
              <w:t>Initial treatment</w:t>
            </w:r>
          </w:p>
          <w:p w14:paraId="4525EDB8" w14:textId="77777777" w:rsidR="00996A31" w:rsidRPr="005B0995" w:rsidRDefault="00996A31" w:rsidP="00996A31">
            <w:pPr>
              <w:pStyle w:val="mps3-data"/>
            </w:pPr>
            <w:r w:rsidRPr="005B0995">
              <w:t>The condition must not have previously been treated with PBS-subsidised systemic therapy for unresectable or metastatic urothelial carcinoma; AND</w:t>
            </w:r>
          </w:p>
          <w:p w14:paraId="5B1D968A" w14:textId="77777777" w:rsidR="00996A31" w:rsidRPr="005B0995" w:rsidRDefault="00996A31" w:rsidP="00996A31">
            <w:pPr>
              <w:pStyle w:val="mps3-data"/>
            </w:pPr>
            <w:r w:rsidRPr="005B0995">
              <w:t>The treatment must be initiated in combination with cisplatin and gemcitabine; AND</w:t>
            </w:r>
          </w:p>
          <w:p w14:paraId="19251F27" w14:textId="77777777" w:rsidR="00996A31" w:rsidRPr="005B0995" w:rsidRDefault="00996A31" w:rsidP="00996A31">
            <w:pPr>
              <w:pStyle w:val="mps3-data"/>
            </w:pPr>
            <w:r w:rsidRPr="005B0995">
              <w:t>Patient must have/</w:t>
            </w:r>
            <w:proofErr w:type="gramStart"/>
            <w:r w:rsidRPr="005B0995">
              <w:t>have had,</w:t>
            </w:r>
            <w:proofErr w:type="gramEnd"/>
            <w:r w:rsidRPr="005B0995">
              <w:t xml:space="preserve"> at the time of initiating treatment with this drug, a WHO performance status no higher than 1; AND</w:t>
            </w:r>
          </w:p>
          <w:p w14:paraId="4028C7AD" w14:textId="77777777" w:rsidR="00996A31" w:rsidRPr="005B0995" w:rsidRDefault="00996A31" w:rsidP="00996A31">
            <w:pPr>
              <w:pStyle w:val="mps3-data"/>
            </w:pPr>
            <w:r w:rsidRPr="005B0995">
              <w:t>Patient must not have received prior treatment with a PBS-subsidised programmed cell death-1 (PD-1) inhibitor or programmed cell death ligand-1 (PD-L1) inhibitor for this condition.</w:t>
            </w:r>
          </w:p>
          <w:p w14:paraId="77810DA3" w14:textId="77777777" w:rsidR="00996A31" w:rsidRPr="005B0995" w:rsidRDefault="00996A31" w:rsidP="00996A31">
            <w:pPr>
              <w:pStyle w:val="mps3-data"/>
            </w:pPr>
            <w:r w:rsidRPr="005B0995">
              <w:t>Patient must be undergoing treatment with a dosing regimen as set out in the drug's Therapeutic Goods Administration (TGA) approved Product Information.</w:t>
            </w:r>
          </w:p>
          <w:p w14:paraId="6C45ECDA" w14:textId="2CF52598" w:rsidR="00996A31" w:rsidRPr="005B0995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</w:rPr>
              <w:t>Patient must only receive up to a maximum 6 doses of PBS-subsidised combined therapy with both: (</w:t>
            </w:r>
            <w:proofErr w:type="spellStart"/>
            <w:r w:rsidRPr="005B0995">
              <w:rPr>
                <w:b w:val="0"/>
              </w:rPr>
              <w:t>i</w:t>
            </w:r>
            <w:proofErr w:type="spellEnd"/>
            <w:r w:rsidRPr="005B0995">
              <w:rPr>
                <w:b w:val="0"/>
              </w:rPr>
              <w:t>) nivolumab, (ii) cisplatin and gemcitabine, under this PBS listing, once in a lifetime.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C4827" w14:textId="53B009F7" w:rsidR="00996A31" w:rsidRPr="000C05FD" w:rsidRDefault="00996A31" w:rsidP="00996A31">
            <w:pPr>
              <w:pStyle w:val="mps3-heading"/>
              <w:widowControl w:val="0"/>
              <w:rPr>
                <w:b w:val="0"/>
                <w:szCs w:val="16"/>
              </w:rPr>
            </w:pPr>
            <w:r w:rsidRPr="005B0995">
              <w:rPr>
                <w:b w:val="0"/>
              </w:rPr>
              <w:t>Compliance with Authority Required procedures - Streamlined Authority Code 16790</w:t>
            </w:r>
          </w:p>
        </w:tc>
      </w:tr>
    </w:tbl>
    <w:p w14:paraId="51FF5FAE" w14:textId="5CBF2A34" w:rsidR="00280E59" w:rsidRPr="008B63D5" w:rsidRDefault="00280E59" w:rsidP="00AB3366">
      <w:pPr>
        <w:spacing w:before="60" w:after="60" w:line="260" w:lineRule="exact"/>
        <w:rPr>
          <w:rFonts w:cs="Times New Roman"/>
          <w:sz w:val="20"/>
        </w:rPr>
      </w:pPr>
    </w:p>
    <w:sectPr w:rsidR="00280E59" w:rsidRPr="008B63D5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926F" w14:textId="77777777" w:rsidR="00E5294B" w:rsidRDefault="00E5294B" w:rsidP="0048364F">
      <w:pPr>
        <w:spacing w:line="240" w:lineRule="auto"/>
      </w:pPr>
      <w:r>
        <w:separator/>
      </w:r>
    </w:p>
  </w:endnote>
  <w:endnote w:type="continuationSeparator" w:id="0">
    <w:p w14:paraId="740BC392" w14:textId="77777777" w:rsidR="00E5294B" w:rsidRDefault="00E5294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6C16EDC9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</w:t>
    </w:r>
    <w:r w:rsidRPr="000C2F0E">
      <w:rPr>
        <w:i/>
        <w:sz w:val="16"/>
        <w:szCs w:val="16"/>
      </w:rPr>
      <w:t xml:space="preserve">Special Arrangement </w:t>
    </w:r>
    <w:r w:rsidRPr="004916F7">
      <w:rPr>
        <w:i/>
        <w:sz w:val="16"/>
        <w:szCs w:val="16"/>
      </w:rPr>
      <w:t>Amend</w:t>
    </w:r>
    <w:r w:rsidRPr="008B1FA9">
      <w:rPr>
        <w:i/>
        <w:sz w:val="16"/>
        <w:szCs w:val="16"/>
      </w:rPr>
      <w:t>me</w:t>
    </w:r>
    <w:r w:rsidRPr="006545B8">
      <w:rPr>
        <w:i/>
        <w:sz w:val="16"/>
        <w:szCs w:val="16"/>
      </w:rPr>
      <w:t>n</w:t>
    </w:r>
    <w:r w:rsidRPr="008731B4">
      <w:rPr>
        <w:i/>
        <w:sz w:val="16"/>
        <w:szCs w:val="16"/>
      </w:rPr>
      <w:t xml:space="preserve">t </w:t>
    </w:r>
    <w:r w:rsidR="00E96A97" w:rsidRPr="008731B4">
      <w:rPr>
        <w:i/>
        <w:sz w:val="16"/>
        <w:szCs w:val="16"/>
      </w:rPr>
      <w:t>(</w:t>
    </w:r>
    <w:r w:rsidR="00EF3CFD" w:rsidRPr="008731B4">
      <w:rPr>
        <w:i/>
        <w:sz w:val="16"/>
        <w:szCs w:val="16"/>
      </w:rPr>
      <w:t>Ju</w:t>
    </w:r>
    <w:r w:rsidR="00067007" w:rsidRPr="008731B4">
      <w:rPr>
        <w:i/>
        <w:sz w:val="16"/>
        <w:szCs w:val="16"/>
      </w:rPr>
      <w:t>ly</w:t>
    </w:r>
    <w:r w:rsidR="00AC28F8" w:rsidRPr="008731B4">
      <w:rPr>
        <w:i/>
        <w:sz w:val="16"/>
        <w:szCs w:val="16"/>
      </w:rPr>
      <w:t xml:space="preserve"> </w:t>
    </w:r>
    <w:r w:rsidR="00E96A97" w:rsidRPr="008731B4">
      <w:rPr>
        <w:i/>
        <w:sz w:val="16"/>
        <w:szCs w:val="16"/>
      </w:rPr>
      <w:t xml:space="preserve">Update) </w:t>
    </w:r>
    <w:r w:rsidRPr="008731B4">
      <w:rPr>
        <w:i/>
        <w:sz w:val="16"/>
        <w:szCs w:val="16"/>
      </w:rPr>
      <w:t>Instrument 202</w:t>
    </w:r>
    <w:r w:rsidR="00D228EC" w:rsidRPr="008731B4">
      <w:rPr>
        <w:i/>
        <w:sz w:val="16"/>
        <w:szCs w:val="16"/>
      </w:rPr>
      <w:t>5</w:t>
    </w:r>
    <w:r w:rsidRPr="008731B4">
      <w:rPr>
        <w:i/>
        <w:sz w:val="18"/>
      </w:rPr>
      <w:ptab w:relativeTo="margin" w:alignment="right" w:leader="none"/>
    </w:r>
    <w:proofErr w:type="spellStart"/>
    <w:r w:rsidRPr="008731B4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3EA4C252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691C2A32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F83361">
      <w:rPr>
        <w:i/>
        <w:sz w:val="16"/>
        <w:szCs w:val="16"/>
      </w:rPr>
      <w:t>m</w:t>
    </w:r>
    <w:r w:rsidRPr="003215D7">
      <w:rPr>
        <w:i/>
        <w:sz w:val="16"/>
        <w:szCs w:val="16"/>
      </w:rPr>
      <w:t>end</w:t>
    </w:r>
    <w:r w:rsidRPr="006545B8">
      <w:rPr>
        <w:i/>
        <w:sz w:val="16"/>
        <w:szCs w:val="16"/>
      </w:rPr>
      <w:t>m</w:t>
    </w:r>
    <w:r w:rsidRPr="008731B4">
      <w:rPr>
        <w:i/>
        <w:sz w:val="16"/>
        <w:szCs w:val="16"/>
      </w:rPr>
      <w:t>ent</w:t>
    </w:r>
    <w:r w:rsidR="00DB0543" w:rsidRPr="008731B4">
      <w:rPr>
        <w:i/>
        <w:sz w:val="16"/>
        <w:szCs w:val="16"/>
      </w:rPr>
      <w:t xml:space="preserve"> (</w:t>
    </w:r>
    <w:r w:rsidR="00EF3CFD" w:rsidRPr="008731B4">
      <w:rPr>
        <w:i/>
        <w:sz w:val="16"/>
        <w:szCs w:val="16"/>
      </w:rPr>
      <w:t>Ju</w:t>
    </w:r>
    <w:r w:rsidR="00067007" w:rsidRPr="008731B4">
      <w:rPr>
        <w:i/>
        <w:sz w:val="16"/>
        <w:szCs w:val="16"/>
      </w:rPr>
      <w:t>ly</w:t>
    </w:r>
    <w:r w:rsidR="00DA2666" w:rsidRPr="008731B4">
      <w:rPr>
        <w:i/>
        <w:sz w:val="16"/>
        <w:szCs w:val="16"/>
      </w:rPr>
      <w:t xml:space="preserve"> </w:t>
    </w:r>
    <w:r w:rsidR="00DB0543" w:rsidRPr="008731B4">
      <w:rPr>
        <w:i/>
        <w:sz w:val="16"/>
        <w:szCs w:val="16"/>
      </w:rPr>
      <w:t xml:space="preserve">Update) </w:t>
    </w:r>
    <w:r w:rsidRPr="008731B4">
      <w:rPr>
        <w:i/>
        <w:sz w:val="16"/>
        <w:szCs w:val="16"/>
      </w:rPr>
      <w:t>Instrument 202</w:t>
    </w:r>
    <w:r w:rsidR="00D228EC" w:rsidRPr="008731B4">
      <w:rPr>
        <w:i/>
        <w:sz w:val="16"/>
        <w:szCs w:val="16"/>
      </w:rPr>
      <w:t>5</w:t>
    </w:r>
    <w:r w:rsidR="00105C63" w:rsidRPr="008B1FA9">
      <w:rPr>
        <w:i/>
        <w:sz w:val="16"/>
        <w:szCs w:val="16"/>
      </w:rPr>
      <w:t xml:space="preserve">   </w:t>
    </w:r>
    <w:r w:rsidRPr="008B1FA9">
      <w:rPr>
        <w:i/>
        <w:sz w:val="18"/>
        <w:szCs w:val="18"/>
      </w:rPr>
      <w:fldChar w:fldCharType="begin"/>
    </w:r>
    <w:r w:rsidRPr="008B1FA9">
      <w:rPr>
        <w:i/>
        <w:sz w:val="18"/>
        <w:szCs w:val="18"/>
      </w:rPr>
      <w:instrText xml:space="preserve"> PAGE   \* MERGEFORMAT </w:instrText>
    </w:r>
    <w:r w:rsidRPr="008B1FA9">
      <w:rPr>
        <w:i/>
        <w:sz w:val="18"/>
        <w:szCs w:val="18"/>
      </w:rPr>
      <w:fldChar w:fldCharType="separate"/>
    </w:r>
    <w:r w:rsidRPr="008B1FA9">
      <w:rPr>
        <w:i/>
        <w:sz w:val="18"/>
        <w:szCs w:val="18"/>
      </w:rPr>
      <w:t>1</w:t>
    </w:r>
    <w:r w:rsidRPr="008B1FA9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CD6F" w14:textId="3F593F90" w:rsidR="00215A10" w:rsidRPr="00E33C1C" w:rsidRDefault="00215A1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E9C7D4" w14:textId="577CE3AC" w:rsidR="00215A10" w:rsidRPr="00B323CC" w:rsidRDefault="00215A1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D4308D">
      <w:rPr>
        <w:i/>
        <w:sz w:val="16"/>
        <w:szCs w:val="16"/>
      </w:rPr>
      <w:t>m</w:t>
    </w:r>
    <w:r w:rsidRPr="003215D7">
      <w:rPr>
        <w:i/>
        <w:sz w:val="16"/>
        <w:szCs w:val="16"/>
      </w:rPr>
      <w:t>en</w:t>
    </w:r>
    <w:r w:rsidRPr="008B1FA9">
      <w:rPr>
        <w:i/>
        <w:sz w:val="16"/>
        <w:szCs w:val="16"/>
      </w:rPr>
      <w:t>d</w:t>
    </w:r>
    <w:r w:rsidRPr="006545B8">
      <w:rPr>
        <w:i/>
        <w:sz w:val="16"/>
        <w:szCs w:val="16"/>
      </w:rPr>
      <w:t>me</w:t>
    </w:r>
    <w:r w:rsidRPr="008731B4">
      <w:rPr>
        <w:i/>
        <w:sz w:val="16"/>
        <w:szCs w:val="16"/>
      </w:rPr>
      <w:t xml:space="preserve">nt </w:t>
    </w:r>
    <w:r w:rsidR="00241AA9" w:rsidRPr="008731B4">
      <w:rPr>
        <w:i/>
        <w:sz w:val="16"/>
        <w:szCs w:val="16"/>
      </w:rPr>
      <w:t>(</w:t>
    </w:r>
    <w:r w:rsidR="00EF3CFD" w:rsidRPr="008731B4">
      <w:rPr>
        <w:i/>
        <w:sz w:val="16"/>
        <w:szCs w:val="16"/>
      </w:rPr>
      <w:t>Ju</w:t>
    </w:r>
    <w:r w:rsidR="0063507B" w:rsidRPr="008731B4">
      <w:rPr>
        <w:i/>
        <w:sz w:val="16"/>
        <w:szCs w:val="16"/>
      </w:rPr>
      <w:t>ly</w:t>
    </w:r>
    <w:r w:rsidR="00FB0258" w:rsidRPr="008731B4">
      <w:rPr>
        <w:i/>
        <w:sz w:val="16"/>
        <w:szCs w:val="16"/>
      </w:rPr>
      <w:t xml:space="preserve"> </w:t>
    </w:r>
    <w:r w:rsidR="00241AA9" w:rsidRPr="008731B4">
      <w:rPr>
        <w:i/>
        <w:sz w:val="16"/>
        <w:szCs w:val="16"/>
      </w:rPr>
      <w:t xml:space="preserve">Update) </w:t>
    </w:r>
    <w:r w:rsidRPr="008731B4">
      <w:rPr>
        <w:i/>
        <w:sz w:val="16"/>
        <w:szCs w:val="16"/>
      </w:rPr>
      <w:t>Instrument 202</w:t>
    </w:r>
    <w:r w:rsidR="00C353CB" w:rsidRPr="008731B4">
      <w:rPr>
        <w:i/>
        <w:sz w:val="16"/>
        <w:szCs w:val="16"/>
      </w:rPr>
      <w:t>5</w:t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  <w:t xml:space="preserve"> </w:t>
    </w:r>
    <w:r w:rsidRPr="00E509B7">
      <w:rPr>
        <w:i/>
        <w:sz w:val="18"/>
        <w:szCs w:val="18"/>
      </w:rPr>
      <w:fldChar w:fldCharType="begin"/>
    </w:r>
    <w:r w:rsidRPr="00E509B7">
      <w:rPr>
        <w:i/>
        <w:sz w:val="18"/>
        <w:szCs w:val="18"/>
      </w:rPr>
      <w:instrText xml:space="preserve"> PAGE   \* MERGEFORMAT </w:instrText>
    </w:r>
    <w:r w:rsidRPr="00E509B7">
      <w:rPr>
        <w:i/>
        <w:sz w:val="18"/>
        <w:szCs w:val="18"/>
      </w:rPr>
      <w:fldChar w:fldCharType="separate"/>
    </w:r>
    <w:r w:rsidRPr="00E509B7">
      <w:rPr>
        <w:i/>
        <w:sz w:val="18"/>
        <w:szCs w:val="18"/>
      </w:rPr>
      <w:t>1</w:t>
    </w:r>
    <w:r w:rsidRPr="00E509B7">
      <w:rPr>
        <w:i/>
        <w:noProof/>
        <w:sz w:val="18"/>
        <w:szCs w:val="18"/>
      </w:rPr>
      <w:fldChar w:fldCharType="end"/>
    </w:r>
  </w:p>
  <w:p w14:paraId="75A40C2B" w14:textId="77777777" w:rsidR="00215A10" w:rsidRDefault="00215A10" w:rsidP="00E32692">
    <w:pPr>
      <w:rPr>
        <w:i/>
        <w:noProof/>
        <w:sz w:val="18"/>
      </w:rPr>
    </w:pPr>
  </w:p>
  <w:p w14:paraId="3173CD13" w14:textId="77777777" w:rsidR="00215A10" w:rsidRPr="008253D2" w:rsidRDefault="00215A10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4F5D" w14:textId="77777777" w:rsidR="00E5294B" w:rsidRDefault="00E5294B" w:rsidP="0048364F">
      <w:pPr>
        <w:spacing w:line="240" w:lineRule="auto"/>
      </w:pPr>
      <w:r>
        <w:separator/>
      </w:r>
    </w:p>
  </w:footnote>
  <w:footnote w:type="continuationSeparator" w:id="0">
    <w:p w14:paraId="33A012E2" w14:textId="77777777" w:rsidR="00E5294B" w:rsidRDefault="00E5294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A00EA8"/>
    <w:multiLevelType w:val="hybridMultilevel"/>
    <w:tmpl w:val="E9B66C80"/>
    <w:lvl w:ilvl="0" w:tplc="D89C556E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3FF"/>
    <w:multiLevelType w:val="hybridMultilevel"/>
    <w:tmpl w:val="92C88700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F504B1"/>
    <w:multiLevelType w:val="hybridMultilevel"/>
    <w:tmpl w:val="46D24894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CD0C9F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412D69"/>
    <w:multiLevelType w:val="hybridMultilevel"/>
    <w:tmpl w:val="9648F75E"/>
    <w:lvl w:ilvl="0" w:tplc="97D2D14C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573C9"/>
    <w:multiLevelType w:val="hybridMultilevel"/>
    <w:tmpl w:val="60FC3A66"/>
    <w:lvl w:ilvl="0" w:tplc="D798647A">
      <w:start w:val="1"/>
      <w:numFmt w:val="lowerLetter"/>
      <w:lvlText w:val="(%1)"/>
      <w:lvlJc w:val="left"/>
      <w:pPr>
        <w:ind w:left="1211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6B4985"/>
    <w:multiLevelType w:val="hybridMultilevel"/>
    <w:tmpl w:val="5EA6791C"/>
    <w:lvl w:ilvl="0" w:tplc="CF241F22">
      <w:start w:val="8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82654D"/>
    <w:multiLevelType w:val="hybridMultilevel"/>
    <w:tmpl w:val="19BCC7BE"/>
    <w:lvl w:ilvl="0" w:tplc="7960D0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664E"/>
    <w:multiLevelType w:val="hybridMultilevel"/>
    <w:tmpl w:val="D16E2410"/>
    <w:lvl w:ilvl="0" w:tplc="646CF85E">
      <w:start w:val="1"/>
      <w:numFmt w:val="lowerLetter"/>
      <w:lvlText w:val="(%1)"/>
      <w:lvlJc w:val="left"/>
      <w:pPr>
        <w:ind w:left="1728" w:hanging="34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6E2160B"/>
    <w:multiLevelType w:val="hybridMultilevel"/>
    <w:tmpl w:val="9014BDC8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3210F9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504356"/>
    <w:multiLevelType w:val="hybridMultilevel"/>
    <w:tmpl w:val="D4AAFB5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7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5191975"/>
    <w:multiLevelType w:val="hybridMultilevel"/>
    <w:tmpl w:val="9326A2AE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5575C"/>
    <w:multiLevelType w:val="hybridMultilevel"/>
    <w:tmpl w:val="62EA425C"/>
    <w:lvl w:ilvl="0" w:tplc="29E0E7A8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88B3653"/>
    <w:multiLevelType w:val="hybridMultilevel"/>
    <w:tmpl w:val="AA2CDA82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5A01DF"/>
    <w:multiLevelType w:val="hybridMultilevel"/>
    <w:tmpl w:val="D86AE9BC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955988199">
    <w:abstractNumId w:val="0"/>
  </w:num>
  <w:num w:numId="2" w16cid:durableId="1077828026">
    <w:abstractNumId w:val="20"/>
  </w:num>
  <w:num w:numId="3" w16cid:durableId="1190680746">
    <w:abstractNumId w:val="10"/>
  </w:num>
  <w:num w:numId="4" w16cid:durableId="216824094">
    <w:abstractNumId w:val="35"/>
  </w:num>
  <w:num w:numId="5" w16cid:durableId="1001006154">
    <w:abstractNumId w:val="8"/>
  </w:num>
  <w:num w:numId="6" w16cid:durableId="1632053880">
    <w:abstractNumId w:val="9"/>
  </w:num>
  <w:num w:numId="7" w16cid:durableId="2116974328">
    <w:abstractNumId w:val="3"/>
  </w:num>
  <w:num w:numId="8" w16cid:durableId="616834107">
    <w:abstractNumId w:val="26"/>
  </w:num>
  <w:num w:numId="9" w16cid:durableId="1127697888">
    <w:abstractNumId w:val="6"/>
  </w:num>
  <w:num w:numId="10" w16cid:durableId="1602453441">
    <w:abstractNumId w:val="24"/>
  </w:num>
  <w:num w:numId="11" w16cid:durableId="1663971756">
    <w:abstractNumId w:val="14"/>
  </w:num>
  <w:num w:numId="12" w16cid:durableId="2024624477">
    <w:abstractNumId w:val="22"/>
  </w:num>
  <w:num w:numId="13" w16cid:durableId="441607143">
    <w:abstractNumId w:val="17"/>
  </w:num>
  <w:num w:numId="14" w16cid:durableId="1084186006">
    <w:abstractNumId w:val="5"/>
  </w:num>
  <w:num w:numId="15" w16cid:durableId="1534342851">
    <w:abstractNumId w:val="28"/>
  </w:num>
  <w:num w:numId="16" w16cid:durableId="1902673296">
    <w:abstractNumId w:val="27"/>
  </w:num>
  <w:num w:numId="17" w16cid:durableId="181742746">
    <w:abstractNumId w:val="13"/>
  </w:num>
  <w:num w:numId="18" w16cid:durableId="144779368">
    <w:abstractNumId w:val="4"/>
  </w:num>
  <w:num w:numId="19" w16cid:durableId="1568611431">
    <w:abstractNumId w:val="32"/>
  </w:num>
  <w:num w:numId="20" w16cid:durableId="111018775">
    <w:abstractNumId w:val="29"/>
  </w:num>
  <w:num w:numId="21" w16cid:durableId="10375063">
    <w:abstractNumId w:val="33"/>
  </w:num>
  <w:num w:numId="22" w16cid:durableId="1772043994">
    <w:abstractNumId w:val="19"/>
  </w:num>
  <w:num w:numId="23" w16cid:durableId="1538467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8897357">
    <w:abstractNumId w:val="7"/>
  </w:num>
  <w:num w:numId="25" w16cid:durableId="261844548">
    <w:abstractNumId w:val="2"/>
  </w:num>
  <w:num w:numId="26" w16cid:durableId="1555389040">
    <w:abstractNumId w:val="30"/>
  </w:num>
  <w:num w:numId="27" w16cid:durableId="263995619">
    <w:abstractNumId w:val="31"/>
  </w:num>
  <w:num w:numId="28" w16cid:durableId="496766578">
    <w:abstractNumId w:val="1"/>
  </w:num>
  <w:num w:numId="29" w16cid:durableId="423378849">
    <w:abstractNumId w:val="12"/>
  </w:num>
  <w:num w:numId="30" w16cid:durableId="1594046626">
    <w:abstractNumId w:val="11"/>
  </w:num>
  <w:num w:numId="31" w16cid:durableId="1845897167">
    <w:abstractNumId w:val="23"/>
  </w:num>
  <w:num w:numId="32" w16cid:durableId="1763451480">
    <w:abstractNumId w:val="16"/>
  </w:num>
  <w:num w:numId="33" w16cid:durableId="1639454769">
    <w:abstractNumId w:val="21"/>
  </w:num>
  <w:num w:numId="34" w16cid:durableId="1283684755">
    <w:abstractNumId w:val="25"/>
  </w:num>
  <w:num w:numId="35" w16cid:durableId="1603144610">
    <w:abstractNumId w:val="34"/>
  </w:num>
  <w:num w:numId="36" w16cid:durableId="208464239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06514"/>
    <w:rsid w:val="00010DD3"/>
    <w:rsid w:val="000113BC"/>
    <w:rsid w:val="00012EE4"/>
    <w:rsid w:val="000136AF"/>
    <w:rsid w:val="0001380C"/>
    <w:rsid w:val="00015149"/>
    <w:rsid w:val="00015C23"/>
    <w:rsid w:val="00017D93"/>
    <w:rsid w:val="0002051A"/>
    <w:rsid w:val="00021675"/>
    <w:rsid w:val="00023408"/>
    <w:rsid w:val="0002391D"/>
    <w:rsid w:val="00023F14"/>
    <w:rsid w:val="000243D0"/>
    <w:rsid w:val="000254D0"/>
    <w:rsid w:val="00025824"/>
    <w:rsid w:val="00032831"/>
    <w:rsid w:val="00035D3A"/>
    <w:rsid w:val="00037734"/>
    <w:rsid w:val="0004044E"/>
    <w:rsid w:val="00041A02"/>
    <w:rsid w:val="000447C8"/>
    <w:rsid w:val="00044D83"/>
    <w:rsid w:val="00045A68"/>
    <w:rsid w:val="000507D6"/>
    <w:rsid w:val="0005120E"/>
    <w:rsid w:val="00053793"/>
    <w:rsid w:val="00053A1B"/>
    <w:rsid w:val="00054577"/>
    <w:rsid w:val="00055A27"/>
    <w:rsid w:val="00055A61"/>
    <w:rsid w:val="00055FFE"/>
    <w:rsid w:val="0005723D"/>
    <w:rsid w:val="000614BF"/>
    <w:rsid w:val="00063E24"/>
    <w:rsid w:val="00065892"/>
    <w:rsid w:val="00067007"/>
    <w:rsid w:val="0007169C"/>
    <w:rsid w:val="000720E1"/>
    <w:rsid w:val="00072C07"/>
    <w:rsid w:val="00072EBD"/>
    <w:rsid w:val="00076EEF"/>
    <w:rsid w:val="00077593"/>
    <w:rsid w:val="00077788"/>
    <w:rsid w:val="00077CB3"/>
    <w:rsid w:val="00083F48"/>
    <w:rsid w:val="00084052"/>
    <w:rsid w:val="0008479E"/>
    <w:rsid w:val="000848E9"/>
    <w:rsid w:val="00084BC8"/>
    <w:rsid w:val="00084E97"/>
    <w:rsid w:val="00085316"/>
    <w:rsid w:val="0008582F"/>
    <w:rsid w:val="00087B32"/>
    <w:rsid w:val="00095D6F"/>
    <w:rsid w:val="000A37AD"/>
    <w:rsid w:val="000A4401"/>
    <w:rsid w:val="000A479A"/>
    <w:rsid w:val="000A73B4"/>
    <w:rsid w:val="000A7DF9"/>
    <w:rsid w:val="000A7FD7"/>
    <w:rsid w:val="000B0B8D"/>
    <w:rsid w:val="000B1C26"/>
    <w:rsid w:val="000B2B1D"/>
    <w:rsid w:val="000B3678"/>
    <w:rsid w:val="000B4FC5"/>
    <w:rsid w:val="000B6CF5"/>
    <w:rsid w:val="000C05FD"/>
    <w:rsid w:val="000C2F0E"/>
    <w:rsid w:val="000C4A6F"/>
    <w:rsid w:val="000C69D8"/>
    <w:rsid w:val="000C7782"/>
    <w:rsid w:val="000D05EF"/>
    <w:rsid w:val="000D1D02"/>
    <w:rsid w:val="000D2A64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E74A1"/>
    <w:rsid w:val="000F0ADA"/>
    <w:rsid w:val="000F21C1"/>
    <w:rsid w:val="000F27E3"/>
    <w:rsid w:val="000F2851"/>
    <w:rsid w:val="000F5999"/>
    <w:rsid w:val="000F65E4"/>
    <w:rsid w:val="00100566"/>
    <w:rsid w:val="00100D73"/>
    <w:rsid w:val="00100F47"/>
    <w:rsid w:val="001011A4"/>
    <w:rsid w:val="00105C63"/>
    <w:rsid w:val="0010745C"/>
    <w:rsid w:val="001121E8"/>
    <w:rsid w:val="001122FF"/>
    <w:rsid w:val="00113943"/>
    <w:rsid w:val="00113B3E"/>
    <w:rsid w:val="00116001"/>
    <w:rsid w:val="001168DF"/>
    <w:rsid w:val="00120A14"/>
    <w:rsid w:val="00122A42"/>
    <w:rsid w:val="001233EC"/>
    <w:rsid w:val="00124074"/>
    <w:rsid w:val="0012523F"/>
    <w:rsid w:val="001259FD"/>
    <w:rsid w:val="00135D96"/>
    <w:rsid w:val="00136D9D"/>
    <w:rsid w:val="00141898"/>
    <w:rsid w:val="0014332A"/>
    <w:rsid w:val="00144EFA"/>
    <w:rsid w:val="001462B4"/>
    <w:rsid w:val="00150228"/>
    <w:rsid w:val="001511A2"/>
    <w:rsid w:val="00152B7B"/>
    <w:rsid w:val="00154C5F"/>
    <w:rsid w:val="00160BD7"/>
    <w:rsid w:val="00161023"/>
    <w:rsid w:val="001643C9"/>
    <w:rsid w:val="00165568"/>
    <w:rsid w:val="00166082"/>
    <w:rsid w:val="00166C2F"/>
    <w:rsid w:val="001716C9"/>
    <w:rsid w:val="001724BB"/>
    <w:rsid w:val="00175CBC"/>
    <w:rsid w:val="001766E6"/>
    <w:rsid w:val="00177047"/>
    <w:rsid w:val="00181E2F"/>
    <w:rsid w:val="0018399D"/>
    <w:rsid w:val="00184261"/>
    <w:rsid w:val="00190DD7"/>
    <w:rsid w:val="001911E2"/>
    <w:rsid w:val="0019193F"/>
    <w:rsid w:val="00193461"/>
    <w:rsid w:val="001939E1"/>
    <w:rsid w:val="0019452E"/>
    <w:rsid w:val="00195047"/>
    <w:rsid w:val="00195382"/>
    <w:rsid w:val="00195757"/>
    <w:rsid w:val="001A09BC"/>
    <w:rsid w:val="001A0EA7"/>
    <w:rsid w:val="001A23F0"/>
    <w:rsid w:val="001A286A"/>
    <w:rsid w:val="001A3956"/>
    <w:rsid w:val="001A3B9F"/>
    <w:rsid w:val="001A5520"/>
    <w:rsid w:val="001A5DC8"/>
    <w:rsid w:val="001A65C0"/>
    <w:rsid w:val="001A786B"/>
    <w:rsid w:val="001A7D09"/>
    <w:rsid w:val="001B2B91"/>
    <w:rsid w:val="001B7A5D"/>
    <w:rsid w:val="001C2913"/>
    <w:rsid w:val="001C69C4"/>
    <w:rsid w:val="001D079C"/>
    <w:rsid w:val="001D736A"/>
    <w:rsid w:val="001E0A8D"/>
    <w:rsid w:val="001E2DEB"/>
    <w:rsid w:val="001E3419"/>
    <w:rsid w:val="001E3590"/>
    <w:rsid w:val="001E3879"/>
    <w:rsid w:val="001E39B6"/>
    <w:rsid w:val="001E3F1B"/>
    <w:rsid w:val="001E4839"/>
    <w:rsid w:val="001E4B63"/>
    <w:rsid w:val="001E4C79"/>
    <w:rsid w:val="001E7407"/>
    <w:rsid w:val="001F1A46"/>
    <w:rsid w:val="001F4067"/>
    <w:rsid w:val="001F45AD"/>
    <w:rsid w:val="001F4C69"/>
    <w:rsid w:val="001F4D60"/>
    <w:rsid w:val="001F60E5"/>
    <w:rsid w:val="001F6620"/>
    <w:rsid w:val="002008DD"/>
    <w:rsid w:val="00201D27"/>
    <w:rsid w:val="0021153A"/>
    <w:rsid w:val="00214A15"/>
    <w:rsid w:val="00215A10"/>
    <w:rsid w:val="00216AD9"/>
    <w:rsid w:val="0022090F"/>
    <w:rsid w:val="002233CA"/>
    <w:rsid w:val="002245A6"/>
    <w:rsid w:val="00224A36"/>
    <w:rsid w:val="0022642A"/>
    <w:rsid w:val="00227A02"/>
    <w:rsid w:val="002302EA"/>
    <w:rsid w:val="00232825"/>
    <w:rsid w:val="00234060"/>
    <w:rsid w:val="0023465A"/>
    <w:rsid w:val="0023605E"/>
    <w:rsid w:val="00237614"/>
    <w:rsid w:val="00240749"/>
    <w:rsid w:val="00241AA9"/>
    <w:rsid w:val="00241C84"/>
    <w:rsid w:val="0024362E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12B5"/>
    <w:rsid w:val="00262A2F"/>
    <w:rsid w:val="00267E0C"/>
    <w:rsid w:val="00270A14"/>
    <w:rsid w:val="00270E9E"/>
    <w:rsid w:val="002720FA"/>
    <w:rsid w:val="002754D4"/>
    <w:rsid w:val="00277028"/>
    <w:rsid w:val="002809A8"/>
    <w:rsid w:val="00280E59"/>
    <w:rsid w:val="00281AB1"/>
    <w:rsid w:val="00283888"/>
    <w:rsid w:val="00285CDD"/>
    <w:rsid w:val="0028692F"/>
    <w:rsid w:val="00291167"/>
    <w:rsid w:val="002945BD"/>
    <w:rsid w:val="0029489E"/>
    <w:rsid w:val="00296A64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41E5"/>
    <w:rsid w:val="002B4E22"/>
    <w:rsid w:val="002B51A4"/>
    <w:rsid w:val="002B55E2"/>
    <w:rsid w:val="002B5CE1"/>
    <w:rsid w:val="002C053F"/>
    <w:rsid w:val="002C0968"/>
    <w:rsid w:val="002C0A93"/>
    <w:rsid w:val="002C152A"/>
    <w:rsid w:val="002C4200"/>
    <w:rsid w:val="002C4543"/>
    <w:rsid w:val="002C4713"/>
    <w:rsid w:val="002D043A"/>
    <w:rsid w:val="002D1F2F"/>
    <w:rsid w:val="002E0339"/>
    <w:rsid w:val="002E0AB8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3F52"/>
    <w:rsid w:val="00304492"/>
    <w:rsid w:val="00304FF6"/>
    <w:rsid w:val="00305108"/>
    <w:rsid w:val="0030558D"/>
    <w:rsid w:val="00306F2D"/>
    <w:rsid w:val="00307C89"/>
    <w:rsid w:val="00310066"/>
    <w:rsid w:val="00311F3B"/>
    <w:rsid w:val="00312A5C"/>
    <w:rsid w:val="00312B32"/>
    <w:rsid w:val="00313433"/>
    <w:rsid w:val="00316A0C"/>
    <w:rsid w:val="0031713F"/>
    <w:rsid w:val="00317D24"/>
    <w:rsid w:val="00320019"/>
    <w:rsid w:val="00320A83"/>
    <w:rsid w:val="003215D7"/>
    <w:rsid w:val="003222D1"/>
    <w:rsid w:val="003230FF"/>
    <w:rsid w:val="0032492D"/>
    <w:rsid w:val="0032750F"/>
    <w:rsid w:val="00327D5C"/>
    <w:rsid w:val="00332275"/>
    <w:rsid w:val="0033267B"/>
    <w:rsid w:val="00333D59"/>
    <w:rsid w:val="00333E26"/>
    <w:rsid w:val="0033444B"/>
    <w:rsid w:val="003344A6"/>
    <w:rsid w:val="00334DCD"/>
    <w:rsid w:val="00335E84"/>
    <w:rsid w:val="00340719"/>
    <w:rsid w:val="003415D3"/>
    <w:rsid w:val="003442F6"/>
    <w:rsid w:val="00345CEF"/>
    <w:rsid w:val="00345DA3"/>
    <w:rsid w:val="00346335"/>
    <w:rsid w:val="00346BAD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5791E"/>
    <w:rsid w:val="00360127"/>
    <w:rsid w:val="00360F81"/>
    <w:rsid w:val="0036663B"/>
    <w:rsid w:val="00372095"/>
    <w:rsid w:val="00372AB8"/>
    <w:rsid w:val="00373807"/>
    <w:rsid w:val="00375819"/>
    <w:rsid w:val="0037668B"/>
    <w:rsid w:val="00383301"/>
    <w:rsid w:val="0038353B"/>
    <w:rsid w:val="003852A3"/>
    <w:rsid w:val="00391953"/>
    <w:rsid w:val="00391B16"/>
    <w:rsid w:val="003957A9"/>
    <w:rsid w:val="00396537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4092"/>
    <w:rsid w:val="003B5BC6"/>
    <w:rsid w:val="003B5C9E"/>
    <w:rsid w:val="003C0587"/>
    <w:rsid w:val="003C2B6B"/>
    <w:rsid w:val="003C456A"/>
    <w:rsid w:val="003C5F2B"/>
    <w:rsid w:val="003C6101"/>
    <w:rsid w:val="003C7D35"/>
    <w:rsid w:val="003D0BFE"/>
    <w:rsid w:val="003D105E"/>
    <w:rsid w:val="003D12FC"/>
    <w:rsid w:val="003D1589"/>
    <w:rsid w:val="003D3C9B"/>
    <w:rsid w:val="003D3E55"/>
    <w:rsid w:val="003D5479"/>
    <w:rsid w:val="003D5700"/>
    <w:rsid w:val="003E0C81"/>
    <w:rsid w:val="003E18BF"/>
    <w:rsid w:val="003E22A5"/>
    <w:rsid w:val="003E39B7"/>
    <w:rsid w:val="003F1832"/>
    <w:rsid w:val="003F6F52"/>
    <w:rsid w:val="003F7235"/>
    <w:rsid w:val="004002A3"/>
    <w:rsid w:val="004008B5"/>
    <w:rsid w:val="004022CA"/>
    <w:rsid w:val="00402496"/>
    <w:rsid w:val="004031BA"/>
    <w:rsid w:val="00406A87"/>
    <w:rsid w:val="00406D05"/>
    <w:rsid w:val="00411535"/>
    <w:rsid w:val="004116CD"/>
    <w:rsid w:val="00411E3E"/>
    <w:rsid w:val="00412A9C"/>
    <w:rsid w:val="0041368C"/>
    <w:rsid w:val="0041438D"/>
    <w:rsid w:val="00414ADE"/>
    <w:rsid w:val="00416246"/>
    <w:rsid w:val="00420F70"/>
    <w:rsid w:val="0042259E"/>
    <w:rsid w:val="004245AC"/>
    <w:rsid w:val="00424CA9"/>
    <w:rsid w:val="004257BB"/>
    <w:rsid w:val="00426657"/>
    <w:rsid w:val="00427E05"/>
    <w:rsid w:val="00432941"/>
    <w:rsid w:val="004332BE"/>
    <w:rsid w:val="00434894"/>
    <w:rsid w:val="004366A1"/>
    <w:rsid w:val="004369AC"/>
    <w:rsid w:val="00437221"/>
    <w:rsid w:val="00437F05"/>
    <w:rsid w:val="0044291A"/>
    <w:rsid w:val="00444FEE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0D6"/>
    <w:rsid w:val="004717E9"/>
    <w:rsid w:val="004724A9"/>
    <w:rsid w:val="00472D70"/>
    <w:rsid w:val="00472F04"/>
    <w:rsid w:val="004730EB"/>
    <w:rsid w:val="00474835"/>
    <w:rsid w:val="00474C1A"/>
    <w:rsid w:val="004819C7"/>
    <w:rsid w:val="00482D59"/>
    <w:rsid w:val="0048364F"/>
    <w:rsid w:val="00483CBC"/>
    <w:rsid w:val="004877FC"/>
    <w:rsid w:val="00490F2E"/>
    <w:rsid w:val="004916F7"/>
    <w:rsid w:val="00496F97"/>
    <w:rsid w:val="004A0D86"/>
    <w:rsid w:val="004A116A"/>
    <w:rsid w:val="004A2F15"/>
    <w:rsid w:val="004A53EA"/>
    <w:rsid w:val="004A5D77"/>
    <w:rsid w:val="004B35E7"/>
    <w:rsid w:val="004B60C6"/>
    <w:rsid w:val="004B6643"/>
    <w:rsid w:val="004B7397"/>
    <w:rsid w:val="004C0890"/>
    <w:rsid w:val="004C3709"/>
    <w:rsid w:val="004C4716"/>
    <w:rsid w:val="004C6603"/>
    <w:rsid w:val="004C72AC"/>
    <w:rsid w:val="004C7FAC"/>
    <w:rsid w:val="004D0A4B"/>
    <w:rsid w:val="004D4A35"/>
    <w:rsid w:val="004E1C2A"/>
    <w:rsid w:val="004E1CD8"/>
    <w:rsid w:val="004E1E67"/>
    <w:rsid w:val="004E2BC3"/>
    <w:rsid w:val="004E6376"/>
    <w:rsid w:val="004E647B"/>
    <w:rsid w:val="004E7584"/>
    <w:rsid w:val="004F0ECD"/>
    <w:rsid w:val="004F15E6"/>
    <w:rsid w:val="004F1FAC"/>
    <w:rsid w:val="004F676E"/>
    <w:rsid w:val="004F71C0"/>
    <w:rsid w:val="005008AD"/>
    <w:rsid w:val="00500E8F"/>
    <w:rsid w:val="005016C2"/>
    <w:rsid w:val="00503DE9"/>
    <w:rsid w:val="005059A0"/>
    <w:rsid w:val="00506C21"/>
    <w:rsid w:val="00506DBE"/>
    <w:rsid w:val="005076CC"/>
    <w:rsid w:val="005100EA"/>
    <w:rsid w:val="00516B8D"/>
    <w:rsid w:val="00517D76"/>
    <w:rsid w:val="00523928"/>
    <w:rsid w:val="00524554"/>
    <w:rsid w:val="00524877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3BF4"/>
    <w:rsid w:val="005441C6"/>
    <w:rsid w:val="005445D9"/>
    <w:rsid w:val="00546FA3"/>
    <w:rsid w:val="00551041"/>
    <w:rsid w:val="0055204A"/>
    <w:rsid w:val="0055310F"/>
    <w:rsid w:val="00553572"/>
    <w:rsid w:val="00553BA1"/>
    <w:rsid w:val="00557C7A"/>
    <w:rsid w:val="00557EB5"/>
    <w:rsid w:val="00562A58"/>
    <w:rsid w:val="0056541A"/>
    <w:rsid w:val="0056603D"/>
    <w:rsid w:val="0056689B"/>
    <w:rsid w:val="00566C8D"/>
    <w:rsid w:val="005749C6"/>
    <w:rsid w:val="00575466"/>
    <w:rsid w:val="005770E8"/>
    <w:rsid w:val="00577DA0"/>
    <w:rsid w:val="00581211"/>
    <w:rsid w:val="005816C7"/>
    <w:rsid w:val="00581BB9"/>
    <w:rsid w:val="005829D4"/>
    <w:rsid w:val="005834B9"/>
    <w:rsid w:val="00584811"/>
    <w:rsid w:val="00591EF7"/>
    <w:rsid w:val="00592CCE"/>
    <w:rsid w:val="00593AA6"/>
    <w:rsid w:val="00594161"/>
    <w:rsid w:val="00594749"/>
    <w:rsid w:val="00594956"/>
    <w:rsid w:val="00595A98"/>
    <w:rsid w:val="005A0046"/>
    <w:rsid w:val="005A091D"/>
    <w:rsid w:val="005A2F55"/>
    <w:rsid w:val="005A5AFC"/>
    <w:rsid w:val="005A6883"/>
    <w:rsid w:val="005B0995"/>
    <w:rsid w:val="005B1555"/>
    <w:rsid w:val="005B1CD8"/>
    <w:rsid w:val="005B3DE3"/>
    <w:rsid w:val="005B3EE3"/>
    <w:rsid w:val="005B4067"/>
    <w:rsid w:val="005B6647"/>
    <w:rsid w:val="005B667E"/>
    <w:rsid w:val="005B71DD"/>
    <w:rsid w:val="005B7E54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D700E"/>
    <w:rsid w:val="005E098C"/>
    <w:rsid w:val="005E1F8D"/>
    <w:rsid w:val="005E317F"/>
    <w:rsid w:val="005E3D5F"/>
    <w:rsid w:val="005E4F13"/>
    <w:rsid w:val="005E5494"/>
    <w:rsid w:val="005E61D3"/>
    <w:rsid w:val="005E647E"/>
    <w:rsid w:val="005F08B2"/>
    <w:rsid w:val="005F0A7C"/>
    <w:rsid w:val="005F2C15"/>
    <w:rsid w:val="005F4BD7"/>
    <w:rsid w:val="005F514C"/>
    <w:rsid w:val="005F606A"/>
    <w:rsid w:val="005F7D81"/>
    <w:rsid w:val="00600219"/>
    <w:rsid w:val="006014CE"/>
    <w:rsid w:val="006065DA"/>
    <w:rsid w:val="00606AA4"/>
    <w:rsid w:val="00610A0A"/>
    <w:rsid w:val="00611639"/>
    <w:rsid w:val="00612A00"/>
    <w:rsid w:val="006236FD"/>
    <w:rsid w:val="0062381B"/>
    <w:rsid w:val="006255A3"/>
    <w:rsid w:val="00625B62"/>
    <w:rsid w:val="00630F1C"/>
    <w:rsid w:val="00631752"/>
    <w:rsid w:val="00632D5F"/>
    <w:rsid w:val="0063507B"/>
    <w:rsid w:val="00640402"/>
    <w:rsid w:val="00640F78"/>
    <w:rsid w:val="00641140"/>
    <w:rsid w:val="00642542"/>
    <w:rsid w:val="0064690E"/>
    <w:rsid w:val="006536C8"/>
    <w:rsid w:val="006545B8"/>
    <w:rsid w:val="006548FF"/>
    <w:rsid w:val="00655D6A"/>
    <w:rsid w:val="00656DE9"/>
    <w:rsid w:val="0065721F"/>
    <w:rsid w:val="00664415"/>
    <w:rsid w:val="00665505"/>
    <w:rsid w:val="0066638F"/>
    <w:rsid w:val="00666639"/>
    <w:rsid w:val="00666C08"/>
    <w:rsid w:val="00670FAC"/>
    <w:rsid w:val="00671066"/>
    <w:rsid w:val="006723C0"/>
    <w:rsid w:val="00672876"/>
    <w:rsid w:val="00674707"/>
    <w:rsid w:val="00674A26"/>
    <w:rsid w:val="00676517"/>
    <w:rsid w:val="00677972"/>
    <w:rsid w:val="00677CC2"/>
    <w:rsid w:val="00681322"/>
    <w:rsid w:val="0068168A"/>
    <w:rsid w:val="006832B7"/>
    <w:rsid w:val="006848C0"/>
    <w:rsid w:val="00684C38"/>
    <w:rsid w:val="0068569D"/>
    <w:rsid w:val="00685F42"/>
    <w:rsid w:val="0068677D"/>
    <w:rsid w:val="0069207B"/>
    <w:rsid w:val="00693063"/>
    <w:rsid w:val="00695BBA"/>
    <w:rsid w:val="00696C5F"/>
    <w:rsid w:val="006A1795"/>
    <w:rsid w:val="006A1E0A"/>
    <w:rsid w:val="006A289C"/>
    <w:rsid w:val="006A304E"/>
    <w:rsid w:val="006A5241"/>
    <w:rsid w:val="006A6CA4"/>
    <w:rsid w:val="006B3CB4"/>
    <w:rsid w:val="006B4809"/>
    <w:rsid w:val="006B7006"/>
    <w:rsid w:val="006C2095"/>
    <w:rsid w:val="006C2B58"/>
    <w:rsid w:val="006C3619"/>
    <w:rsid w:val="006C7F8C"/>
    <w:rsid w:val="006D0484"/>
    <w:rsid w:val="006D6213"/>
    <w:rsid w:val="006D7AB9"/>
    <w:rsid w:val="006E0934"/>
    <w:rsid w:val="006E0DEC"/>
    <w:rsid w:val="006E4F41"/>
    <w:rsid w:val="006F09CF"/>
    <w:rsid w:val="006F1A19"/>
    <w:rsid w:val="006F2406"/>
    <w:rsid w:val="006F3721"/>
    <w:rsid w:val="006F4644"/>
    <w:rsid w:val="0070009E"/>
    <w:rsid w:val="0070073E"/>
    <w:rsid w:val="00700B2C"/>
    <w:rsid w:val="00701DFB"/>
    <w:rsid w:val="0070698F"/>
    <w:rsid w:val="0070745A"/>
    <w:rsid w:val="00710A20"/>
    <w:rsid w:val="00713084"/>
    <w:rsid w:val="00717463"/>
    <w:rsid w:val="007176A9"/>
    <w:rsid w:val="00720FC2"/>
    <w:rsid w:val="00722E89"/>
    <w:rsid w:val="007254A2"/>
    <w:rsid w:val="007259B9"/>
    <w:rsid w:val="00725B63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56384"/>
    <w:rsid w:val="00760413"/>
    <w:rsid w:val="007615A1"/>
    <w:rsid w:val="007634AD"/>
    <w:rsid w:val="007715C9"/>
    <w:rsid w:val="00774EDD"/>
    <w:rsid w:val="007757EC"/>
    <w:rsid w:val="0077710E"/>
    <w:rsid w:val="007808D1"/>
    <w:rsid w:val="00781CA1"/>
    <w:rsid w:val="00783075"/>
    <w:rsid w:val="007831D6"/>
    <w:rsid w:val="00786EBF"/>
    <w:rsid w:val="00786F65"/>
    <w:rsid w:val="00787223"/>
    <w:rsid w:val="00790BD6"/>
    <w:rsid w:val="00791032"/>
    <w:rsid w:val="007914D7"/>
    <w:rsid w:val="007928F1"/>
    <w:rsid w:val="007A18D3"/>
    <w:rsid w:val="007A435D"/>
    <w:rsid w:val="007A6863"/>
    <w:rsid w:val="007A6E62"/>
    <w:rsid w:val="007A7A00"/>
    <w:rsid w:val="007A7AA8"/>
    <w:rsid w:val="007B09E9"/>
    <w:rsid w:val="007B6EE3"/>
    <w:rsid w:val="007C6403"/>
    <w:rsid w:val="007C70F2"/>
    <w:rsid w:val="007C78B4"/>
    <w:rsid w:val="007C7EFA"/>
    <w:rsid w:val="007C7EFF"/>
    <w:rsid w:val="007D1325"/>
    <w:rsid w:val="007D19E5"/>
    <w:rsid w:val="007D1EDC"/>
    <w:rsid w:val="007D287C"/>
    <w:rsid w:val="007D30F8"/>
    <w:rsid w:val="007D3F37"/>
    <w:rsid w:val="007D428E"/>
    <w:rsid w:val="007D42F5"/>
    <w:rsid w:val="007D6864"/>
    <w:rsid w:val="007E2BB8"/>
    <w:rsid w:val="007E32B6"/>
    <w:rsid w:val="007E486B"/>
    <w:rsid w:val="007E6B9F"/>
    <w:rsid w:val="007E7CC1"/>
    <w:rsid w:val="007E7D4A"/>
    <w:rsid w:val="007F1BC4"/>
    <w:rsid w:val="007F2DAC"/>
    <w:rsid w:val="007F2FFB"/>
    <w:rsid w:val="007F30EB"/>
    <w:rsid w:val="007F3EC1"/>
    <w:rsid w:val="007F4155"/>
    <w:rsid w:val="007F4620"/>
    <w:rsid w:val="007F48ED"/>
    <w:rsid w:val="007F5E3F"/>
    <w:rsid w:val="007F6CA3"/>
    <w:rsid w:val="007F7325"/>
    <w:rsid w:val="007F7565"/>
    <w:rsid w:val="00804A48"/>
    <w:rsid w:val="008063FB"/>
    <w:rsid w:val="00807A00"/>
    <w:rsid w:val="00807F7F"/>
    <w:rsid w:val="008119E1"/>
    <w:rsid w:val="00812824"/>
    <w:rsid w:val="00812F0E"/>
    <w:rsid w:val="00812F45"/>
    <w:rsid w:val="00815371"/>
    <w:rsid w:val="008156F7"/>
    <w:rsid w:val="008161C3"/>
    <w:rsid w:val="00817CD1"/>
    <w:rsid w:val="0082334B"/>
    <w:rsid w:val="00824CF7"/>
    <w:rsid w:val="00825137"/>
    <w:rsid w:val="00827541"/>
    <w:rsid w:val="0082759C"/>
    <w:rsid w:val="00831732"/>
    <w:rsid w:val="00831775"/>
    <w:rsid w:val="00831B04"/>
    <w:rsid w:val="00833A5A"/>
    <w:rsid w:val="00836FE9"/>
    <w:rsid w:val="00840182"/>
    <w:rsid w:val="0084172C"/>
    <w:rsid w:val="00842B90"/>
    <w:rsid w:val="00846D19"/>
    <w:rsid w:val="00850A41"/>
    <w:rsid w:val="008512BB"/>
    <w:rsid w:val="0085175E"/>
    <w:rsid w:val="0085440F"/>
    <w:rsid w:val="00854E7E"/>
    <w:rsid w:val="00856A31"/>
    <w:rsid w:val="008608E6"/>
    <w:rsid w:val="00861839"/>
    <w:rsid w:val="00865CE6"/>
    <w:rsid w:val="00866499"/>
    <w:rsid w:val="008669F4"/>
    <w:rsid w:val="00867BB9"/>
    <w:rsid w:val="0087014A"/>
    <w:rsid w:val="00872B3E"/>
    <w:rsid w:val="008731B4"/>
    <w:rsid w:val="00873266"/>
    <w:rsid w:val="00873D63"/>
    <w:rsid w:val="008754D0"/>
    <w:rsid w:val="00877C58"/>
    <w:rsid w:val="00877C69"/>
    <w:rsid w:val="00877D48"/>
    <w:rsid w:val="00881E68"/>
    <w:rsid w:val="0088345B"/>
    <w:rsid w:val="0088404A"/>
    <w:rsid w:val="00891595"/>
    <w:rsid w:val="00893C8F"/>
    <w:rsid w:val="008945F2"/>
    <w:rsid w:val="00895DEC"/>
    <w:rsid w:val="008978ED"/>
    <w:rsid w:val="008A08B6"/>
    <w:rsid w:val="008A16A5"/>
    <w:rsid w:val="008A5C57"/>
    <w:rsid w:val="008B09C7"/>
    <w:rsid w:val="008B1FA9"/>
    <w:rsid w:val="008B43CD"/>
    <w:rsid w:val="008B4FAC"/>
    <w:rsid w:val="008B63D5"/>
    <w:rsid w:val="008B6E20"/>
    <w:rsid w:val="008B7D8E"/>
    <w:rsid w:val="008C0629"/>
    <w:rsid w:val="008C42B6"/>
    <w:rsid w:val="008C475A"/>
    <w:rsid w:val="008C51FB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8F7B10"/>
    <w:rsid w:val="00900646"/>
    <w:rsid w:val="0090216B"/>
    <w:rsid w:val="009031D4"/>
    <w:rsid w:val="00904917"/>
    <w:rsid w:val="00905C1F"/>
    <w:rsid w:val="0090628A"/>
    <w:rsid w:val="009069AD"/>
    <w:rsid w:val="00910E64"/>
    <w:rsid w:val="00911C6E"/>
    <w:rsid w:val="009132DE"/>
    <w:rsid w:val="00913606"/>
    <w:rsid w:val="009143F1"/>
    <w:rsid w:val="00916878"/>
    <w:rsid w:val="00916BEB"/>
    <w:rsid w:val="0092006C"/>
    <w:rsid w:val="00920224"/>
    <w:rsid w:val="00920897"/>
    <w:rsid w:val="00921F33"/>
    <w:rsid w:val="00922764"/>
    <w:rsid w:val="00922E45"/>
    <w:rsid w:val="009230BA"/>
    <w:rsid w:val="00925E7E"/>
    <w:rsid w:val="009278C1"/>
    <w:rsid w:val="00931863"/>
    <w:rsid w:val="00932377"/>
    <w:rsid w:val="00933500"/>
    <w:rsid w:val="009346E3"/>
    <w:rsid w:val="0093533D"/>
    <w:rsid w:val="00937A8B"/>
    <w:rsid w:val="009410D2"/>
    <w:rsid w:val="009414A5"/>
    <w:rsid w:val="00941967"/>
    <w:rsid w:val="00941A07"/>
    <w:rsid w:val="00943C3E"/>
    <w:rsid w:val="009442DE"/>
    <w:rsid w:val="00944B9B"/>
    <w:rsid w:val="0094523D"/>
    <w:rsid w:val="009454A3"/>
    <w:rsid w:val="0095171D"/>
    <w:rsid w:val="00952711"/>
    <w:rsid w:val="00952849"/>
    <w:rsid w:val="00954115"/>
    <w:rsid w:val="009548EF"/>
    <w:rsid w:val="00954EA1"/>
    <w:rsid w:val="009611D5"/>
    <w:rsid w:val="00961229"/>
    <w:rsid w:val="00963391"/>
    <w:rsid w:val="009646C3"/>
    <w:rsid w:val="00965E0E"/>
    <w:rsid w:val="009709D2"/>
    <w:rsid w:val="009720C3"/>
    <w:rsid w:val="009741C4"/>
    <w:rsid w:val="009755D0"/>
    <w:rsid w:val="00975A6D"/>
    <w:rsid w:val="00976A63"/>
    <w:rsid w:val="00981D9C"/>
    <w:rsid w:val="00996A31"/>
    <w:rsid w:val="009A36FD"/>
    <w:rsid w:val="009A64C9"/>
    <w:rsid w:val="009B0106"/>
    <w:rsid w:val="009B0E8B"/>
    <w:rsid w:val="009B2490"/>
    <w:rsid w:val="009B384B"/>
    <w:rsid w:val="009B3FDA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3E2"/>
    <w:rsid w:val="00A22A70"/>
    <w:rsid w:val="00A231E2"/>
    <w:rsid w:val="00A239F9"/>
    <w:rsid w:val="00A245D4"/>
    <w:rsid w:val="00A2550D"/>
    <w:rsid w:val="00A302AC"/>
    <w:rsid w:val="00A3196F"/>
    <w:rsid w:val="00A3356C"/>
    <w:rsid w:val="00A3386A"/>
    <w:rsid w:val="00A34067"/>
    <w:rsid w:val="00A357F2"/>
    <w:rsid w:val="00A36839"/>
    <w:rsid w:val="00A3717E"/>
    <w:rsid w:val="00A379BB"/>
    <w:rsid w:val="00A37EA9"/>
    <w:rsid w:val="00A4169B"/>
    <w:rsid w:val="00A4419E"/>
    <w:rsid w:val="00A45C02"/>
    <w:rsid w:val="00A5056A"/>
    <w:rsid w:val="00A50D55"/>
    <w:rsid w:val="00A52FDA"/>
    <w:rsid w:val="00A53105"/>
    <w:rsid w:val="00A54490"/>
    <w:rsid w:val="00A54D19"/>
    <w:rsid w:val="00A54F52"/>
    <w:rsid w:val="00A6176B"/>
    <w:rsid w:val="00A61D4A"/>
    <w:rsid w:val="00A64912"/>
    <w:rsid w:val="00A65CBF"/>
    <w:rsid w:val="00A65EDC"/>
    <w:rsid w:val="00A70A74"/>
    <w:rsid w:val="00A73746"/>
    <w:rsid w:val="00A81535"/>
    <w:rsid w:val="00A84295"/>
    <w:rsid w:val="00A8444A"/>
    <w:rsid w:val="00A84919"/>
    <w:rsid w:val="00A8497E"/>
    <w:rsid w:val="00A868AD"/>
    <w:rsid w:val="00A9089A"/>
    <w:rsid w:val="00A9231A"/>
    <w:rsid w:val="00A92591"/>
    <w:rsid w:val="00A935E7"/>
    <w:rsid w:val="00A94895"/>
    <w:rsid w:val="00A95643"/>
    <w:rsid w:val="00A95BC7"/>
    <w:rsid w:val="00A968FE"/>
    <w:rsid w:val="00A96DC0"/>
    <w:rsid w:val="00AA0343"/>
    <w:rsid w:val="00AA1233"/>
    <w:rsid w:val="00AA17C5"/>
    <w:rsid w:val="00AA1D5E"/>
    <w:rsid w:val="00AA2416"/>
    <w:rsid w:val="00AA755B"/>
    <w:rsid w:val="00AA78CE"/>
    <w:rsid w:val="00AA7B26"/>
    <w:rsid w:val="00AA7B40"/>
    <w:rsid w:val="00AB3366"/>
    <w:rsid w:val="00AC0B39"/>
    <w:rsid w:val="00AC28F8"/>
    <w:rsid w:val="00AC2EC7"/>
    <w:rsid w:val="00AC2F83"/>
    <w:rsid w:val="00AC32C0"/>
    <w:rsid w:val="00AC36A9"/>
    <w:rsid w:val="00AC4A41"/>
    <w:rsid w:val="00AC4A4B"/>
    <w:rsid w:val="00AC5837"/>
    <w:rsid w:val="00AC652C"/>
    <w:rsid w:val="00AC767C"/>
    <w:rsid w:val="00AC7C25"/>
    <w:rsid w:val="00AD1C8D"/>
    <w:rsid w:val="00AD3467"/>
    <w:rsid w:val="00AD491C"/>
    <w:rsid w:val="00AD5641"/>
    <w:rsid w:val="00AD67B8"/>
    <w:rsid w:val="00AD74EF"/>
    <w:rsid w:val="00AE6815"/>
    <w:rsid w:val="00AF00F3"/>
    <w:rsid w:val="00AF0D3D"/>
    <w:rsid w:val="00AF33DB"/>
    <w:rsid w:val="00AF33FA"/>
    <w:rsid w:val="00AF6A91"/>
    <w:rsid w:val="00B011CD"/>
    <w:rsid w:val="00B01413"/>
    <w:rsid w:val="00B02B6A"/>
    <w:rsid w:val="00B032D8"/>
    <w:rsid w:val="00B0436A"/>
    <w:rsid w:val="00B056F9"/>
    <w:rsid w:val="00B05D72"/>
    <w:rsid w:val="00B0784C"/>
    <w:rsid w:val="00B1237D"/>
    <w:rsid w:val="00B12E1C"/>
    <w:rsid w:val="00B15800"/>
    <w:rsid w:val="00B17A89"/>
    <w:rsid w:val="00B17B7A"/>
    <w:rsid w:val="00B17D90"/>
    <w:rsid w:val="00B20990"/>
    <w:rsid w:val="00B221C2"/>
    <w:rsid w:val="00B23E74"/>
    <w:rsid w:val="00B23FAF"/>
    <w:rsid w:val="00B25EAA"/>
    <w:rsid w:val="00B26B94"/>
    <w:rsid w:val="00B30E1A"/>
    <w:rsid w:val="00B3141C"/>
    <w:rsid w:val="00B323CC"/>
    <w:rsid w:val="00B32593"/>
    <w:rsid w:val="00B32EDD"/>
    <w:rsid w:val="00B33B3C"/>
    <w:rsid w:val="00B35A7A"/>
    <w:rsid w:val="00B36540"/>
    <w:rsid w:val="00B40043"/>
    <w:rsid w:val="00B40D74"/>
    <w:rsid w:val="00B42649"/>
    <w:rsid w:val="00B44538"/>
    <w:rsid w:val="00B455D5"/>
    <w:rsid w:val="00B46467"/>
    <w:rsid w:val="00B504C5"/>
    <w:rsid w:val="00B505E9"/>
    <w:rsid w:val="00B52663"/>
    <w:rsid w:val="00B56C48"/>
    <w:rsid w:val="00B56DCB"/>
    <w:rsid w:val="00B60810"/>
    <w:rsid w:val="00B6128C"/>
    <w:rsid w:val="00B61728"/>
    <w:rsid w:val="00B64C86"/>
    <w:rsid w:val="00B715FD"/>
    <w:rsid w:val="00B730C9"/>
    <w:rsid w:val="00B74365"/>
    <w:rsid w:val="00B746EA"/>
    <w:rsid w:val="00B770D2"/>
    <w:rsid w:val="00B80306"/>
    <w:rsid w:val="00B836E5"/>
    <w:rsid w:val="00B85B14"/>
    <w:rsid w:val="00B86BD9"/>
    <w:rsid w:val="00B87F09"/>
    <w:rsid w:val="00B907F2"/>
    <w:rsid w:val="00B915AB"/>
    <w:rsid w:val="00B93516"/>
    <w:rsid w:val="00B94BAD"/>
    <w:rsid w:val="00B96776"/>
    <w:rsid w:val="00B973E5"/>
    <w:rsid w:val="00BA0450"/>
    <w:rsid w:val="00BA16B8"/>
    <w:rsid w:val="00BA17CF"/>
    <w:rsid w:val="00BA47A3"/>
    <w:rsid w:val="00BA5026"/>
    <w:rsid w:val="00BA5C40"/>
    <w:rsid w:val="00BA7B5B"/>
    <w:rsid w:val="00BB2018"/>
    <w:rsid w:val="00BB6E79"/>
    <w:rsid w:val="00BC36CE"/>
    <w:rsid w:val="00BD1B66"/>
    <w:rsid w:val="00BD3D51"/>
    <w:rsid w:val="00BD4EBF"/>
    <w:rsid w:val="00BD62C4"/>
    <w:rsid w:val="00BD7575"/>
    <w:rsid w:val="00BD7BAD"/>
    <w:rsid w:val="00BE2D50"/>
    <w:rsid w:val="00BE3676"/>
    <w:rsid w:val="00BE3E3A"/>
    <w:rsid w:val="00BE42C5"/>
    <w:rsid w:val="00BE58AD"/>
    <w:rsid w:val="00BE719A"/>
    <w:rsid w:val="00BE720A"/>
    <w:rsid w:val="00BF0723"/>
    <w:rsid w:val="00BF13C5"/>
    <w:rsid w:val="00BF18F9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29E"/>
    <w:rsid w:val="00C2336C"/>
    <w:rsid w:val="00C25AFD"/>
    <w:rsid w:val="00C26051"/>
    <w:rsid w:val="00C30953"/>
    <w:rsid w:val="00C35191"/>
    <w:rsid w:val="00C353CB"/>
    <w:rsid w:val="00C379F2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248"/>
    <w:rsid w:val="00C51B6A"/>
    <w:rsid w:val="00C53CBB"/>
    <w:rsid w:val="00C568CF"/>
    <w:rsid w:val="00C57B38"/>
    <w:rsid w:val="00C63485"/>
    <w:rsid w:val="00C637FD"/>
    <w:rsid w:val="00C64186"/>
    <w:rsid w:val="00C64BBE"/>
    <w:rsid w:val="00C67E13"/>
    <w:rsid w:val="00C703EB"/>
    <w:rsid w:val="00C72D10"/>
    <w:rsid w:val="00C74464"/>
    <w:rsid w:val="00C7573B"/>
    <w:rsid w:val="00C76CF3"/>
    <w:rsid w:val="00C80352"/>
    <w:rsid w:val="00C80707"/>
    <w:rsid w:val="00C81CE2"/>
    <w:rsid w:val="00C82763"/>
    <w:rsid w:val="00C83869"/>
    <w:rsid w:val="00C847C3"/>
    <w:rsid w:val="00C904FE"/>
    <w:rsid w:val="00C90697"/>
    <w:rsid w:val="00C93179"/>
    <w:rsid w:val="00C93205"/>
    <w:rsid w:val="00C945DC"/>
    <w:rsid w:val="00C95DD6"/>
    <w:rsid w:val="00C95E9E"/>
    <w:rsid w:val="00CA311D"/>
    <w:rsid w:val="00CA6E9B"/>
    <w:rsid w:val="00CA7525"/>
    <w:rsid w:val="00CA7844"/>
    <w:rsid w:val="00CB3D8B"/>
    <w:rsid w:val="00CB4308"/>
    <w:rsid w:val="00CB58EF"/>
    <w:rsid w:val="00CB61AB"/>
    <w:rsid w:val="00CC0D20"/>
    <w:rsid w:val="00CC2AFE"/>
    <w:rsid w:val="00CC49E2"/>
    <w:rsid w:val="00CC521A"/>
    <w:rsid w:val="00CC64F8"/>
    <w:rsid w:val="00CD22D3"/>
    <w:rsid w:val="00CD6A8D"/>
    <w:rsid w:val="00CE0A93"/>
    <w:rsid w:val="00CE10C7"/>
    <w:rsid w:val="00CF0BB2"/>
    <w:rsid w:val="00CF4579"/>
    <w:rsid w:val="00D01421"/>
    <w:rsid w:val="00D023FF"/>
    <w:rsid w:val="00D026FD"/>
    <w:rsid w:val="00D04A29"/>
    <w:rsid w:val="00D076E7"/>
    <w:rsid w:val="00D119D3"/>
    <w:rsid w:val="00D12732"/>
    <w:rsid w:val="00D12835"/>
    <w:rsid w:val="00D12B0D"/>
    <w:rsid w:val="00D13441"/>
    <w:rsid w:val="00D158C0"/>
    <w:rsid w:val="00D167F3"/>
    <w:rsid w:val="00D17C82"/>
    <w:rsid w:val="00D2147E"/>
    <w:rsid w:val="00D228EC"/>
    <w:rsid w:val="00D2381C"/>
    <w:rsid w:val="00D243A3"/>
    <w:rsid w:val="00D332D0"/>
    <w:rsid w:val="00D33440"/>
    <w:rsid w:val="00D334A6"/>
    <w:rsid w:val="00D35AD6"/>
    <w:rsid w:val="00D41ADA"/>
    <w:rsid w:val="00D4308D"/>
    <w:rsid w:val="00D452BA"/>
    <w:rsid w:val="00D452D9"/>
    <w:rsid w:val="00D45FF5"/>
    <w:rsid w:val="00D47267"/>
    <w:rsid w:val="00D474E4"/>
    <w:rsid w:val="00D52EFE"/>
    <w:rsid w:val="00D56A0D"/>
    <w:rsid w:val="00D57929"/>
    <w:rsid w:val="00D60DE4"/>
    <w:rsid w:val="00D63B1A"/>
    <w:rsid w:val="00D63EF6"/>
    <w:rsid w:val="00D66518"/>
    <w:rsid w:val="00D706B6"/>
    <w:rsid w:val="00D70DFB"/>
    <w:rsid w:val="00D71EEA"/>
    <w:rsid w:val="00D735CD"/>
    <w:rsid w:val="00D74E4E"/>
    <w:rsid w:val="00D7613A"/>
    <w:rsid w:val="00D766DF"/>
    <w:rsid w:val="00D76B1E"/>
    <w:rsid w:val="00D80C59"/>
    <w:rsid w:val="00D8266D"/>
    <w:rsid w:val="00D8375B"/>
    <w:rsid w:val="00D842F2"/>
    <w:rsid w:val="00D87E88"/>
    <w:rsid w:val="00D90841"/>
    <w:rsid w:val="00D913B0"/>
    <w:rsid w:val="00D92225"/>
    <w:rsid w:val="00D93850"/>
    <w:rsid w:val="00D93E48"/>
    <w:rsid w:val="00D95017"/>
    <w:rsid w:val="00D9686D"/>
    <w:rsid w:val="00D96AF5"/>
    <w:rsid w:val="00D97270"/>
    <w:rsid w:val="00DA0015"/>
    <w:rsid w:val="00DA0943"/>
    <w:rsid w:val="00DA2439"/>
    <w:rsid w:val="00DA2666"/>
    <w:rsid w:val="00DA6F05"/>
    <w:rsid w:val="00DB0543"/>
    <w:rsid w:val="00DB0BC4"/>
    <w:rsid w:val="00DB1B74"/>
    <w:rsid w:val="00DB64FC"/>
    <w:rsid w:val="00DB6A4D"/>
    <w:rsid w:val="00DC0B2E"/>
    <w:rsid w:val="00DD0D99"/>
    <w:rsid w:val="00DD14E2"/>
    <w:rsid w:val="00DD2FD7"/>
    <w:rsid w:val="00DE1110"/>
    <w:rsid w:val="00DE149E"/>
    <w:rsid w:val="00DE56EC"/>
    <w:rsid w:val="00DE717B"/>
    <w:rsid w:val="00DF4B68"/>
    <w:rsid w:val="00DF4E9A"/>
    <w:rsid w:val="00DF50DF"/>
    <w:rsid w:val="00DF5568"/>
    <w:rsid w:val="00E01DA8"/>
    <w:rsid w:val="00E021FA"/>
    <w:rsid w:val="00E034DB"/>
    <w:rsid w:val="00E04416"/>
    <w:rsid w:val="00E051AA"/>
    <w:rsid w:val="00E05704"/>
    <w:rsid w:val="00E105CC"/>
    <w:rsid w:val="00E1200C"/>
    <w:rsid w:val="00E12F1A"/>
    <w:rsid w:val="00E169B4"/>
    <w:rsid w:val="00E209B7"/>
    <w:rsid w:val="00E21248"/>
    <w:rsid w:val="00E22935"/>
    <w:rsid w:val="00E24FDA"/>
    <w:rsid w:val="00E264D0"/>
    <w:rsid w:val="00E30AD7"/>
    <w:rsid w:val="00E32692"/>
    <w:rsid w:val="00E32F50"/>
    <w:rsid w:val="00E424E1"/>
    <w:rsid w:val="00E440D1"/>
    <w:rsid w:val="00E4560E"/>
    <w:rsid w:val="00E509B7"/>
    <w:rsid w:val="00E5294B"/>
    <w:rsid w:val="00E52D72"/>
    <w:rsid w:val="00E535E3"/>
    <w:rsid w:val="00E54292"/>
    <w:rsid w:val="00E55967"/>
    <w:rsid w:val="00E56163"/>
    <w:rsid w:val="00E57FCC"/>
    <w:rsid w:val="00E60191"/>
    <w:rsid w:val="00E60737"/>
    <w:rsid w:val="00E608E4"/>
    <w:rsid w:val="00E611D0"/>
    <w:rsid w:val="00E61496"/>
    <w:rsid w:val="00E61AA2"/>
    <w:rsid w:val="00E6307B"/>
    <w:rsid w:val="00E66C4D"/>
    <w:rsid w:val="00E66F4A"/>
    <w:rsid w:val="00E70081"/>
    <w:rsid w:val="00E71B3F"/>
    <w:rsid w:val="00E73A54"/>
    <w:rsid w:val="00E74DC7"/>
    <w:rsid w:val="00E84810"/>
    <w:rsid w:val="00E84C61"/>
    <w:rsid w:val="00E8598E"/>
    <w:rsid w:val="00E87366"/>
    <w:rsid w:val="00E87699"/>
    <w:rsid w:val="00E904E1"/>
    <w:rsid w:val="00E925BD"/>
    <w:rsid w:val="00E92880"/>
    <w:rsid w:val="00E92E27"/>
    <w:rsid w:val="00E93C6C"/>
    <w:rsid w:val="00E955FA"/>
    <w:rsid w:val="00E9586B"/>
    <w:rsid w:val="00E96A97"/>
    <w:rsid w:val="00E97334"/>
    <w:rsid w:val="00E979BB"/>
    <w:rsid w:val="00EA1B26"/>
    <w:rsid w:val="00EA1C63"/>
    <w:rsid w:val="00EA3B42"/>
    <w:rsid w:val="00EB0F2F"/>
    <w:rsid w:val="00EB3A99"/>
    <w:rsid w:val="00EB65F8"/>
    <w:rsid w:val="00EB660B"/>
    <w:rsid w:val="00EB7DFC"/>
    <w:rsid w:val="00EC2A44"/>
    <w:rsid w:val="00EC62FA"/>
    <w:rsid w:val="00ED193D"/>
    <w:rsid w:val="00ED2E35"/>
    <w:rsid w:val="00ED4508"/>
    <w:rsid w:val="00ED4928"/>
    <w:rsid w:val="00ED5046"/>
    <w:rsid w:val="00EE05CF"/>
    <w:rsid w:val="00EE2F15"/>
    <w:rsid w:val="00EE3FFE"/>
    <w:rsid w:val="00EE48CC"/>
    <w:rsid w:val="00EE57E8"/>
    <w:rsid w:val="00EE6190"/>
    <w:rsid w:val="00EF2E3A"/>
    <w:rsid w:val="00EF3CFD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19EA"/>
    <w:rsid w:val="00F13E86"/>
    <w:rsid w:val="00F17171"/>
    <w:rsid w:val="00F20B52"/>
    <w:rsid w:val="00F217F2"/>
    <w:rsid w:val="00F22423"/>
    <w:rsid w:val="00F22F1B"/>
    <w:rsid w:val="00F23D3C"/>
    <w:rsid w:val="00F32FCB"/>
    <w:rsid w:val="00F33523"/>
    <w:rsid w:val="00F344F5"/>
    <w:rsid w:val="00F352D4"/>
    <w:rsid w:val="00F353E1"/>
    <w:rsid w:val="00F3676C"/>
    <w:rsid w:val="00F40614"/>
    <w:rsid w:val="00F41997"/>
    <w:rsid w:val="00F432C3"/>
    <w:rsid w:val="00F440F5"/>
    <w:rsid w:val="00F45CF3"/>
    <w:rsid w:val="00F54761"/>
    <w:rsid w:val="00F562E2"/>
    <w:rsid w:val="00F621E7"/>
    <w:rsid w:val="00F64198"/>
    <w:rsid w:val="00F66FF8"/>
    <w:rsid w:val="00F676E9"/>
    <w:rsid w:val="00F677A9"/>
    <w:rsid w:val="00F70481"/>
    <w:rsid w:val="00F70531"/>
    <w:rsid w:val="00F73DAC"/>
    <w:rsid w:val="00F8121C"/>
    <w:rsid w:val="00F815B3"/>
    <w:rsid w:val="00F819E7"/>
    <w:rsid w:val="00F83361"/>
    <w:rsid w:val="00F84CF5"/>
    <w:rsid w:val="00F8612E"/>
    <w:rsid w:val="00F8693D"/>
    <w:rsid w:val="00F90DA1"/>
    <w:rsid w:val="00F91357"/>
    <w:rsid w:val="00F91A77"/>
    <w:rsid w:val="00F9384B"/>
    <w:rsid w:val="00F94583"/>
    <w:rsid w:val="00FA3B34"/>
    <w:rsid w:val="00FA420B"/>
    <w:rsid w:val="00FA587F"/>
    <w:rsid w:val="00FA5C66"/>
    <w:rsid w:val="00FB0258"/>
    <w:rsid w:val="00FB1792"/>
    <w:rsid w:val="00FB6AEE"/>
    <w:rsid w:val="00FB714E"/>
    <w:rsid w:val="00FB7349"/>
    <w:rsid w:val="00FC1AB2"/>
    <w:rsid w:val="00FC2D9D"/>
    <w:rsid w:val="00FC3AF3"/>
    <w:rsid w:val="00FC3EAC"/>
    <w:rsid w:val="00FC58D6"/>
    <w:rsid w:val="00FD055D"/>
    <w:rsid w:val="00FD2C08"/>
    <w:rsid w:val="00FD2CC3"/>
    <w:rsid w:val="00FD2F42"/>
    <w:rsid w:val="00FD360B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E5A88"/>
    <w:rsid w:val="00FF0072"/>
    <w:rsid w:val="00FF39DE"/>
    <w:rsid w:val="00FF4408"/>
    <w:rsid w:val="00FF5BED"/>
    <w:rsid w:val="00FF71F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4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  <w:style w:type="paragraph" w:customStyle="1" w:styleId="mps3-heading">
    <w:name w:val="mps3-heading"/>
    <w:basedOn w:val="Normal"/>
    <w:qFormat/>
    <w:rsid w:val="009611D5"/>
    <w:pPr>
      <w:spacing w:before="60" w:after="60" w:line="240" w:lineRule="auto"/>
    </w:pPr>
    <w:rPr>
      <w:rFonts w:ascii="Arial" w:eastAsia="Arial" w:hAnsi="Arial" w:cs="Arial"/>
      <w:b/>
      <w:sz w:val="16"/>
      <w:szCs w:val="22"/>
      <w:lang w:eastAsia="zh-CN"/>
    </w:rPr>
  </w:style>
  <w:style w:type="paragraph" w:customStyle="1" w:styleId="AS">
    <w:name w:val="AS"/>
    <w:aliases w:val="Schedule title Amendment"/>
    <w:basedOn w:val="Normal"/>
    <w:rsid w:val="00F119EA"/>
    <w:pPr>
      <w:keepNext/>
      <w:spacing w:before="480" w:line="240" w:lineRule="auto"/>
      <w:ind w:left="2410" w:hanging="2410"/>
    </w:pPr>
    <w:rPr>
      <w:rFonts w:ascii="Arial" w:hAnsi="Arial" w:cs="Arial"/>
      <w:b/>
      <w:bCs/>
      <w:sz w:val="32"/>
      <w:szCs w:val="32"/>
      <w:lang w:eastAsia="en-AU"/>
    </w:rPr>
  </w:style>
  <w:style w:type="table" w:styleId="ColorfulGrid-Accent6">
    <w:name w:val="Colorful Grid Accent 6"/>
    <w:basedOn w:val="TableNormal"/>
    <w:uiPriority w:val="73"/>
    <w:semiHidden/>
    <w:unhideWhenUsed/>
    <w:rsid w:val="002436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25B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B62"/>
    <w:rPr>
      <w:sz w:val="22"/>
    </w:rPr>
  </w:style>
  <w:style w:type="paragraph" w:styleId="BodyTextFirstIndent">
    <w:name w:val="Body Text First Indent"/>
    <w:basedOn w:val="BodyText"/>
    <w:link w:val="BodyTextFirstIndentChar"/>
    <w:rsid w:val="00625B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5B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83</cp:revision>
  <cp:lastPrinted>2023-09-27T22:13:00Z</cp:lastPrinted>
  <dcterms:created xsi:type="dcterms:W3CDTF">2025-04-10T04:47:00Z</dcterms:created>
  <dcterms:modified xsi:type="dcterms:W3CDTF">2025-06-27T02:49:00Z</dcterms:modified>
</cp:coreProperties>
</file>