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EBD" w14:textId="77777777" w:rsidR="005E317F" w:rsidRPr="00382F0B" w:rsidRDefault="005E317F" w:rsidP="005D540A">
      <w:pPr>
        <w:spacing w:line="240" w:lineRule="auto"/>
        <w:rPr>
          <w:sz w:val="28"/>
        </w:rPr>
      </w:pPr>
      <w:r w:rsidRPr="00382F0B">
        <w:rPr>
          <w:noProof/>
          <w:lang w:eastAsia="en-AU"/>
        </w:rPr>
        <w:drawing>
          <wp:inline distT="0" distB="0" distL="0" distR="0" wp14:anchorId="5BF2B55C" wp14:editId="2908842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382F0B" w:rsidRDefault="005E317F" w:rsidP="005D540A">
      <w:pPr>
        <w:spacing w:line="240" w:lineRule="auto"/>
        <w:rPr>
          <w:sz w:val="19"/>
        </w:rPr>
      </w:pPr>
    </w:p>
    <w:p w14:paraId="6EEA8391" w14:textId="1E10F561" w:rsidR="00A60204" w:rsidRPr="00382F0B" w:rsidRDefault="00840172" w:rsidP="005D540A">
      <w:pPr>
        <w:spacing w:before="240" w:line="240" w:lineRule="auto"/>
        <w:rPr>
          <w:rFonts w:ascii="Arial" w:hAnsi="Arial" w:cs="Arial"/>
          <w:b/>
          <w:sz w:val="28"/>
          <w:szCs w:val="28"/>
        </w:rPr>
      </w:pPr>
      <w:r w:rsidRPr="00382F0B">
        <w:rPr>
          <w:rFonts w:ascii="Arial" w:hAnsi="Arial" w:cs="Arial"/>
          <w:b/>
          <w:sz w:val="28"/>
          <w:szCs w:val="28"/>
        </w:rPr>
        <w:t xml:space="preserve">PB </w:t>
      </w:r>
      <w:r w:rsidR="00393F6B" w:rsidRPr="00382F0B">
        <w:rPr>
          <w:rFonts w:ascii="Arial" w:hAnsi="Arial" w:cs="Arial"/>
          <w:b/>
          <w:sz w:val="28"/>
          <w:szCs w:val="28"/>
        </w:rPr>
        <w:t>77</w:t>
      </w:r>
      <w:r w:rsidR="00264787" w:rsidRPr="00382F0B">
        <w:rPr>
          <w:rFonts w:ascii="Arial" w:hAnsi="Arial" w:cs="Arial"/>
          <w:b/>
          <w:sz w:val="28"/>
          <w:szCs w:val="28"/>
        </w:rPr>
        <w:t xml:space="preserve"> </w:t>
      </w:r>
      <w:r w:rsidR="00A60204" w:rsidRPr="00382F0B">
        <w:rPr>
          <w:rFonts w:ascii="Arial" w:hAnsi="Arial" w:cs="Arial"/>
          <w:b/>
          <w:sz w:val="28"/>
          <w:szCs w:val="28"/>
        </w:rPr>
        <w:t>of 202</w:t>
      </w:r>
      <w:r w:rsidR="00DB715F" w:rsidRPr="00382F0B">
        <w:rPr>
          <w:rFonts w:ascii="Arial" w:hAnsi="Arial" w:cs="Arial"/>
          <w:b/>
          <w:sz w:val="28"/>
          <w:szCs w:val="28"/>
        </w:rPr>
        <w:t>5</w:t>
      </w:r>
    </w:p>
    <w:p w14:paraId="1EFD2C67" w14:textId="4EEFDDCA" w:rsidR="001A286A" w:rsidRPr="00382F0B" w:rsidRDefault="001A286A" w:rsidP="005D540A">
      <w:pPr>
        <w:pStyle w:val="ShortT"/>
        <w:rPr>
          <w:b w:val="0"/>
          <w:bCs/>
        </w:rPr>
      </w:pPr>
    </w:p>
    <w:p w14:paraId="77C43999" w14:textId="7253AA00" w:rsidR="00A60204" w:rsidRPr="00382F0B" w:rsidRDefault="00A60204" w:rsidP="005D540A">
      <w:pPr>
        <w:spacing w:line="240" w:lineRule="auto"/>
        <w:rPr>
          <w:rFonts w:ascii="Arial" w:hAnsi="Arial" w:cs="Arial"/>
          <w:b/>
          <w:sz w:val="39"/>
          <w:szCs w:val="39"/>
        </w:rPr>
      </w:pPr>
      <w:r w:rsidRPr="00382F0B">
        <w:rPr>
          <w:rFonts w:ascii="Arial" w:hAnsi="Arial" w:cs="Arial"/>
          <w:b/>
          <w:sz w:val="39"/>
          <w:szCs w:val="39"/>
        </w:rPr>
        <w:t>National Health (Highly Specialised Drugs Program) Special Arrangement Amendment (</w:t>
      </w:r>
      <w:r w:rsidR="001F5648" w:rsidRPr="00382F0B">
        <w:rPr>
          <w:rFonts w:ascii="Arial" w:hAnsi="Arial" w:cs="Arial"/>
          <w:b/>
          <w:sz w:val="39"/>
          <w:szCs w:val="39"/>
        </w:rPr>
        <w:t>Ju</w:t>
      </w:r>
      <w:r w:rsidR="00D90114" w:rsidRPr="00382F0B">
        <w:rPr>
          <w:rFonts w:ascii="Arial" w:hAnsi="Arial" w:cs="Arial"/>
          <w:b/>
          <w:sz w:val="39"/>
          <w:szCs w:val="39"/>
        </w:rPr>
        <w:t>ly</w:t>
      </w:r>
      <w:r w:rsidR="00317D4B" w:rsidRPr="00382F0B">
        <w:rPr>
          <w:rFonts w:ascii="Arial" w:hAnsi="Arial" w:cs="Arial"/>
          <w:b/>
          <w:sz w:val="39"/>
          <w:szCs w:val="39"/>
        </w:rPr>
        <w:t xml:space="preserve"> Update</w:t>
      </w:r>
      <w:r w:rsidRPr="00382F0B">
        <w:rPr>
          <w:rFonts w:ascii="Arial" w:hAnsi="Arial" w:cs="Arial"/>
          <w:b/>
          <w:sz w:val="39"/>
          <w:szCs w:val="39"/>
        </w:rPr>
        <w:t>) Instrument 202</w:t>
      </w:r>
      <w:r w:rsidR="00DB715F" w:rsidRPr="00382F0B">
        <w:rPr>
          <w:rFonts w:ascii="Arial" w:hAnsi="Arial" w:cs="Arial"/>
          <w:b/>
          <w:sz w:val="39"/>
          <w:szCs w:val="39"/>
        </w:rPr>
        <w:t>5</w:t>
      </w:r>
    </w:p>
    <w:p w14:paraId="238D8D2E" w14:textId="77777777" w:rsidR="001A286A" w:rsidRPr="00382F0B" w:rsidRDefault="001A286A" w:rsidP="005D540A">
      <w:pPr>
        <w:spacing w:line="240" w:lineRule="auto"/>
      </w:pPr>
    </w:p>
    <w:p w14:paraId="086DD131" w14:textId="77777777" w:rsidR="001A286A" w:rsidRPr="00382F0B" w:rsidRDefault="001A286A" w:rsidP="005D540A">
      <w:pPr>
        <w:spacing w:line="240" w:lineRule="auto"/>
        <w:rPr>
          <w:rFonts w:ascii="Arial" w:hAnsi="Arial" w:cs="Arial"/>
          <w:i/>
          <w:sz w:val="28"/>
          <w:szCs w:val="28"/>
        </w:rPr>
      </w:pPr>
      <w:r w:rsidRPr="00382F0B">
        <w:rPr>
          <w:rFonts w:ascii="Arial" w:hAnsi="Arial" w:cs="Arial"/>
          <w:i/>
          <w:sz w:val="28"/>
          <w:szCs w:val="28"/>
        </w:rPr>
        <w:t>National Health Act 1953</w:t>
      </w:r>
    </w:p>
    <w:p w14:paraId="30980CC1" w14:textId="78C3DBC7" w:rsidR="005E317F" w:rsidRPr="00382F0B" w:rsidRDefault="005E317F" w:rsidP="005D540A">
      <w:pPr>
        <w:pStyle w:val="SignCoverPageStart"/>
        <w:spacing w:before="240" w:line="240" w:lineRule="auto"/>
        <w:ind w:right="91"/>
        <w:rPr>
          <w:szCs w:val="22"/>
        </w:rPr>
      </w:pPr>
    </w:p>
    <w:p w14:paraId="70D5E97C" w14:textId="1DBCD286" w:rsidR="001A286A" w:rsidRPr="00382F0B" w:rsidRDefault="001A286A" w:rsidP="00CD42CA">
      <w:pPr>
        <w:rPr>
          <w:b/>
          <w:bCs/>
        </w:rPr>
      </w:pPr>
      <w:r w:rsidRPr="00382F0B">
        <w:t xml:space="preserve">I, </w:t>
      </w:r>
      <w:r w:rsidR="00DB715F" w:rsidRPr="00382F0B">
        <w:t>REBECCA RICHARDSON</w:t>
      </w:r>
      <w:r w:rsidR="00C1098A" w:rsidRPr="00382F0B">
        <w:rPr>
          <w:szCs w:val="22"/>
        </w:rPr>
        <w:t>, Assistant Secretary</w:t>
      </w:r>
      <w:r w:rsidR="00C1098A" w:rsidRPr="00382F0B">
        <w:t xml:space="preserve">, </w:t>
      </w:r>
      <w:r w:rsidR="00530E2E" w:rsidRPr="00382F0B">
        <w:t>Pricing and PBS Policy Branch</w:t>
      </w:r>
      <w:r w:rsidRPr="00382F0B">
        <w:t xml:space="preserve">, Technology Assessment and Access Division, </w:t>
      </w:r>
      <w:r w:rsidR="003D3A66" w:rsidRPr="00382F0B">
        <w:t>Department of Health, Disability and Ageing</w:t>
      </w:r>
      <w:r w:rsidRPr="00382F0B">
        <w:t xml:space="preserve">, delegate of the </w:t>
      </w:r>
      <w:r w:rsidRPr="00382F0B">
        <w:rPr>
          <w:szCs w:val="22"/>
        </w:rPr>
        <w:t xml:space="preserve">Minister for Health </w:t>
      </w:r>
      <w:r w:rsidRPr="00382F0B">
        <w:t>and Ag</w:t>
      </w:r>
      <w:r w:rsidR="003D3A66" w:rsidRPr="00382F0B">
        <w:t>eing</w:t>
      </w:r>
      <w:r w:rsidRPr="00382F0B">
        <w:t xml:space="preserve">, make this Instrument under subsection 100(2) of the </w:t>
      </w:r>
      <w:r w:rsidRPr="00382F0B">
        <w:rPr>
          <w:i/>
        </w:rPr>
        <w:t>National Health Act 1953</w:t>
      </w:r>
      <w:r w:rsidRPr="00382F0B">
        <w:t>.</w:t>
      </w:r>
    </w:p>
    <w:p w14:paraId="37B85D1C" w14:textId="2DAB8B37" w:rsidR="001A286A" w:rsidRPr="00382F0B" w:rsidRDefault="001A286A" w:rsidP="00DA621E">
      <w:pPr>
        <w:spacing w:before="300" w:line="240" w:lineRule="auto"/>
        <w:ind w:right="397"/>
        <w:jc w:val="both"/>
        <w:rPr>
          <w:b/>
        </w:rPr>
      </w:pPr>
      <w:r w:rsidRPr="00382F0B">
        <w:rPr>
          <w:szCs w:val="22"/>
        </w:rPr>
        <w:t>Date</w:t>
      </w:r>
      <w:r w:rsidR="007225BB" w:rsidRPr="00382F0B">
        <w:rPr>
          <w:szCs w:val="22"/>
        </w:rPr>
        <w:t>d</w:t>
      </w:r>
      <w:r w:rsidR="008325A1" w:rsidRPr="00382F0B">
        <w:rPr>
          <w:szCs w:val="22"/>
        </w:rPr>
        <w:tab/>
      </w:r>
      <w:r w:rsidR="007D1C90" w:rsidRPr="00382F0B">
        <w:rPr>
          <w:szCs w:val="22"/>
        </w:rPr>
        <w:t xml:space="preserve">26 June </w:t>
      </w:r>
      <w:r w:rsidR="00E62AAD" w:rsidRPr="00382F0B">
        <w:rPr>
          <w:szCs w:val="22"/>
        </w:rPr>
        <w:t>202</w:t>
      </w:r>
      <w:r w:rsidR="00DB715F" w:rsidRPr="00382F0B">
        <w:rPr>
          <w:szCs w:val="22"/>
        </w:rPr>
        <w:t>5</w:t>
      </w:r>
    </w:p>
    <w:p w14:paraId="4333D40B" w14:textId="51E9218A" w:rsidR="00C1098A" w:rsidRPr="00382F0B" w:rsidRDefault="00DB715F" w:rsidP="00873D9D">
      <w:pPr>
        <w:spacing w:before="3000" w:line="240" w:lineRule="auto"/>
        <w:rPr>
          <w:b/>
          <w:bCs/>
        </w:rPr>
      </w:pPr>
      <w:r w:rsidRPr="00382F0B">
        <w:rPr>
          <w:b/>
          <w:bCs/>
        </w:rPr>
        <w:t>REBECCA RICHARDSON</w:t>
      </w:r>
    </w:p>
    <w:p w14:paraId="365A875C" w14:textId="3C5BC750" w:rsidR="00C1098A" w:rsidRPr="00382F0B" w:rsidRDefault="00C1098A" w:rsidP="00C1098A">
      <w:pPr>
        <w:spacing w:line="240" w:lineRule="auto"/>
      </w:pPr>
      <w:r w:rsidRPr="00382F0B">
        <w:t>Assistant Secretary</w:t>
      </w:r>
    </w:p>
    <w:p w14:paraId="71C1E8EB" w14:textId="77777777" w:rsidR="00530E2E" w:rsidRPr="00382F0B" w:rsidRDefault="00530E2E" w:rsidP="00530E2E">
      <w:pPr>
        <w:spacing w:line="240" w:lineRule="auto"/>
      </w:pPr>
      <w:r w:rsidRPr="00382F0B">
        <w:t>Pricing and PBS Policy Branch</w:t>
      </w:r>
    </w:p>
    <w:p w14:paraId="3981EBD6" w14:textId="77777777" w:rsidR="001A286A" w:rsidRPr="00382F0B" w:rsidRDefault="001A286A" w:rsidP="005D540A">
      <w:pPr>
        <w:spacing w:line="240" w:lineRule="auto"/>
      </w:pPr>
      <w:r w:rsidRPr="00382F0B">
        <w:t>Technology Assessment and Access Division</w:t>
      </w:r>
    </w:p>
    <w:p w14:paraId="2FDCD724" w14:textId="54232FE7" w:rsidR="005E317F" w:rsidRPr="00382F0B" w:rsidRDefault="005E317F" w:rsidP="005D540A">
      <w:pPr>
        <w:pStyle w:val="SignCoverPageEnd"/>
        <w:keepNext w:val="0"/>
        <w:spacing w:line="240" w:lineRule="auto"/>
        <w:ind w:right="91"/>
        <w:rPr>
          <w:sz w:val="22"/>
        </w:rPr>
      </w:pPr>
    </w:p>
    <w:p w14:paraId="55F2CD66" w14:textId="77777777" w:rsidR="000B75B5" w:rsidRPr="00382F0B" w:rsidRDefault="000B75B5" w:rsidP="005D540A">
      <w:pPr>
        <w:spacing w:line="240" w:lineRule="auto"/>
      </w:pPr>
    </w:p>
    <w:p w14:paraId="297B73B7" w14:textId="5E49F2C1" w:rsidR="000B75B5" w:rsidRPr="00382F0B" w:rsidRDefault="000B75B5" w:rsidP="005D540A">
      <w:pPr>
        <w:spacing w:line="240" w:lineRule="auto"/>
        <w:sectPr w:rsidR="000B75B5" w:rsidRPr="00382F0B" w:rsidSect="00B323CC">
          <w:headerReference w:type="even"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docGrid w:linePitch="360"/>
        </w:sectPr>
      </w:pPr>
    </w:p>
    <w:p w14:paraId="0012FCC4" w14:textId="77777777" w:rsidR="00B20990" w:rsidRPr="00382F0B" w:rsidRDefault="00B20990" w:rsidP="005D540A">
      <w:pPr>
        <w:spacing w:line="240" w:lineRule="auto"/>
        <w:outlineLvl w:val="0"/>
        <w:rPr>
          <w:sz w:val="36"/>
        </w:rPr>
      </w:pPr>
      <w:r w:rsidRPr="00382F0B">
        <w:rPr>
          <w:sz w:val="36"/>
        </w:rPr>
        <w:lastRenderedPageBreak/>
        <w:t>Contents</w:t>
      </w:r>
    </w:p>
    <w:bookmarkStart w:id="0" w:name="BKCheck15B_2"/>
    <w:bookmarkEnd w:id="0"/>
    <w:p w14:paraId="7377910A" w14:textId="77EC21E2" w:rsidR="005E317F" w:rsidRPr="00382F0B" w:rsidRDefault="00B20990" w:rsidP="005D540A">
      <w:pPr>
        <w:pStyle w:val="TOC5"/>
        <w:keepLines w:val="0"/>
        <w:rPr>
          <w:rFonts w:asciiTheme="minorHAnsi" w:eastAsiaTheme="minorEastAsia" w:hAnsiTheme="minorHAnsi" w:cstheme="minorBidi"/>
          <w:noProof/>
          <w:kern w:val="0"/>
          <w:sz w:val="22"/>
          <w:szCs w:val="22"/>
        </w:rPr>
      </w:pPr>
      <w:r w:rsidRPr="00382F0B">
        <w:fldChar w:fldCharType="begin"/>
      </w:r>
      <w:r w:rsidRPr="00382F0B">
        <w:instrText xml:space="preserve"> TOC \o "1-9" </w:instrText>
      </w:r>
      <w:r w:rsidRPr="00382F0B">
        <w:fldChar w:fldCharType="separate"/>
      </w:r>
      <w:r w:rsidR="005E317F" w:rsidRPr="00382F0B">
        <w:rPr>
          <w:noProof/>
        </w:rPr>
        <w:t>1</w:t>
      </w:r>
      <w:r w:rsidR="005E317F" w:rsidRPr="00382F0B">
        <w:rPr>
          <w:noProof/>
        </w:rPr>
        <w:tab/>
        <w:t>Name</w:t>
      </w:r>
      <w:r w:rsidR="005E317F" w:rsidRPr="00382F0B">
        <w:rPr>
          <w:noProof/>
          <w:sz w:val="20"/>
        </w:rPr>
        <w:tab/>
      </w:r>
      <w:r w:rsidR="005E317F" w:rsidRPr="00382F0B">
        <w:rPr>
          <w:noProof/>
          <w:sz w:val="20"/>
        </w:rPr>
        <w:fldChar w:fldCharType="begin"/>
      </w:r>
      <w:r w:rsidR="005E317F" w:rsidRPr="00382F0B">
        <w:rPr>
          <w:noProof/>
          <w:sz w:val="20"/>
        </w:rPr>
        <w:instrText xml:space="preserve"> PAGEREF _Toc478567687 \h </w:instrText>
      </w:r>
      <w:r w:rsidR="005E317F" w:rsidRPr="00382F0B">
        <w:rPr>
          <w:noProof/>
          <w:sz w:val="20"/>
        </w:rPr>
      </w:r>
      <w:r w:rsidR="005E317F" w:rsidRPr="00382F0B">
        <w:rPr>
          <w:noProof/>
          <w:sz w:val="20"/>
        </w:rPr>
        <w:fldChar w:fldCharType="separate"/>
      </w:r>
      <w:r w:rsidR="00B92886" w:rsidRPr="00382F0B">
        <w:rPr>
          <w:noProof/>
          <w:sz w:val="20"/>
        </w:rPr>
        <w:t>1</w:t>
      </w:r>
      <w:r w:rsidR="005E317F" w:rsidRPr="00382F0B">
        <w:rPr>
          <w:noProof/>
          <w:sz w:val="20"/>
        </w:rPr>
        <w:fldChar w:fldCharType="end"/>
      </w:r>
    </w:p>
    <w:p w14:paraId="4D04226C" w14:textId="0AE49BF3" w:rsidR="005E317F" w:rsidRPr="00382F0B" w:rsidRDefault="005E317F" w:rsidP="005D540A">
      <w:pPr>
        <w:pStyle w:val="TOC5"/>
        <w:keepLines w:val="0"/>
        <w:rPr>
          <w:rFonts w:asciiTheme="minorHAnsi" w:eastAsiaTheme="minorEastAsia" w:hAnsiTheme="minorHAnsi" w:cstheme="minorBidi"/>
          <w:noProof/>
          <w:kern w:val="0"/>
          <w:sz w:val="22"/>
          <w:szCs w:val="22"/>
        </w:rPr>
      </w:pPr>
      <w:r w:rsidRPr="00382F0B">
        <w:rPr>
          <w:noProof/>
        </w:rPr>
        <w:t>2</w:t>
      </w:r>
      <w:r w:rsidRPr="00382F0B">
        <w:rPr>
          <w:noProof/>
        </w:rPr>
        <w:tab/>
        <w:t>Commencement</w:t>
      </w:r>
      <w:r w:rsidRPr="00382F0B">
        <w:rPr>
          <w:noProof/>
          <w:sz w:val="20"/>
        </w:rPr>
        <w:tab/>
      </w:r>
      <w:r w:rsidRPr="00382F0B">
        <w:rPr>
          <w:noProof/>
          <w:sz w:val="20"/>
        </w:rPr>
        <w:fldChar w:fldCharType="begin"/>
      </w:r>
      <w:r w:rsidRPr="00382F0B">
        <w:rPr>
          <w:noProof/>
          <w:sz w:val="20"/>
        </w:rPr>
        <w:instrText xml:space="preserve"> PAGEREF _Toc478567688 \h </w:instrText>
      </w:r>
      <w:r w:rsidRPr="00382F0B">
        <w:rPr>
          <w:noProof/>
          <w:sz w:val="20"/>
        </w:rPr>
      </w:r>
      <w:r w:rsidRPr="00382F0B">
        <w:rPr>
          <w:noProof/>
          <w:sz w:val="20"/>
        </w:rPr>
        <w:fldChar w:fldCharType="separate"/>
      </w:r>
      <w:r w:rsidR="00B92886" w:rsidRPr="00382F0B">
        <w:rPr>
          <w:noProof/>
          <w:sz w:val="20"/>
        </w:rPr>
        <w:t>1</w:t>
      </w:r>
      <w:r w:rsidRPr="00382F0B">
        <w:rPr>
          <w:noProof/>
          <w:sz w:val="20"/>
        </w:rPr>
        <w:fldChar w:fldCharType="end"/>
      </w:r>
    </w:p>
    <w:p w14:paraId="32A95F2E" w14:textId="40588CFB" w:rsidR="005E317F" w:rsidRPr="00382F0B" w:rsidRDefault="005E317F" w:rsidP="005D540A">
      <w:pPr>
        <w:pStyle w:val="TOC5"/>
        <w:keepLines w:val="0"/>
        <w:rPr>
          <w:rFonts w:asciiTheme="minorHAnsi" w:eastAsiaTheme="minorEastAsia" w:hAnsiTheme="minorHAnsi" w:cstheme="minorBidi"/>
          <w:noProof/>
          <w:kern w:val="0"/>
          <w:sz w:val="22"/>
          <w:szCs w:val="22"/>
        </w:rPr>
      </w:pPr>
      <w:r w:rsidRPr="00382F0B">
        <w:rPr>
          <w:noProof/>
        </w:rPr>
        <w:t>3</w:t>
      </w:r>
      <w:r w:rsidRPr="00382F0B">
        <w:rPr>
          <w:noProof/>
        </w:rPr>
        <w:tab/>
        <w:t>Authority</w:t>
      </w:r>
      <w:r w:rsidRPr="00382F0B">
        <w:rPr>
          <w:noProof/>
          <w:sz w:val="20"/>
        </w:rPr>
        <w:tab/>
      </w:r>
      <w:r w:rsidRPr="00382F0B">
        <w:rPr>
          <w:noProof/>
          <w:sz w:val="20"/>
        </w:rPr>
        <w:fldChar w:fldCharType="begin"/>
      </w:r>
      <w:r w:rsidRPr="00382F0B">
        <w:rPr>
          <w:noProof/>
          <w:sz w:val="20"/>
        </w:rPr>
        <w:instrText xml:space="preserve"> PAGEREF _Toc478567689 \h </w:instrText>
      </w:r>
      <w:r w:rsidRPr="00382F0B">
        <w:rPr>
          <w:noProof/>
          <w:sz w:val="20"/>
        </w:rPr>
      </w:r>
      <w:r w:rsidRPr="00382F0B">
        <w:rPr>
          <w:noProof/>
          <w:sz w:val="20"/>
        </w:rPr>
        <w:fldChar w:fldCharType="separate"/>
      </w:r>
      <w:r w:rsidR="00B92886" w:rsidRPr="00382F0B">
        <w:rPr>
          <w:noProof/>
          <w:sz w:val="20"/>
        </w:rPr>
        <w:t>1</w:t>
      </w:r>
      <w:r w:rsidRPr="00382F0B">
        <w:rPr>
          <w:noProof/>
          <w:sz w:val="20"/>
        </w:rPr>
        <w:fldChar w:fldCharType="end"/>
      </w:r>
    </w:p>
    <w:p w14:paraId="26B5284D" w14:textId="54FA0750" w:rsidR="005E317F" w:rsidRPr="00382F0B" w:rsidRDefault="005E317F" w:rsidP="005D540A">
      <w:pPr>
        <w:pStyle w:val="TOC5"/>
        <w:keepLines w:val="0"/>
        <w:rPr>
          <w:rFonts w:asciiTheme="minorHAnsi" w:eastAsiaTheme="minorEastAsia" w:hAnsiTheme="minorHAnsi" w:cstheme="minorBidi"/>
          <w:noProof/>
          <w:kern w:val="0"/>
          <w:sz w:val="22"/>
          <w:szCs w:val="22"/>
        </w:rPr>
      </w:pPr>
      <w:r w:rsidRPr="00382F0B">
        <w:rPr>
          <w:noProof/>
        </w:rPr>
        <w:t>4</w:t>
      </w:r>
      <w:r w:rsidRPr="00382F0B">
        <w:rPr>
          <w:noProof/>
        </w:rPr>
        <w:tab/>
        <w:t>Schedules</w:t>
      </w:r>
      <w:r w:rsidRPr="00382F0B">
        <w:rPr>
          <w:noProof/>
          <w:sz w:val="20"/>
        </w:rPr>
        <w:tab/>
      </w:r>
      <w:r w:rsidRPr="00382F0B">
        <w:rPr>
          <w:noProof/>
          <w:sz w:val="20"/>
        </w:rPr>
        <w:fldChar w:fldCharType="begin"/>
      </w:r>
      <w:r w:rsidRPr="00382F0B">
        <w:rPr>
          <w:noProof/>
          <w:sz w:val="20"/>
        </w:rPr>
        <w:instrText xml:space="preserve"> PAGEREF _Toc478567690 \h </w:instrText>
      </w:r>
      <w:r w:rsidRPr="00382F0B">
        <w:rPr>
          <w:noProof/>
          <w:sz w:val="20"/>
        </w:rPr>
      </w:r>
      <w:r w:rsidRPr="00382F0B">
        <w:rPr>
          <w:noProof/>
          <w:sz w:val="20"/>
        </w:rPr>
        <w:fldChar w:fldCharType="separate"/>
      </w:r>
      <w:r w:rsidR="00B92886" w:rsidRPr="00382F0B">
        <w:rPr>
          <w:noProof/>
          <w:sz w:val="20"/>
        </w:rPr>
        <w:t>1</w:t>
      </w:r>
      <w:r w:rsidRPr="00382F0B">
        <w:rPr>
          <w:noProof/>
          <w:sz w:val="20"/>
        </w:rPr>
        <w:fldChar w:fldCharType="end"/>
      </w:r>
    </w:p>
    <w:p w14:paraId="0ED7DB7B" w14:textId="2DF78F9F" w:rsidR="005E317F" w:rsidRPr="00382F0B" w:rsidRDefault="005E317F" w:rsidP="005D540A">
      <w:pPr>
        <w:pStyle w:val="TOC6"/>
        <w:keepLines w:val="0"/>
        <w:rPr>
          <w:rFonts w:asciiTheme="minorHAnsi" w:eastAsiaTheme="minorEastAsia" w:hAnsiTheme="minorHAnsi" w:cstheme="minorBidi"/>
          <w:b w:val="0"/>
          <w:noProof/>
          <w:kern w:val="0"/>
          <w:sz w:val="22"/>
          <w:szCs w:val="22"/>
        </w:rPr>
      </w:pPr>
      <w:r w:rsidRPr="00382F0B">
        <w:rPr>
          <w:noProof/>
        </w:rPr>
        <w:t>Schedule</w:t>
      </w:r>
      <w:r w:rsidR="000B75B5" w:rsidRPr="00382F0B">
        <w:rPr>
          <w:noProof/>
        </w:rPr>
        <w:t xml:space="preserve"> </w:t>
      </w:r>
      <w:r w:rsidRPr="00382F0B">
        <w:rPr>
          <w:noProof/>
        </w:rPr>
        <w:t>1—Amendments</w:t>
      </w:r>
      <w:r w:rsidRPr="00382F0B">
        <w:rPr>
          <w:b w:val="0"/>
          <w:noProof/>
          <w:sz w:val="20"/>
        </w:rPr>
        <w:tab/>
      </w:r>
      <w:r w:rsidRPr="00382F0B">
        <w:rPr>
          <w:b w:val="0"/>
          <w:noProof/>
          <w:sz w:val="20"/>
        </w:rPr>
        <w:fldChar w:fldCharType="begin"/>
      </w:r>
      <w:r w:rsidRPr="00382F0B">
        <w:rPr>
          <w:b w:val="0"/>
          <w:noProof/>
          <w:sz w:val="20"/>
        </w:rPr>
        <w:instrText xml:space="preserve"> PAGEREF _Toc478567691 \h </w:instrText>
      </w:r>
      <w:r w:rsidRPr="00382F0B">
        <w:rPr>
          <w:b w:val="0"/>
          <w:noProof/>
          <w:sz w:val="20"/>
        </w:rPr>
      </w:r>
      <w:r w:rsidRPr="00382F0B">
        <w:rPr>
          <w:b w:val="0"/>
          <w:noProof/>
          <w:sz w:val="20"/>
        </w:rPr>
        <w:fldChar w:fldCharType="separate"/>
      </w:r>
      <w:r w:rsidR="00B92886" w:rsidRPr="00382F0B">
        <w:rPr>
          <w:b w:val="0"/>
          <w:noProof/>
          <w:sz w:val="20"/>
        </w:rPr>
        <w:t>2</w:t>
      </w:r>
      <w:r w:rsidRPr="00382F0B">
        <w:rPr>
          <w:b w:val="0"/>
          <w:noProof/>
          <w:sz w:val="20"/>
        </w:rPr>
        <w:fldChar w:fldCharType="end"/>
      </w:r>
    </w:p>
    <w:p w14:paraId="0A0BB86E" w14:textId="62386C59" w:rsidR="005E317F" w:rsidRPr="00382F0B" w:rsidRDefault="00A60204" w:rsidP="005D540A">
      <w:pPr>
        <w:pStyle w:val="TOC9"/>
        <w:keepLines w:val="0"/>
        <w:rPr>
          <w:rFonts w:asciiTheme="minorHAnsi" w:eastAsiaTheme="minorEastAsia" w:hAnsiTheme="minorHAnsi" w:cstheme="minorBidi"/>
          <w:i w:val="0"/>
          <w:noProof/>
          <w:kern w:val="0"/>
          <w:sz w:val="22"/>
          <w:szCs w:val="22"/>
        </w:rPr>
      </w:pPr>
      <w:r w:rsidRPr="00382F0B">
        <w:t>National Health (Highly Specialised Drugs Program) Special Arrangement 2021</w:t>
      </w:r>
      <w:r w:rsidRPr="00382F0B">
        <w:br/>
        <w:t>(</w:t>
      </w:r>
      <w:r w:rsidR="00674F36" w:rsidRPr="00382F0B">
        <w:t>PB 27</w:t>
      </w:r>
      <w:r w:rsidRPr="00382F0B">
        <w:t xml:space="preserve"> of 2021)</w:t>
      </w:r>
      <w:r w:rsidR="005E317F" w:rsidRPr="00382F0B">
        <w:rPr>
          <w:i w:val="0"/>
          <w:noProof/>
        </w:rPr>
        <w:tab/>
      </w:r>
      <w:r w:rsidR="006331CB" w:rsidRPr="00382F0B">
        <w:rPr>
          <w:i w:val="0"/>
          <w:noProof/>
        </w:rPr>
        <w:t>2</w:t>
      </w:r>
    </w:p>
    <w:p w14:paraId="5E7341AB" w14:textId="636FEAB8" w:rsidR="00B20990" w:rsidRPr="00382F0B" w:rsidRDefault="00B20990" w:rsidP="005D540A">
      <w:pPr>
        <w:spacing w:line="240" w:lineRule="auto"/>
      </w:pPr>
      <w:r w:rsidRPr="00382F0B">
        <w:rPr>
          <w:rFonts w:cs="Times New Roman"/>
          <w:sz w:val="20"/>
        </w:rPr>
        <w:fldChar w:fldCharType="end"/>
      </w:r>
    </w:p>
    <w:p w14:paraId="2C1CCB12" w14:textId="77777777" w:rsidR="00E32692" w:rsidRPr="00382F0B" w:rsidRDefault="00E32692" w:rsidP="005D540A">
      <w:pPr>
        <w:spacing w:line="240" w:lineRule="auto"/>
        <w:sectPr w:rsidR="00E32692" w:rsidRPr="00382F0B" w:rsidSect="00630F1C">
          <w:headerReference w:type="even" r:id="rId14"/>
          <w:headerReference w:type="default" r:id="rId15"/>
          <w:footerReference w:type="default" r:id="rId16"/>
          <w:headerReference w:type="first" r:id="rId17"/>
          <w:footerReference w:type="first" r:id="rId18"/>
          <w:pgSz w:w="11907" w:h="16839"/>
          <w:pgMar w:top="1673" w:right="1797" w:bottom="1440" w:left="1797" w:header="720" w:footer="709" w:gutter="0"/>
          <w:pgNumType w:start="1"/>
          <w:cols w:space="708"/>
          <w:docGrid w:linePitch="360"/>
        </w:sectPr>
      </w:pPr>
    </w:p>
    <w:p w14:paraId="6C43910C" w14:textId="13BA39C0" w:rsidR="005E317F" w:rsidRPr="00382F0B" w:rsidRDefault="005E317F" w:rsidP="00331E91">
      <w:pPr>
        <w:pStyle w:val="ActHead5"/>
        <w:keepNext w:val="0"/>
        <w:keepLines w:val="0"/>
        <w:numPr>
          <w:ilvl w:val="0"/>
          <w:numId w:val="4"/>
        </w:numPr>
        <w:ind w:left="567" w:hanging="567"/>
      </w:pPr>
      <w:bookmarkStart w:id="1" w:name="_Toc478567687"/>
      <w:r w:rsidRPr="00382F0B">
        <w:lastRenderedPageBreak/>
        <w:t>Name</w:t>
      </w:r>
      <w:bookmarkEnd w:id="1"/>
    </w:p>
    <w:p w14:paraId="77205F69" w14:textId="5CCF652A" w:rsidR="005E317F" w:rsidRPr="00382F0B" w:rsidRDefault="005E317F" w:rsidP="005D540A">
      <w:pPr>
        <w:pStyle w:val="subsection"/>
        <w:numPr>
          <w:ilvl w:val="0"/>
          <w:numId w:val="3"/>
        </w:numPr>
        <w:tabs>
          <w:tab w:val="clear" w:pos="1021"/>
        </w:tabs>
        <w:ind w:left="1134" w:hanging="567"/>
        <w:rPr>
          <w:szCs w:val="22"/>
        </w:rPr>
      </w:pPr>
      <w:r w:rsidRPr="00382F0B">
        <w:rPr>
          <w:szCs w:val="22"/>
        </w:rPr>
        <w:t xml:space="preserve">This instrument is the </w:t>
      </w:r>
      <w:bookmarkStart w:id="2" w:name="BKCheck15B_3"/>
      <w:bookmarkEnd w:id="2"/>
      <w:r w:rsidR="00A60204" w:rsidRPr="00382F0B">
        <w:rPr>
          <w:i/>
          <w:szCs w:val="22"/>
        </w:rPr>
        <w:t>National Health (Highly Specialised Drugs Program) Special Arrangement Amendment (</w:t>
      </w:r>
      <w:r w:rsidR="00336539" w:rsidRPr="00382F0B">
        <w:rPr>
          <w:i/>
          <w:szCs w:val="22"/>
        </w:rPr>
        <w:t>Ju</w:t>
      </w:r>
      <w:r w:rsidR="00D90114" w:rsidRPr="00382F0B">
        <w:rPr>
          <w:i/>
          <w:szCs w:val="22"/>
        </w:rPr>
        <w:t>ly</w:t>
      </w:r>
      <w:r w:rsidR="003B7DE8" w:rsidRPr="00382F0B">
        <w:rPr>
          <w:i/>
          <w:szCs w:val="22"/>
        </w:rPr>
        <w:t xml:space="preserve"> </w:t>
      </w:r>
      <w:r w:rsidR="00317D4B" w:rsidRPr="00382F0B">
        <w:rPr>
          <w:i/>
          <w:szCs w:val="22"/>
        </w:rPr>
        <w:t>Update</w:t>
      </w:r>
      <w:r w:rsidR="00A60204" w:rsidRPr="00382F0B">
        <w:rPr>
          <w:i/>
          <w:szCs w:val="22"/>
        </w:rPr>
        <w:t>) Instrument 202</w:t>
      </w:r>
      <w:r w:rsidR="00151631" w:rsidRPr="00382F0B">
        <w:rPr>
          <w:i/>
          <w:szCs w:val="22"/>
        </w:rPr>
        <w:t>5</w:t>
      </w:r>
      <w:r w:rsidR="00A60204" w:rsidRPr="00382F0B">
        <w:rPr>
          <w:i/>
          <w:szCs w:val="22"/>
        </w:rPr>
        <w:t>.</w:t>
      </w:r>
    </w:p>
    <w:p w14:paraId="0FF7C4A3" w14:textId="103130CF" w:rsidR="001A286A" w:rsidRPr="00382F0B" w:rsidRDefault="001A286A" w:rsidP="005D540A">
      <w:pPr>
        <w:pStyle w:val="subsection"/>
        <w:numPr>
          <w:ilvl w:val="0"/>
          <w:numId w:val="3"/>
        </w:numPr>
        <w:tabs>
          <w:tab w:val="clear" w:pos="1021"/>
        </w:tabs>
        <w:ind w:left="1134" w:hanging="567"/>
      </w:pPr>
      <w:r w:rsidRPr="00382F0B">
        <w:t xml:space="preserve">This instrument may also be cited as </w:t>
      </w:r>
      <w:r w:rsidR="00840172" w:rsidRPr="00382F0B">
        <w:t xml:space="preserve">PB </w:t>
      </w:r>
      <w:r w:rsidR="00393F6B" w:rsidRPr="00382F0B">
        <w:t>77</w:t>
      </w:r>
      <w:r w:rsidR="00DE608A" w:rsidRPr="00382F0B">
        <w:t xml:space="preserve"> </w:t>
      </w:r>
      <w:r w:rsidRPr="00382F0B">
        <w:t>of 202</w:t>
      </w:r>
      <w:r w:rsidR="00151631" w:rsidRPr="00382F0B">
        <w:t>5</w:t>
      </w:r>
      <w:r w:rsidR="004E1E67" w:rsidRPr="00382F0B">
        <w:t>.</w:t>
      </w:r>
    </w:p>
    <w:p w14:paraId="2FF92845" w14:textId="0941A0DC" w:rsidR="005E317F" w:rsidRPr="00382F0B" w:rsidRDefault="005E317F" w:rsidP="00331E91">
      <w:pPr>
        <w:pStyle w:val="ActHead5"/>
        <w:keepNext w:val="0"/>
        <w:keepLines w:val="0"/>
        <w:numPr>
          <w:ilvl w:val="0"/>
          <w:numId w:val="4"/>
        </w:numPr>
        <w:ind w:left="567" w:hanging="567"/>
      </w:pPr>
      <w:bookmarkStart w:id="3" w:name="_Toc478567688"/>
      <w:r w:rsidRPr="00382F0B">
        <w:t>Commencement</w:t>
      </w:r>
      <w:bookmarkEnd w:id="3"/>
    </w:p>
    <w:p w14:paraId="048AB2EA" w14:textId="5BA21B02" w:rsidR="00002BCC" w:rsidRPr="00382F0B" w:rsidRDefault="00002BCC" w:rsidP="005D540A">
      <w:pPr>
        <w:pStyle w:val="subsection"/>
        <w:numPr>
          <w:ilvl w:val="0"/>
          <w:numId w:val="6"/>
        </w:numPr>
        <w:tabs>
          <w:tab w:val="clear" w:pos="1021"/>
          <w:tab w:val="right" w:pos="1134"/>
        </w:tabs>
        <w:ind w:left="1134" w:hanging="567"/>
      </w:pPr>
      <w:bookmarkStart w:id="4" w:name="_Toc478567689"/>
      <w:r w:rsidRPr="00382F0B">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382F0B" w:rsidRDefault="00002BCC" w:rsidP="005D540A">
      <w:pPr>
        <w:pStyle w:val="Tabletext"/>
        <w:spacing w:line="240" w:lineRule="auto"/>
      </w:pPr>
    </w:p>
    <w:tbl>
      <w:tblPr>
        <w:tblW w:w="9107"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295"/>
        <w:gridCol w:w="3544"/>
        <w:gridCol w:w="2268"/>
      </w:tblGrid>
      <w:tr w:rsidR="00002BCC" w:rsidRPr="00382F0B" w14:paraId="0CB707EA" w14:textId="77777777" w:rsidTr="00BF648E">
        <w:trPr>
          <w:tblHeader/>
        </w:trPr>
        <w:tc>
          <w:tcPr>
            <w:tcW w:w="9107" w:type="dxa"/>
            <w:gridSpan w:val="3"/>
            <w:tcBorders>
              <w:top w:val="single" w:sz="12" w:space="0" w:color="auto"/>
              <w:bottom w:val="single" w:sz="6" w:space="0" w:color="auto"/>
            </w:tcBorders>
            <w:shd w:val="clear" w:color="auto" w:fill="auto"/>
            <w:hideMark/>
          </w:tcPr>
          <w:p w14:paraId="5859EBC7" w14:textId="77777777" w:rsidR="00002BCC" w:rsidRPr="00382F0B" w:rsidRDefault="00002BCC" w:rsidP="005D540A">
            <w:pPr>
              <w:pStyle w:val="TableHeading"/>
              <w:keepNext w:val="0"/>
              <w:spacing w:line="240" w:lineRule="auto"/>
            </w:pPr>
            <w:r w:rsidRPr="00382F0B">
              <w:t>Commencement information</w:t>
            </w:r>
          </w:p>
        </w:tc>
      </w:tr>
      <w:tr w:rsidR="00002BCC" w:rsidRPr="00382F0B" w14:paraId="2F7AE697" w14:textId="77777777" w:rsidTr="00BF648E">
        <w:trPr>
          <w:tblHeader/>
        </w:trPr>
        <w:tc>
          <w:tcPr>
            <w:tcW w:w="3295" w:type="dxa"/>
            <w:tcBorders>
              <w:top w:val="single" w:sz="6" w:space="0" w:color="auto"/>
              <w:bottom w:val="single" w:sz="6" w:space="0" w:color="auto"/>
            </w:tcBorders>
            <w:shd w:val="clear" w:color="auto" w:fill="auto"/>
            <w:hideMark/>
          </w:tcPr>
          <w:p w14:paraId="64B74E95" w14:textId="77777777" w:rsidR="00002BCC" w:rsidRPr="00382F0B" w:rsidRDefault="00002BCC" w:rsidP="005D540A">
            <w:pPr>
              <w:pStyle w:val="TableHeading"/>
              <w:keepNext w:val="0"/>
              <w:spacing w:line="240" w:lineRule="auto"/>
            </w:pPr>
            <w:r w:rsidRPr="00382F0B">
              <w:t>Column 1</w:t>
            </w:r>
          </w:p>
        </w:tc>
        <w:tc>
          <w:tcPr>
            <w:tcW w:w="3544" w:type="dxa"/>
            <w:tcBorders>
              <w:top w:val="single" w:sz="6" w:space="0" w:color="auto"/>
              <w:bottom w:val="single" w:sz="6" w:space="0" w:color="auto"/>
            </w:tcBorders>
            <w:shd w:val="clear" w:color="auto" w:fill="auto"/>
            <w:hideMark/>
          </w:tcPr>
          <w:p w14:paraId="674E9B45" w14:textId="77777777" w:rsidR="00002BCC" w:rsidRPr="00382F0B" w:rsidRDefault="00002BCC" w:rsidP="005D540A">
            <w:pPr>
              <w:pStyle w:val="TableHeading"/>
              <w:keepNext w:val="0"/>
              <w:spacing w:line="240" w:lineRule="auto"/>
            </w:pPr>
            <w:r w:rsidRPr="00382F0B">
              <w:t>Column 2</w:t>
            </w:r>
          </w:p>
        </w:tc>
        <w:tc>
          <w:tcPr>
            <w:tcW w:w="2268" w:type="dxa"/>
            <w:tcBorders>
              <w:top w:val="single" w:sz="6" w:space="0" w:color="auto"/>
              <w:bottom w:val="single" w:sz="6" w:space="0" w:color="auto"/>
            </w:tcBorders>
            <w:shd w:val="clear" w:color="auto" w:fill="auto"/>
            <w:hideMark/>
          </w:tcPr>
          <w:p w14:paraId="4DA78A8B" w14:textId="77777777" w:rsidR="00002BCC" w:rsidRPr="00382F0B" w:rsidRDefault="00002BCC" w:rsidP="005D540A">
            <w:pPr>
              <w:pStyle w:val="TableHeading"/>
              <w:keepNext w:val="0"/>
              <w:spacing w:line="240" w:lineRule="auto"/>
            </w:pPr>
            <w:r w:rsidRPr="00382F0B">
              <w:t>Column 3</w:t>
            </w:r>
          </w:p>
        </w:tc>
      </w:tr>
      <w:tr w:rsidR="00002BCC" w:rsidRPr="00382F0B" w14:paraId="43C4DB80" w14:textId="77777777" w:rsidTr="00BF648E">
        <w:trPr>
          <w:tblHeader/>
        </w:trPr>
        <w:tc>
          <w:tcPr>
            <w:tcW w:w="3295" w:type="dxa"/>
            <w:tcBorders>
              <w:top w:val="single" w:sz="6" w:space="0" w:color="auto"/>
              <w:bottom w:val="single" w:sz="12" w:space="0" w:color="auto"/>
            </w:tcBorders>
            <w:shd w:val="clear" w:color="auto" w:fill="auto"/>
            <w:hideMark/>
          </w:tcPr>
          <w:p w14:paraId="18ECFE82" w14:textId="77777777" w:rsidR="00002BCC" w:rsidRPr="00382F0B" w:rsidRDefault="00002BCC" w:rsidP="005D540A">
            <w:pPr>
              <w:pStyle w:val="TableHeading"/>
              <w:keepNext w:val="0"/>
              <w:spacing w:line="240" w:lineRule="auto"/>
            </w:pPr>
            <w:r w:rsidRPr="00382F0B">
              <w:t>Provisions</w:t>
            </w:r>
          </w:p>
        </w:tc>
        <w:tc>
          <w:tcPr>
            <w:tcW w:w="3544" w:type="dxa"/>
            <w:tcBorders>
              <w:top w:val="single" w:sz="6" w:space="0" w:color="auto"/>
              <w:bottom w:val="single" w:sz="12" w:space="0" w:color="auto"/>
            </w:tcBorders>
            <w:shd w:val="clear" w:color="auto" w:fill="auto"/>
            <w:hideMark/>
          </w:tcPr>
          <w:p w14:paraId="56EC77EC" w14:textId="77777777" w:rsidR="00002BCC" w:rsidRPr="00382F0B" w:rsidRDefault="00002BCC" w:rsidP="005D540A">
            <w:pPr>
              <w:pStyle w:val="TableHeading"/>
              <w:keepNext w:val="0"/>
              <w:spacing w:line="240" w:lineRule="auto"/>
            </w:pPr>
            <w:r w:rsidRPr="00382F0B">
              <w:t>Commencement</w:t>
            </w:r>
          </w:p>
        </w:tc>
        <w:tc>
          <w:tcPr>
            <w:tcW w:w="2268" w:type="dxa"/>
            <w:tcBorders>
              <w:top w:val="single" w:sz="6" w:space="0" w:color="auto"/>
              <w:bottom w:val="single" w:sz="12" w:space="0" w:color="auto"/>
            </w:tcBorders>
            <w:shd w:val="clear" w:color="auto" w:fill="auto"/>
            <w:hideMark/>
          </w:tcPr>
          <w:p w14:paraId="48C18980" w14:textId="77777777" w:rsidR="00002BCC" w:rsidRPr="00382F0B" w:rsidRDefault="00002BCC" w:rsidP="005D540A">
            <w:pPr>
              <w:pStyle w:val="TableHeading"/>
              <w:keepNext w:val="0"/>
              <w:spacing w:line="240" w:lineRule="auto"/>
            </w:pPr>
            <w:r w:rsidRPr="00382F0B">
              <w:t>Date/Details</w:t>
            </w:r>
          </w:p>
        </w:tc>
      </w:tr>
      <w:tr w:rsidR="00002BCC" w:rsidRPr="00382F0B" w14:paraId="05C2B436" w14:textId="77777777" w:rsidTr="00BF648E">
        <w:tc>
          <w:tcPr>
            <w:tcW w:w="3295" w:type="dxa"/>
            <w:tcBorders>
              <w:top w:val="single" w:sz="12" w:space="0" w:color="auto"/>
              <w:bottom w:val="single" w:sz="12" w:space="0" w:color="auto"/>
            </w:tcBorders>
            <w:shd w:val="clear" w:color="auto" w:fill="auto"/>
            <w:hideMark/>
          </w:tcPr>
          <w:p w14:paraId="72259BD5" w14:textId="7A71DEEE" w:rsidR="00002BCC" w:rsidRPr="00382F0B" w:rsidRDefault="00002BCC" w:rsidP="005D540A">
            <w:pPr>
              <w:pStyle w:val="Tabletext"/>
              <w:spacing w:line="240" w:lineRule="auto"/>
            </w:pPr>
            <w:r w:rsidRPr="00382F0B">
              <w:t xml:space="preserve">1. </w:t>
            </w:r>
            <w:r w:rsidR="001A286A" w:rsidRPr="00382F0B">
              <w:t>The whole of this instrument</w:t>
            </w:r>
          </w:p>
        </w:tc>
        <w:tc>
          <w:tcPr>
            <w:tcW w:w="3544" w:type="dxa"/>
            <w:tcBorders>
              <w:top w:val="single" w:sz="12" w:space="0" w:color="auto"/>
              <w:bottom w:val="single" w:sz="12" w:space="0" w:color="auto"/>
            </w:tcBorders>
            <w:shd w:val="clear" w:color="auto" w:fill="auto"/>
            <w:hideMark/>
          </w:tcPr>
          <w:p w14:paraId="27D82E85" w14:textId="3CCF179F" w:rsidR="00002BCC" w:rsidRPr="00382F0B" w:rsidRDefault="00F35DF9" w:rsidP="005D540A">
            <w:pPr>
              <w:pStyle w:val="Tabletext"/>
              <w:spacing w:line="240" w:lineRule="auto"/>
            </w:pPr>
            <w:r w:rsidRPr="00382F0B">
              <w:t>1</w:t>
            </w:r>
            <w:r w:rsidR="000A7B9B" w:rsidRPr="00382F0B">
              <w:t xml:space="preserve"> </w:t>
            </w:r>
            <w:r w:rsidR="00336539" w:rsidRPr="00382F0B">
              <w:t>Ju</w:t>
            </w:r>
            <w:r w:rsidR="00D90114" w:rsidRPr="00382F0B">
              <w:t>ly</w:t>
            </w:r>
            <w:r w:rsidR="001942CD" w:rsidRPr="00382F0B">
              <w:rPr>
                <w:szCs w:val="22"/>
              </w:rPr>
              <w:t xml:space="preserve"> </w:t>
            </w:r>
            <w:r w:rsidRPr="00382F0B">
              <w:t>202</w:t>
            </w:r>
            <w:r w:rsidR="007D1EA1" w:rsidRPr="00382F0B">
              <w:t>5</w:t>
            </w:r>
          </w:p>
        </w:tc>
        <w:tc>
          <w:tcPr>
            <w:tcW w:w="2268" w:type="dxa"/>
            <w:tcBorders>
              <w:top w:val="single" w:sz="12" w:space="0" w:color="auto"/>
              <w:bottom w:val="single" w:sz="12" w:space="0" w:color="auto"/>
            </w:tcBorders>
            <w:shd w:val="clear" w:color="auto" w:fill="auto"/>
          </w:tcPr>
          <w:p w14:paraId="2B7D6CC6" w14:textId="25C9B717" w:rsidR="00002BCC" w:rsidRPr="00382F0B" w:rsidRDefault="006B1C9D" w:rsidP="005D540A">
            <w:pPr>
              <w:pStyle w:val="Tabletext"/>
              <w:spacing w:line="240" w:lineRule="auto"/>
            </w:pPr>
            <w:r w:rsidRPr="00382F0B">
              <w:t xml:space="preserve">1 </w:t>
            </w:r>
            <w:r w:rsidR="00336539" w:rsidRPr="00382F0B">
              <w:t>Ju</w:t>
            </w:r>
            <w:r w:rsidR="00D90114" w:rsidRPr="00382F0B">
              <w:t>ly</w:t>
            </w:r>
            <w:r w:rsidR="00E467E2" w:rsidRPr="00382F0B">
              <w:rPr>
                <w:szCs w:val="22"/>
              </w:rPr>
              <w:t xml:space="preserve"> </w:t>
            </w:r>
            <w:r w:rsidRPr="00382F0B">
              <w:t>202</w:t>
            </w:r>
            <w:r w:rsidR="007D1EA1" w:rsidRPr="00382F0B">
              <w:t>5</w:t>
            </w:r>
          </w:p>
        </w:tc>
      </w:tr>
    </w:tbl>
    <w:p w14:paraId="19882BA6" w14:textId="77777777" w:rsidR="00002BCC" w:rsidRPr="00382F0B" w:rsidRDefault="00002BCC" w:rsidP="005D540A">
      <w:pPr>
        <w:pStyle w:val="notetext"/>
        <w:spacing w:line="240" w:lineRule="auto"/>
      </w:pPr>
      <w:r w:rsidRPr="00382F0B">
        <w:rPr>
          <w:snapToGrid w:val="0"/>
          <w:lang w:eastAsia="en-US"/>
        </w:rPr>
        <w:t>Note:</w:t>
      </w:r>
      <w:r w:rsidRPr="00382F0B">
        <w:rPr>
          <w:snapToGrid w:val="0"/>
          <w:lang w:eastAsia="en-US"/>
        </w:rPr>
        <w:tab/>
        <w:t>This table relates only to the provisions of this instrument</w:t>
      </w:r>
      <w:r w:rsidRPr="00382F0B">
        <w:t xml:space="preserve"> </w:t>
      </w:r>
      <w:r w:rsidRPr="00382F0B">
        <w:rPr>
          <w:snapToGrid w:val="0"/>
          <w:lang w:eastAsia="en-US"/>
        </w:rPr>
        <w:t>as originally made. It will not be amended to deal with any later amendments of this instrument.</w:t>
      </w:r>
    </w:p>
    <w:p w14:paraId="17FF4358" w14:textId="4F0396D3" w:rsidR="00002BCC" w:rsidRPr="00382F0B" w:rsidRDefault="00002BCC" w:rsidP="005D540A">
      <w:pPr>
        <w:pStyle w:val="subsection"/>
        <w:numPr>
          <w:ilvl w:val="0"/>
          <w:numId w:val="6"/>
        </w:numPr>
        <w:tabs>
          <w:tab w:val="clear" w:pos="1021"/>
          <w:tab w:val="right" w:pos="1134"/>
        </w:tabs>
        <w:ind w:left="1134" w:hanging="567"/>
      </w:pPr>
      <w:r w:rsidRPr="00382F0B">
        <w:t>Any information in column 3 of the table is not part of this instrument. Information may be inserted in this column, or information in it may be edited, in any published version of this instrument.</w:t>
      </w:r>
    </w:p>
    <w:p w14:paraId="36C737BF" w14:textId="6236C44F" w:rsidR="005E317F" w:rsidRPr="00382F0B" w:rsidRDefault="005E317F" w:rsidP="00331E91">
      <w:pPr>
        <w:pStyle w:val="ActHead5"/>
        <w:keepNext w:val="0"/>
        <w:keepLines w:val="0"/>
        <w:numPr>
          <w:ilvl w:val="0"/>
          <w:numId w:val="4"/>
        </w:numPr>
        <w:ind w:left="567" w:hanging="567"/>
      </w:pPr>
      <w:r w:rsidRPr="00382F0B">
        <w:t>Authority</w:t>
      </w:r>
      <w:bookmarkEnd w:id="4"/>
    </w:p>
    <w:p w14:paraId="255D8561" w14:textId="3D160E1B" w:rsidR="001A286A" w:rsidRPr="00382F0B" w:rsidRDefault="005E317F" w:rsidP="005D540A">
      <w:pPr>
        <w:pStyle w:val="subsection"/>
        <w:widowControl w:val="0"/>
        <w:ind w:left="1701"/>
      </w:pPr>
      <w:r w:rsidRPr="00382F0B">
        <w:tab/>
        <w:t>This instrument is made</w:t>
      </w:r>
      <w:r w:rsidR="001A286A" w:rsidRPr="00382F0B">
        <w:t xml:space="preserve"> </w:t>
      </w:r>
      <w:r w:rsidRPr="00382F0B">
        <w:t>under</w:t>
      </w:r>
      <w:r w:rsidR="001A286A" w:rsidRPr="00382F0B">
        <w:t xml:space="preserve"> subsection</w:t>
      </w:r>
      <w:r w:rsidR="00A60204" w:rsidRPr="00382F0B">
        <w:t xml:space="preserve"> </w:t>
      </w:r>
      <w:r w:rsidR="001A286A" w:rsidRPr="00382F0B">
        <w:t>100(2)</w:t>
      </w:r>
      <w:r w:rsidR="005E7450" w:rsidRPr="00382F0B">
        <w:t xml:space="preserve"> of the</w:t>
      </w:r>
      <w:r w:rsidR="001A286A" w:rsidRPr="00382F0B">
        <w:t xml:space="preserve"> </w:t>
      </w:r>
      <w:r w:rsidR="001A286A" w:rsidRPr="00382F0B">
        <w:rPr>
          <w:i/>
        </w:rPr>
        <w:t>National Health Act 1953</w:t>
      </w:r>
      <w:r w:rsidR="001A286A" w:rsidRPr="00382F0B">
        <w:t>.</w:t>
      </w:r>
    </w:p>
    <w:p w14:paraId="418EB651" w14:textId="77942D26" w:rsidR="005E317F" w:rsidRPr="00382F0B" w:rsidRDefault="005E317F" w:rsidP="00331E91">
      <w:pPr>
        <w:pStyle w:val="ActHead5"/>
        <w:keepNext w:val="0"/>
        <w:keepLines w:val="0"/>
        <w:numPr>
          <w:ilvl w:val="0"/>
          <w:numId w:val="4"/>
        </w:numPr>
        <w:ind w:left="567" w:hanging="567"/>
      </w:pPr>
      <w:bookmarkStart w:id="5" w:name="_Toc478567690"/>
      <w:r w:rsidRPr="00382F0B">
        <w:t>Schedules</w:t>
      </w:r>
      <w:bookmarkEnd w:id="5"/>
    </w:p>
    <w:p w14:paraId="60AC440F" w14:textId="0A950ADC" w:rsidR="000A4401" w:rsidRPr="00382F0B" w:rsidRDefault="005E317F" w:rsidP="005D540A">
      <w:pPr>
        <w:pStyle w:val="subsection"/>
        <w:ind w:left="567" w:firstLine="0"/>
      </w:pPr>
      <w:r w:rsidRPr="00382F0B">
        <w:tab/>
        <w:t>Each instrument that is specified in a Schedule to this instrument is amended or repealed as set out in the applicable items in the Schedule concerned, and any other item in a Schedule to this instrument has effect according to its terms.</w:t>
      </w:r>
      <w:bookmarkStart w:id="6" w:name="_Toc478567691"/>
    </w:p>
    <w:p w14:paraId="00621A0C" w14:textId="1FFBD500" w:rsidR="00E32692" w:rsidRPr="00382F0B" w:rsidRDefault="00E32692" w:rsidP="005D540A">
      <w:pPr>
        <w:spacing w:line="240" w:lineRule="auto"/>
        <w:rPr>
          <w:lang w:eastAsia="en-AU"/>
        </w:rPr>
      </w:pPr>
    </w:p>
    <w:p w14:paraId="1B271BE5" w14:textId="4665F130" w:rsidR="00E32692" w:rsidRPr="00382F0B" w:rsidRDefault="00E32692" w:rsidP="005D540A">
      <w:pPr>
        <w:spacing w:line="240" w:lineRule="auto"/>
        <w:rPr>
          <w:lang w:eastAsia="en-AU"/>
        </w:rPr>
      </w:pPr>
    </w:p>
    <w:p w14:paraId="4FE2A5D7" w14:textId="4500F60F" w:rsidR="00E32692" w:rsidRPr="00382F0B" w:rsidRDefault="00E32692" w:rsidP="005D540A">
      <w:pPr>
        <w:spacing w:line="240" w:lineRule="auto"/>
        <w:rPr>
          <w:lang w:eastAsia="en-AU"/>
        </w:rPr>
      </w:pPr>
    </w:p>
    <w:p w14:paraId="54BC1D3C" w14:textId="4ED88AAD" w:rsidR="00E32692" w:rsidRPr="00382F0B" w:rsidRDefault="00E32692" w:rsidP="005D540A">
      <w:pPr>
        <w:spacing w:line="240" w:lineRule="auto"/>
        <w:rPr>
          <w:lang w:eastAsia="en-AU"/>
        </w:rPr>
        <w:sectPr w:rsidR="00E32692" w:rsidRPr="00382F0B" w:rsidSect="00630F1C">
          <w:footerReference w:type="default" r:id="rId19"/>
          <w:pgSz w:w="11907" w:h="16839"/>
          <w:pgMar w:top="1673" w:right="1797" w:bottom="1440" w:left="1797" w:header="720" w:footer="709" w:gutter="0"/>
          <w:pgNumType w:start="1"/>
          <w:cols w:space="708"/>
          <w:docGrid w:linePitch="360"/>
        </w:sectPr>
      </w:pPr>
    </w:p>
    <w:p w14:paraId="4A209A7C" w14:textId="1447E7B8" w:rsidR="005E317F" w:rsidRPr="00382F0B" w:rsidRDefault="005E317F" w:rsidP="00DE1823">
      <w:pPr>
        <w:pStyle w:val="ActHead6"/>
        <w:keepNext w:val="0"/>
        <w:keepLines w:val="0"/>
        <w:widowControl w:val="0"/>
        <w:spacing w:before="120" w:after="120" w:line="260" w:lineRule="exact"/>
        <w:rPr>
          <w:rStyle w:val="CharAmSchText"/>
        </w:rPr>
      </w:pPr>
      <w:r w:rsidRPr="00382F0B">
        <w:rPr>
          <w:rStyle w:val="CharAmSchNo"/>
        </w:rPr>
        <w:lastRenderedPageBreak/>
        <w:t>Schedule</w:t>
      </w:r>
      <w:r w:rsidR="001A286A" w:rsidRPr="00382F0B">
        <w:rPr>
          <w:rStyle w:val="CharAmSchNo"/>
        </w:rPr>
        <w:t xml:space="preserve"> </w:t>
      </w:r>
      <w:r w:rsidRPr="00382F0B">
        <w:rPr>
          <w:rStyle w:val="CharAmSchNo"/>
        </w:rPr>
        <w:t>1</w:t>
      </w:r>
      <w:r w:rsidRPr="00382F0B">
        <w:t>—</w:t>
      </w:r>
      <w:r w:rsidRPr="00382F0B">
        <w:rPr>
          <w:rStyle w:val="CharAmSchText"/>
        </w:rPr>
        <w:t>Amendments</w:t>
      </w:r>
      <w:bookmarkEnd w:id="6"/>
    </w:p>
    <w:p w14:paraId="7E6B26B4" w14:textId="29CDF359" w:rsidR="003313CB" w:rsidRPr="00382F0B" w:rsidRDefault="00956076" w:rsidP="00DE1823">
      <w:pPr>
        <w:pStyle w:val="ActHead9"/>
        <w:keepNext w:val="0"/>
        <w:keepLines w:val="0"/>
        <w:widowControl w:val="0"/>
        <w:spacing w:before="180" w:line="260" w:lineRule="exact"/>
        <w:ind w:left="0" w:firstLine="0"/>
        <w:rPr>
          <w:rFonts w:ascii="Arial" w:hAnsi="Arial" w:cs="Arial"/>
        </w:rPr>
      </w:pPr>
      <w:r w:rsidRPr="00382F0B">
        <w:rPr>
          <w:rFonts w:ascii="Arial" w:hAnsi="Arial" w:cs="Arial"/>
        </w:rPr>
        <w:t>National Health (Highly Specialised Drugs Program) Special Arrangement 2021</w:t>
      </w:r>
      <w:r w:rsidR="008F19D9" w:rsidRPr="00382F0B">
        <w:rPr>
          <w:rFonts w:ascii="Arial" w:hAnsi="Arial" w:cs="Arial"/>
        </w:rPr>
        <w:t xml:space="preserve"> (</w:t>
      </w:r>
      <w:r w:rsidR="00674F36" w:rsidRPr="00382F0B">
        <w:rPr>
          <w:rFonts w:ascii="Arial" w:hAnsi="Arial" w:cs="Arial"/>
        </w:rPr>
        <w:t>PB 27</w:t>
      </w:r>
      <w:r w:rsidR="008F19D9" w:rsidRPr="00382F0B">
        <w:rPr>
          <w:rFonts w:ascii="Arial" w:hAnsi="Arial" w:cs="Arial"/>
        </w:rPr>
        <w:t xml:space="preserve"> of 2021)</w:t>
      </w:r>
    </w:p>
    <w:p w14:paraId="3E00FB1D" w14:textId="519C3580" w:rsidR="003260E5" w:rsidRPr="00382F0B" w:rsidRDefault="00BF1B21" w:rsidP="00DE1823">
      <w:pPr>
        <w:pStyle w:val="Amendment1"/>
        <w:numPr>
          <w:ilvl w:val="0"/>
          <w:numId w:val="7"/>
        </w:numPr>
        <w:tabs>
          <w:tab w:val="clear" w:pos="794"/>
          <w:tab w:val="num" w:pos="851"/>
        </w:tabs>
        <w:spacing w:line="260" w:lineRule="exact"/>
        <w:ind w:left="851" w:hanging="851"/>
      </w:pPr>
      <w:r w:rsidRPr="00382F0B">
        <w:t xml:space="preserve">Schedule 1, entry for </w:t>
      </w:r>
      <w:proofErr w:type="spellStart"/>
      <w:r w:rsidR="0042293E" w:rsidRPr="00382F0B">
        <w:t>Anifrolumab</w:t>
      </w:r>
      <w:proofErr w:type="spellEnd"/>
    </w:p>
    <w:p w14:paraId="7F0815F4" w14:textId="40A4B0FD" w:rsidR="00BF1B21" w:rsidRPr="00382F0B" w:rsidRDefault="00BF1B21" w:rsidP="00DE1823">
      <w:pPr>
        <w:pStyle w:val="Amendment1"/>
        <w:tabs>
          <w:tab w:val="clear" w:pos="794"/>
        </w:tabs>
        <w:spacing w:before="60" w:after="60" w:line="260" w:lineRule="exact"/>
        <w:ind w:left="851" w:firstLine="0"/>
      </w:pPr>
      <w:r w:rsidRPr="00382F0B">
        <w:rPr>
          <w:rFonts w:ascii="Times New Roman" w:hAnsi="Times New Roman" w:cs="Times New Roman"/>
          <w:b w:val="0"/>
          <w:bCs w:val="0"/>
          <w:i/>
          <w:iCs/>
        </w:rPr>
        <w:t>omit</w:t>
      </w:r>
      <w:r w:rsidR="0042293E" w:rsidRPr="00382F0B">
        <w:rPr>
          <w:rFonts w:ascii="Times New Roman" w:hAnsi="Times New Roman" w:cs="Times New Roman"/>
          <w:b w:val="0"/>
          <w:bCs w:val="0"/>
          <w:i/>
          <w:iCs/>
        </w:rPr>
        <w:t xml:space="preserve"> from the column headed “Circumstances”</w:t>
      </w:r>
      <w:r w:rsidRPr="00382F0B">
        <w:rPr>
          <w:rFonts w:ascii="Times New Roman" w:hAnsi="Times New Roman" w:cs="Times New Roman"/>
          <w:b w:val="0"/>
          <w:bCs w:val="0"/>
          <w:i/>
          <w:iCs/>
        </w:rPr>
        <w:t>:</w:t>
      </w:r>
      <w:r w:rsidR="0042293E" w:rsidRPr="00382F0B">
        <w:rPr>
          <w:rFonts w:ascii="Times New Roman" w:hAnsi="Times New Roman" w:cs="Times New Roman"/>
          <w:b w:val="0"/>
          <w:bCs w:val="0"/>
          <w:i/>
          <w:iCs/>
        </w:rPr>
        <w:t xml:space="preserve"> </w:t>
      </w:r>
      <w:r w:rsidR="0042293E" w:rsidRPr="00382F0B">
        <w:t>C15426</w:t>
      </w:r>
    </w:p>
    <w:p w14:paraId="6AF9D70D" w14:textId="1B9DE158" w:rsidR="00BF1B21" w:rsidRPr="00382F0B" w:rsidRDefault="00BF1B21" w:rsidP="00DE1823">
      <w:pPr>
        <w:pStyle w:val="Amendment1"/>
        <w:numPr>
          <w:ilvl w:val="0"/>
          <w:numId w:val="7"/>
        </w:numPr>
        <w:tabs>
          <w:tab w:val="clear" w:pos="794"/>
          <w:tab w:val="num" w:pos="851"/>
        </w:tabs>
        <w:spacing w:line="260" w:lineRule="exact"/>
        <w:ind w:left="851" w:hanging="851"/>
        <w:rPr>
          <w:i/>
          <w:iCs/>
        </w:rPr>
      </w:pPr>
      <w:r w:rsidRPr="00382F0B">
        <w:t xml:space="preserve">Schedule 1, entry for </w:t>
      </w:r>
      <w:proofErr w:type="spellStart"/>
      <w:r w:rsidR="0042293E" w:rsidRPr="00382F0B">
        <w:t>Bosentan</w:t>
      </w:r>
      <w:proofErr w:type="spellEnd"/>
      <w:r w:rsidR="0042293E" w:rsidRPr="00382F0B">
        <w:t xml:space="preserve"> in the form Tablet 62.5 mg (as monohydrate)</w:t>
      </w:r>
    </w:p>
    <w:p w14:paraId="5796C658" w14:textId="02D8B082" w:rsidR="00BF1B21" w:rsidRPr="00382F0B" w:rsidRDefault="00383A6E" w:rsidP="00DE1823">
      <w:pPr>
        <w:pStyle w:val="Amendment1"/>
        <w:tabs>
          <w:tab w:val="clear" w:pos="794"/>
        </w:tabs>
        <w:spacing w:before="60" w:after="60" w:line="260" w:lineRule="exact"/>
        <w:ind w:left="851" w:firstLine="0"/>
        <w:rPr>
          <w:rFonts w:ascii="Times New Roman" w:hAnsi="Times New Roman" w:cs="Times New Roman"/>
          <w:b w:val="0"/>
          <w:bCs w:val="0"/>
          <w:i/>
          <w:iCs/>
        </w:rPr>
      </w:pPr>
      <w:r w:rsidRPr="00382F0B">
        <w:rPr>
          <w:rFonts w:ascii="Times New Roman" w:hAnsi="Times New Roman" w:cs="Times New Roman"/>
          <w:b w:val="0"/>
          <w:bCs w:val="0"/>
          <w:i/>
          <w:iCs/>
        </w:rPr>
        <w:t>omit</w:t>
      </w:r>
      <w:r w:rsidR="00BF1B21" w:rsidRPr="00382F0B">
        <w:rPr>
          <w:rFonts w:ascii="Times New Roman" w:hAnsi="Times New Roman" w:cs="Times New Roman"/>
          <w:b w:val="0"/>
          <w:bCs w:val="0"/>
          <w:i/>
          <w:iCs/>
        </w:rPr>
        <w: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42293E" w:rsidRPr="00382F0B" w14:paraId="27C2FBBC" w14:textId="77777777" w:rsidTr="006F2C2B">
        <w:tc>
          <w:tcPr>
            <w:tcW w:w="1702" w:type="dxa"/>
          </w:tcPr>
          <w:p w14:paraId="33A3D194" w14:textId="77777777" w:rsidR="0042293E" w:rsidRPr="00382F0B" w:rsidRDefault="0042293E" w:rsidP="00DE1823">
            <w:pPr>
              <w:widowControl w:val="0"/>
              <w:spacing w:before="60" w:after="60" w:line="240" w:lineRule="auto"/>
              <w:rPr>
                <w:rFonts w:ascii="Arial" w:hAnsi="Arial" w:cs="Arial"/>
                <w:sz w:val="16"/>
                <w:szCs w:val="16"/>
              </w:rPr>
            </w:pPr>
          </w:p>
        </w:tc>
        <w:tc>
          <w:tcPr>
            <w:tcW w:w="3402" w:type="dxa"/>
          </w:tcPr>
          <w:p w14:paraId="2EABEE2A" w14:textId="45BAE198" w:rsidR="0042293E" w:rsidRPr="00382F0B" w:rsidRDefault="0042293E" w:rsidP="00DE1823">
            <w:pPr>
              <w:widowControl w:val="0"/>
              <w:spacing w:before="60" w:after="60" w:line="240" w:lineRule="auto"/>
              <w:rPr>
                <w:rFonts w:ascii="Arial" w:hAnsi="Arial" w:cs="Arial"/>
                <w:sz w:val="16"/>
                <w:szCs w:val="16"/>
              </w:rPr>
            </w:pPr>
          </w:p>
        </w:tc>
        <w:tc>
          <w:tcPr>
            <w:tcW w:w="1417" w:type="dxa"/>
          </w:tcPr>
          <w:p w14:paraId="14DC7B1B" w14:textId="0102065D" w:rsidR="0042293E" w:rsidRPr="00382F0B" w:rsidRDefault="0042293E" w:rsidP="00DE1823">
            <w:pPr>
              <w:widowControl w:val="0"/>
              <w:spacing w:before="60" w:after="60" w:line="240" w:lineRule="auto"/>
              <w:rPr>
                <w:rFonts w:ascii="Arial" w:hAnsi="Arial" w:cs="Arial"/>
                <w:sz w:val="16"/>
                <w:szCs w:val="16"/>
              </w:rPr>
            </w:pPr>
          </w:p>
        </w:tc>
        <w:tc>
          <w:tcPr>
            <w:tcW w:w="1701" w:type="dxa"/>
          </w:tcPr>
          <w:p w14:paraId="696B76F9" w14:textId="1ED35E1A" w:rsidR="0042293E" w:rsidRPr="00382F0B" w:rsidRDefault="0042293E" w:rsidP="00DE1823">
            <w:pPr>
              <w:widowControl w:val="0"/>
              <w:spacing w:before="60" w:after="60" w:line="240" w:lineRule="auto"/>
              <w:rPr>
                <w:rFonts w:ascii="Arial" w:hAnsi="Arial" w:cs="Arial"/>
                <w:sz w:val="16"/>
                <w:szCs w:val="16"/>
              </w:rPr>
            </w:pPr>
            <w:proofErr w:type="spellStart"/>
            <w:r w:rsidRPr="00382F0B">
              <w:rPr>
                <w:rFonts w:ascii="Arial" w:hAnsi="Arial" w:cs="Arial"/>
                <w:sz w:val="16"/>
                <w:szCs w:val="16"/>
              </w:rPr>
              <w:t>Bosentan</w:t>
            </w:r>
            <w:proofErr w:type="spellEnd"/>
            <w:r w:rsidRPr="00382F0B">
              <w:rPr>
                <w:rFonts w:ascii="Arial" w:hAnsi="Arial" w:cs="Arial"/>
                <w:sz w:val="16"/>
                <w:szCs w:val="16"/>
              </w:rPr>
              <w:t xml:space="preserve"> Mylan</w:t>
            </w:r>
          </w:p>
        </w:tc>
        <w:tc>
          <w:tcPr>
            <w:tcW w:w="1417" w:type="dxa"/>
          </w:tcPr>
          <w:p w14:paraId="5AC02930" w14:textId="2DCDDB9F" w:rsidR="0042293E" w:rsidRPr="00382F0B" w:rsidRDefault="0042293E" w:rsidP="00DE1823">
            <w:pPr>
              <w:widowControl w:val="0"/>
              <w:spacing w:before="60" w:after="60" w:line="240" w:lineRule="auto"/>
              <w:rPr>
                <w:rFonts w:ascii="Arial" w:hAnsi="Arial" w:cs="Arial"/>
                <w:sz w:val="16"/>
                <w:szCs w:val="16"/>
              </w:rPr>
            </w:pPr>
            <w:r w:rsidRPr="00382F0B">
              <w:rPr>
                <w:rFonts w:ascii="Arial" w:eastAsia="Arial" w:hAnsi="Arial" w:cs="Arial"/>
                <w:sz w:val="16"/>
                <w:szCs w:val="16"/>
                <w:lang w:eastAsia="zh-CN"/>
              </w:rPr>
              <w:t>C11229 C12425 C13495 C13496 C13497 C13499 C13571 C13582 C13632</w:t>
            </w:r>
          </w:p>
        </w:tc>
        <w:tc>
          <w:tcPr>
            <w:tcW w:w="1417" w:type="dxa"/>
          </w:tcPr>
          <w:p w14:paraId="18F90483" w14:textId="77777777" w:rsidR="0042293E" w:rsidRPr="00382F0B" w:rsidRDefault="0042293E" w:rsidP="00DE1823">
            <w:pPr>
              <w:widowControl w:val="0"/>
              <w:spacing w:before="60" w:after="60" w:line="240" w:lineRule="auto"/>
              <w:rPr>
                <w:rFonts w:ascii="Arial" w:hAnsi="Arial" w:cs="Arial"/>
                <w:sz w:val="16"/>
                <w:szCs w:val="16"/>
              </w:rPr>
            </w:pPr>
          </w:p>
        </w:tc>
        <w:tc>
          <w:tcPr>
            <w:tcW w:w="1417" w:type="dxa"/>
          </w:tcPr>
          <w:p w14:paraId="242EC28D" w14:textId="4D6F23E0"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See Schedule 2</w:t>
            </w:r>
          </w:p>
        </w:tc>
        <w:tc>
          <w:tcPr>
            <w:tcW w:w="1417" w:type="dxa"/>
          </w:tcPr>
          <w:p w14:paraId="30EA4E1A" w14:textId="3BC01C4C"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See Schedule 2</w:t>
            </w:r>
          </w:p>
        </w:tc>
      </w:tr>
    </w:tbl>
    <w:p w14:paraId="2DAF8889" w14:textId="59CECE8E" w:rsidR="00BF1B21" w:rsidRPr="00382F0B" w:rsidRDefault="00024893" w:rsidP="00DE1823">
      <w:pPr>
        <w:pStyle w:val="Amendment1"/>
        <w:numPr>
          <w:ilvl w:val="0"/>
          <w:numId w:val="7"/>
        </w:numPr>
        <w:tabs>
          <w:tab w:val="clear" w:pos="794"/>
          <w:tab w:val="num" w:pos="851"/>
        </w:tabs>
        <w:spacing w:line="260" w:lineRule="exact"/>
        <w:ind w:left="851" w:hanging="851"/>
        <w:rPr>
          <w:i/>
          <w:iCs/>
        </w:rPr>
      </w:pPr>
      <w:r w:rsidRPr="00382F0B">
        <w:t>Schedule 1, entry for</w:t>
      </w:r>
      <w:r w:rsidR="00393F6B" w:rsidRPr="00382F0B">
        <w:t xml:space="preserve"> </w:t>
      </w:r>
      <w:proofErr w:type="spellStart"/>
      <w:r w:rsidR="0042293E" w:rsidRPr="00382F0B">
        <w:t>Elexacaftor</w:t>
      </w:r>
      <w:proofErr w:type="spellEnd"/>
      <w:r w:rsidR="0042293E" w:rsidRPr="00382F0B">
        <w:t xml:space="preserve"> with </w:t>
      </w:r>
      <w:proofErr w:type="spellStart"/>
      <w:r w:rsidR="0042293E" w:rsidRPr="00382F0B">
        <w:t>tezacaftor</w:t>
      </w:r>
      <w:proofErr w:type="spellEnd"/>
      <w:r w:rsidR="0042293E" w:rsidRPr="00382F0B">
        <w:t xml:space="preserve"> and with ivacaftor, and ivacaftor in</w:t>
      </w:r>
      <w:r w:rsidR="00383A6E" w:rsidRPr="00382F0B">
        <w:t xml:space="preserve"> </w:t>
      </w:r>
      <w:r w:rsidR="006C6BBB" w:rsidRPr="00382F0B">
        <w:t xml:space="preserve">each of </w:t>
      </w:r>
      <w:r w:rsidR="00383A6E" w:rsidRPr="00382F0B">
        <w:t>the form</w:t>
      </w:r>
      <w:r w:rsidR="006C6BBB" w:rsidRPr="00382F0B">
        <w:t>s:</w:t>
      </w:r>
      <w:r w:rsidR="0042293E" w:rsidRPr="00382F0B">
        <w:t xml:space="preserve"> Pack containing 28 sachets containing granules </w:t>
      </w:r>
      <w:proofErr w:type="spellStart"/>
      <w:r w:rsidR="0042293E" w:rsidRPr="00382F0B">
        <w:t>elexacaftor</w:t>
      </w:r>
      <w:proofErr w:type="spellEnd"/>
      <w:r w:rsidR="0042293E" w:rsidRPr="00382F0B">
        <w:t xml:space="preserve"> 80 mg with </w:t>
      </w:r>
      <w:proofErr w:type="spellStart"/>
      <w:r w:rsidR="0042293E" w:rsidRPr="00382F0B">
        <w:t>tezacaftor</w:t>
      </w:r>
      <w:proofErr w:type="spellEnd"/>
      <w:r w:rsidR="0042293E" w:rsidRPr="00382F0B">
        <w:t xml:space="preserve"> 40 mg and with ivacaftor 60 mg and 28 sachets containing granules ivacaftor 59.5 mg</w:t>
      </w:r>
      <w:r w:rsidR="006C6BBB" w:rsidRPr="00382F0B">
        <w:t xml:space="preserve">; and Pack containing 28 sachets containing granules </w:t>
      </w:r>
      <w:proofErr w:type="spellStart"/>
      <w:r w:rsidR="006C6BBB" w:rsidRPr="00382F0B">
        <w:t>elexacaftor</w:t>
      </w:r>
      <w:proofErr w:type="spellEnd"/>
      <w:r w:rsidR="006C6BBB" w:rsidRPr="00382F0B">
        <w:t xml:space="preserve"> 100 mg with </w:t>
      </w:r>
      <w:proofErr w:type="spellStart"/>
      <w:r w:rsidR="006C6BBB" w:rsidRPr="00382F0B">
        <w:t>tezacaftor</w:t>
      </w:r>
      <w:proofErr w:type="spellEnd"/>
      <w:r w:rsidR="006C6BBB" w:rsidRPr="00382F0B">
        <w:t xml:space="preserve"> 50 mg and with ivacaftor 75 mg and 28 sachets containing granules ivacaftor 75 mg</w:t>
      </w:r>
    </w:p>
    <w:p w14:paraId="387FB475" w14:textId="57CD0E86" w:rsidR="00705ADA" w:rsidRPr="00382F0B" w:rsidRDefault="00383A6E" w:rsidP="00DE1823">
      <w:pPr>
        <w:pStyle w:val="Amendment1"/>
        <w:tabs>
          <w:tab w:val="clear" w:pos="794"/>
          <w:tab w:val="left" w:pos="7088"/>
        </w:tabs>
        <w:spacing w:before="60" w:after="60" w:line="260" w:lineRule="exact"/>
        <w:ind w:left="851" w:firstLine="0"/>
        <w:rPr>
          <w:i/>
          <w:iCs/>
        </w:rPr>
      </w:pPr>
      <w:r w:rsidRPr="00382F0B">
        <w:rPr>
          <w:rFonts w:ascii="Times New Roman" w:hAnsi="Times New Roman" w:cs="Times New Roman"/>
          <w:b w:val="0"/>
          <w:bCs w:val="0"/>
          <w:i/>
          <w:iCs/>
        </w:rPr>
        <w:t>omit</w:t>
      </w:r>
      <w:r w:rsidR="0042293E" w:rsidRPr="00382F0B">
        <w:rPr>
          <w:rFonts w:ascii="Times New Roman" w:hAnsi="Times New Roman" w:cs="Times New Roman"/>
          <w:b w:val="0"/>
          <w:bCs w:val="0"/>
          <w:i/>
          <w:iCs/>
        </w:rPr>
        <w:t xml:space="preserve"> from the column headed “Circumstances”: </w:t>
      </w:r>
      <w:r w:rsidR="0042293E" w:rsidRPr="00382F0B">
        <w:t>C15482 C15511</w:t>
      </w:r>
      <w:r w:rsidR="0042293E" w:rsidRPr="00382F0B">
        <w:rPr>
          <w:rFonts w:ascii="Times New Roman" w:hAnsi="Times New Roman" w:cs="Times New Roman"/>
          <w:b w:val="0"/>
          <w:bCs w:val="0"/>
          <w:i/>
          <w:iCs/>
        </w:rPr>
        <w:tab/>
        <w:t xml:space="preserve">substitute: </w:t>
      </w:r>
      <w:r w:rsidR="0042293E" w:rsidRPr="00382F0B">
        <w:t>C16706 C16734</w:t>
      </w:r>
    </w:p>
    <w:p w14:paraId="6FA77151" w14:textId="7E45BFD4" w:rsidR="0042293E" w:rsidRPr="00382F0B" w:rsidRDefault="0042293E" w:rsidP="00DE1823">
      <w:pPr>
        <w:pStyle w:val="Amendment1"/>
        <w:numPr>
          <w:ilvl w:val="0"/>
          <w:numId w:val="7"/>
        </w:numPr>
        <w:tabs>
          <w:tab w:val="clear" w:pos="794"/>
          <w:tab w:val="num" w:pos="851"/>
        </w:tabs>
        <w:spacing w:line="260" w:lineRule="exact"/>
        <w:ind w:left="851" w:hanging="851"/>
        <w:rPr>
          <w:i/>
          <w:iCs/>
        </w:rPr>
      </w:pPr>
      <w:r w:rsidRPr="00382F0B">
        <w:t xml:space="preserve">Schedule 1, entry for </w:t>
      </w:r>
      <w:proofErr w:type="spellStart"/>
      <w:r w:rsidRPr="00382F0B">
        <w:t>Elexacaftor</w:t>
      </w:r>
      <w:proofErr w:type="spellEnd"/>
      <w:r w:rsidRPr="00382F0B">
        <w:t xml:space="preserve"> with </w:t>
      </w:r>
      <w:proofErr w:type="spellStart"/>
      <w:r w:rsidRPr="00382F0B">
        <w:t>tezacaftor</w:t>
      </w:r>
      <w:proofErr w:type="spellEnd"/>
      <w:r w:rsidRPr="00382F0B">
        <w:t xml:space="preserve"> and with ivacaftor, and ivacaftor in the form Pack containing 56 tablets </w:t>
      </w:r>
      <w:proofErr w:type="spellStart"/>
      <w:r w:rsidRPr="00382F0B">
        <w:t>elexacaftor</w:t>
      </w:r>
      <w:proofErr w:type="spellEnd"/>
      <w:r w:rsidRPr="00382F0B">
        <w:t xml:space="preserve"> 50 mg with </w:t>
      </w:r>
      <w:proofErr w:type="spellStart"/>
      <w:r w:rsidRPr="00382F0B">
        <w:t>tezacaftor</w:t>
      </w:r>
      <w:proofErr w:type="spellEnd"/>
      <w:r w:rsidRPr="00382F0B">
        <w:t xml:space="preserve"> 25 mg and with ivacaftor 37.5 mg and 28 tablets ivacaftor 75 mg</w:t>
      </w:r>
    </w:p>
    <w:p w14:paraId="05B3185B" w14:textId="47509CF5" w:rsidR="0042293E" w:rsidRPr="00382F0B" w:rsidRDefault="0042293E" w:rsidP="00DE1823">
      <w:pPr>
        <w:pStyle w:val="Amendment1"/>
        <w:tabs>
          <w:tab w:val="clear" w:pos="794"/>
          <w:tab w:val="left" w:pos="7088"/>
        </w:tabs>
        <w:spacing w:before="60" w:after="60" w:line="260" w:lineRule="exact"/>
        <w:ind w:left="851" w:firstLine="0"/>
        <w:rPr>
          <w:i/>
          <w:iCs/>
        </w:rPr>
      </w:pPr>
      <w:r w:rsidRPr="00382F0B">
        <w:rPr>
          <w:rFonts w:ascii="Times New Roman" w:hAnsi="Times New Roman" w:cs="Times New Roman"/>
          <w:b w:val="0"/>
          <w:bCs w:val="0"/>
          <w:i/>
          <w:iCs/>
        </w:rPr>
        <w:t xml:space="preserve">omit from the column headed “Circumstances”: </w:t>
      </w:r>
      <w:r w:rsidRPr="00382F0B">
        <w:t>C13932 C13991</w:t>
      </w:r>
      <w:r w:rsidRPr="00382F0B">
        <w:rPr>
          <w:rFonts w:ascii="Times New Roman" w:hAnsi="Times New Roman" w:cs="Times New Roman"/>
          <w:b w:val="0"/>
          <w:bCs w:val="0"/>
          <w:i/>
          <w:iCs/>
        </w:rPr>
        <w:tab/>
        <w:t xml:space="preserve">substitute: </w:t>
      </w:r>
      <w:r w:rsidRPr="00382F0B">
        <w:t>C16703 C16704</w:t>
      </w:r>
    </w:p>
    <w:p w14:paraId="2F61D42F" w14:textId="26F3503E" w:rsidR="0042293E" w:rsidRPr="00382F0B" w:rsidRDefault="0042293E" w:rsidP="00DE1823">
      <w:pPr>
        <w:pStyle w:val="Amendment1"/>
        <w:numPr>
          <w:ilvl w:val="0"/>
          <w:numId w:val="7"/>
        </w:numPr>
        <w:tabs>
          <w:tab w:val="clear" w:pos="794"/>
          <w:tab w:val="num" w:pos="851"/>
        </w:tabs>
        <w:spacing w:line="260" w:lineRule="exact"/>
        <w:ind w:left="851" w:hanging="851"/>
        <w:rPr>
          <w:i/>
          <w:iCs/>
        </w:rPr>
      </w:pPr>
      <w:r w:rsidRPr="00382F0B">
        <w:t xml:space="preserve">Schedule 1, entry for </w:t>
      </w:r>
      <w:proofErr w:type="spellStart"/>
      <w:r w:rsidRPr="00382F0B">
        <w:t>Elexacaftor</w:t>
      </w:r>
      <w:proofErr w:type="spellEnd"/>
      <w:r w:rsidRPr="00382F0B">
        <w:t xml:space="preserve"> with </w:t>
      </w:r>
      <w:proofErr w:type="spellStart"/>
      <w:r w:rsidRPr="00382F0B">
        <w:t>tezacaftor</w:t>
      </w:r>
      <w:proofErr w:type="spellEnd"/>
      <w:r w:rsidRPr="00382F0B">
        <w:t xml:space="preserve"> and with ivacaftor, and ivacaftor in the form Pack containing 56 tablets </w:t>
      </w:r>
      <w:proofErr w:type="spellStart"/>
      <w:r w:rsidRPr="00382F0B">
        <w:t>elexacaftor</w:t>
      </w:r>
      <w:proofErr w:type="spellEnd"/>
      <w:r w:rsidRPr="00382F0B">
        <w:t xml:space="preserve"> 100 mg with </w:t>
      </w:r>
      <w:proofErr w:type="spellStart"/>
      <w:r w:rsidRPr="00382F0B">
        <w:t>tezacaftor</w:t>
      </w:r>
      <w:proofErr w:type="spellEnd"/>
      <w:r w:rsidRPr="00382F0B">
        <w:t xml:space="preserve"> 50 mg and with ivacaftor 75 mg and 28 tablets ivacaftor 150 mg</w:t>
      </w:r>
    </w:p>
    <w:p w14:paraId="5715D235" w14:textId="485085D9" w:rsidR="0042293E" w:rsidRPr="00382F0B" w:rsidRDefault="0042293E" w:rsidP="00DE1823">
      <w:pPr>
        <w:pStyle w:val="Amendment1"/>
        <w:tabs>
          <w:tab w:val="clear" w:pos="794"/>
          <w:tab w:val="left" w:pos="7088"/>
        </w:tabs>
        <w:spacing w:before="60" w:after="60" w:line="260" w:lineRule="exact"/>
        <w:ind w:left="851" w:firstLine="0"/>
        <w:rPr>
          <w:i/>
          <w:iCs/>
        </w:rPr>
      </w:pPr>
      <w:r w:rsidRPr="00382F0B">
        <w:rPr>
          <w:rFonts w:ascii="Times New Roman" w:hAnsi="Times New Roman" w:cs="Times New Roman"/>
          <w:b w:val="0"/>
          <w:bCs w:val="0"/>
          <w:i/>
          <w:iCs/>
        </w:rPr>
        <w:t xml:space="preserve">omit from the column headed “Circumstances”: </w:t>
      </w:r>
      <w:r w:rsidRPr="00382F0B">
        <w:t>C13962 C13980</w:t>
      </w:r>
      <w:r w:rsidRPr="00382F0B">
        <w:rPr>
          <w:rFonts w:ascii="Times New Roman" w:hAnsi="Times New Roman" w:cs="Times New Roman"/>
          <w:b w:val="0"/>
          <w:bCs w:val="0"/>
          <w:i/>
          <w:iCs/>
        </w:rPr>
        <w:tab/>
        <w:t xml:space="preserve">substitute: </w:t>
      </w:r>
      <w:r w:rsidRPr="00382F0B">
        <w:t>C16799 C16800</w:t>
      </w:r>
    </w:p>
    <w:p w14:paraId="314E3CED" w14:textId="1C6740C7" w:rsidR="0042293E" w:rsidRPr="00382F0B" w:rsidRDefault="0042293E" w:rsidP="00DE1823">
      <w:pPr>
        <w:pStyle w:val="Amendment1"/>
        <w:numPr>
          <w:ilvl w:val="0"/>
          <w:numId w:val="7"/>
        </w:numPr>
        <w:tabs>
          <w:tab w:val="clear" w:pos="794"/>
          <w:tab w:val="num" w:pos="851"/>
        </w:tabs>
        <w:spacing w:line="260" w:lineRule="exact"/>
        <w:ind w:left="851" w:hanging="851"/>
        <w:rPr>
          <w:i/>
          <w:iCs/>
        </w:rPr>
      </w:pPr>
      <w:r w:rsidRPr="00382F0B">
        <w:t>Schedule 1, after entry for Etanercept in the form Injection 50 mg in 1 mL single use-auto injector, 4</w:t>
      </w:r>
      <w:r w:rsidR="003D0079" w:rsidRPr="00382F0B">
        <w:t xml:space="preserve"> </w:t>
      </w:r>
      <w:r w:rsidR="003D0079" w:rsidRPr="00382F0B">
        <w:rPr>
          <w:i/>
          <w:iCs/>
        </w:rPr>
        <w:t xml:space="preserve">[Brand: Enbrel]  </w:t>
      </w:r>
      <w:r w:rsidR="003D0079" w:rsidRPr="00382F0B">
        <w:t xml:space="preserve"> </w:t>
      </w:r>
    </w:p>
    <w:p w14:paraId="675221F6" w14:textId="2AAF4813" w:rsidR="0042293E" w:rsidRPr="00382F0B" w:rsidRDefault="0042293E" w:rsidP="00DE1823">
      <w:pPr>
        <w:pStyle w:val="Amendment1"/>
        <w:tabs>
          <w:tab w:val="clear" w:pos="794"/>
        </w:tabs>
        <w:spacing w:before="60" w:after="60" w:line="260" w:lineRule="exact"/>
        <w:ind w:left="851" w:firstLine="0"/>
        <w:rPr>
          <w:rFonts w:ascii="Times New Roman" w:hAnsi="Times New Roman" w:cs="Times New Roman"/>
          <w:b w:val="0"/>
          <w:bCs w:val="0"/>
          <w:i/>
          <w:iCs/>
        </w:rPr>
      </w:pPr>
      <w:r w:rsidRPr="00382F0B">
        <w:rPr>
          <w:rFonts w:ascii="Times New Roman" w:hAnsi="Times New Roman" w:cs="Times New Roman"/>
          <w:b w:val="0"/>
          <w:bCs w:val="0"/>
          <w:i/>
          <w:iCs/>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42293E" w:rsidRPr="00382F0B" w14:paraId="34AE008E" w14:textId="77777777" w:rsidTr="006F2C2B">
        <w:tc>
          <w:tcPr>
            <w:tcW w:w="1702" w:type="dxa"/>
          </w:tcPr>
          <w:p w14:paraId="5887A7B4" w14:textId="77777777" w:rsidR="0042293E" w:rsidRPr="00382F0B" w:rsidRDefault="0042293E" w:rsidP="00DE1823">
            <w:pPr>
              <w:widowControl w:val="0"/>
              <w:spacing w:before="60" w:after="60" w:line="240" w:lineRule="auto"/>
              <w:rPr>
                <w:rFonts w:ascii="Arial" w:hAnsi="Arial" w:cs="Arial"/>
                <w:sz w:val="16"/>
                <w:szCs w:val="16"/>
              </w:rPr>
            </w:pPr>
          </w:p>
        </w:tc>
        <w:tc>
          <w:tcPr>
            <w:tcW w:w="3402" w:type="dxa"/>
          </w:tcPr>
          <w:p w14:paraId="67397A08" w14:textId="77777777" w:rsidR="0042293E" w:rsidRPr="00382F0B" w:rsidRDefault="0042293E" w:rsidP="00DE1823">
            <w:pPr>
              <w:widowControl w:val="0"/>
              <w:spacing w:before="60" w:after="60" w:line="240" w:lineRule="auto"/>
              <w:rPr>
                <w:rFonts w:ascii="Arial" w:hAnsi="Arial" w:cs="Arial"/>
                <w:sz w:val="16"/>
                <w:szCs w:val="16"/>
              </w:rPr>
            </w:pPr>
          </w:p>
        </w:tc>
        <w:tc>
          <w:tcPr>
            <w:tcW w:w="1417" w:type="dxa"/>
          </w:tcPr>
          <w:p w14:paraId="230B765A" w14:textId="77777777" w:rsidR="0042293E" w:rsidRPr="00382F0B" w:rsidRDefault="0042293E" w:rsidP="00DE1823">
            <w:pPr>
              <w:widowControl w:val="0"/>
              <w:spacing w:before="60" w:after="60" w:line="240" w:lineRule="auto"/>
              <w:rPr>
                <w:rFonts w:ascii="Arial" w:hAnsi="Arial" w:cs="Arial"/>
                <w:sz w:val="16"/>
                <w:szCs w:val="16"/>
              </w:rPr>
            </w:pPr>
          </w:p>
        </w:tc>
        <w:tc>
          <w:tcPr>
            <w:tcW w:w="1701" w:type="dxa"/>
          </w:tcPr>
          <w:p w14:paraId="09C80E53" w14:textId="39045705" w:rsidR="0042293E" w:rsidRPr="00382F0B" w:rsidRDefault="0042293E" w:rsidP="00DE1823">
            <w:pPr>
              <w:widowControl w:val="0"/>
              <w:spacing w:before="60" w:after="60" w:line="240" w:lineRule="auto"/>
              <w:rPr>
                <w:rFonts w:ascii="Arial" w:hAnsi="Arial" w:cs="Arial"/>
                <w:sz w:val="16"/>
                <w:szCs w:val="16"/>
              </w:rPr>
            </w:pPr>
            <w:proofErr w:type="spellStart"/>
            <w:r w:rsidRPr="00382F0B">
              <w:rPr>
                <w:rFonts w:ascii="Arial" w:hAnsi="Arial" w:cs="Arial"/>
                <w:sz w:val="16"/>
                <w:szCs w:val="16"/>
              </w:rPr>
              <w:t>Nepexto</w:t>
            </w:r>
            <w:proofErr w:type="spellEnd"/>
          </w:p>
        </w:tc>
        <w:tc>
          <w:tcPr>
            <w:tcW w:w="1417" w:type="dxa"/>
          </w:tcPr>
          <w:p w14:paraId="5ADA3F65" w14:textId="768B2CDC"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 xml:space="preserve">C9417 C14068 C14070 C14071 </w:t>
            </w:r>
            <w:r w:rsidRPr="00382F0B">
              <w:rPr>
                <w:rFonts w:ascii="Arial" w:hAnsi="Arial" w:cs="Arial"/>
                <w:sz w:val="16"/>
                <w:szCs w:val="16"/>
              </w:rPr>
              <w:lastRenderedPageBreak/>
              <w:t>C14154 C14155</w:t>
            </w:r>
          </w:p>
        </w:tc>
        <w:tc>
          <w:tcPr>
            <w:tcW w:w="1417" w:type="dxa"/>
          </w:tcPr>
          <w:p w14:paraId="01BEFD35" w14:textId="77777777" w:rsidR="0042293E" w:rsidRPr="00382F0B" w:rsidRDefault="0042293E" w:rsidP="00DE1823">
            <w:pPr>
              <w:widowControl w:val="0"/>
              <w:spacing w:before="60" w:after="60" w:line="240" w:lineRule="auto"/>
              <w:rPr>
                <w:rFonts w:ascii="Arial" w:hAnsi="Arial" w:cs="Arial"/>
                <w:sz w:val="16"/>
                <w:szCs w:val="16"/>
              </w:rPr>
            </w:pPr>
          </w:p>
        </w:tc>
        <w:tc>
          <w:tcPr>
            <w:tcW w:w="1417" w:type="dxa"/>
          </w:tcPr>
          <w:p w14:paraId="170482DE" w14:textId="5444F027"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See Schedule 2</w:t>
            </w:r>
          </w:p>
        </w:tc>
        <w:tc>
          <w:tcPr>
            <w:tcW w:w="1417" w:type="dxa"/>
          </w:tcPr>
          <w:p w14:paraId="231D435D" w14:textId="73BDE84C"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See Schedule 2</w:t>
            </w:r>
          </w:p>
        </w:tc>
      </w:tr>
    </w:tbl>
    <w:p w14:paraId="248EC571" w14:textId="760A21F4" w:rsidR="0042293E" w:rsidRPr="00382F0B" w:rsidRDefault="0042293E" w:rsidP="00DE1823">
      <w:pPr>
        <w:pStyle w:val="Amendment1"/>
        <w:numPr>
          <w:ilvl w:val="0"/>
          <w:numId w:val="7"/>
        </w:numPr>
        <w:tabs>
          <w:tab w:val="clear" w:pos="794"/>
          <w:tab w:val="num" w:pos="851"/>
        </w:tabs>
        <w:spacing w:line="260" w:lineRule="exact"/>
        <w:ind w:left="851" w:hanging="851"/>
        <w:rPr>
          <w:i/>
          <w:iCs/>
        </w:rPr>
      </w:pPr>
      <w:r w:rsidRPr="00382F0B">
        <w:t xml:space="preserve">Schedule 1, after entry for Maraviroc in the form Tablet 300 mg </w:t>
      </w:r>
      <w:r w:rsidRPr="00382F0B">
        <w:rPr>
          <w:i/>
          <w:iCs/>
        </w:rPr>
        <w:t xml:space="preserve">[Brand: </w:t>
      </w:r>
      <w:r w:rsidRPr="00382F0B">
        <w:rPr>
          <w:i/>
          <w:iCs/>
          <w:lang w:val="en-US"/>
        </w:rPr>
        <w:t xml:space="preserve">Maraviroc </w:t>
      </w:r>
      <w:proofErr w:type="spellStart"/>
      <w:r w:rsidRPr="00382F0B">
        <w:rPr>
          <w:i/>
          <w:iCs/>
          <w:lang w:val="en-US"/>
        </w:rPr>
        <w:t>Waymade</w:t>
      </w:r>
      <w:proofErr w:type="spellEnd"/>
      <w:r w:rsidRPr="00382F0B">
        <w:rPr>
          <w:i/>
          <w:iCs/>
          <w:lang w:val="en-US"/>
        </w:rPr>
        <w:t>]</w:t>
      </w:r>
    </w:p>
    <w:p w14:paraId="143950AD" w14:textId="77777777" w:rsidR="0042293E" w:rsidRPr="00382F0B" w:rsidRDefault="0042293E" w:rsidP="00DE1823">
      <w:pPr>
        <w:pStyle w:val="Amendment1"/>
        <w:tabs>
          <w:tab w:val="clear" w:pos="794"/>
        </w:tabs>
        <w:spacing w:before="60" w:after="60" w:line="260" w:lineRule="exact"/>
        <w:ind w:left="851" w:firstLine="0"/>
        <w:rPr>
          <w:rFonts w:ascii="Times New Roman" w:hAnsi="Times New Roman" w:cs="Times New Roman"/>
          <w:b w:val="0"/>
          <w:bCs w:val="0"/>
          <w:i/>
          <w:iCs/>
        </w:rPr>
      </w:pPr>
      <w:r w:rsidRPr="00382F0B">
        <w:rPr>
          <w:rFonts w:ascii="Times New Roman" w:hAnsi="Times New Roman" w:cs="Times New Roman"/>
          <w:b w:val="0"/>
          <w:bCs w:val="0"/>
          <w:i/>
          <w:iCs/>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42293E" w:rsidRPr="00382F0B" w14:paraId="343E047D" w14:textId="77777777" w:rsidTr="00CF2A42">
        <w:tc>
          <w:tcPr>
            <w:tcW w:w="1702" w:type="dxa"/>
          </w:tcPr>
          <w:p w14:paraId="5C198526" w14:textId="6ABB55C3" w:rsidR="0042293E" w:rsidRPr="00382F0B" w:rsidRDefault="0042293E" w:rsidP="00DE1823">
            <w:pPr>
              <w:widowControl w:val="0"/>
              <w:spacing w:before="60" w:after="60" w:line="240" w:lineRule="auto"/>
              <w:rPr>
                <w:rFonts w:ascii="Arial" w:hAnsi="Arial" w:cs="Arial"/>
                <w:sz w:val="16"/>
                <w:szCs w:val="16"/>
              </w:rPr>
            </w:pPr>
            <w:proofErr w:type="spellStart"/>
            <w:r w:rsidRPr="00382F0B">
              <w:rPr>
                <w:rFonts w:ascii="Arial" w:hAnsi="Arial" w:cs="Arial"/>
                <w:sz w:val="16"/>
                <w:szCs w:val="16"/>
              </w:rPr>
              <w:t>Maribavir</w:t>
            </w:r>
            <w:proofErr w:type="spellEnd"/>
          </w:p>
        </w:tc>
        <w:tc>
          <w:tcPr>
            <w:tcW w:w="3402" w:type="dxa"/>
          </w:tcPr>
          <w:p w14:paraId="5A15F777" w14:textId="2FD5FB2C"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Tablet 200 mg</w:t>
            </w:r>
          </w:p>
        </w:tc>
        <w:tc>
          <w:tcPr>
            <w:tcW w:w="1417" w:type="dxa"/>
          </w:tcPr>
          <w:p w14:paraId="17C38951" w14:textId="3F119EF3"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Oral</w:t>
            </w:r>
          </w:p>
        </w:tc>
        <w:tc>
          <w:tcPr>
            <w:tcW w:w="1701" w:type="dxa"/>
          </w:tcPr>
          <w:p w14:paraId="4377B048" w14:textId="220BB38F" w:rsidR="0042293E" w:rsidRPr="00382F0B" w:rsidRDefault="0042293E" w:rsidP="00DE1823">
            <w:pPr>
              <w:widowControl w:val="0"/>
              <w:spacing w:before="60" w:after="60" w:line="240" w:lineRule="auto"/>
              <w:rPr>
                <w:rFonts w:ascii="Arial" w:hAnsi="Arial" w:cs="Arial"/>
                <w:sz w:val="16"/>
                <w:szCs w:val="16"/>
              </w:rPr>
            </w:pPr>
            <w:proofErr w:type="spellStart"/>
            <w:r w:rsidRPr="00382F0B">
              <w:rPr>
                <w:rFonts w:ascii="Arial" w:hAnsi="Arial" w:cs="Arial"/>
                <w:sz w:val="16"/>
                <w:szCs w:val="16"/>
              </w:rPr>
              <w:t>Livtencity</w:t>
            </w:r>
            <w:proofErr w:type="spellEnd"/>
          </w:p>
        </w:tc>
        <w:tc>
          <w:tcPr>
            <w:tcW w:w="1417" w:type="dxa"/>
          </w:tcPr>
          <w:p w14:paraId="61B29B69" w14:textId="35F44247"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C16735 C16806</w:t>
            </w:r>
          </w:p>
        </w:tc>
        <w:tc>
          <w:tcPr>
            <w:tcW w:w="1417" w:type="dxa"/>
          </w:tcPr>
          <w:p w14:paraId="1C010282" w14:textId="77777777" w:rsidR="0042293E" w:rsidRPr="00382F0B" w:rsidRDefault="0042293E" w:rsidP="00DE1823">
            <w:pPr>
              <w:widowControl w:val="0"/>
              <w:spacing w:before="60" w:after="60" w:line="240" w:lineRule="auto"/>
              <w:rPr>
                <w:rFonts w:ascii="Arial" w:hAnsi="Arial" w:cs="Arial"/>
                <w:sz w:val="16"/>
                <w:szCs w:val="16"/>
              </w:rPr>
            </w:pPr>
          </w:p>
        </w:tc>
        <w:tc>
          <w:tcPr>
            <w:tcW w:w="1417" w:type="dxa"/>
          </w:tcPr>
          <w:p w14:paraId="6DC9F643" w14:textId="769F62A6"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112</w:t>
            </w:r>
          </w:p>
        </w:tc>
        <w:tc>
          <w:tcPr>
            <w:tcW w:w="1417" w:type="dxa"/>
          </w:tcPr>
          <w:p w14:paraId="77F95BA7" w14:textId="5B9877BC"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rPr>
              <w:t>1</w:t>
            </w:r>
          </w:p>
        </w:tc>
      </w:tr>
    </w:tbl>
    <w:p w14:paraId="116FF700" w14:textId="20070597" w:rsidR="0042293E" w:rsidRPr="00382F0B" w:rsidRDefault="0042293E" w:rsidP="00DE1823">
      <w:pPr>
        <w:pStyle w:val="Amendment1"/>
        <w:numPr>
          <w:ilvl w:val="0"/>
          <w:numId w:val="7"/>
        </w:numPr>
        <w:tabs>
          <w:tab w:val="clear" w:pos="794"/>
          <w:tab w:val="num" w:pos="851"/>
        </w:tabs>
        <w:spacing w:line="260" w:lineRule="exact"/>
        <w:ind w:left="851" w:hanging="851"/>
        <w:rPr>
          <w:i/>
          <w:iCs/>
        </w:rPr>
      </w:pPr>
      <w:r w:rsidRPr="00382F0B">
        <w:t>Schedule 1, entry for Sevelamer in the form Tablet containing sevelamer carbonate 800 mg</w:t>
      </w:r>
    </w:p>
    <w:p w14:paraId="0F637E37" w14:textId="74F68C97" w:rsidR="0042293E" w:rsidRPr="00382F0B" w:rsidRDefault="0042293E" w:rsidP="00DE1823">
      <w:pPr>
        <w:pStyle w:val="Amendment1"/>
        <w:tabs>
          <w:tab w:val="clear" w:pos="794"/>
        </w:tabs>
        <w:spacing w:before="60" w:after="60" w:line="260" w:lineRule="exact"/>
        <w:ind w:left="851" w:firstLine="0"/>
        <w:rPr>
          <w:rFonts w:ascii="Times New Roman" w:hAnsi="Times New Roman" w:cs="Times New Roman"/>
          <w:b w:val="0"/>
          <w:bCs w:val="0"/>
          <w:i/>
          <w:iCs/>
        </w:rPr>
      </w:pPr>
      <w:r w:rsidRPr="00382F0B">
        <w:rPr>
          <w:rFonts w:ascii="Times New Roman" w:hAnsi="Times New Roman" w:cs="Times New Roman"/>
          <w:b w:val="0"/>
          <w:bCs w:val="0"/>
          <w:i/>
          <w:iCs/>
        </w:rPr>
        <w:t>omit: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42293E" w:rsidRPr="00382F0B" w14:paraId="6564323C" w14:textId="77777777" w:rsidTr="00CF2A42">
        <w:tc>
          <w:tcPr>
            <w:tcW w:w="1702" w:type="dxa"/>
          </w:tcPr>
          <w:p w14:paraId="76EDB4D5" w14:textId="2FF251AA" w:rsidR="0042293E" w:rsidRPr="00382F0B" w:rsidRDefault="0042293E" w:rsidP="00DE1823">
            <w:pPr>
              <w:widowControl w:val="0"/>
              <w:spacing w:before="60" w:after="60" w:line="240" w:lineRule="auto"/>
              <w:rPr>
                <w:rFonts w:ascii="Arial" w:hAnsi="Arial" w:cs="Arial"/>
                <w:sz w:val="16"/>
                <w:szCs w:val="16"/>
              </w:rPr>
            </w:pPr>
          </w:p>
        </w:tc>
        <w:tc>
          <w:tcPr>
            <w:tcW w:w="3402" w:type="dxa"/>
          </w:tcPr>
          <w:p w14:paraId="183F39B4" w14:textId="05913D89" w:rsidR="0042293E" w:rsidRPr="00382F0B" w:rsidRDefault="0042293E" w:rsidP="00DE1823">
            <w:pPr>
              <w:widowControl w:val="0"/>
              <w:spacing w:before="60" w:after="60" w:line="240" w:lineRule="auto"/>
              <w:rPr>
                <w:rFonts w:ascii="Arial" w:hAnsi="Arial" w:cs="Arial"/>
                <w:sz w:val="16"/>
                <w:szCs w:val="16"/>
              </w:rPr>
            </w:pPr>
          </w:p>
        </w:tc>
        <w:tc>
          <w:tcPr>
            <w:tcW w:w="1417" w:type="dxa"/>
          </w:tcPr>
          <w:p w14:paraId="4C957EA3" w14:textId="248E63A4" w:rsidR="0042293E" w:rsidRPr="00382F0B" w:rsidRDefault="0042293E" w:rsidP="00DE1823">
            <w:pPr>
              <w:widowControl w:val="0"/>
              <w:spacing w:before="60" w:after="60" w:line="240" w:lineRule="auto"/>
              <w:rPr>
                <w:rFonts w:ascii="Arial" w:hAnsi="Arial" w:cs="Arial"/>
                <w:sz w:val="16"/>
                <w:szCs w:val="16"/>
              </w:rPr>
            </w:pPr>
          </w:p>
        </w:tc>
        <w:tc>
          <w:tcPr>
            <w:tcW w:w="1701" w:type="dxa"/>
          </w:tcPr>
          <w:p w14:paraId="1E2821A9" w14:textId="2145445A"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 xml:space="preserve">Sevelamer </w:t>
            </w:r>
            <w:proofErr w:type="spellStart"/>
            <w:r w:rsidRPr="00382F0B">
              <w:rPr>
                <w:rFonts w:ascii="Arial" w:hAnsi="Arial" w:cs="Arial"/>
                <w:sz w:val="16"/>
                <w:szCs w:val="16"/>
              </w:rPr>
              <w:t>Apotex</w:t>
            </w:r>
            <w:proofErr w:type="spellEnd"/>
          </w:p>
        </w:tc>
        <w:tc>
          <w:tcPr>
            <w:tcW w:w="1417" w:type="dxa"/>
          </w:tcPr>
          <w:p w14:paraId="04A02032" w14:textId="795C079C"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C5530 C9762</w:t>
            </w:r>
          </w:p>
        </w:tc>
        <w:tc>
          <w:tcPr>
            <w:tcW w:w="1417" w:type="dxa"/>
          </w:tcPr>
          <w:p w14:paraId="0DFFE2CD" w14:textId="77777777" w:rsidR="0042293E" w:rsidRPr="00382F0B" w:rsidRDefault="0042293E" w:rsidP="00DE1823">
            <w:pPr>
              <w:widowControl w:val="0"/>
              <w:spacing w:before="60" w:after="60" w:line="240" w:lineRule="auto"/>
              <w:rPr>
                <w:rFonts w:ascii="Arial" w:hAnsi="Arial" w:cs="Arial"/>
                <w:sz w:val="16"/>
                <w:szCs w:val="16"/>
              </w:rPr>
            </w:pPr>
          </w:p>
        </w:tc>
        <w:tc>
          <w:tcPr>
            <w:tcW w:w="1417" w:type="dxa"/>
          </w:tcPr>
          <w:p w14:paraId="2CAC94A3" w14:textId="5A9CE07C"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360</w:t>
            </w:r>
          </w:p>
        </w:tc>
        <w:tc>
          <w:tcPr>
            <w:tcW w:w="1417" w:type="dxa"/>
          </w:tcPr>
          <w:p w14:paraId="73CEF399" w14:textId="4F5CD5C7" w:rsidR="0042293E" w:rsidRPr="00382F0B" w:rsidRDefault="0042293E" w:rsidP="00DE1823">
            <w:pPr>
              <w:widowControl w:val="0"/>
              <w:spacing w:before="60" w:after="60" w:line="240" w:lineRule="auto"/>
              <w:rPr>
                <w:rFonts w:ascii="Arial" w:hAnsi="Arial" w:cs="Arial"/>
                <w:sz w:val="16"/>
                <w:szCs w:val="16"/>
              </w:rPr>
            </w:pPr>
            <w:r w:rsidRPr="00382F0B">
              <w:rPr>
                <w:rFonts w:ascii="Arial" w:hAnsi="Arial" w:cs="Arial"/>
                <w:sz w:val="16"/>
                <w:szCs w:val="16"/>
              </w:rPr>
              <w:t>5</w:t>
            </w:r>
          </w:p>
        </w:tc>
      </w:tr>
    </w:tbl>
    <w:p w14:paraId="26A016C1" w14:textId="27EC574C" w:rsidR="0042293E" w:rsidRPr="00382F0B" w:rsidRDefault="0042293E" w:rsidP="00DE1823">
      <w:pPr>
        <w:pStyle w:val="Amendment1"/>
        <w:numPr>
          <w:ilvl w:val="0"/>
          <w:numId w:val="7"/>
        </w:numPr>
        <w:tabs>
          <w:tab w:val="clear" w:pos="794"/>
          <w:tab w:val="num" w:pos="851"/>
        </w:tabs>
        <w:spacing w:line="260" w:lineRule="exact"/>
        <w:ind w:left="851" w:hanging="851"/>
        <w:rPr>
          <w:i/>
          <w:iCs/>
        </w:rPr>
      </w:pPr>
      <w:r w:rsidRPr="00382F0B">
        <w:t xml:space="preserve">Schedule 2, entry for </w:t>
      </w:r>
      <w:proofErr w:type="spellStart"/>
      <w:r w:rsidRPr="00382F0B">
        <w:t>Anifrolumab</w:t>
      </w:r>
      <w:proofErr w:type="spellEnd"/>
    </w:p>
    <w:p w14:paraId="6695A155" w14:textId="7D235B85" w:rsidR="0042293E" w:rsidRPr="00382F0B" w:rsidRDefault="0042293E" w:rsidP="00DE1823">
      <w:pPr>
        <w:pStyle w:val="Amendment1"/>
        <w:tabs>
          <w:tab w:val="clear" w:pos="794"/>
        </w:tabs>
        <w:spacing w:before="60" w:after="60" w:line="260" w:lineRule="exact"/>
        <w:ind w:left="851" w:firstLine="0"/>
      </w:pPr>
      <w:r w:rsidRPr="00382F0B">
        <w:rPr>
          <w:rFonts w:ascii="Times New Roman" w:hAnsi="Times New Roman" w:cs="Times New Roman"/>
          <w:b w:val="0"/>
          <w:bCs w:val="0"/>
          <w:i/>
          <w:iCs/>
        </w:rPr>
        <w:t xml:space="preserve">omit from the column headed “Circumstances”: </w:t>
      </w:r>
      <w:r w:rsidRPr="00382F0B">
        <w:t>C15426</w:t>
      </w:r>
    </w:p>
    <w:p w14:paraId="7013DF2C" w14:textId="5C04CCA8" w:rsidR="0042293E" w:rsidRPr="00382F0B" w:rsidRDefault="0042293E" w:rsidP="00DE1823">
      <w:pPr>
        <w:pStyle w:val="Amendment1"/>
        <w:numPr>
          <w:ilvl w:val="0"/>
          <w:numId w:val="7"/>
        </w:numPr>
        <w:tabs>
          <w:tab w:val="clear" w:pos="794"/>
          <w:tab w:val="num" w:pos="851"/>
        </w:tabs>
        <w:spacing w:line="260" w:lineRule="exact"/>
        <w:ind w:left="851" w:hanging="851"/>
        <w:rPr>
          <w:i/>
          <w:iCs/>
        </w:rPr>
      </w:pPr>
      <w:r w:rsidRPr="00382F0B">
        <w:t xml:space="preserve">Schedule 2, entry for </w:t>
      </w:r>
      <w:proofErr w:type="spellStart"/>
      <w:r w:rsidRPr="00382F0B">
        <w:t>Elexacaftor</w:t>
      </w:r>
      <w:proofErr w:type="spellEnd"/>
      <w:r w:rsidRPr="00382F0B">
        <w:t xml:space="preserve"> with </w:t>
      </w:r>
      <w:proofErr w:type="spellStart"/>
      <w:r w:rsidRPr="00382F0B">
        <w:t>tezacaftor</w:t>
      </w:r>
      <w:proofErr w:type="spellEnd"/>
      <w:r w:rsidRPr="00382F0B">
        <w:t xml:space="preserve"> and with ivacaftor, and ivacaftor</w:t>
      </w:r>
    </w:p>
    <w:p w14:paraId="45657E0A" w14:textId="27FCAE97" w:rsidR="0042293E" w:rsidRPr="00382F0B" w:rsidRDefault="0042293E" w:rsidP="00DE1823">
      <w:pPr>
        <w:pStyle w:val="Amendment1"/>
        <w:tabs>
          <w:tab w:val="clear" w:pos="794"/>
          <w:tab w:val="left" w:pos="9923"/>
        </w:tabs>
        <w:spacing w:before="60" w:after="60" w:line="260" w:lineRule="exact"/>
        <w:ind w:left="851" w:firstLine="0"/>
      </w:pPr>
      <w:r w:rsidRPr="00382F0B">
        <w:rPr>
          <w:rFonts w:ascii="Times New Roman" w:hAnsi="Times New Roman" w:cs="Times New Roman"/>
          <w:b w:val="0"/>
          <w:bCs w:val="0"/>
          <w:i/>
          <w:iCs/>
        </w:rPr>
        <w:t xml:space="preserve">omit from the column headed “Circumstances”: </w:t>
      </w:r>
      <w:r w:rsidRPr="00382F0B">
        <w:t>C13932 C13962 C13980 C13991 C15482 C15511</w:t>
      </w:r>
      <w:r w:rsidRPr="00382F0B">
        <w:rPr>
          <w:rFonts w:ascii="Times New Roman" w:hAnsi="Times New Roman" w:cs="Times New Roman"/>
          <w:b w:val="0"/>
          <w:bCs w:val="0"/>
          <w:i/>
          <w:iCs/>
        </w:rPr>
        <w:tab/>
        <w:t xml:space="preserve">substitute: </w:t>
      </w:r>
      <w:r w:rsidRPr="00382F0B">
        <w:t>C16703 C16704 C16706 C16734 C16799 C16800</w:t>
      </w:r>
    </w:p>
    <w:p w14:paraId="224FC40F" w14:textId="15A2A34F" w:rsidR="00206D12" w:rsidRPr="00382F0B" w:rsidRDefault="00030014" w:rsidP="00DE1823">
      <w:pPr>
        <w:pStyle w:val="Amendment1"/>
        <w:numPr>
          <w:ilvl w:val="0"/>
          <w:numId w:val="7"/>
        </w:numPr>
        <w:tabs>
          <w:tab w:val="clear" w:pos="794"/>
          <w:tab w:val="num" w:pos="851"/>
        </w:tabs>
        <w:spacing w:line="260" w:lineRule="exact"/>
        <w:ind w:left="851" w:hanging="851"/>
        <w:rPr>
          <w:i/>
          <w:iCs/>
        </w:rPr>
      </w:pPr>
      <w:r w:rsidRPr="00382F0B">
        <w:t xml:space="preserve">Schedule 3, entry for </w:t>
      </w:r>
      <w:proofErr w:type="spellStart"/>
      <w:r w:rsidRPr="00382F0B">
        <w:t>Anifrolumab</w:t>
      </w:r>
      <w:proofErr w:type="spellEnd"/>
    </w:p>
    <w:p w14:paraId="7046D24B" w14:textId="731E1644" w:rsidR="001C01FB" w:rsidRPr="00382F0B" w:rsidRDefault="001C01FB" w:rsidP="00DE1823">
      <w:pPr>
        <w:pStyle w:val="Amendment1"/>
        <w:tabs>
          <w:tab w:val="clear" w:pos="794"/>
        </w:tabs>
        <w:spacing w:before="60" w:after="60" w:line="260" w:lineRule="exact"/>
        <w:ind w:left="851" w:firstLine="0"/>
        <w:rPr>
          <w:rFonts w:ascii="Times New Roman" w:hAnsi="Times New Roman" w:cs="Times New Roman"/>
          <w:b w:val="0"/>
          <w:bCs w:val="0"/>
          <w:i/>
          <w:iCs/>
        </w:rPr>
      </w:pPr>
      <w:r w:rsidRPr="00382F0B">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1C01FB" w:rsidRPr="00382F0B" w14:paraId="3B4D4B25" w14:textId="77777777" w:rsidTr="00CF2A42">
        <w:tc>
          <w:tcPr>
            <w:tcW w:w="1854" w:type="dxa"/>
            <w:tcBorders>
              <w:top w:val="single" w:sz="4" w:space="0" w:color="auto"/>
              <w:left w:val="single" w:sz="4" w:space="0" w:color="auto"/>
              <w:bottom w:val="single" w:sz="4" w:space="0" w:color="auto"/>
              <w:right w:val="single" w:sz="4" w:space="0" w:color="auto"/>
            </w:tcBorders>
          </w:tcPr>
          <w:p w14:paraId="67FE82E0" w14:textId="70189887" w:rsidR="001C01FB" w:rsidRPr="00382F0B" w:rsidRDefault="001C01FB" w:rsidP="00DE182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29EFCBE1" w14:textId="789C627A" w:rsidR="001C01FB" w:rsidRPr="00382F0B" w:rsidRDefault="001C01FB" w:rsidP="00DE1823">
            <w:pPr>
              <w:pStyle w:val="mps3-data"/>
              <w:widowControl w:val="0"/>
              <w:rPr>
                <w:szCs w:val="16"/>
              </w:rPr>
            </w:pPr>
            <w:r w:rsidRPr="00382F0B">
              <w:rPr>
                <w:szCs w:val="16"/>
              </w:rPr>
              <w:t>C15426</w:t>
            </w:r>
          </w:p>
        </w:tc>
        <w:tc>
          <w:tcPr>
            <w:tcW w:w="1094" w:type="dxa"/>
            <w:tcBorders>
              <w:top w:val="single" w:sz="4" w:space="0" w:color="auto"/>
              <w:left w:val="single" w:sz="4" w:space="0" w:color="auto"/>
              <w:bottom w:val="single" w:sz="4" w:space="0" w:color="auto"/>
              <w:right w:val="single" w:sz="4" w:space="0" w:color="auto"/>
            </w:tcBorders>
          </w:tcPr>
          <w:p w14:paraId="6F6D3DEB" w14:textId="77964C01" w:rsidR="001C01FB" w:rsidRPr="00382F0B" w:rsidRDefault="001C01FB"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227AE453"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Systemic lupus erythematosus</w:t>
            </w:r>
          </w:p>
          <w:p w14:paraId="5F95FD52"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Transitioning from non-PBS to PBS-subsidised supply - Grandfather arrangements</w:t>
            </w:r>
          </w:p>
          <w:p w14:paraId="18242356"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Patient must have received non-PBS-subsidised treatment with this drug for this PBS indication prior to 1 July 2024; AND</w:t>
            </w:r>
          </w:p>
          <w:p w14:paraId="3D6C46FA"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Patient must have had a confirmed and documented diagnosis of systemic lupus erythematosus (SLE) according to the American College of Rheumatology (ACR)/European League Against Rheumatism (EULAR) SLE Classification Criteria 2019 prior to commencing therapy with this drug for this condition; AND</w:t>
            </w:r>
          </w:p>
          <w:p w14:paraId="7DEBA927"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Patient must have had persistent disease activity as supported by a SLE Disease Activity Index 2000 (SLEDAI-2K) score of at least 10 points prior to commencing therapy with this drug for this condition; AND</w:t>
            </w:r>
          </w:p>
          <w:p w14:paraId="54C5302F"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Patient must have been receiving hydroxychloroquine for at least 12 weeks prior to commencing therapy with this drug for this condition; AND</w:t>
            </w:r>
          </w:p>
          <w:p w14:paraId="2BD64E05"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Patient must have been receiving immunosuppressant medication for at least 12 weeks with either (</w:t>
            </w:r>
            <w:proofErr w:type="spellStart"/>
            <w:r w:rsidRPr="00382F0B">
              <w:rPr>
                <w:rFonts w:ascii="Arial" w:hAnsi="Arial" w:cs="Arial"/>
                <w:sz w:val="16"/>
                <w:szCs w:val="16"/>
              </w:rPr>
              <w:t>i</w:t>
            </w:r>
            <w:proofErr w:type="spellEnd"/>
            <w:r w:rsidRPr="00382F0B">
              <w:rPr>
                <w:rFonts w:ascii="Arial" w:hAnsi="Arial" w:cs="Arial"/>
                <w:sz w:val="16"/>
                <w:szCs w:val="16"/>
              </w:rPr>
              <w:t xml:space="preserve">) minimum dose of methotrexate 20 mg per week (ii) azathioprine 100 mg per day </w:t>
            </w:r>
            <w:r w:rsidRPr="00382F0B">
              <w:rPr>
                <w:rFonts w:ascii="Arial" w:hAnsi="Arial" w:cs="Arial"/>
                <w:sz w:val="16"/>
                <w:szCs w:val="16"/>
              </w:rPr>
              <w:lastRenderedPageBreak/>
              <w:t>(iii)mycophenolate 1,000 mg per day, prior to commencing therapy with this drug for this condition unless contraindicated/intolerant necessitating treatment withdrawal; AND</w:t>
            </w:r>
          </w:p>
          <w:p w14:paraId="577BF294"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Patient must have been receiving prednisolone or equivalent of at least 7.5 mg per day for at least 4 weeks prior to commencing therapy with this drug for this condition unless contraindicated/intolerant necessitating treatment withdrawal; AND</w:t>
            </w:r>
          </w:p>
          <w:p w14:paraId="4915ECA9"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Patient must not have either: (</w:t>
            </w:r>
            <w:proofErr w:type="spellStart"/>
            <w:r w:rsidRPr="00382F0B">
              <w:rPr>
                <w:rFonts w:ascii="Arial" w:hAnsi="Arial" w:cs="Arial"/>
                <w:sz w:val="16"/>
                <w:szCs w:val="16"/>
              </w:rPr>
              <w:t>i</w:t>
            </w:r>
            <w:proofErr w:type="spellEnd"/>
            <w:r w:rsidRPr="00382F0B">
              <w:rPr>
                <w:rFonts w:ascii="Arial" w:hAnsi="Arial" w:cs="Arial"/>
                <w:sz w:val="16"/>
                <w:szCs w:val="16"/>
              </w:rPr>
              <w:t>) severe active lupus nephritis, (ii) severe active central nervous system systemic lupus erythematosus.</w:t>
            </w:r>
          </w:p>
          <w:p w14:paraId="6924E184"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Must be treated by a specialist physician experienced in the management of this condition.</w:t>
            </w:r>
          </w:p>
          <w:p w14:paraId="46EC61CA"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If prednisolone or equivalent is contraindicated according to the Therapeutic Goods Administration (TGA)-approved Product Information or cannot be tolerated of at least 7.5 mg per day, the patient must have received at least 12 weeks of continuous treatment with each of at least 2 of the following: (</w:t>
            </w:r>
            <w:proofErr w:type="spellStart"/>
            <w:r w:rsidRPr="00382F0B">
              <w:rPr>
                <w:rFonts w:ascii="Arial" w:hAnsi="Arial" w:cs="Arial"/>
                <w:sz w:val="16"/>
                <w:szCs w:val="16"/>
              </w:rPr>
              <w:t>i</w:t>
            </w:r>
            <w:proofErr w:type="spellEnd"/>
            <w:r w:rsidRPr="00382F0B">
              <w:rPr>
                <w:rFonts w:ascii="Arial" w:hAnsi="Arial" w:cs="Arial"/>
                <w:sz w:val="16"/>
                <w:szCs w:val="16"/>
              </w:rPr>
              <w:t>) hydroxychloroquine; (ii) methotrexate at a dose of at least 20 mg per week; (iii) azathioprine at a dose of at least 100 mg per day; (iv) mycophenolate at a dose of at least 1,000 mg per day.</w:t>
            </w:r>
          </w:p>
          <w:p w14:paraId="75705E3E"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Where two of: (</w:t>
            </w:r>
            <w:proofErr w:type="spellStart"/>
            <w:r w:rsidRPr="00382F0B">
              <w:rPr>
                <w:rFonts w:ascii="Arial" w:hAnsi="Arial" w:cs="Arial"/>
                <w:sz w:val="16"/>
                <w:szCs w:val="16"/>
              </w:rPr>
              <w:t>i</w:t>
            </w:r>
            <w:proofErr w:type="spellEnd"/>
            <w:r w:rsidRPr="00382F0B">
              <w:rPr>
                <w:rFonts w:ascii="Arial" w:hAnsi="Arial" w:cs="Arial"/>
                <w:sz w:val="16"/>
                <w:szCs w:val="16"/>
              </w:rPr>
              <w:t>) hydroxychloroquine; (ii) methotrexate at a dose of at least 20 mg per week; or (iii) azathioprine at a dose of at least 100 mg per day; (iv) mycophenolate at a dose of at least 1,000 mg per day, are either contraindicated according to the relevant TGA-approved Product Information or cannot be tolerated at the doses specified above in addition to having a contraindication or intolerance to prednisolone or equivalent: at least one of the remaining tolerated therapies must be trialled at a minimum dose as mentioned above.</w:t>
            </w:r>
          </w:p>
          <w:p w14:paraId="72DC64E2"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If the patient has a contraindication/severe intolerance to each of: (</w:t>
            </w:r>
            <w:proofErr w:type="spellStart"/>
            <w:r w:rsidRPr="00382F0B">
              <w:rPr>
                <w:rFonts w:ascii="Arial" w:hAnsi="Arial" w:cs="Arial"/>
                <w:sz w:val="16"/>
                <w:szCs w:val="16"/>
              </w:rPr>
              <w:t>i</w:t>
            </w:r>
            <w:proofErr w:type="spellEnd"/>
            <w:r w:rsidRPr="00382F0B">
              <w:rPr>
                <w:rFonts w:ascii="Arial" w:hAnsi="Arial" w:cs="Arial"/>
                <w:sz w:val="16"/>
                <w:szCs w:val="16"/>
              </w:rPr>
              <w:t>) prednisolone or equivalent of at least 7.5 mg per day; (ii) hydroxychloroquine; (iii) methotrexate at a dose of at least 20 mg per week; (iv) azathioprine at a dose of at least 100 mg per day; (v) mycophenolate at a dose of at least 1,000 mg per day; in such cases, provide details for each of the contraindications/severe intolerances claimed in the authority application.</w:t>
            </w:r>
          </w:p>
          <w:p w14:paraId="0C1735C1"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The authority application must be made in writing via HPOS form upload or mail and must include:</w:t>
            </w:r>
          </w:p>
          <w:p w14:paraId="7175E622"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 xml:space="preserve">(a) details of the ACR/EULAR SLE Classification Criteria 2019 confirming diagnosis of </w:t>
            </w:r>
            <w:proofErr w:type="gramStart"/>
            <w:r w:rsidRPr="00382F0B">
              <w:rPr>
                <w:rFonts w:ascii="Arial" w:hAnsi="Arial" w:cs="Arial"/>
                <w:sz w:val="16"/>
                <w:szCs w:val="16"/>
              </w:rPr>
              <w:t>SLE;</w:t>
            </w:r>
            <w:proofErr w:type="gramEnd"/>
          </w:p>
          <w:p w14:paraId="530A88F5"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 xml:space="preserve">(b) details (date and score) of the completed SLEDAI-2K score </w:t>
            </w:r>
            <w:proofErr w:type="gramStart"/>
            <w:r w:rsidRPr="00382F0B">
              <w:rPr>
                <w:rFonts w:ascii="Arial" w:hAnsi="Arial" w:cs="Arial"/>
                <w:sz w:val="16"/>
                <w:szCs w:val="16"/>
              </w:rPr>
              <w:t>sheet;</w:t>
            </w:r>
            <w:proofErr w:type="gramEnd"/>
          </w:p>
          <w:p w14:paraId="5634FA57"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 xml:space="preserve">(c) details of current systemic therapy used (dosage, date of commencement and duration of therapy including prior </w:t>
            </w:r>
            <w:proofErr w:type="spellStart"/>
            <w:r w:rsidRPr="00382F0B">
              <w:rPr>
                <w:rFonts w:ascii="Arial" w:hAnsi="Arial" w:cs="Arial"/>
                <w:sz w:val="16"/>
                <w:szCs w:val="16"/>
              </w:rPr>
              <w:t>anifrolumab</w:t>
            </w:r>
            <w:proofErr w:type="spellEnd"/>
            <w:r w:rsidRPr="00382F0B">
              <w:rPr>
                <w:rFonts w:ascii="Arial" w:hAnsi="Arial" w:cs="Arial"/>
                <w:sz w:val="16"/>
                <w:szCs w:val="16"/>
              </w:rPr>
              <w:t xml:space="preserve"> use</w:t>
            </w:r>
            <w:proofErr w:type="gramStart"/>
            <w:r w:rsidRPr="00382F0B">
              <w:rPr>
                <w:rFonts w:ascii="Arial" w:hAnsi="Arial" w:cs="Arial"/>
                <w:sz w:val="16"/>
                <w:szCs w:val="16"/>
              </w:rPr>
              <w:t>);</w:t>
            </w:r>
            <w:proofErr w:type="gramEnd"/>
          </w:p>
          <w:p w14:paraId="4974C58E"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(d) details of contraindication/intolerances to prior therapies (drug name, the degree of toxicity and dose).</w:t>
            </w:r>
          </w:p>
          <w:p w14:paraId="1FCBAC48"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All the reports must be documented in the patient's medical records.</w:t>
            </w:r>
          </w:p>
          <w:p w14:paraId="639D1BDF"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If the application is submitted through HPOS form upload or mail, it must include:</w:t>
            </w:r>
          </w:p>
          <w:p w14:paraId="1D43326D"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w:t>
            </w:r>
            <w:proofErr w:type="spellStart"/>
            <w:r w:rsidRPr="00382F0B">
              <w:rPr>
                <w:rFonts w:ascii="Arial" w:hAnsi="Arial" w:cs="Arial"/>
                <w:sz w:val="16"/>
                <w:szCs w:val="16"/>
              </w:rPr>
              <w:t>i</w:t>
            </w:r>
            <w:proofErr w:type="spellEnd"/>
            <w:r w:rsidRPr="00382F0B">
              <w:rPr>
                <w:rFonts w:ascii="Arial" w:hAnsi="Arial" w:cs="Arial"/>
                <w:sz w:val="16"/>
                <w:szCs w:val="16"/>
              </w:rPr>
              <w:t>) A completed authority prescription form; and</w:t>
            </w:r>
          </w:p>
          <w:p w14:paraId="35F22F1A" w14:textId="77777777" w:rsidR="001C01FB" w:rsidRPr="00382F0B" w:rsidRDefault="001C01FB" w:rsidP="00DE1823">
            <w:pPr>
              <w:widowControl w:val="0"/>
              <w:spacing w:before="60" w:after="60" w:line="240" w:lineRule="auto"/>
              <w:rPr>
                <w:szCs w:val="16"/>
              </w:rPr>
            </w:pPr>
            <w:r w:rsidRPr="00382F0B">
              <w:rPr>
                <w:rFonts w:ascii="Arial" w:hAnsi="Arial" w:cs="Arial"/>
                <w:sz w:val="16"/>
                <w:szCs w:val="16"/>
              </w:rPr>
              <w:t>(ii) A completed authority application form relevant to the indication and treatment phase (the latest version is located on the website specified in the Administrative Advice).</w:t>
            </w:r>
          </w:p>
          <w:p w14:paraId="6F4406C0" w14:textId="2705D86E" w:rsidR="001C01FB" w:rsidRPr="00382F0B" w:rsidRDefault="001C01FB" w:rsidP="00DE1823">
            <w:pPr>
              <w:pStyle w:val="mps3-data"/>
              <w:widowControl w:val="0"/>
              <w:rPr>
                <w:szCs w:val="16"/>
              </w:rPr>
            </w:pPr>
            <w:r w:rsidRPr="00382F0B">
              <w:rPr>
                <w:szCs w:val="16"/>
              </w:rPr>
              <w:t>For continuing PBS-subsidised treatment, a Grandfathered patient must qualify under the Continuing treatment criteria.</w:t>
            </w:r>
          </w:p>
        </w:tc>
        <w:tc>
          <w:tcPr>
            <w:tcW w:w="2132" w:type="dxa"/>
            <w:tcBorders>
              <w:top w:val="single" w:sz="4" w:space="0" w:color="auto"/>
              <w:left w:val="single" w:sz="4" w:space="0" w:color="auto"/>
              <w:bottom w:val="single" w:sz="4" w:space="0" w:color="auto"/>
              <w:right w:val="single" w:sz="4" w:space="0" w:color="auto"/>
            </w:tcBorders>
          </w:tcPr>
          <w:p w14:paraId="1FC3F2FB" w14:textId="264CC197" w:rsidR="001C01FB" w:rsidRPr="00382F0B" w:rsidRDefault="001C01FB" w:rsidP="00DE1823">
            <w:pPr>
              <w:pStyle w:val="mps3-data"/>
              <w:widowControl w:val="0"/>
              <w:rPr>
                <w:szCs w:val="16"/>
              </w:rPr>
            </w:pPr>
            <w:r w:rsidRPr="00382F0B">
              <w:rPr>
                <w:szCs w:val="16"/>
              </w:rPr>
              <w:lastRenderedPageBreak/>
              <w:t>Compliance with Written Authority Required procedures</w:t>
            </w:r>
          </w:p>
        </w:tc>
      </w:tr>
    </w:tbl>
    <w:p w14:paraId="65946923" w14:textId="18232CB6" w:rsidR="001C01FB" w:rsidRPr="00382F0B" w:rsidRDefault="001C01FB" w:rsidP="00DE1823">
      <w:pPr>
        <w:pStyle w:val="Amendment1"/>
        <w:numPr>
          <w:ilvl w:val="0"/>
          <w:numId w:val="7"/>
        </w:numPr>
        <w:tabs>
          <w:tab w:val="clear" w:pos="794"/>
          <w:tab w:val="num" w:pos="851"/>
        </w:tabs>
        <w:spacing w:line="260" w:lineRule="exact"/>
        <w:ind w:left="851" w:hanging="851"/>
        <w:rPr>
          <w:i/>
          <w:iCs/>
        </w:rPr>
      </w:pPr>
      <w:r w:rsidRPr="00382F0B">
        <w:lastRenderedPageBreak/>
        <w:t xml:space="preserve">Schedule 3, entry for </w:t>
      </w:r>
      <w:proofErr w:type="spellStart"/>
      <w:r w:rsidRPr="00382F0B">
        <w:t>Elexacaftor</w:t>
      </w:r>
      <w:proofErr w:type="spellEnd"/>
      <w:r w:rsidRPr="00382F0B">
        <w:t xml:space="preserve"> with </w:t>
      </w:r>
      <w:proofErr w:type="spellStart"/>
      <w:r w:rsidRPr="00382F0B">
        <w:t>tezacaftor</w:t>
      </w:r>
      <w:proofErr w:type="spellEnd"/>
      <w:r w:rsidRPr="00382F0B">
        <w:t xml:space="preserve"> and with ivacaftor, and ivacaftor</w:t>
      </w:r>
    </w:p>
    <w:p w14:paraId="099255FC" w14:textId="46A4B1C5" w:rsidR="001C01FB" w:rsidRPr="00382F0B" w:rsidRDefault="001C01FB" w:rsidP="00DE1823">
      <w:pPr>
        <w:pStyle w:val="Amendment1"/>
        <w:tabs>
          <w:tab w:val="clear" w:pos="794"/>
        </w:tabs>
        <w:spacing w:before="60" w:after="60" w:line="260" w:lineRule="exact"/>
        <w:ind w:left="851" w:firstLine="0"/>
        <w:rPr>
          <w:rFonts w:ascii="Times New Roman" w:hAnsi="Times New Roman" w:cs="Times New Roman"/>
          <w:b w:val="0"/>
          <w:bCs w:val="0"/>
          <w:i/>
          <w:iCs/>
        </w:rPr>
      </w:pPr>
      <w:r w:rsidRPr="00382F0B">
        <w:rPr>
          <w:rFonts w:ascii="Times New Roman" w:hAnsi="Times New Roman" w:cs="Times New Roman"/>
          <w:b w:val="0"/>
          <w:bCs w:val="0"/>
          <w:i/>
          <w:iCs/>
        </w:rPr>
        <w:t>substitute:</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1C01FB" w:rsidRPr="00382F0B" w14:paraId="5A767D14" w14:textId="77777777" w:rsidTr="00CF2A42">
        <w:tc>
          <w:tcPr>
            <w:tcW w:w="1854" w:type="dxa"/>
            <w:tcBorders>
              <w:top w:val="single" w:sz="4" w:space="0" w:color="auto"/>
              <w:left w:val="single" w:sz="4" w:space="0" w:color="auto"/>
              <w:bottom w:val="single" w:sz="4" w:space="0" w:color="auto"/>
              <w:right w:val="single" w:sz="4" w:space="0" w:color="auto"/>
            </w:tcBorders>
          </w:tcPr>
          <w:p w14:paraId="4DF95819" w14:textId="5A3CCF27" w:rsidR="001C01FB" w:rsidRPr="00382F0B" w:rsidRDefault="001C01FB" w:rsidP="00DE1823">
            <w:pPr>
              <w:pStyle w:val="mps3-data"/>
              <w:widowControl w:val="0"/>
              <w:rPr>
                <w:szCs w:val="16"/>
              </w:rPr>
            </w:pPr>
            <w:proofErr w:type="spellStart"/>
            <w:r w:rsidRPr="00382F0B">
              <w:rPr>
                <w:rFonts w:eastAsia="SimSun"/>
                <w:szCs w:val="16"/>
              </w:rPr>
              <w:t>Elexacaftor</w:t>
            </w:r>
            <w:proofErr w:type="spellEnd"/>
            <w:r w:rsidRPr="00382F0B">
              <w:rPr>
                <w:rFonts w:eastAsia="SimSun"/>
                <w:szCs w:val="16"/>
              </w:rPr>
              <w:t xml:space="preserve"> with </w:t>
            </w:r>
            <w:proofErr w:type="spellStart"/>
            <w:r w:rsidRPr="00382F0B">
              <w:rPr>
                <w:rFonts w:eastAsia="SimSun"/>
                <w:szCs w:val="16"/>
              </w:rPr>
              <w:t>tezacaftor</w:t>
            </w:r>
            <w:proofErr w:type="spellEnd"/>
            <w:r w:rsidRPr="00382F0B">
              <w:rPr>
                <w:rFonts w:eastAsia="SimSun"/>
                <w:szCs w:val="16"/>
              </w:rPr>
              <w:t xml:space="preserve"> and with ivacaftor, and ivacaftor</w:t>
            </w:r>
          </w:p>
        </w:tc>
        <w:tc>
          <w:tcPr>
            <w:tcW w:w="1315" w:type="dxa"/>
            <w:tcBorders>
              <w:top w:val="single" w:sz="4" w:space="0" w:color="auto"/>
              <w:left w:val="single" w:sz="4" w:space="0" w:color="auto"/>
              <w:bottom w:val="single" w:sz="4" w:space="0" w:color="auto"/>
              <w:right w:val="single" w:sz="4" w:space="0" w:color="auto"/>
            </w:tcBorders>
          </w:tcPr>
          <w:p w14:paraId="71B58FB8" w14:textId="69E3F6D6" w:rsidR="001C01FB" w:rsidRPr="00382F0B" w:rsidRDefault="001C01FB" w:rsidP="00DE1823">
            <w:pPr>
              <w:pStyle w:val="mps3-data"/>
              <w:widowControl w:val="0"/>
              <w:rPr>
                <w:szCs w:val="16"/>
              </w:rPr>
            </w:pPr>
            <w:r w:rsidRPr="00382F0B">
              <w:rPr>
                <w:szCs w:val="16"/>
              </w:rPr>
              <w:t>C16703</w:t>
            </w:r>
          </w:p>
        </w:tc>
        <w:tc>
          <w:tcPr>
            <w:tcW w:w="1094" w:type="dxa"/>
            <w:tcBorders>
              <w:top w:val="single" w:sz="4" w:space="0" w:color="auto"/>
              <w:left w:val="single" w:sz="4" w:space="0" w:color="auto"/>
              <w:bottom w:val="single" w:sz="4" w:space="0" w:color="auto"/>
              <w:right w:val="single" w:sz="4" w:space="0" w:color="auto"/>
            </w:tcBorders>
          </w:tcPr>
          <w:p w14:paraId="5D578179" w14:textId="77777777" w:rsidR="001C01FB" w:rsidRPr="00382F0B" w:rsidRDefault="001C01FB"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6981709E" w14:textId="77777777" w:rsidR="001C01FB" w:rsidRPr="00382F0B" w:rsidRDefault="001C01FB" w:rsidP="00DE1823">
            <w:pPr>
              <w:pStyle w:val="mps3-data"/>
              <w:widowControl w:val="0"/>
              <w:rPr>
                <w:szCs w:val="16"/>
              </w:rPr>
            </w:pPr>
            <w:r w:rsidRPr="00382F0B">
              <w:rPr>
                <w:szCs w:val="16"/>
              </w:rPr>
              <w:t>Cystic fibrosis</w:t>
            </w:r>
          </w:p>
          <w:p w14:paraId="25CA476D" w14:textId="77777777" w:rsidR="001C01FB" w:rsidRPr="00382F0B" w:rsidRDefault="001C01FB" w:rsidP="00DE1823">
            <w:pPr>
              <w:pStyle w:val="mps3-data"/>
              <w:widowControl w:val="0"/>
              <w:rPr>
                <w:szCs w:val="16"/>
              </w:rPr>
            </w:pPr>
            <w:r w:rsidRPr="00382F0B">
              <w:rPr>
                <w:szCs w:val="16"/>
              </w:rPr>
              <w:t>Initial treatment</w:t>
            </w:r>
          </w:p>
          <w:p w14:paraId="5C22D4E5" w14:textId="77777777" w:rsidR="001C01FB" w:rsidRPr="00382F0B" w:rsidRDefault="001C01FB" w:rsidP="00DE1823">
            <w:pPr>
              <w:pStyle w:val="mps3-data"/>
              <w:widowControl w:val="0"/>
              <w:rPr>
                <w:szCs w:val="16"/>
              </w:rPr>
            </w:pPr>
            <w:r w:rsidRPr="00382F0B">
              <w:rPr>
                <w:szCs w:val="16"/>
              </w:rPr>
              <w:t>Must be treated by a specialist respiratory physician with expertise in cystic fibrosis or in consultation with a specialist respiratory physician with expertise in cystic fibrosis if attendance is not possible due to geographic isolation; AND</w:t>
            </w:r>
          </w:p>
          <w:p w14:paraId="3F4E4D27" w14:textId="77777777" w:rsidR="001C01FB" w:rsidRPr="00382F0B" w:rsidRDefault="001C01FB" w:rsidP="00DE1823">
            <w:pPr>
              <w:pStyle w:val="mps3-data"/>
              <w:widowControl w:val="0"/>
              <w:rPr>
                <w:szCs w:val="16"/>
              </w:rPr>
            </w:pPr>
            <w:r w:rsidRPr="00382F0B">
              <w:rPr>
                <w:szCs w:val="16"/>
              </w:rPr>
              <w:t>Must be treated in a centre with expertise in cystic fibrosis or in consultation with a centre with expertise in cystic fibrosis if attendance is not possible due to geographic isolation.</w:t>
            </w:r>
          </w:p>
          <w:p w14:paraId="39F2A397" w14:textId="77777777" w:rsidR="001C01FB" w:rsidRPr="00382F0B" w:rsidRDefault="001C01FB" w:rsidP="00DE1823">
            <w:pPr>
              <w:pStyle w:val="mps3-data"/>
              <w:widowControl w:val="0"/>
              <w:rPr>
                <w:szCs w:val="16"/>
              </w:rPr>
            </w:pPr>
            <w:r w:rsidRPr="00382F0B">
              <w:rPr>
                <w:szCs w:val="16"/>
              </w:rPr>
              <w:t xml:space="preserve">Patient must have at least one mutation in the CFTR gene that is considered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/ivacaftor potentiation based on clinical and/or in vitro assay data; AND</w:t>
            </w:r>
          </w:p>
          <w:p w14:paraId="2C7AAA34" w14:textId="77777777" w:rsidR="001C01FB" w:rsidRPr="00382F0B" w:rsidRDefault="001C01FB" w:rsidP="00DE1823">
            <w:pPr>
              <w:pStyle w:val="mps3-data"/>
              <w:widowControl w:val="0"/>
              <w:rPr>
                <w:szCs w:val="16"/>
              </w:rPr>
            </w:pPr>
            <w:r w:rsidRPr="00382F0B">
              <w:rPr>
                <w:szCs w:val="16"/>
              </w:rPr>
              <w:t>The treatment must be given concomitantly with standard therapy for this condition; AND</w:t>
            </w:r>
          </w:p>
          <w:p w14:paraId="78E05844" w14:textId="77777777" w:rsidR="001C01FB" w:rsidRPr="00382F0B" w:rsidRDefault="001C01FB" w:rsidP="00DE1823">
            <w:pPr>
              <w:pStyle w:val="mps3-data"/>
              <w:widowControl w:val="0"/>
              <w:rPr>
                <w:szCs w:val="16"/>
              </w:rPr>
            </w:pPr>
            <w:r w:rsidRPr="00382F0B">
              <w:rPr>
                <w:szCs w:val="16"/>
              </w:rPr>
              <w:t>Patient must have either chronic sinopulmonary disease or gastrointestinal and nutritional abnormalities, prior to initiating treatment with this drug.</w:t>
            </w:r>
          </w:p>
          <w:p w14:paraId="51A71E91" w14:textId="77777777" w:rsidR="001C01FB" w:rsidRPr="00382F0B" w:rsidRDefault="001C01FB" w:rsidP="00DE1823">
            <w:pPr>
              <w:pStyle w:val="mps3-data"/>
              <w:widowControl w:val="0"/>
              <w:rPr>
                <w:szCs w:val="16"/>
              </w:rPr>
            </w:pPr>
            <w:r w:rsidRPr="00382F0B">
              <w:rPr>
                <w:szCs w:val="16"/>
              </w:rPr>
              <w:t>Patient must be aged between 2 and 11 years inclusive.</w:t>
            </w:r>
          </w:p>
          <w:p w14:paraId="134C6FE1" w14:textId="77777777" w:rsidR="001C01FB" w:rsidRPr="00382F0B" w:rsidRDefault="001C01FB" w:rsidP="00DE1823">
            <w:pPr>
              <w:pStyle w:val="mps3-data"/>
              <w:widowControl w:val="0"/>
              <w:rPr>
                <w:szCs w:val="16"/>
              </w:rPr>
            </w:pPr>
            <w:r w:rsidRPr="00382F0B">
              <w:rPr>
                <w:szCs w:val="16"/>
              </w:rPr>
              <w:t xml:space="preserve">For the purposes of this restriction, the list of mutations considered to be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 xml:space="preserve">/ivacaftor is defined in the TGA approved Product Information (PI). Mutations that are not listed in the TGA approved PI but considered to be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/ivacaftor can be accepted with a confirmation that these patients do not harbour two Class I mutations.</w:t>
            </w:r>
          </w:p>
          <w:p w14:paraId="766CBDFC" w14:textId="77777777" w:rsidR="001C01FB" w:rsidRPr="00382F0B" w:rsidRDefault="001C01FB" w:rsidP="00DE1823">
            <w:pPr>
              <w:pStyle w:val="mps3-data"/>
              <w:widowControl w:val="0"/>
              <w:rPr>
                <w:szCs w:val="16"/>
              </w:rPr>
            </w:pPr>
            <w:r w:rsidRPr="00382F0B">
              <w:rPr>
                <w:szCs w:val="16"/>
              </w:rPr>
              <w:t>This pharmaceutical benefit is not PBS-subsidised for this condition in a patient who is currently receiving one of the strong CYP3A4 inducers outlined in the Product Information.</w:t>
            </w:r>
          </w:p>
          <w:p w14:paraId="44C1760A" w14:textId="77777777" w:rsidR="001C01FB" w:rsidRPr="00382F0B" w:rsidRDefault="001C01FB" w:rsidP="00DE1823">
            <w:pPr>
              <w:pStyle w:val="mps3-data"/>
              <w:widowControl w:val="0"/>
              <w:rPr>
                <w:szCs w:val="16"/>
              </w:rPr>
            </w:pPr>
            <w:r w:rsidRPr="00382F0B">
              <w:rPr>
                <w:szCs w:val="16"/>
              </w:rPr>
              <w:t>The authority application must be via the Online PBS Authorities System, or in writing via HPOS form upload or mail and must include:</w:t>
            </w:r>
          </w:p>
          <w:p w14:paraId="4CDA4376" w14:textId="77777777" w:rsidR="001C01FB" w:rsidRPr="00382F0B" w:rsidRDefault="001C01FB" w:rsidP="00DE1823">
            <w:pPr>
              <w:pStyle w:val="mps3-data"/>
              <w:widowControl w:val="0"/>
              <w:rPr>
                <w:szCs w:val="16"/>
              </w:rPr>
            </w:pPr>
            <w:r w:rsidRPr="00382F0B">
              <w:rPr>
                <w:szCs w:val="16"/>
              </w:rPr>
              <w:t xml:space="preserve">(1) details of the pathology report substantiating the specific mutation considered to be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/ivacaftor as listed in the TGA approved PI - quote each of the: (</w:t>
            </w:r>
            <w:proofErr w:type="spellStart"/>
            <w:r w:rsidRPr="00382F0B">
              <w:rPr>
                <w:szCs w:val="16"/>
              </w:rPr>
              <w:t>i</w:t>
            </w:r>
            <w:proofErr w:type="spellEnd"/>
            <w:r w:rsidRPr="00382F0B">
              <w:rPr>
                <w:szCs w:val="16"/>
              </w:rPr>
              <w:t>) specific mutation, and if the specific mutation is not listed in the TGA approved PI, confirmation that the patient does not harbour two Class I mutations, (ii) name of the pathology report provider, (iii) date of pathology report, (iv) unique identifying number/code that links the pathology result to the individual patient; and</w:t>
            </w:r>
          </w:p>
          <w:p w14:paraId="6C5AD9EF" w14:textId="77777777" w:rsidR="001C01FB" w:rsidRPr="00382F0B" w:rsidRDefault="001C01FB" w:rsidP="00DE1823">
            <w:pPr>
              <w:pStyle w:val="mps3-data"/>
              <w:widowControl w:val="0"/>
              <w:rPr>
                <w:szCs w:val="16"/>
              </w:rPr>
            </w:pPr>
            <w:r w:rsidRPr="00382F0B">
              <w:rPr>
                <w:szCs w:val="16"/>
              </w:rPr>
              <w:t>(2) current CYP3A4 inhibitors, CYP3A4 inducers and IV antibiotics.</w:t>
            </w:r>
          </w:p>
          <w:p w14:paraId="74679E62" w14:textId="77777777" w:rsidR="001C01FB" w:rsidRPr="00382F0B" w:rsidRDefault="001C01FB" w:rsidP="00DE1823">
            <w:pPr>
              <w:pStyle w:val="mps3-data"/>
              <w:widowControl w:val="0"/>
              <w:rPr>
                <w:szCs w:val="16"/>
              </w:rPr>
            </w:pPr>
            <w:r w:rsidRPr="00382F0B">
              <w:rPr>
                <w:szCs w:val="16"/>
              </w:rPr>
              <w:t>If the application is submitted through HPOS form upload or mail, it must include:</w:t>
            </w:r>
          </w:p>
          <w:p w14:paraId="4633F97B" w14:textId="77777777" w:rsidR="001C01FB" w:rsidRPr="00382F0B" w:rsidRDefault="001C01FB" w:rsidP="00DE1823">
            <w:pPr>
              <w:pStyle w:val="mps3-data"/>
              <w:widowControl w:val="0"/>
              <w:rPr>
                <w:szCs w:val="16"/>
              </w:rPr>
            </w:pPr>
            <w:r w:rsidRPr="00382F0B">
              <w:rPr>
                <w:szCs w:val="16"/>
              </w:rPr>
              <w:t>(</w:t>
            </w:r>
            <w:proofErr w:type="spellStart"/>
            <w:r w:rsidRPr="00382F0B">
              <w:rPr>
                <w:szCs w:val="16"/>
              </w:rPr>
              <w:t>i</w:t>
            </w:r>
            <w:proofErr w:type="spellEnd"/>
            <w:r w:rsidRPr="00382F0B">
              <w:rPr>
                <w:szCs w:val="16"/>
              </w:rPr>
              <w:t>) details of the proposed prescription; and</w:t>
            </w:r>
          </w:p>
          <w:p w14:paraId="24B2B5D3" w14:textId="52F6C278" w:rsidR="001C01FB" w:rsidRPr="00382F0B" w:rsidRDefault="001C01FB" w:rsidP="00DE1823">
            <w:pPr>
              <w:pStyle w:val="mps3-data"/>
              <w:widowControl w:val="0"/>
              <w:rPr>
                <w:szCs w:val="16"/>
              </w:rPr>
            </w:pPr>
            <w:r w:rsidRPr="00382F0B">
              <w:rPr>
                <w:szCs w:val="16"/>
              </w:rPr>
              <w:t>(ii)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76F61AFE" w14:textId="5F8F46D0" w:rsidR="001C01FB" w:rsidRPr="00382F0B" w:rsidRDefault="001C01FB" w:rsidP="00DE1823">
            <w:pPr>
              <w:pStyle w:val="mps3-data"/>
              <w:widowControl w:val="0"/>
              <w:rPr>
                <w:szCs w:val="16"/>
              </w:rPr>
            </w:pPr>
            <w:r w:rsidRPr="00382F0B">
              <w:rPr>
                <w:szCs w:val="16"/>
              </w:rPr>
              <w:t>Compliance with Written Authority Required procedures</w:t>
            </w:r>
          </w:p>
        </w:tc>
      </w:tr>
      <w:tr w:rsidR="001C01FB" w:rsidRPr="00382F0B" w14:paraId="05A8C930" w14:textId="77777777" w:rsidTr="00CF2A42">
        <w:tc>
          <w:tcPr>
            <w:tcW w:w="1854" w:type="dxa"/>
            <w:tcBorders>
              <w:top w:val="single" w:sz="4" w:space="0" w:color="auto"/>
              <w:left w:val="single" w:sz="4" w:space="0" w:color="auto"/>
              <w:bottom w:val="single" w:sz="4" w:space="0" w:color="auto"/>
              <w:right w:val="single" w:sz="4" w:space="0" w:color="auto"/>
            </w:tcBorders>
          </w:tcPr>
          <w:p w14:paraId="5440B61D" w14:textId="77777777" w:rsidR="001C01FB" w:rsidRPr="00382F0B" w:rsidRDefault="001C01FB" w:rsidP="00DE182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519760DC" w14:textId="169C95DF" w:rsidR="001C01FB" w:rsidRPr="00382F0B" w:rsidRDefault="001C01FB" w:rsidP="00DE1823">
            <w:pPr>
              <w:pStyle w:val="mps3-data"/>
              <w:widowControl w:val="0"/>
              <w:rPr>
                <w:szCs w:val="16"/>
              </w:rPr>
            </w:pPr>
            <w:r w:rsidRPr="00382F0B">
              <w:rPr>
                <w:szCs w:val="16"/>
              </w:rPr>
              <w:t>C16704</w:t>
            </w:r>
          </w:p>
        </w:tc>
        <w:tc>
          <w:tcPr>
            <w:tcW w:w="1094" w:type="dxa"/>
            <w:tcBorders>
              <w:top w:val="single" w:sz="4" w:space="0" w:color="auto"/>
              <w:left w:val="single" w:sz="4" w:space="0" w:color="auto"/>
              <w:bottom w:val="single" w:sz="4" w:space="0" w:color="auto"/>
              <w:right w:val="single" w:sz="4" w:space="0" w:color="auto"/>
            </w:tcBorders>
          </w:tcPr>
          <w:p w14:paraId="376BB67B" w14:textId="77777777" w:rsidR="001C01FB" w:rsidRPr="00382F0B" w:rsidRDefault="001C01FB"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102E4C9A" w14:textId="77777777" w:rsidR="001C01FB" w:rsidRPr="00382F0B" w:rsidRDefault="001C01FB" w:rsidP="00DE1823">
            <w:pPr>
              <w:pStyle w:val="mps3-data"/>
              <w:widowControl w:val="0"/>
              <w:rPr>
                <w:szCs w:val="16"/>
              </w:rPr>
            </w:pPr>
            <w:r w:rsidRPr="00382F0B">
              <w:rPr>
                <w:szCs w:val="16"/>
              </w:rPr>
              <w:t>Cystic fibrosis</w:t>
            </w:r>
          </w:p>
          <w:p w14:paraId="5B3D7973" w14:textId="77777777" w:rsidR="001C01FB" w:rsidRPr="00382F0B" w:rsidRDefault="001C01FB" w:rsidP="00DE1823">
            <w:pPr>
              <w:pStyle w:val="mps3-data"/>
              <w:widowControl w:val="0"/>
              <w:rPr>
                <w:szCs w:val="16"/>
              </w:rPr>
            </w:pPr>
            <w:r w:rsidRPr="00382F0B">
              <w:rPr>
                <w:szCs w:val="16"/>
              </w:rPr>
              <w:lastRenderedPageBreak/>
              <w:t>Continuing treatment</w:t>
            </w:r>
          </w:p>
          <w:p w14:paraId="606911E2" w14:textId="77777777" w:rsidR="001C01FB" w:rsidRPr="00382F0B" w:rsidRDefault="001C01FB" w:rsidP="00DE1823">
            <w:pPr>
              <w:pStyle w:val="mps3-data"/>
              <w:widowControl w:val="0"/>
              <w:rPr>
                <w:szCs w:val="16"/>
              </w:rPr>
            </w:pPr>
            <w:r w:rsidRPr="00382F0B">
              <w:rPr>
                <w:szCs w:val="16"/>
              </w:rPr>
              <w:t>Must be treated by a specialist respiratory physician with expertise in cystic fibrosis or in consultation with a specialist respiratory physician with expertise in cystic fibrosis if attendance is not possible due to geographic isolation; AND</w:t>
            </w:r>
          </w:p>
          <w:p w14:paraId="39DFF487" w14:textId="77777777" w:rsidR="001C01FB" w:rsidRPr="00382F0B" w:rsidRDefault="001C01FB" w:rsidP="00DE1823">
            <w:pPr>
              <w:pStyle w:val="mps3-data"/>
              <w:widowControl w:val="0"/>
              <w:rPr>
                <w:szCs w:val="16"/>
              </w:rPr>
            </w:pPr>
            <w:r w:rsidRPr="00382F0B">
              <w:rPr>
                <w:szCs w:val="16"/>
              </w:rPr>
              <w:t>Must be treated in a centre with expertise in cystic fibrosis or in consultation with a centre with expertise in cystic fibrosis if attendance is not possible due to geographic isolation.</w:t>
            </w:r>
          </w:p>
          <w:p w14:paraId="5FB4A852" w14:textId="77777777" w:rsidR="001C01FB" w:rsidRPr="00382F0B" w:rsidRDefault="001C01FB" w:rsidP="00DE1823">
            <w:pPr>
              <w:pStyle w:val="mps3-data"/>
              <w:widowControl w:val="0"/>
              <w:rPr>
                <w:szCs w:val="16"/>
              </w:rPr>
            </w:pPr>
            <w:r w:rsidRPr="00382F0B">
              <w:rPr>
                <w:szCs w:val="16"/>
              </w:rPr>
              <w:t>Patient must have previously received PBS-subsidised treatment with this drug for this condition; AND</w:t>
            </w:r>
          </w:p>
          <w:p w14:paraId="30AA445B" w14:textId="77777777" w:rsidR="001C01FB" w:rsidRPr="00382F0B" w:rsidRDefault="001C01FB" w:rsidP="00DE1823">
            <w:pPr>
              <w:pStyle w:val="mps3-data"/>
              <w:widowControl w:val="0"/>
              <w:rPr>
                <w:szCs w:val="16"/>
              </w:rPr>
            </w:pPr>
            <w:r w:rsidRPr="00382F0B">
              <w:rPr>
                <w:szCs w:val="16"/>
              </w:rPr>
              <w:t>The treatment must be given concomitantly with standard therapy for this condition.</w:t>
            </w:r>
          </w:p>
          <w:p w14:paraId="0F0D267C" w14:textId="77777777" w:rsidR="001C01FB" w:rsidRPr="00382F0B" w:rsidRDefault="001C01FB" w:rsidP="00DE1823">
            <w:pPr>
              <w:pStyle w:val="mps3-data"/>
              <w:widowControl w:val="0"/>
              <w:rPr>
                <w:szCs w:val="16"/>
              </w:rPr>
            </w:pPr>
            <w:r w:rsidRPr="00382F0B">
              <w:rPr>
                <w:szCs w:val="16"/>
              </w:rPr>
              <w:t>Patient must be aged between 2 and 11 years inclusive.</w:t>
            </w:r>
          </w:p>
          <w:p w14:paraId="068A2B35" w14:textId="77777777" w:rsidR="001C01FB" w:rsidRPr="00382F0B" w:rsidRDefault="001C01FB" w:rsidP="00DE1823">
            <w:pPr>
              <w:pStyle w:val="mps3-data"/>
              <w:widowControl w:val="0"/>
              <w:rPr>
                <w:szCs w:val="16"/>
              </w:rPr>
            </w:pPr>
            <w:r w:rsidRPr="00382F0B">
              <w:rPr>
                <w:szCs w:val="16"/>
              </w:rPr>
              <w:t>This pharmaceutical benefit is not PBS-subsidised for this condition in a patient who is currently receiving one of the strong CYP3A4 inducers outlined in the Product Information.</w:t>
            </w:r>
          </w:p>
          <w:p w14:paraId="7DA840A7" w14:textId="77777777" w:rsidR="001C01FB" w:rsidRPr="00382F0B" w:rsidRDefault="001C01FB" w:rsidP="00DE1823">
            <w:pPr>
              <w:pStyle w:val="mps3-data"/>
              <w:widowControl w:val="0"/>
              <w:rPr>
                <w:szCs w:val="16"/>
              </w:rPr>
            </w:pPr>
            <w:r w:rsidRPr="00382F0B">
              <w:rPr>
                <w:szCs w:val="16"/>
              </w:rPr>
              <w:t xml:space="preserve">The authority application must be via the Online PBS Authorities System, or in writing via HPOS form upload or mail and must </w:t>
            </w:r>
            <w:proofErr w:type="gramStart"/>
            <w:r w:rsidRPr="00382F0B">
              <w:rPr>
                <w:szCs w:val="16"/>
              </w:rPr>
              <w:t>include:</w:t>
            </w:r>
            <w:proofErr w:type="gramEnd"/>
            <w:r w:rsidRPr="00382F0B">
              <w:rPr>
                <w:szCs w:val="16"/>
              </w:rPr>
              <w:t xml:space="preserve"> current CYP3A4 inhibitors, CYP3A4 inducers and IV antibiotics.</w:t>
            </w:r>
          </w:p>
          <w:p w14:paraId="3AC553E9" w14:textId="77777777" w:rsidR="001C01FB" w:rsidRPr="00382F0B" w:rsidRDefault="001C01FB" w:rsidP="00DE1823">
            <w:pPr>
              <w:pStyle w:val="mps3-data"/>
              <w:widowControl w:val="0"/>
              <w:rPr>
                <w:szCs w:val="16"/>
              </w:rPr>
            </w:pPr>
            <w:r w:rsidRPr="00382F0B">
              <w:rPr>
                <w:szCs w:val="16"/>
              </w:rPr>
              <w:t>If the application is submitted through HPOS form upload or mail, it must include:</w:t>
            </w:r>
          </w:p>
          <w:p w14:paraId="3F30D442" w14:textId="77777777" w:rsidR="001C01FB" w:rsidRPr="00382F0B" w:rsidRDefault="001C01FB" w:rsidP="00DE1823">
            <w:pPr>
              <w:pStyle w:val="mps3-data"/>
              <w:widowControl w:val="0"/>
              <w:rPr>
                <w:szCs w:val="16"/>
              </w:rPr>
            </w:pPr>
            <w:r w:rsidRPr="00382F0B">
              <w:rPr>
                <w:szCs w:val="16"/>
              </w:rPr>
              <w:t>(</w:t>
            </w:r>
            <w:proofErr w:type="spellStart"/>
            <w:r w:rsidRPr="00382F0B">
              <w:rPr>
                <w:szCs w:val="16"/>
              </w:rPr>
              <w:t>i</w:t>
            </w:r>
            <w:proofErr w:type="spellEnd"/>
            <w:r w:rsidRPr="00382F0B">
              <w:rPr>
                <w:szCs w:val="16"/>
              </w:rPr>
              <w:t>) details of the proposed prescription; and</w:t>
            </w:r>
          </w:p>
          <w:p w14:paraId="3A446F5D" w14:textId="4F4BADCF" w:rsidR="001C01FB" w:rsidRPr="00382F0B" w:rsidRDefault="001C01FB" w:rsidP="00DE1823">
            <w:pPr>
              <w:pStyle w:val="mps3-data"/>
              <w:widowControl w:val="0"/>
              <w:rPr>
                <w:szCs w:val="16"/>
              </w:rPr>
            </w:pPr>
            <w:r w:rsidRPr="00382F0B">
              <w:rPr>
                <w:szCs w:val="16"/>
              </w:rPr>
              <w:t>(ii)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6E712517" w14:textId="2557C321" w:rsidR="001C01FB" w:rsidRPr="00382F0B" w:rsidRDefault="001C01FB" w:rsidP="00DE1823">
            <w:pPr>
              <w:pStyle w:val="mps3-data"/>
              <w:widowControl w:val="0"/>
              <w:rPr>
                <w:szCs w:val="16"/>
              </w:rPr>
            </w:pPr>
            <w:r w:rsidRPr="00382F0B">
              <w:rPr>
                <w:szCs w:val="16"/>
              </w:rPr>
              <w:lastRenderedPageBreak/>
              <w:t xml:space="preserve">Compliance with Written </w:t>
            </w:r>
            <w:r w:rsidRPr="00382F0B">
              <w:rPr>
                <w:szCs w:val="16"/>
              </w:rPr>
              <w:lastRenderedPageBreak/>
              <w:t>Authority Required procedures</w:t>
            </w:r>
          </w:p>
        </w:tc>
      </w:tr>
      <w:tr w:rsidR="001C01FB" w:rsidRPr="00382F0B" w14:paraId="7587ED58" w14:textId="77777777" w:rsidTr="00CF2A42">
        <w:tc>
          <w:tcPr>
            <w:tcW w:w="1854" w:type="dxa"/>
            <w:tcBorders>
              <w:top w:val="single" w:sz="4" w:space="0" w:color="auto"/>
              <w:left w:val="single" w:sz="4" w:space="0" w:color="auto"/>
              <w:bottom w:val="single" w:sz="4" w:space="0" w:color="auto"/>
              <w:right w:val="single" w:sz="4" w:space="0" w:color="auto"/>
            </w:tcBorders>
          </w:tcPr>
          <w:p w14:paraId="2B5E7DC0" w14:textId="77777777" w:rsidR="001C01FB" w:rsidRPr="00382F0B" w:rsidRDefault="001C01FB" w:rsidP="00DE182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630AF45B" w14:textId="32E5962A" w:rsidR="001C01FB" w:rsidRPr="00382F0B" w:rsidRDefault="001C01FB" w:rsidP="00DE1823">
            <w:pPr>
              <w:pStyle w:val="mps3-data"/>
              <w:widowControl w:val="0"/>
              <w:rPr>
                <w:szCs w:val="16"/>
              </w:rPr>
            </w:pPr>
            <w:r w:rsidRPr="00382F0B">
              <w:rPr>
                <w:szCs w:val="16"/>
              </w:rPr>
              <w:t>C16706</w:t>
            </w:r>
          </w:p>
        </w:tc>
        <w:tc>
          <w:tcPr>
            <w:tcW w:w="1094" w:type="dxa"/>
            <w:tcBorders>
              <w:top w:val="single" w:sz="4" w:space="0" w:color="auto"/>
              <w:left w:val="single" w:sz="4" w:space="0" w:color="auto"/>
              <w:bottom w:val="single" w:sz="4" w:space="0" w:color="auto"/>
              <w:right w:val="single" w:sz="4" w:space="0" w:color="auto"/>
            </w:tcBorders>
          </w:tcPr>
          <w:p w14:paraId="364D3D72" w14:textId="77777777" w:rsidR="001C01FB" w:rsidRPr="00382F0B" w:rsidRDefault="001C01FB"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2CBEA68C" w14:textId="77777777" w:rsidR="001C01FB" w:rsidRPr="00382F0B" w:rsidRDefault="001C01FB" w:rsidP="00DE1823">
            <w:pPr>
              <w:pStyle w:val="mps3-data"/>
              <w:widowControl w:val="0"/>
              <w:rPr>
                <w:szCs w:val="16"/>
              </w:rPr>
            </w:pPr>
            <w:r w:rsidRPr="00382F0B">
              <w:rPr>
                <w:szCs w:val="16"/>
              </w:rPr>
              <w:t>Cystic fibrosis</w:t>
            </w:r>
          </w:p>
          <w:p w14:paraId="290801CE" w14:textId="77777777" w:rsidR="001C01FB" w:rsidRPr="00382F0B" w:rsidRDefault="001C01FB" w:rsidP="00DE1823">
            <w:pPr>
              <w:pStyle w:val="mps3-data"/>
              <w:widowControl w:val="0"/>
              <w:rPr>
                <w:szCs w:val="16"/>
              </w:rPr>
            </w:pPr>
            <w:r w:rsidRPr="00382F0B">
              <w:rPr>
                <w:szCs w:val="16"/>
              </w:rPr>
              <w:t>Initial treatment</w:t>
            </w:r>
          </w:p>
          <w:p w14:paraId="333A1779" w14:textId="77777777" w:rsidR="001C01FB" w:rsidRPr="00382F0B" w:rsidRDefault="001C01FB" w:rsidP="00DE1823">
            <w:pPr>
              <w:pStyle w:val="mps3-data"/>
              <w:widowControl w:val="0"/>
              <w:rPr>
                <w:szCs w:val="16"/>
              </w:rPr>
            </w:pPr>
            <w:r w:rsidRPr="00382F0B">
              <w:rPr>
                <w:szCs w:val="16"/>
              </w:rPr>
              <w:t>Must be treated by a specialist respiratory physician with expertise in cystic fibrosis or in consultation with a specialist respiratory physician with expertise in cystic fibrosis if attendance is not possible due to geographic isolation; AND</w:t>
            </w:r>
          </w:p>
          <w:p w14:paraId="56A35C6A" w14:textId="77777777" w:rsidR="001C01FB" w:rsidRPr="00382F0B" w:rsidRDefault="001C01FB" w:rsidP="00DE1823">
            <w:pPr>
              <w:pStyle w:val="mps3-data"/>
              <w:widowControl w:val="0"/>
              <w:rPr>
                <w:szCs w:val="16"/>
              </w:rPr>
            </w:pPr>
            <w:r w:rsidRPr="00382F0B">
              <w:rPr>
                <w:szCs w:val="16"/>
              </w:rPr>
              <w:t>Must be treated in a centre with expertise in cystic fibrosis or in consultation with a centre with expertise in cystic fibrosis if attendance is not possible due to geographic isolation.</w:t>
            </w:r>
          </w:p>
          <w:p w14:paraId="541D3815" w14:textId="77777777" w:rsidR="001C01FB" w:rsidRPr="00382F0B" w:rsidRDefault="001C01FB" w:rsidP="00DE1823">
            <w:pPr>
              <w:pStyle w:val="mps3-data"/>
              <w:widowControl w:val="0"/>
              <w:rPr>
                <w:szCs w:val="16"/>
              </w:rPr>
            </w:pPr>
            <w:r w:rsidRPr="00382F0B">
              <w:rPr>
                <w:szCs w:val="16"/>
              </w:rPr>
              <w:t xml:space="preserve">Patient must have at least one mutation in the CFTR gene that is considered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/ivacaftor potentiation based on clinical and/or in vitro assay data; AND</w:t>
            </w:r>
          </w:p>
          <w:p w14:paraId="7FFD54D8" w14:textId="77777777" w:rsidR="001C01FB" w:rsidRPr="00382F0B" w:rsidRDefault="001C01FB" w:rsidP="00DE1823">
            <w:pPr>
              <w:pStyle w:val="mps3-data"/>
              <w:widowControl w:val="0"/>
              <w:rPr>
                <w:szCs w:val="16"/>
              </w:rPr>
            </w:pPr>
            <w:r w:rsidRPr="00382F0B">
              <w:rPr>
                <w:szCs w:val="16"/>
              </w:rPr>
              <w:t>The treatment must be given concomitantly with standard therapy for this condition; AND</w:t>
            </w:r>
          </w:p>
          <w:p w14:paraId="34ACCCCB" w14:textId="77777777" w:rsidR="001C01FB" w:rsidRPr="00382F0B" w:rsidRDefault="001C01FB" w:rsidP="00DE1823">
            <w:pPr>
              <w:pStyle w:val="mps3-data"/>
              <w:widowControl w:val="0"/>
              <w:rPr>
                <w:szCs w:val="16"/>
              </w:rPr>
            </w:pPr>
            <w:r w:rsidRPr="00382F0B">
              <w:rPr>
                <w:szCs w:val="16"/>
              </w:rPr>
              <w:t>Patient must have either chronic sinopulmonary disease or gastrointestinal and nutritional abnormalities, prior to initiating treatment with this drug.</w:t>
            </w:r>
          </w:p>
          <w:p w14:paraId="643957FE" w14:textId="77777777" w:rsidR="001C01FB" w:rsidRPr="00382F0B" w:rsidRDefault="001C01FB" w:rsidP="00DE1823">
            <w:pPr>
              <w:pStyle w:val="mps3-data"/>
              <w:widowControl w:val="0"/>
              <w:rPr>
                <w:szCs w:val="16"/>
              </w:rPr>
            </w:pPr>
            <w:r w:rsidRPr="00382F0B">
              <w:rPr>
                <w:szCs w:val="16"/>
              </w:rPr>
              <w:t>Patient must be 2 to 5 years of age.</w:t>
            </w:r>
          </w:p>
          <w:p w14:paraId="06F199B9" w14:textId="77777777" w:rsidR="001C01FB" w:rsidRPr="00382F0B" w:rsidRDefault="001C01FB" w:rsidP="00DE1823">
            <w:pPr>
              <w:pStyle w:val="mps3-data"/>
              <w:widowControl w:val="0"/>
              <w:rPr>
                <w:szCs w:val="16"/>
              </w:rPr>
            </w:pPr>
            <w:r w:rsidRPr="00382F0B">
              <w:rPr>
                <w:szCs w:val="16"/>
              </w:rPr>
              <w:t xml:space="preserve">For the purposes of this restriction, the list of mutations considered to be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 xml:space="preserve">/ivacaftor is defined in the TGA approved Product Information (PI). Mutations that are not listed in the TGA approved PI but considered to be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/ivacaftor can be accepted with a confirmation that these patients do not harbour two Class I mutations.</w:t>
            </w:r>
          </w:p>
          <w:p w14:paraId="7DA2F7A4" w14:textId="77777777" w:rsidR="001C01FB" w:rsidRPr="00382F0B" w:rsidRDefault="001C01FB" w:rsidP="00DE1823">
            <w:pPr>
              <w:pStyle w:val="mps3-data"/>
              <w:widowControl w:val="0"/>
              <w:rPr>
                <w:szCs w:val="16"/>
              </w:rPr>
            </w:pPr>
            <w:r w:rsidRPr="00382F0B">
              <w:rPr>
                <w:szCs w:val="16"/>
              </w:rPr>
              <w:lastRenderedPageBreak/>
              <w:t>This pharmaceutical benefit is not PBS-subsidised for this condition in a patient who is currently receiving one of the strong CYP3A4 inducers outlined in the Product Information.</w:t>
            </w:r>
          </w:p>
          <w:p w14:paraId="70033993" w14:textId="77777777" w:rsidR="001C01FB" w:rsidRPr="00382F0B" w:rsidRDefault="001C01FB" w:rsidP="00DE1823">
            <w:pPr>
              <w:pStyle w:val="mps3-data"/>
              <w:widowControl w:val="0"/>
              <w:rPr>
                <w:szCs w:val="16"/>
              </w:rPr>
            </w:pPr>
            <w:r w:rsidRPr="00382F0B">
              <w:rPr>
                <w:szCs w:val="16"/>
              </w:rPr>
              <w:t>The authority application must be via the Online PBS Authorities System, or in writing via HPOS form upload or mail and must include:</w:t>
            </w:r>
          </w:p>
          <w:p w14:paraId="46C4A4ED" w14:textId="77777777" w:rsidR="001C01FB" w:rsidRPr="00382F0B" w:rsidRDefault="001C01FB" w:rsidP="00DE1823">
            <w:pPr>
              <w:pStyle w:val="mps3-data"/>
              <w:widowControl w:val="0"/>
              <w:rPr>
                <w:szCs w:val="16"/>
              </w:rPr>
            </w:pPr>
            <w:r w:rsidRPr="00382F0B">
              <w:rPr>
                <w:szCs w:val="16"/>
              </w:rPr>
              <w:t xml:space="preserve">(1) details of the pathology report substantiating the specific mutation considered to be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/ivacaftor as listed in the TGA approved PI - quote each of the: (</w:t>
            </w:r>
            <w:proofErr w:type="spellStart"/>
            <w:r w:rsidRPr="00382F0B">
              <w:rPr>
                <w:szCs w:val="16"/>
              </w:rPr>
              <w:t>i</w:t>
            </w:r>
            <w:proofErr w:type="spellEnd"/>
            <w:r w:rsidRPr="00382F0B">
              <w:rPr>
                <w:szCs w:val="16"/>
              </w:rPr>
              <w:t>) specific mutation, and if the specific mutation is not listed in the TGA approved PI, confirmation that the patient does not harbour two Class I mutations, (ii) name of the pathology report provider, (iii) date of pathology report, (iv) unique identifying number/code that links the pathology result to the individual patient; and</w:t>
            </w:r>
          </w:p>
          <w:p w14:paraId="00F800ED" w14:textId="77777777" w:rsidR="001C01FB" w:rsidRPr="00382F0B" w:rsidRDefault="001C01FB" w:rsidP="00DE1823">
            <w:pPr>
              <w:pStyle w:val="mps3-data"/>
              <w:widowControl w:val="0"/>
              <w:rPr>
                <w:szCs w:val="16"/>
              </w:rPr>
            </w:pPr>
            <w:r w:rsidRPr="00382F0B">
              <w:rPr>
                <w:szCs w:val="16"/>
              </w:rPr>
              <w:t>(2) current CYP3A4 inhibitors, CYP3A4 inducers and IV antibiotics.</w:t>
            </w:r>
          </w:p>
          <w:p w14:paraId="45483BFF" w14:textId="77777777" w:rsidR="001C01FB" w:rsidRPr="00382F0B" w:rsidRDefault="001C01FB" w:rsidP="00DE1823">
            <w:pPr>
              <w:pStyle w:val="mps3-data"/>
              <w:widowControl w:val="0"/>
              <w:rPr>
                <w:szCs w:val="16"/>
              </w:rPr>
            </w:pPr>
            <w:r w:rsidRPr="00382F0B">
              <w:rPr>
                <w:szCs w:val="16"/>
              </w:rPr>
              <w:t>If the application is submitted through HPOS form upload or mail, it must include:</w:t>
            </w:r>
          </w:p>
          <w:p w14:paraId="7F326C71" w14:textId="77777777" w:rsidR="001C01FB" w:rsidRPr="00382F0B" w:rsidRDefault="001C01FB" w:rsidP="00DE1823">
            <w:pPr>
              <w:pStyle w:val="mps3-data"/>
              <w:widowControl w:val="0"/>
              <w:rPr>
                <w:szCs w:val="16"/>
              </w:rPr>
            </w:pPr>
            <w:r w:rsidRPr="00382F0B">
              <w:rPr>
                <w:szCs w:val="16"/>
              </w:rPr>
              <w:t>(</w:t>
            </w:r>
            <w:proofErr w:type="spellStart"/>
            <w:r w:rsidRPr="00382F0B">
              <w:rPr>
                <w:szCs w:val="16"/>
              </w:rPr>
              <w:t>i</w:t>
            </w:r>
            <w:proofErr w:type="spellEnd"/>
            <w:r w:rsidRPr="00382F0B">
              <w:rPr>
                <w:szCs w:val="16"/>
              </w:rPr>
              <w:t>) details of the proposed prescription; and</w:t>
            </w:r>
          </w:p>
          <w:p w14:paraId="4C3B17F4" w14:textId="4C77294E" w:rsidR="001C01FB" w:rsidRPr="00382F0B" w:rsidRDefault="001C01FB" w:rsidP="00DE1823">
            <w:pPr>
              <w:pStyle w:val="mps3-data"/>
              <w:widowControl w:val="0"/>
              <w:rPr>
                <w:szCs w:val="16"/>
              </w:rPr>
            </w:pPr>
            <w:r w:rsidRPr="00382F0B">
              <w:rPr>
                <w:szCs w:val="16"/>
              </w:rPr>
              <w:t>(ii)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1212C7CE" w14:textId="127871BA" w:rsidR="001C01FB" w:rsidRPr="00382F0B" w:rsidRDefault="001C01FB" w:rsidP="00DE1823">
            <w:pPr>
              <w:pStyle w:val="mps3-data"/>
              <w:widowControl w:val="0"/>
              <w:rPr>
                <w:szCs w:val="16"/>
              </w:rPr>
            </w:pPr>
            <w:r w:rsidRPr="00382F0B">
              <w:rPr>
                <w:szCs w:val="16"/>
              </w:rPr>
              <w:lastRenderedPageBreak/>
              <w:t>Compliance with Written Authority Required procedures</w:t>
            </w:r>
          </w:p>
        </w:tc>
      </w:tr>
      <w:tr w:rsidR="001C01FB" w:rsidRPr="00382F0B" w14:paraId="0EEA1F9C" w14:textId="77777777" w:rsidTr="00CF2A42">
        <w:tc>
          <w:tcPr>
            <w:tcW w:w="1854" w:type="dxa"/>
            <w:tcBorders>
              <w:top w:val="single" w:sz="4" w:space="0" w:color="auto"/>
              <w:left w:val="single" w:sz="4" w:space="0" w:color="auto"/>
              <w:bottom w:val="single" w:sz="4" w:space="0" w:color="auto"/>
              <w:right w:val="single" w:sz="4" w:space="0" w:color="auto"/>
            </w:tcBorders>
          </w:tcPr>
          <w:p w14:paraId="2B1D9651" w14:textId="77777777" w:rsidR="001C01FB" w:rsidRPr="00382F0B" w:rsidRDefault="001C01FB" w:rsidP="00DE182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291C69E2" w14:textId="31AF9EA0" w:rsidR="001C01FB" w:rsidRPr="00382F0B" w:rsidRDefault="001C01FB" w:rsidP="00DE1823">
            <w:pPr>
              <w:pStyle w:val="mps3-data"/>
              <w:widowControl w:val="0"/>
              <w:rPr>
                <w:szCs w:val="16"/>
              </w:rPr>
            </w:pPr>
            <w:r w:rsidRPr="00382F0B">
              <w:rPr>
                <w:szCs w:val="16"/>
              </w:rPr>
              <w:t>C16734</w:t>
            </w:r>
          </w:p>
        </w:tc>
        <w:tc>
          <w:tcPr>
            <w:tcW w:w="1094" w:type="dxa"/>
            <w:tcBorders>
              <w:top w:val="single" w:sz="4" w:space="0" w:color="auto"/>
              <w:left w:val="single" w:sz="4" w:space="0" w:color="auto"/>
              <w:bottom w:val="single" w:sz="4" w:space="0" w:color="auto"/>
              <w:right w:val="single" w:sz="4" w:space="0" w:color="auto"/>
            </w:tcBorders>
          </w:tcPr>
          <w:p w14:paraId="4216CF61" w14:textId="77777777" w:rsidR="001C01FB" w:rsidRPr="00382F0B" w:rsidRDefault="001C01FB"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3965207D" w14:textId="77777777" w:rsidR="001C01FB" w:rsidRPr="00382F0B" w:rsidRDefault="001C01FB" w:rsidP="00DE1823">
            <w:pPr>
              <w:pStyle w:val="mps3-data"/>
              <w:widowControl w:val="0"/>
              <w:rPr>
                <w:szCs w:val="16"/>
              </w:rPr>
            </w:pPr>
            <w:r w:rsidRPr="00382F0B">
              <w:rPr>
                <w:szCs w:val="16"/>
              </w:rPr>
              <w:t>Cystic fibrosis</w:t>
            </w:r>
          </w:p>
          <w:p w14:paraId="779C365F" w14:textId="77777777" w:rsidR="001C01FB" w:rsidRPr="00382F0B" w:rsidRDefault="001C01FB" w:rsidP="00DE1823">
            <w:pPr>
              <w:pStyle w:val="mps3-data"/>
              <w:widowControl w:val="0"/>
              <w:rPr>
                <w:szCs w:val="16"/>
              </w:rPr>
            </w:pPr>
            <w:r w:rsidRPr="00382F0B">
              <w:rPr>
                <w:szCs w:val="16"/>
              </w:rPr>
              <w:t>Continuing treatment</w:t>
            </w:r>
          </w:p>
          <w:p w14:paraId="3EDEC7FB" w14:textId="77777777" w:rsidR="001C01FB" w:rsidRPr="00382F0B" w:rsidRDefault="001C01FB" w:rsidP="00DE1823">
            <w:pPr>
              <w:pStyle w:val="mps3-data"/>
              <w:widowControl w:val="0"/>
              <w:rPr>
                <w:szCs w:val="16"/>
              </w:rPr>
            </w:pPr>
            <w:r w:rsidRPr="00382F0B">
              <w:rPr>
                <w:szCs w:val="16"/>
              </w:rPr>
              <w:t>Must be treated by a specialist respiratory physician with expertise in cystic fibrosis or in consultation with a specialist respiratory physician with expertise in cystic fibrosis if attendance is not possible due to geographic isolation; AND</w:t>
            </w:r>
          </w:p>
          <w:p w14:paraId="03AAD090" w14:textId="77777777" w:rsidR="001C01FB" w:rsidRPr="00382F0B" w:rsidRDefault="001C01FB" w:rsidP="00DE1823">
            <w:pPr>
              <w:pStyle w:val="mps3-data"/>
              <w:widowControl w:val="0"/>
              <w:rPr>
                <w:szCs w:val="16"/>
              </w:rPr>
            </w:pPr>
            <w:r w:rsidRPr="00382F0B">
              <w:rPr>
                <w:szCs w:val="16"/>
              </w:rPr>
              <w:t>Must be treated in a centre with expertise in cystic fibrosis or in consultation with a centre with expertise in cystic fibrosis if attendance is not possible due to geographic isolation.</w:t>
            </w:r>
          </w:p>
          <w:p w14:paraId="4B0FD8C3" w14:textId="77777777" w:rsidR="001C01FB" w:rsidRPr="00382F0B" w:rsidRDefault="001C01FB" w:rsidP="00DE1823">
            <w:pPr>
              <w:pStyle w:val="mps3-data"/>
              <w:widowControl w:val="0"/>
              <w:rPr>
                <w:szCs w:val="16"/>
              </w:rPr>
            </w:pPr>
            <w:r w:rsidRPr="00382F0B">
              <w:rPr>
                <w:szCs w:val="16"/>
              </w:rPr>
              <w:t>Patient must have previously received PBS-subsidised treatment with this drug for this condition; AND</w:t>
            </w:r>
          </w:p>
          <w:p w14:paraId="39FB9060" w14:textId="77777777" w:rsidR="001C01FB" w:rsidRPr="00382F0B" w:rsidRDefault="001C01FB" w:rsidP="00DE1823">
            <w:pPr>
              <w:pStyle w:val="mps3-data"/>
              <w:widowControl w:val="0"/>
              <w:rPr>
                <w:szCs w:val="16"/>
              </w:rPr>
            </w:pPr>
            <w:r w:rsidRPr="00382F0B">
              <w:rPr>
                <w:szCs w:val="16"/>
              </w:rPr>
              <w:t>The treatment must be given concomitantly with standard therapy for this condition.</w:t>
            </w:r>
          </w:p>
          <w:p w14:paraId="02DE7D0F" w14:textId="77777777" w:rsidR="001C01FB" w:rsidRPr="00382F0B" w:rsidRDefault="001C01FB" w:rsidP="00DE1823">
            <w:pPr>
              <w:pStyle w:val="mps3-data"/>
              <w:widowControl w:val="0"/>
              <w:rPr>
                <w:szCs w:val="16"/>
              </w:rPr>
            </w:pPr>
            <w:r w:rsidRPr="00382F0B">
              <w:rPr>
                <w:szCs w:val="16"/>
              </w:rPr>
              <w:t>Patient must be 2 to 5 years of age.</w:t>
            </w:r>
          </w:p>
          <w:p w14:paraId="2C70552F" w14:textId="77777777" w:rsidR="001C01FB" w:rsidRPr="00382F0B" w:rsidRDefault="001C01FB" w:rsidP="00DE1823">
            <w:pPr>
              <w:pStyle w:val="mps3-data"/>
              <w:widowControl w:val="0"/>
              <w:rPr>
                <w:szCs w:val="16"/>
              </w:rPr>
            </w:pPr>
            <w:r w:rsidRPr="00382F0B">
              <w:rPr>
                <w:szCs w:val="16"/>
              </w:rPr>
              <w:t>This pharmaceutical benefit is not PBS-subsidised for this condition in a patient who is currently receiving one of the strong CYP3A4 inducers outlined in the Product Information.</w:t>
            </w:r>
          </w:p>
          <w:p w14:paraId="6C80B069" w14:textId="77777777" w:rsidR="001C01FB" w:rsidRPr="00382F0B" w:rsidRDefault="001C01FB" w:rsidP="00DE1823">
            <w:pPr>
              <w:pStyle w:val="mps3-data"/>
              <w:widowControl w:val="0"/>
              <w:rPr>
                <w:szCs w:val="16"/>
              </w:rPr>
            </w:pPr>
            <w:r w:rsidRPr="00382F0B">
              <w:rPr>
                <w:szCs w:val="16"/>
              </w:rPr>
              <w:t xml:space="preserve">The authority application must be via the Online PBS Authorities System, or in writing via HPOS form upload or mail and must </w:t>
            </w:r>
            <w:proofErr w:type="gramStart"/>
            <w:r w:rsidRPr="00382F0B">
              <w:rPr>
                <w:szCs w:val="16"/>
              </w:rPr>
              <w:t>include:</w:t>
            </w:r>
            <w:proofErr w:type="gramEnd"/>
            <w:r w:rsidRPr="00382F0B">
              <w:rPr>
                <w:szCs w:val="16"/>
              </w:rPr>
              <w:t xml:space="preserve"> current CYP3A4 inhibitors, CYP3A4 inducers and IV antibiotics.</w:t>
            </w:r>
          </w:p>
          <w:p w14:paraId="1FFC8FCD" w14:textId="77777777" w:rsidR="001C01FB" w:rsidRPr="00382F0B" w:rsidRDefault="001C01FB" w:rsidP="00DE1823">
            <w:pPr>
              <w:pStyle w:val="mps3-data"/>
              <w:widowControl w:val="0"/>
              <w:rPr>
                <w:szCs w:val="16"/>
              </w:rPr>
            </w:pPr>
            <w:r w:rsidRPr="00382F0B">
              <w:rPr>
                <w:szCs w:val="16"/>
              </w:rPr>
              <w:t>If the application is submitted through HPOS form upload or mail, it must include:</w:t>
            </w:r>
          </w:p>
          <w:p w14:paraId="3725756E" w14:textId="77777777" w:rsidR="001C01FB" w:rsidRPr="00382F0B" w:rsidRDefault="001C01FB" w:rsidP="00DE1823">
            <w:pPr>
              <w:pStyle w:val="mps3-data"/>
              <w:widowControl w:val="0"/>
              <w:rPr>
                <w:szCs w:val="16"/>
              </w:rPr>
            </w:pPr>
            <w:r w:rsidRPr="00382F0B">
              <w:rPr>
                <w:szCs w:val="16"/>
              </w:rPr>
              <w:t>(</w:t>
            </w:r>
            <w:proofErr w:type="spellStart"/>
            <w:r w:rsidRPr="00382F0B">
              <w:rPr>
                <w:szCs w:val="16"/>
              </w:rPr>
              <w:t>i</w:t>
            </w:r>
            <w:proofErr w:type="spellEnd"/>
            <w:r w:rsidRPr="00382F0B">
              <w:rPr>
                <w:szCs w:val="16"/>
              </w:rPr>
              <w:t>) details of the proposed prescription; and</w:t>
            </w:r>
          </w:p>
          <w:p w14:paraId="001E92A3" w14:textId="3316BB27" w:rsidR="001C01FB" w:rsidRPr="00382F0B" w:rsidRDefault="001C01FB" w:rsidP="00DE1823">
            <w:pPr>
              <w:pStyle w:val="mps3-data"/>
              <w:widowControl w:val="0"/>
              <w:rPr>
                <w:szCs w:val="16"/>
              </w:rPr>
            </w:pPr>
            <w:r w:rsidRPr="00382F0B">
              <w:rPr>
                <w:szCs w:val="16"/>
              </w:rPr>
              <w:t>(ii)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2FEC14E3" w14:textId="0A1697DF" w:rsidR="001C01FB" w:rsidRPr="00382F0B" w:rsidRDefault="001C01FB" w:rsidP="00DE1823">
            <w:pPr>
              <w:pStyle w:val="mps3-data"/>
              <w:widowControl w:val="0"/>
              <w:rPr>
                <w:szCs w:val="16"/>
              </w:rPr>
            </w:pPr>
            <w:r w:rsidRPr="00382F0B">
              <w:rPr>
                <w:szCs w:val="16"/>
              </w:rPr>
              <w:t>Compliance with Written Authority Required procedures</w:t>
            </w:r>
          </w:p>
        </w:tc>
      </w:tr>
      <w:tr w:rsidR="001C01FB" w:rsidRPr="00382F0B" w14:paraId="2B4F0462" w14:textId="77777777" w:rsidTr="00CF2A42">
        <w:tc>
          <w:tcPr>
            <w:tcW w:w="1854" w:type="dxa"/>
            <w:tcBorders>
              <w:top w:val="single" w:sz="4" w:space="0" w:color="auto"/>
              <w:left w:val="single" w:sz="4" w:space="0" w:color="auto"/>
              <w:bottom w:val="single" w:sz="4" w:space="0" w:color="auto"/>
              <w:right w:val="single" w:sz="4" w:space="0" w:color="auto"/>
            </w:tcBorders>
          </w:tcPr>
          <w:p w14:paraId="54DCEA57" w14:textId="77777777" w:rsidR="001C01FB" w:rsidRPr="00382F0B" w:rsidRDefault="001C01FB" w:rsidP="00DE182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3A16DC3B" w14:textId="1FCCEB2E" w:rsidR="001C01FB" w:rsidRPr="00382F0B" w:rsidRDefault="001C01FB" w:rsidP="00DE1823">
            <w:pPr>
              <w:pStyle w:val="mps3-data"/>
              <w:widowControl w:val="0"/>
              <w:rPr>
                <w:szCs w:val="16"/>
              </w:rPr>
            </w:pPr>
            <w:r w:rsidRPr="00382F0B">
              <w:rPr>
                <w:szCs w:val="16"/>
              </w:rPr>
              <w:t>C16799</w:t>
            </w:r>
          </w:p>
        </w:tc>
        <w:tc>
          <w:tcPr>
            <w:tcW w:w="1094" w:type="dxa"/>
            <w:tcBorders>
              <w:top w:val="single" w:sz="4" w:space="0" w:color="auto"/>
              <w:left w:val="single" w:sz="4" w:space="0" w:color="auto"/>
              <w:bottom w:val="single" w:sz="4" w:space="0" w:color="auto"/>
              <w:right w:val="single" w:sz="4" w:space="0" w:color="auto"/>
            </w:tcBorders>
          </w:tcPr>
          <w:p w14:paraId="1A0B87FF" w14:textId="77777777" w:rsidR="001C01FB" w:rsidRPr="00382F0B" w:rsidRDefault="001C01FB"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1366FAC9" w14:textId="77777777" w:rsidR="001C01FB" w:rsidRPr="00382F0B" w:rsidRDefault="001C01FB" w:rsidP="00DE1823">
            <w:pPr>
              <w:pStyle w:val="mps3-data"/>
              <w:widowControl w:val="0"/>
              <w:rPr>
                <w:szCs w:val="16"/>
              </w:rPr>
            </w:pPr>
            <w:r w:rsidRPr="00382F0B">
              <w:rPr>
                <w:szCs w:val="16"/>
              </w:rPr>
              <w:t>Cystic fibrosis</w:t>
            </w:r>
          </w:p>
          <w:p w14:paraId="70AFB7E6" w14:textId="77777777" w:rsidR="001C01FB" w:rsidRPr="00382F0B" w:rsidRDefault="001C01FB" w:rsidP="00DE1823">
            <w:pPr>
              <w:pStyle w:val="mps3-data"/>
              <w:widowControl w:val="0"/>
              <w:rPr>
                <w:szCs w:val="16"/>
              </w:rPr>
            </w:pPr>
            <w:r w:rsidRPr="00382F0B">
              <w:rPr>
                <w:szCs w:val="16"/>
              </w:rPr>
              <w:lastRenderedPageBreak/>
              <w:t>Initial treatment</w:t>
            </w:r>
          </w:p>
          <w:p w14:paraId="202EEC51" w14:textId="77777777" w:rsidR="001C01FB" w:rsidRPr="00382F0B" w:rsidRDefault="001C01FB" w:rsidP="00DE1823">
            <w:pPr>
              <w:pStyle w:val="mps3-data"/>
              <w:widowControl w:val="0"/>
              <w:rPr>
                <w:szCs w:val="16"/>
              </w:rPr>
            </w:pPr>
            <w:r w:rsidRPr="00382F0B">
              <w:rPr>
                <w:szCs w:val="16"/>
              </w:rPr>
              <w:t>Must be treated by a specialist respiratory physician with expertise in cystic fibrosis or in consultation with a specialist respiratory physician with expertise in cystic fibrosis if attendance is not possible due to geographic isolation; AND</w:t>
            </w:r>
          </w:p>
          <w:p w14:paraId="432C9958" w14:textId="77777777" w:rsidR="001C01FB" w:rsidRPr="00382F0B" w:rsidRDefault="001C01FB" w:rsidP="00DE1823">
            <w:pPr>
              <w:pStyle w:val="mps3-data"/>
              <w:widowControl w:val="0"/>
              <w:rPr>
                <w:szCs w:val="16"/>
              </w:rPr>
            </w:pPr>
            <w:r w:rsidRPr="00382F0B">
              <w:rPr>
                <w:szCs w:val="16"/>
              </w:rPr>
              <w:t>Must be treated in a centre with expertise in cystic fibrosis or in consultation with a centre with expertise in cystic fibrosis if attendance is not possible due to geographic isolation.</w:t>
            </w:r>
          </w:p>
          <w:p w14:paraId="2103AE78" w14:textId="77777777" w:rsidR="001C01FB" w:rsidRPr="00382F0B" w:rsidRDefault="001C01FB" w:rsidP="00DE1823">
            <w:pPr>
              <w:pStyle w:val="mps3-data"/>
              <w:widowControl w:val="0"/>
              <w:rPr>
                <w:szCs w:val="16"/>
              </w:rPr>
            </w:pPr>
            <w:r w:rsidRPr="00382F0B">
              <w:rPr>
                <w:szCs w:val="16"/>
              </w:rPr>
              <w:t xml:space="preserve">Patient must have at least one mutation in the CFTR gene that is considered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/ivacaftor potentiation based on clinical and/or in vitro assay data; AND</w:t>
            </w:r>
          </w:p>
          <w:p w14:paraId="254901D8" w14:textId="77777777" w:rsidR="001C01FB" w:rsidRPr="00382F0B" w:rsidRDefault="001C01FB" w:rsidP="00DE1823">
            <w:pPr>
              <w:pStyle w:val="mps3-data"/>
              <w:widowControl w:val="0"/>
              <w:rPr>
                <w:szCs w:val="16"/>
              </w:rPr>
            </w:pPr>
            <w:r w:rsidRPr="00382F0B">
              <w:rPr>
                <w:szCs w:val="16"/>
              </w:rPr>
              <w:t>The treatment must be given concomitantly with standard therapy for this condition; AND</w:t>
            </w:r>
          </w:p>
          <w:p w14:paraId="7CD8838C" w14:textId="77777777" w:rsidR="001C01FB" w:rsidRPr="00382F0B" w:rsidRDefault="001C01FB" w:rsidP="00DE1823">
            <w:pPr>
              <w:pStyle w:val="mps3-data"/>
              <w:widowControl w:val="0"/>
              <w:rPr>
                <w:szCs w:val="16"/>
              </w:rPr>
            </w:pPr>
            <w:r w:rsidRPr="00382F0B">
              <w:rPr>
                <w:szCs w:val="16"/>
              </w:rPr>
              <w:t>Patient must have either chronic sinopulmonary disease or gastrointestinal and nutritional abnormalities, prior to initiating treatment with this drug.</w:t>
            </w:r>
          </w:p>
          <w:p w14:paraId="193B8806" w14:textId="77777777" w:rsidR="001C01FB" w:rsidRPr="00382F0B" w:rsidRDefault="001C01FB" w:rsidP="00DE1823">
            <w:pPr>
              <w:pStyle w:val="mps3-data"/>
              <w:widowControl w:val="0"/>
              <w:rPr>
                <w:szCs w:val="16"/>
              </w:rPr>
            </w:pPr>
            <w:r w:rsidRPr="00382F0B">
              <w:rPr>
                <w:szCs w:val="16"/>
              </w:rPr>
              <w:t>Patient must be at least 6 years of age.</w:t>
            </w:r>
          </w:p>
          <w:p w14:paraId="1BDE12E4" w14:textId="77777777" w:rsidR="001C01FB" w:rsidRPr="00382F0B" w:rsidRDefault="001C01FB" w:rsidP="00DE1823">
            <w:pPr>
              <w:pStyle w:val="mps3-data"/>
              <w:widowControl w:val="0"/>
              <w:rPr>
                <w:szCs w:val="16"/>
              </w:rPr>
            </w:pPr>
            <w:r w:rsidRPr="00382F0B">
              <w:rPr>
                <w:szCs w:val="16"/>
              </w:rPr>
              <w:t xml:space="preserve">For the purposes of this restriction, the list of mutations considered to be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 xml:space="preserve">/ivacaftor is defined in the TGA approved Product Information (PI). Mutations that are not listed in the TGA approved PI but considered to be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/ivacaftor can be accepted with a confirmation that these patients do not harbour two Class I mutations.</w:t>
            </w:r>
          </w:p>
          <w:p w14:paraId="31877DF6" w14:textId="77777777" w:rsidR="001C01FB" w:rsidRPr="00382F0B" w:rsidRDefault="001C01FB" w:rsidP="00DE1823">
            <w:pPr>
              <w:pStyle w:val="mps3-data"/>
              <w:widowControl w:val="0"/>
              <w:rPr>
                <w:szCs w:val="16"/>
              </w:rPr>
            </w:pPr>
            <w:r w:rsidRPr="00382F0B">
              <w:rPr>
                <w:szCs w:val="16"/>
              </w:rPr>
              <w:t>This pharmaceutical benefit is not PBS-subsidised for this condition in a patient who is currently receiving one of the strong CYP3A4 inducers outlined in the Product Information.</w:t>
            </w:r>
          </w:p>
          <w:p w14:paraId="35F804A2" w14:textId="77777777" w:rsidR="001C01FB" w:rsidRPr="00382F0B" w:rsidRDefault="001C01FB" w:rsidP="00DE1823">
            <w:pPr>
              <w:pStyle w:val="mps3-data"/>
              <w:widowControl w:val="0"/>
              <w:rPr>
                <w:szCs w:val="16"/>
              </w:rPr>
            </w:pPr>
            <w:r w:rsidRPr="00382F0B">
              <w:rPr>
                <w:szCs w:val="16"/>
              </w:rPr>
              <w:t>The authority application must be via the Online PBS Authorities System, or in writing via HPOS form upload or mail and must include:</w:t>
            </w:r>
          </w:p>
          <w:p w14:paraId="06D69285" w14:textId="77777777" w:rsidR="001C01FB" w:rsidRPr="00382F0B" w:rsidRDefault="001C01FB" w:rsidP="00DE1823">
            <w:pPr>
              <w:pStyle w:val="mps3-data"/>
              <w:widowControl w:val="0"/>
              <w:rPr>
                <w:szCs w:val="16"/>
              </w:rPr>
            </w:pPr>
            <w:r w:rsidRPr="00382F0B">
              <w:rPr>
                <w:szCs w:val="16"/>
              </w:rPr>
              <w:t xml:space="preserve">(1) details of the pathology report substantiating the specific mutation considered to be responsive to </w:t>
            </w:r>
            <w:proofErr w:type="spellStart"/>
            <w:r w:rsidRPr="00382F0B">
              <w:rPr>
                <w:szCs w:val="16"/>
              </w:rPr>
              <w:t>elexacaftor</w:t>
            </w:r>
            <w:proofErr w:type="spellEnd"/>
            <w:r w:rsidRPr="00382F0B">
              <w:rPr>
                <w:szCs w:val="16"/>
              </w:rPr>
              <w:t>/</w:t>
            </w:r>
            <w:proofErr w:type="spellStart"/>
            <w:r w:rsidRPr="00382F0B">
              <w:rPr>
                <w:szCs w:val="16"/>
              </w:rPr>
              <w:t>tezacaftor</w:t>
            </w:r>
            <w:proofErr w:type="spellEnd"/>
            <w:r w:rsidRPr="00382F0B">
              <w:rPr>
                <w:szCs w:val="16"/>
              </w:rPr>
              <w:t>/ivacaftor as listed in the TGA approved PI - quote each of the: (</w:t>
            </w:r>
            <w:proofErr w:type="spellStart"/>
            <w:r w:rsidRPr="00382F0B">
              <w:rPr>
                <w:szCs w:val="16"/>
              </w:rPr>
              <w:t>i</w:t>
            </w:r>
            <w:proofErr w:type="spellEnd"/>
            <w:r w:rsidRPr="00382F0B">
              <w:rPr>
                <w:szCs w:val="16"/>
              </w:rPr>
              <w:t>) specific mutation, and if the specific mutation is not listed in the TGA approved PI, confirmation that the patient does not harbour two Class I mutations, (ii) name of the pathology report provider, (iii) date of pathology report, (iv) unique identifying number/code that links the pathology result to the individual patient; and</w:t>
            </w:r>
          </w:p>
          <w:p w14:paraId="70BFBFB8" w14:textId="77777777" w:rsidR="001C01FB" w:rsidRPr="00382F0B" w:rsidRDefault="001C01FB" w:rsidP="00DE1823">
            <w:pPr>
              <w:pStyle w:val="mps3-data"/>
              <w:widowControl w:val="0"/>
              <w:rPr>
                <w:szCs w:val="16"/>
              </w:rPr>
            </w:pPr>
            <w:r w:rsidRPr="00382F0B">
              <w:rPr>
                <w:szCs w:val="16"/>
              </w:rPr>
              <w:t>(2) current CYP3A4 inhibitors, CYP3A4 inducers and IV antibiotics.</w:t>
            </w:r>
          </w:p>
          <w:p w14:paraId="072AFA05" w14:textId="77777777" w:rsidR="001C01FB" w:rsidRPr="00382F0B" w:rsidRDefault="001C01FB" w:rsidP="00DE1823">
            <w:pPr>
              <w:pStyle w:val="mps3-data"/>
              <w:widowControl w:val="0"/>
              <w:rPr>
                <w:szCs w:val="16"/>
              </w:rPr>
            </w:pPr>
            <w:r w:rsidRPr="00382F0B">
              <w:rPr>
                <w:szCs w:val="16"/>
              </w:rPr>
              <w:t>If the application is submitted through HPOS form upload or mail, it must include:</w:t>
            </w:r>
          </w:p>
          <w:p w14:paraId="16C6552E" w14:textId="77777777" w:rsidR="001C01FB" w:rsidRPr="00382F0B" w:rsidRDefault="001C01FB" w:rsidP="00DE1823">
            <w:pPr>
              <w:pStyle w:val="mps3-data"/>
              <w:widowControl w:val="0"/>
              <w:rPr>
                <w:szCs w:val="16"/>
              </w:rPr>
            </w:pPr>
            <w:r w:rsidRPr="00382F0B">
              <w:rPr>
                <w:szCs w:val="16"/>
              </w:rPr>
              <w:t>(</w:t>
            </w:r>
            <w:proofErr w:type="spellStart"/>
            <w:r w:rsidRPr="00382F0B">
              <w:rPr>
                <w:szCs w:val="16"/>
              </w:rPr>
              <w:t>i</w:t>
            </w:r>
            <w:proofErr w:type="spellEnd"/>
            <w:r w:rsidRPr="00382F0B">
              <w:rPr>
                <w:szCs w:val="16"/>
              </w:rPr>
              <w:t>) details of the proposed prescription; and</w:t>
            </w:r>
          </w:p>
          <w:p w14:paraId="476CFCD4" w14:textId="51BE8480" w:rsidR="001C01FB" w:rsidRPr="00382F0B" w:rsidRDefault="001C01FB" w:rsidP="00DE1823">
            <w:pPr>
              <w:pStyle w:val="mps3-data"/>
              <w:widowControl w:val="0"/>
              <w:rPr>
                <w:szCs w:val="16"/>
              </w:rPr>
            </w:pPr>
            <w:r w:rsidRPr="00382F0B">
              <w:rPr>
                <w:szCs w:val="16"/>
              </w:rPr>
              <w:t>(ii)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3B2C3DE3" w14:textId="14EE0496" w:rsidR="001C01FB" w:rsidRPr="00382F0B" w:rsidRDefault="001C01FB" w:rsidP="00DE1823">
            <w:pPr>
              <w:pStyle w:val="mps3-data"/>
              <w:widowControl w:val="0"/>
              <w:rPr>
                <w:szCs w:val="16"/>
              </w:rPr>
            </w:pPr>
            <w:r w:rsidRPr="00382F0B">
              <w:rPr>
                <w:szCs w:val="16"/>
              </w:rPr>
              <w:lastRenderedPageBreak/>
              <w:t xml:space="preserve">Compliance with Written Authority Required </w:t>
            </w:r>
            <w:r w:rsidRPr="00382F0B">
              <w:rPr>
                <w:szCs w:val="16"/>
              </w:rPr>
              <w:lastRenderedPageBreak/>
              <w:t>procedures</w:t>
            </w:r>
          </w:p>
        </w:tc>
      </w:tr>
      <w:tr w:rsidR="001C01FB" w:rsidRPr="00382F0B" w14:paraId="339F8F92" w14:textId="77777777" w:rsidTr="00CF2A42">
        <w:tc>
          <w:tcPr>
            <w:tcW w:w="1854" w:type="dxa"/>
            <w:tcBorders>
              <w:top w:val="single" w:sz="4" w:space="0" w:color="auto"/>
              <w:left w:val="single" w:sz="4" w:space="0" w:color="auto"/>
              <w:bottom w:val="single" w:sz="4" w:space="0" w:color="auto"/>
              <w:right w:val="single" w:sz="4" w:space="0" w:color="auto"/>
            </w:tcBorders>
          </w:tcPr>
          <w:p w14:paraId="4FD6D8D7" w14:textId="77777777" w:rsidR="001C01FB" w:rsidRPr="00382F0B" w:rsidRDefault="001C01FB" w:rsidP="00DE182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004980CF" w14:textId="0A32990E" w:rsidR="001C01FB" w:rsidRPr="00382F0B" w:rsidRDefault="001C01FB" w:rsidP="00DE1823">
            <w:pPr>
              <w:pStyle w:val="mps3-data"/>
              <w:widowControl w:val="0"/>
              <w:rPr>
                <w:szCs w:val="16"/>
              </w:rPr>
            </w:pPr>
            <w:r w:rsidRPr="00382F0B">
              <w:rPr>
                <w:szCs w:val="16"/>
              </w:rPr>
              <w:t>C16800</w:t>
            </w:r>
          </w:p>
        </w:tc>
        <w:tc>
          <w:tcPr>
            <w:tcW w:w="1094" w:type="dxa"/>
            <w:tcBorders>
              <w:top w:val="single" w:sz="4" w:space="0" w:color="auto"/>
              <w:left w:val="single" w:sz="4" w:space="0" w:color="auto"/>
              <w:bottom w:val="single" w:sz="4" w:space="0" w:color="auto"/>
              <w:right w:val="single" w:sz="4" w:space="0" w:color="auto"/>
            </w:tcBorders>
          </w:tcPr>
          <w:p w14:paraId="1EDF2A5E" w14:textId="77777777" w:rsidR="001C01FB" w:rsidRPr="00382F0B" w:rsidRDefault="001C01FB"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52266828" w14:textId="77777777" w:rsidR="001C01FB" w:rsidRPr="00382F0B" w:rsidRDefault="001C01FB" w:rsidP="00DE1823">
            <w:pPr>
              <w:pStyle w:val="mps3-data"/>
              <w:widowControl w:val="0"/>
              <w:rPr>
                <w:szCs w:val="16"/>
              </w:rPr>
            </w:pPr>
            <w:r w:rsidRPr="00382F0B">
              <w:rPr>
                <w:szCs w:val="16"/>
              </w:rPr>
              <w:t>Cystic fibrosis</w:t>
            </w:r>
          </w:p>
          <w:p w14:paraId="2676979B" w14:textId="77777777" w:rsidR="001C01FB" w:rsidRPr="00382F0B" w:rsidRDefault="001C01FB" w:rsidP="00DE1823">
            <w:pPr>
              <w:pStyle w:val="mps3-data"/>
              <w:widowControl w:val="0"/>
              <w:rPr>
                <w:szCs w:val="16"/>
              </w:rPr>
            </w:pPr>
            <w:r w:rsidRPr="00382F0B">
              <w:rPr>
                <w:szCs w:val="16"/>
              </w:rPr>
              <w:t>Continuing treatment</w:t>
            </w:r>
          </w:p>
          <w:p w14:paraId="2EA2DD51" w14:textId="77777777" w:rsidR="001C01FB" w:rsidRPr="00382F0B" w:rsidRDefault="001C01FB" w:rsidP="00DE1823">
            <w:pPr>
              <w:pStyle w:val="mps3-data"/>
              <w:widowControl w:val="0"/>
              <w:rPr>
                <w:szCs w:val="16"/>
              </w:rPr>
            </w:pPr>
            <w:r w:rsidRPr="00382F0B">
              <w:rPr>
                <w:szCs w:val="16"/>
              </w:rPr>
              <w:t>Must be treated by a specialist respiratory physician with expertise in cystic fibrosis or in consultation with a specialist respiratory physician with expertise in cystic fibrosis if attendance is not possible due to geographic isolation; AND</w:t>
            </w:r>
          </w:p>
          <w:p w14:paraId="39113542" w14:textId="77777777" w:rsidR="001C01FB" w:rsidRPr="00382F0B" w:rsidRDefault="001C01FB" w:rsidP="00DE1823">
            <w:pPr>
              <w:pStyle w:val="mps3-data"/>
              <w:widowControl w:val="0"/>
              <w:rPr>
                <w:szCs w:val="16"/>
              </w:rPr>
            </w:pPr>
            <w:r w:rsidRPr="00382F0B">
              <w:rPr>
                <w:szCs w:val="16"/>
              </w:rPr>
              <w:t xml:space="preserve">Must be treated in a centre with expertise in cystic fibrosis or in consultation with a centre with </w:t>
            </w:r>
            <w:r w:rsidRPr="00382F0B">
              <w:rPr>
                <w:szCs w:val="16"/>
              </w:rPr>
              <w:lastRenderedPageBreak/>
              <w:t>expertise in cystic fibrosis if attendance is not possible due to geographic isolation.</w:t>
            </w:r>
          </w:p>
          <w:p w14:paraId="6434EDBB" w14:textId="77777777" w:rsidR="001C01FB" w:rsidRPr="00382F0B" w:rsidRDefault="001C01FB" w:rsidP="00DE1823">
            <w:pPr>
              <w:pStyle w:val="mps3-data"/>
              <w:widowControl w:val="0"/>
              <w:rPr>
                <w:szCs w:val="16"/>
              </w:rPr>
            </w:pPr>
            <w:r w:rsidRPr="00382F0B">
              <w:rPr>
                <w:szCs w:val="16"/>
              </w:rPr>
              <w:t>Patient must have previously received PBS-subsidised treatment with this drug for this condition; AND</w:t>
            </w:r>
          </w:p>
          <w:p w14:paraId="5D910715" w14:textId="77777777" w:rsidR="001C01FB" w:rsidRPr="00382F0B" w:rsidRDefault="001C01FB" w:rsidP="00DE1823">
            <w:pPr>
              <w:pStyle w:val="mps3-data"/>
              <w:widowControl w:val="0"/>
              <w:rPr>
                <w:szCs w:val="16"/>
              </w:rPr>
            </w:pPr>
            <w:r w:rsidRPr="00382F0B">
              <w:rPr>
                <w:szCs w:val="16"/>
              </w:rPr>
              <w:t>The treatment must be given concomitantly with standard therapy for this condition.</w:t>
            </w:r>
          </w:p>
          <w:p w14:paraId="1FC99CE7" w14:textId="77777777" w:rsidR="001C01FB" w:rsidRPr="00382F0B" w:rsidRDefault="001C01FB" w:rsidP="00DE1823">
            <w:pPr>
              <w:pStyle w:val="mps3-data"/>
              <w:widowControl w:val="0"/>
              <w:rPr>
                <w:szCs w:val="16"/>
              </w:rPr>
            </w:pPr>
            <w:r w:rsidRPr="00382F0B">
              <w:rPr>
                <w:szCs w:val="16"/>
              </w:rPr>
              <w:t>Patient must be at least 6 years of age.</w:t>
            </w:r>
          </w:p>
          <w:p w14:paraId="14950F74" w14:textId="77777777" w:rsidR="001C01FB" w:rsidRPr="00382F0B" w:rsidRDefault="001C01FB" w:rsidP="00DE1823">
            <w:pPr>
              <w:pStyle w:val="mps3-data"/>
              <w:widowControl w:val="0"/>
              <w:rPr>
                <w:szCs w:val="16"/>
              </w:rPr>
            </w:pPr>
            <w:r w:rsidRPr="00382F0B">
              <w:rPr>
                <w:szCs w:val="16"/>
              </w:rPr>
              <w:t>This pharmaceutical benefit is not PBS-subsidised for this condition in a patient who is currently receiving one of the strong CYP3A4 inducers outlined in the Product Information.</w:t>
            </w:r>
          </w:p>
          <w:p w14:paraId="357E9E32" w14:textId="77777777" w:rsidR="001C01FB" w:rsidRPr="00382F0B" w:rsidRDefault="001C01FB" w:rsidP="00DE1823">
            <w:pPr>
              <w:pStyle w:val="mps3-data"/>
              <w:widowControl w:val="0"/>
              <w:rPr>
                <w:szCs w:val="16"/>
              </w:rPr>
            </w:pPr>
            <w:r w:rsidRPr="00382F0B">
              <w:rPr>
                <w:szCs w:val="16"/>
              </w:rPr>
              <w:t xml:space="preserve">The authority application must be via the Online PBS Authorities System, or in writing via HPOS form upload or mail and must </w:t>
            </w:r>
            <w:proofErr w:type="gramStart"/>
            <w:r w:rsidRPr="00382F0B">
              <w:rPr>
                <w:szCs w:val="16"/>
              </w:rPr>
              <w:t>include:</w:t>
            </w:r>
            <w:proofErr w:type="gramEnd"/>
            <w:r w:rsidRPr="00382F0B">
              <w:rPr>
                <w:szCs w:val="16"/>
              </w:rPr>
              <w:t xml:space="preserve"> current CYP3A4 inhibitors, CYP3A4 inducers and IV antibiotics.</w:t>
            </w:r>
          </w:p>
          <w:p w14:paraId="5587C1D3" w14:textId="77777777" w:rsidR="001C01FB" w:rsidRPr="00382F0B" w:rsidRDefault="001C01FB" w:rsidP="00DE1823">
            <w:pPr>
              <w:pStyle w:val="mps3-data"/>
              <w:widowControl w:val="0"/>
              <w:rPr>
                <w:szCs w:val="16"/>
              </w:rPr>
            </w:pPr>
            <w:r w:rsidRPr="00382F0B">
              <w:rPr>
                <w:szCs w:val="16"/>
              </w:rPr>
              <w:t>If the application is submitted through HPOS form upload or mail, it must include:</w:t>
            </w:r>
          </w:p>
          <w:p w14:paraId="54239770" w14:textId="77777777" w:rsidR="001C01FB" w:rsidRPr="00382F0B" w:rsidRDefault="001C01FB" w:rsidP="00DE1823">
            <w:pPr>
              <w:pStyle w:val="mps3-data"/>
              <w:widowControl w:val="0"/>
              <w:rPr>
                <w:szCs w:val="16"/>
              </w:rPr>
            </w:pPr>
            <w:r w:rsidRPr="00382F0B">
              <w:rPr>
                <w:szCs w:val="16"/>
              </w:rPr>
              <w:t>(</w:t>
            </w:r>
            <w:proofErr w:type="spellStart"/>
            <w:r w:rsidRPr="00382F0B">
              <w:rPr>
                <w:szCs w:val="16"/>
              </w:rPr>
              <w:t>i</w:t>
            </w:r>
            <w:proofErr w:type="spellEnd"/>
            <w:r w:rsidRPr="00382F0B">
              <w:rPr>
                <w:szCs w:val="16"/>
              </w:rPr>
              <w:t>) details of the proposed prescription; and</w:t>
            </w:r>
          </w:p>
          <w:p w14:paraId="72690F38" w14:textId="74759114" w:rsidR="001C01FB" w:rsidRPr="00382F0B" w:rsidRDefault="001C01FB" w:rsidP="00DE1823">
            <w:pPr>
              <w:pStyle w:val="mps3-data"/>
              <w:widowControl w:val="0"/>
              <w:rPr>
                <w:szCs w:val="16"/>
              </w:rPr>
            </w:pPr>
            <w:r w:rsidRPr="00382F0B">
              <w:rPr>
                <w:szCs w:val="16"/>
              </w:rPr>
              <w:t>(ii)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4379D2FA" w14:textId="5D4BB3F6" w:rsidR="001C01FB" w:rsidRPr="00382F0B" w:rsidRDefault="001C01FB" w:rsidP="00DE1823">
            <w:pPr>
              <w:pStyle w:val="mps3-data"/>
              <w:widowControl w:val="0"/>
              <w:rPr>
                <w:szCs w:val="16"/>
              </w:rPr>
            </w:pPr>
            <w:r w:rsidRPr="00382F0B">
              <w:rPr>
                <w:szCs w:val="16"/>
              </w:rPr>
              <w:lastRenderedPageBreak/>
              <w:t>Compliance with Written Authority Required procedures</w:t>
            </w:r>
          </w:p>
        </w:tc>
      </w:tr>
    </w:tbl>
    <w:p w14:paraId="617AAE56" w14:textId="7CAB295D" w:rsidR="00DE1823" w:rsidRPr="00382F0B" w:rsidRDefault="00DE1823" w:rsidP="00DE1823">
      <w:pPr>
        <w:pStyle w:val="Amendment1"/>
        <w:numPr>
          <w:ilvl w:val="0"/>
          <w:numId w:val="7"/>
        </w:numPr>
        <w:tabs>
          <w:tab w:val="clear" w:pos="794"/>
          <w:tab w:val="num" w:pos="851"/>
        </w:tabs>
        <w:spacing w:line="260" w:lineRule="exact"/>
        <w:ind w:left="851" w:hanging="851"/>
        <w:rPr>
          <w:i/>
          <w:iCs/>
        </w:rPr>
      </w:pPr>
      <w:r w:rsidRPr="00382F0B">
        <w:t xml:space="preserve">Schedule 3, entry for </w:t>
      </w:r>
      <w:proofErr w:type="spellStart"/>
      <w:r w:rsidRPr="00382F0B">
        <w:t>Eltrombopag</w:t>
      </w:r>
      <w:proofErr w:type="spellEnd"/>
    </w:p>
    <w:p w14:paraId="145622DB" w14:textId="438E274D" w:rsidR="00DE1823" w:rsidRPr="00382F0B" w:rsidRDefault="00DE1823" w:rsidP="00DE1823">
      <w:pPr>
        <w:pStyle w:val="Amendment1"/>
        <w:tabs>
          <w:tab w:val="clear" w:pos="794"/>
        </w:tabs>
        <w:spacing w:before="60" w:after="60" w:line="260" w:lineRule="exact"/>
        <w:ind w:left="851" w:firstLine="0"/>
        <w:rPr>
          <w:rFonts w:ascii="Times New Roman" w:hAnsi="Times New Roman" w:cs="Times New Roman"/>
          <w:b w:val="0"/>
          <w:bCs w:val="0"/>
          <w:i/>
          <w:iCs/>
        </w:rPr>
      </w:pPr>
      <w:r w:rsidRPr="00382F0B">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DE1823" w:rsidRPr="00382F0B" w14:paraId="4D61A329" w14:textId="77777777" w:rsidTr="002E52A6">
        <w:tc>
          <w:tcPr>
            <w:tcW w:w="1854" w:type="dxa"/>
            <w:tcBorders>
              <w:top w:val="single" w:sz="4" w:space="0" w:color="auto"/>
              <w:left w:val="single" w:sz="4" w:space="0" w:color="auto"/>
              <w:bottom w:val="single" w:sz="4" w:space="0" w:color="auto"/>
              <w:right w:val="single" w:sz="4" w:space="0" w:color="auto"/>
            </w:tcBorders>
          </w:tcPr>
          <w:p w14:paraId="197BDF48" w14:textId="0F97E26A" w:rsidR="00DE1823" w:rsidRPr="00382F0B" w:rsidRDefault="00DE1823" w:rsidP="00DE182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40319251" w14:textId="12BF4F39" w:rsidR="00DE1823" w:rsidRPr="00382F0B" w:rsidRDefault="00DE1823" w:rsidP="00DE1823">
            <w:pPr>
              <w:pStyle w:val="mps3-data"/>
              <w:widowControl w:val="0"/>
              <w:rPr>
                <w:szCs w:val="16"/>
              </w:rPr>
            </w:pPr>
            <w:r w:rsidRPr="00382F0B">
              <w:rPr>
                <w:szCs w:val="16"/>
              </w:rPr>
              <w:t>C15482</w:t>
            </w:r>
          </w:p>
        </w:tc>
        <w:tc>
          <w:tcPr>
            <w:tcW w:w="1094" w:type="dxa"/>
            <w:tcBorders>
              <w:top w:val="single" w:sz="4" w:space="0" w:color="auto"/>
              <w:left w:val="single" w:sz="4" w:space="0" w:color="auto"/>
              <w:bottom w:val="single" w:sz="4" w:space="0" w:color="auto"/>
              <w:right w:val="single" w:sz="4" w:space="0" w:color="auto"/>
            </w:tcBorders>
          </w:tcPr>
          <w:p w14:paraId="48C6FA01" w14:textId="77777777" w:rsidR="00DE1823" w:rsidRPr="00382F0B" w:rsidRDefault="00DE1823"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504EFD78"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Cystic fibrosis</w:t>
            </w:r>
          </w:p>
          <w:p w14:paraId="015ED48A"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Initial treatment</w:t>
            </w:r>
          </w:p>
          <w:p w14:paraId="2E0C73D9"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Must be treated by a specialist respiratory physician with expertise in cystic fibrosis or in consultation with a specialist respiratory physician with expertise in cystic fibrosis if attendance is not possible due to geographic isolation; AND</w:t>
            </w:r>
          </w:p>
          <w:p w14:paraId="2EC50AC6"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Must be treated in a centre with expertise in cystic fibrosis or in consultation with a centre with expertise in cystic fibrosis if attendance is not possible due to geographic isolation.</w:t>
            </w:r>
          </w:p>
          <w:p w14:paraId="583B2316"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Patient must have at least one F508del mutation in the cystic fibrosis transmembrane conductance (CFTR) gene; AND</w:t>
            </w:r>
          </w:p>
          <w:p w14:paraId="6FBDDA52"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The treatment must be given concomitantly with standard therapy for this condition; AND</w:t>
            </w:r>
          </w:p>
          <w:p w14:paraId="616D5D58"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Patient must have either chronic sinopulmonary disease or gastrointestinal and nutritional abnormalities, prior to initiating treatment with this drug.</w:t>
            </w:r>
          </w:p>
          <w:p w14:paraId="3BA2E5FD"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Patient must be 2 to 5 years of age.</w:t>
            </w:r>
          </w:p>
          <w:p w14:paraId="735DFFC3"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This pharmaceutical benefit is not PBS-subsidised for this condition in a patient who is currently receiving one of the strong CYP3A4 inducers outlined in the Product Information.</w:t>
            </w:r>
          </w:p>
          <w:p w14:paraId="7829C868"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The authority application must be in writing and must include:</w:t>
            </w:r>
          </w:p>
          <w:p w14:paraId="75FA45A0"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(1) details of the proposed prescription; and</w:t>
            </w:r>
          </w:p>
          <w:p w14:paraId="1D4DF11B"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(2) a completed Cystic Fibrosis Authority Application Supporting Information Form; and</w:t>
            </w:r>
          </w:p>
          <w:p w14:paraId="52275487"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lastRenderedPageBreak/>
              <w:t>(3) details of the pathology report substantiating the patient having at least one F508del mutation - quote each of the: (</w:t>
            </w:r>
            <w:proofErr w:type="spellStart"/>
            <w:r w:rsidRPr="00382F0B">
              <w:rPr>
                <w:rFonts w:ascii="Arial" w:hAnsi="Arial" w:cs="Arial"/>
                <w:sz w:val="16"/>
                <w:szCs w:val="16"/>
              </w:rPr>
              <w:t>i</w:t>
            </w:r>
            <w:proofErr w:type="spellEnd"/>
            <w:r w:rsidRPr="00382F0B">
              <w:rPr>
                <w:rFonts w:ascii="Arial" w:hAnsi="Arial" w:cs="Arial"/>
                <w:sz w:val="16"/>
                <w:szCs w:val="16"/>
              </w:rPr>
              <w:t>) name of the pathology report provider, (ii) date of pathology report, (iii) unique identifying number/code that links the pathology result to the individual patient; and</w:t>
            </w:r>
          </w:p>
          <w:p w14:paraId="08B2F5D3" w14:textId="49E28FF7" w:rsidR="00DE1823" w:rsidRPr="00382F0B" w:rsidRDefault="00DE1823" w:rsidP="00DE1823">
            <w:pPr>
              <w:pStyle w:val="mps3-data"/>
              <w:widowControl w:val="0"/>
              <w:rPr>
                <w:szCs w:val="16"/>
              </w:rPr>
            </w:pPr>
            <w:r w:rsidRPr="00382F0B">
              <w:rPr>
                <w:szCs w:val="16"/>
              </w:rPr>
              <w:t>(4) current CYP3A4 inhibitors, CYP3A4 inducers and IV antibiotics.</w:t>
            </w:r>
          </w:p>
        </w:tc>
        <w:tc>
          <w:tcPr>
            <w:tcW w:w="2132" w:type="dxa"/>
            <w:tcBorders>
              <w:top w:val="single" w:sz="4" w:space="0" w:color="auto"/>
              <w:left w:val="single" w:sz="4" w:space="0" w:color="auto"/>
              <w:bottom w:val="single" w:sz="4" w:space="0" w:color="auto"/>
              <w:right w:val="single" w:sz="4" w:space="0" w:color="auto"/>
            </w:tcBorders>
          </w:tcPr>
          <w:p w14:paraId="548D5779" w14:textId="13B9D72B" w:rsidR="00DE1823" w:rsidRPr="00382F0B" w:rsidRDefault="00DE1823" w:rsidP="00DE1823">
            <w:pPr>
              <w:pStyle w:val="mps3-data"/>
              <w:widowControl w:val="0"/>
              <w:rPr>
                <w:szCs w:val="16"/>
              </w:rPr>
            </w:pPr>
            <w:r w:rsidRPr="00382F0B">
              <w:rPr>
                <w:szCs w:val="16"/>
              </w:rPr>
              <w:lastRenderedPageBreak/>
              <w:t>Compliance with Written Authority Required procedures</w:t>
            </w:r>
          </w:p>
        </w:tc>
      </w:tr>
      <w:tr w:rsidR="00DE1823" w:rsidRPr="00382F0B" w14:paraId="48536E14" w14:textId="77777777" w:rsidTr="002E52A6">
        <w:tc>
          <w:tcPr>
            <w:tcW w:w="1854" w:type="dxa"/>
            <w:tcBorders>
              <w:top w:val="single" w:sz="4" w:space="0" w:color="auto"/>
              <w:left w:val="single" w:sz="4" w:space="0" w:color="auto"/>
              <w:bottom w:val="single" w:sz="4" w:space="0" w:color="auto"/>
              <w:right w:val="single" w:sz="4" w:space="0" w:color="auto"/>
            </w:tcBorders>
          </w:tcPr>
          <w:p w14:paraId="35BD2C72" w14:textId="77777777" w:rsidR="00DE1823" w:rsidRPr="00382F0B" w:rsidRDefault="00DE1823" w:rsidP="00DE182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355ECF02" w14:textId="5B803754" w:rsidR="00DE1823" w:rsidRPr="00382F0B" w:rsidRDefault="00DE1823" w:rsidP="00DE1823">
            <w:pPr>
              <w:pStyle w:val="mps3-data"/>
              <w:widowControl w:val="0"/>
              <w:rPr>
                <w:szCs w:val="16"/>
              </w:rPr>
            </w:pPr>
            <w:r w:rsidRPr="00382F0B">
              <w:rPr>
                <w:szCs w:val="16"/>
              </w:rPr>
              <w:t>C15511</w:t>
            </w:r>
          </w:p>
        </w:tc>
        <w:tc>
          <w:tcPr>
            <w:tcW w:w="1094" w:type="dxa"/>
            <w:tcBorders>
              <w:top w:val="single" w:sz="4" w:space="0" w:color="auto"/>
              <w:left w:val="single" w:sz="4" w:space="0" w:color="auto"/>
              <w:bottom w:val="single" w:sz="4" w:space="0" w:color="auto"/>
              <w:right w:val="single" w:sz="4" w:space="0" w:color="auto"/>
            </w:tcBorders>
          </w:tcPr>
          <w:p w14:paraId="11383F0B" w14:textId="77777777" w:rsidR="00DE1823" w:rsidRPr="00382F0B" w:rsidRDefault="00DE1823"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60D77FE2"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Cystic fibrosis</w:t>
            </w:r>
          </w:p>
          <w:p w14:paraId="4651F04C"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Continuing treatment</w:t>
            </w:r>
          </w:p>
          <w:p w14:paraId="507C5C5D"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Must be treated by a specialist respiratory physician with expertise in cystic fibrosis or in consultation with a specialist respiratory physician with expertise in cystic fibrosis if attendance is not possible due to geographic isolation; AND</w:t>
            </w:r>
          </w:p>
          <w:p w14:paraId="4DF043EF"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Must be treated in a centre with expertise in cystic fibrosis or in consultation with a centre with expertise in cystic fibrosis if attendance is not possible due to geographic isolation.</w:t>
            </w:r>
          </w:p>
          <w:p w14:paraId="156B1419"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Patient must have previously received PBS-subsidised treatment with this drug for this condition; AND</w:t>
            </w:r>
          </w:p>
          <w:p w14:paraId="47EEC89E"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The treatment must be given concomitantly with standard therapy for this condition.</w:t>
            </w:r>
          </w:p>
          <w:p w14:paraId="2E931E74"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Patient must be 2 to 5 years of age.</w:t>
            </w:r>
          </w:p>
          <w:p w14:paraId="5D0425CD"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This pharmaceutical benefit is not PBS-subsidised for this condition in a patient who is currently receiving one of the strong CYP3A4 inducers outlined in the Product Information.</w:t>
            </w:r>
          </w:p>
          <w:p w14:paraId="032B0544"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The authority application must be in writing and must include:</w:t>
            </w:r>
          </w:p>
          <w:p w14:paraId="2475A260"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(1) details of the proposed prescription; and</w:t>
            </w:r>
          </w:p>
          <w:p w14:paraId="4FE2F7D8" w14:textId="77777777" w:rsidR="00DE1823" w:rsidRPr="00382F0B" w:rsidRDefault="00DE1823" w:rsidP="00DE1823">
            <w:pPr>
              <w:widowControl w:val="0"/>
              <w:spacing w:before="60" w:after="60" w:line="240" w:lineRule="auto"/>
              <w:rPr>
                <w:szCs w:val="16"/>
              </w:rPr>
            </w:pPr>
            <w:r w:rsidRPr="00382F0B">
              <w:rPr>
                <w:rFonts w:ascii="Arial" w:hAnsi="Arial" w:cs="Arial"/>
                <w:sz w:val="16"/>
                <w:szCs w:val="16"/>
              </w:rPr>
              <w:t>(2) a completed Cystic Fibrosis Continuing Authority Application Supporting Information Form; and</w:t>
            </w:r>
          </w:p>
          <w:p w14:paraId="38CD2E88" w14:textId="514B0870" w:rsidR="00DE1823" w:rsidRPr="00382F0B" w:rsidRDefault="00DE1823" w:rsidP="00DE1823">
            <w:pPr>
              <w:pStyle w:val="mps3-data"/>
              <w:widowControl w:val="0"/>
              <w:rPr>
                <w:szCs w:val="16"/>
              </w:rPr>
            </w:pPr>
            <w:r w:rsidRPr="00382F0B">
              <w:rPr>
                <w:szCs w:val="16"/>
              </w:rPr>
              <w:t>(3) current CYP3A4 inhibitors, CYP3A4 inducers and IV antibiotics.</w:t>
            </w:r>
          </w:p>
        </w:tc>
        <w:tc>
          <w:tcPr>
            <w:tcW w:w="2132" w:type="dxa"/>
            <w:tcBorders>
              <w:top w:val="single" w:sz="4" w:space="0" w:color="auto"/>
              <w:left w:val="single" w:sz="4" w:space="0" w:color="auto"/>
              <w:bottom w:val="single" w:sz="4" w:space="0" w:color="auto"/>
              <w:right w:val="single" w:sz="4" w:space="0" w:color="auto"/>
            </w:tcBorders>
          </w:tcPr>
          <w:p w14:paraId="327EDF90" w14:textId="468F8AE7" w:rsidR="00DE1823" w:rsidRPr="00382F0B" w:rsidRDefault="00DE1823" w:rsidP="00DE1823">
            <w:pPr>
              <w:pStyle w:val="mps3-data"/>
              <w:widowControl w:val="0"/>
              <w:rPr>
                <w:szCs w:val="16"/>
              </w:rPr>
            </w:pPr>
            <w:r w:rsidRPr="00382F0B">
              <w:rPr>
                <w:szCs w:val="16"/>
              </w:rPr>
              <w:t>Compliance with Written Authority Required procedures</w:t>
            </w:r>
          </w:p>
        </w:tc>
      </w:tr>
    </w:tbl>
    <w:p w14:paraId="48BC3E0A" w14:textId="67451D1C" w:rsidR="00114583" w:rsidRPr="00382F0B" w:rsidRDefault="00114583" w:rsidP="00DE1823">
      <w:pPr>
        <w:pStyle w:val="Amendment1"/>
        <w:numPr>
          <w:ilvl w:val="0"/>
          <w:numId w:val="7"/>
        </w:numPr>
        <w:tabs>
          <w:tab w:val="clear" w:pos="794"/>
          <w:tab w:val="num" w:pos="851"/>
          <w:tab w:val="left" w:pos="2268"/>
        </w:tabs>
        <w:spacing w:line="260" w:lineRule="exact"/>
        <w:ind w:left="851" w:hanging="851"/>
        <w:rPr>
          <w:i/>
          <w:iCs/>
        </w:rPr>
      </w:pPr>
      <w:r w:rsidRPr="00382F0B">
        <w:t>Schedule 3, after entry for Maraviroc</w:t>
      </w:r>
    </w:p>
    <w:p w14:paraId="78A4CE76" w14:textId="69AC53F9" w:rsidR="00114583" w:rsidRPr="00382F0B" w:rsidRDefault="00114583" w:rsidP="00DE1823">
      <w:pPr>
        <w:pStyle w:val="Amendment1"/>
        <w:tabs>
          <w:tab w:val="clear" w:pos="794"/>
        </w:tabs>
        <w:spacing w:before="60" w:after="60" w:line="260" w:lineRule="exact"/>
        <w:ind w:left="851" w:firstLine="0"/>
        <w:rPr>
          <w:rFonts w:ascii="Times New Roman" w:hAnsi="Times New Roman" w:cs="Times New Roman"/>
          <w:b w:val="0"/>
          <w:bCs w:val="0"/>
          <w:i/>
          <w:iCs/>
        </w:rPr>
      </w:pPr>
      <w:r w:rsidRPr="00382F0B">
        <w:rPr>
          <w:rFonts w:ascii="Times New Roman" w:hAnsi="Times New Roman" w:cs="Times New Roman"/>
          <w:b w:val="0"/>
          <w:bCs w:val="0"/>
          <w:i/>
          <w:iCs/>
        </w:rPr>
        <w:t>insert: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114583" w:rsidRPr="00382F0B" w14:paraId="708E72A4" w14:textId="77777777" w:rsidTr="00CF2A42">
        <w:tc>
          <w:tcPr>
            <w:tcW w:w="1854" w:type="dxa"/>
            <w:tcBorders>
              <w:top w:val="single" w:sz="4" w:space="0" w:color="auto"/>
              <w:left w:val="single" w:sz="4" w:space="0" w:color="auto"/>
              <w:bottom w:val="single" w:sz="4" w:space="0" w:color="auto"/>
              <w:right w:val="single" w:sz="4" w:space="0" w:color="auto"/>
            </w:tcBorders>
          </w:tcPr>
          <w:p w14:paraId="659173FC" w14:textId="58D0011D" w:rsidR="00114583" w:rsidRPr="00382F0B" w:rsidRDefault="00114583" w:rsidP="00DE1823">
            <w:pPr>
              <w:pStyle w:val="mps3-data"/>
              <w:widowControl w:val="0"/>
              <w:rPr>
                <w:szCs w:val="16"/>
              </w:rPr>
            </w:pPr>
            <w:proofErr w:type="spellStart"/>
            <w:r w:rsidRPr="00382F0B">
              <w:rPr>
                <w:szCs w:val="16"/>
              </w:rPr>
              <w:t>Maribavir</w:t>
            </w:r>
            <w:proofErr w:type="spellEnd"/>
          </w:p>
        </w:tc>
        <w:tc>
          <w:tcPr>
            <w:tcW w:w="1315" w:type="dxa"/>
            <w:tcBorders>
              <w:top w:val="single" w:sz="4" w:space="0" w:color="auto"/>
              <w:left w:val="single" w:sz="4" w:space="0" w:color="auto"/>
              <w:bottom w:val="single" w:sz="4" w:space="0" w:color="auto"/>
              <w:right w:val="single" w:sz="4" w:space="0" w:color="auto"/>
            </w:tcBorders>
          </w:tcPr>
          <w:p w14:paraId="181B72C6" w14:textId="3EC7AC39" w:rsidR="00114583" w:rsidRPr="00382F0B" w:rsidRDefault="00114583" w:rsidP="00DE1823">
            <w:pPr>
              <w:pStyle w:val="mps3-data"/>
              <w:widowControl w:val="0"/>
              <w:rPr>
                <w:szCs w:val="16"/>
              </w:rPr>
            </w:pPr>
            <w:r w:rsidRPr="00382F0B">
              <w:rPr>
                <w:szCs w:val="16"/>
              </w:rPr>
              <w:t>C16735</w:t>
            </w:r>
          </w:p>
        </w:tc>
        <w:tc>
          <w:tcPr>
            <w:tcW w:w="1094" w:type="dxa"/>
            <w:tcBorders>
              <w:top w:val="single" w:sz="4" w:space="0" w:color="auto"/>
              <w:left w:val="single" w:sz="4" w:space="0" w:color="auto"/>
              <w:bottom w:val="single" w:sz="4" w:space="0" w:color="auto"/>
              <w:right w:val="single" w:sz="4" w:space="0" w:color="auto"/>
            </w:tcBorders>
          </w:tcPr>
          <w:p w14:paraId="700EE2CE" w14:textId="77777777" w:rsidR="00114583" w:rsidRPr="00382F0B" w:rsidRDefault="00114583"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0D26D5C3" w14:textId="77777777" w:rsidR="00114583" w:rsidRPr="00382F0B" w:rsidRDefault="00114583" w:rsidP="00DE1823">
            <w:pPr>
              <w:pStyle w:val="mps3-data"/>
              <w:widowControl w:val="0"/>
              <w:rPr>
                <w:szCs w:val="16"/>
              </w:rPr>
            </w:pPr>
            <w:r w:rsidRPr="00382F0B">
              <w:rPr>
                <w:szCs w:val="16"/>
              </w:rPr>
              <w:t>Cytomegalovirus infection and disease</w:t>
            </w:r>
          </w:p>
          <w:p w14:paraId="25E33F28" w14:textId="77777777" w:rsidR="00114583" w:rsidRPr="00382F0B" w:rsidRDefault="00114583" w:rsidP="00DE1823">
            <w:pPr>
              <w:pStyle w:val="mps3-data"/>
              <w:widowControl w:val="0"/>
              <w:rPr>
                <w:szCs w:val="16"/>
              </w:rPr>
            </w:pPr>
            <w:r w:rsidRPr="00382F0B">
              <w:rPr>
                <w:szCs w:val="16"/>
              </w:rPr>
              <w:t>Patient must have received a hematopoietic stem-cell transplant; OR</w:t>
            </w:r>
          </w:p>
          <w:p w14:paraId="19FAA68B" w14:textId="77777777" w:rsidR="00114583" w:rsidRPr="00382F0B" w:rsidRDefault="00114583" w:rsidP="00DE1823">
            <w:pPr>
              <w:pStyle w:val="mps3-data"/>
              <w:widowControl w:val="0"/>
              <w:rPr>
                <w:szCs w:val="16"/>
              </w:rPr>
            </w:pPr>
            <w:r w:rsidRPr="00382F0B">
              <w:rPr>
                <w:szCs w:val="16"/>
              </w:rPr>
              <w:t>Patient must have received a solid-organ transplant; AND</w:t>
            </w:r>
          </w:p>
          <w:p w14:paraId="3FD3E123" w14:textId="77777777" w:rsidR="00114583" w:rsidRPr="00382F0B" w:rsidRDefault="00114583" w:rsidP="00DE1823">
            <w:pPr>
              <w:pStyle w:val="mps3-data"/>
              <w:widowControl w:val="0"/>
              <w:rPr>
                <w:szCs w:val="16"/>
              </w:rPr>
            </w:pPr>
            <w:r w:rsidRPr="00382F0B">
              <w:rPr>
                <w:szCs w:val="16"/>
              </w:rPr>
              <w:t xml:space="preserve">Patient must have a cytomegalovirus infection or cytomegalovirus disease that is resistant, refractory or intolerant/contraindicated to appropriately dosed ganciclovir, valganciclovir, cidofovir or </w:t>
            </w:r>
            <w:proofErr w:type="gramStart"/>
            <w:r w:rsidRPr="00382F0B">
              <w:rPr>
                <w:szCs w:val="16"/>
              </w:rPr>
              <w:t>foscarnet;</w:t>
            </w:r>
            <w:proofErr w:type="gramEnd"/>
            <w:r w:rsidRPr="00382F0B">
              <w:rPr>
                <w:szCs w:val="16"/>
              </w:rPr>
              <w:t xml:space="preserve"> OR</w:t>
            </w:r>
          </w:p>
          <w:p w14:paraId="3E70CFDC" w14:textId="77777777" w:rsidR="00114583" w:rsidRPr="00382F0B" w:rsidRDefault="00114583" w:rsidP="00DE1823">
            <w:pPr>
              <w:pStyle w:val="mps3-data"/>
              <w:widowControl w:val="0"/>
              <w:rPr>
                <w:szCs w:val="16"/>
              </w:rPr>
            </w:pPr>
            <w:r w:rsidRPr="00382F0B">
              <w:rPr>
                <w:szCs w:val="16"/>
              </w:rPr>
              <w:t>Patient must have received and is intolerant to continued use of appropriately dosed ganciclovir, valganciclovir, cidofovir or foscarnet; AND</w:t>
            </w:r>
          </w:p>
          <w:p w14:paraId="08E30417" w14:textId="77777777" w:rsidR="00114583" w:rsidRPr="00382F0B" w:rsidRDefault="00114583" w:rsidP="00DE1823">
            <w:pPr>
              <w:pStyle w:val="mps3-data"/>
              <w:widowControl w:val="0"/>
              <w:rPr>
                <w:szCs w:val="16"/>
              </w:rPr>
            </w:pPr>
            <w:r w:rsidRPr="00382F0B">
              <w:rPr>
                <w:szCs w:val="16"/>
              </w:rPr>
              <w:t>The treatment must be used as monotherapy for this condition under this restriction; AND</w:t>
            </w:r>
          </w:p>
          <w:p w14:paraId="08209FAE" w14:textId="77777777" w:rsidR="00114583" w:rsidRPr="00382F0B" w:rsidRDefault="00114583" w:rsidP="00DE1823">
            <w:pPr>
              <w:pStyle w:val="mps3-data"/>
              <w:widowControl w:val="0"/>
              <w:rPr>
                <w:szCs w:val="16"/>
              </w:rPr>
            </w:pPr>
            <w:r w:rsidRPr="00382F0B">
              <w:rPr>
                <w:szCs w:val="16"/>
              </w:rPr>
              <w:t>Patient must not have previously demonstrated resistance to this drug; AND</w:t>
            </w:r>
          </w:p>
          <w:p w14:paraId="669A87F6" w14:textId="77777777" w:rsidR="00114583" w:rsidRPr="00382F0B" w:rsidRDefault="00114583" w:rsidP="00DE1823">
            <w:pPr>
              <w:pStyle w:val="mps3-data"/>
              <w:widowControl w:val="0"/>
              <w:rPr>
                <w:szCs w:val="16"/>
              </w:rPr>
            </w:pPr>
            <w:r w:rsidRPr="00382F0B">
              <w:rPr>
                <w:szCs w:val="16"/>
              </w:rPr>
              <w:lastRenderedPageBreak/>
              <w:t>Patient must not have cytomegalovirus disease that involves the central nervous system; AND</w:t>
            </w:r>
          </w:p>
          <w:p w14:paraId="515ED995" w14:textId="77777777" w:rsidR="00114583" w:rsidRPr="00382F0B" w:rsidRDefault="00114583" w:rsidP="00DE1823">
            <w:pPr>
              <w:pStyle w:val="mps3-data"/>
              <w:widowControl w:val="0"/>
              <w:rPr>
                <w:szCs w:val="16"/>
              </w:rPr>
            </w:pPr>
            <w:r w:rsidRPr="00382F0B">
              <w:rPr>
                <w:szCs w:val="16"/>
              </w:rPr>
              <w:t>Patient must not have cytomegalovirus retinitis.</w:t>
            </w:r>
          </w:p>
          <w:p w14:paraId="3ECE1494" w14:textId="77777777" w:rsidR="00114583" w:rsidRPr="00382F0B" w:rsidRDefault="00114583" w:rsidP="00DE1823">
            <w:pPr>
              <w:pStyle w:val="mps3-data"/>
              <w:widowControl w:val="0"/>
              <w:rPr>
                <w:szCs w:val="16"/>
              </w:rPr>
            </w:pPr>
            <w:proofErr w:type="gramStart"/>
            <w:r w:rsidRPr="00382F0B">
              <w:rPr>
                <w:szCs w:val="16"/>
              </w:rPr>
              <w:t>For the purpose of</w:t>
            </w:r>
            <w:proofErr w:type="gramEnd"/>
            <w:r w:rsidRPr="00382F0B">
              <w:rPr>
                <w:szCs w:val="16"/>
              </w:rPr>
              <w:t xml:space="preserve"> administering this restriction:</w:t>
            </w:r>
          </w:p>
          <w:p w14:paraId="02F83761" w14:textId="77777777" w:rsidR="00114583" w:rsidRPr="00382F0B" w:rsidRDefault="00114583" w:rsidP="00DE1823">
            <w:pPr>
              <w:pStyle w:val="mps3-data"/>
              <w:widowControl w:val="0"/>
              <w:rPr>
                <w:szCs w:val="16"/>
              </w:rPr>
            </w:pPr>
            <w:r w:rsidRPr="00382F0B">
              <w:rPr>
                <w:szCs w:val="16"/>
              </w:rPr>
              <w:t>(</w:t>
            </w:r>
            <w:proofErr w:type="spellStart"/>
            <w:r w:rsidRPr="00382F0B">
              <w:rPr>
                <w:szCs w:val="16"/>
              </w:rPr>
              <w:t>i</w:t>
            </w:r>
            <w:proofErr w:type="spellEnd"/>
            <w:r w:rsidRPr="00382F0B">
              <w:rPr>
                <w:szCs w:val="16"/>
              </w:rPr>
              <w:t>) A patient is determined to be refractory if after at least two weeks of appropriately dosed ganciclovir, valganciclovir, cidofovir or foscarnet, they fail to achieve a greater than 1log10 decrease in cytomegalovirus DNA level.</w:t>
            </w:r>
          </w:p>
          <w:p w14:paraId="07712DE7" w14:textId="77777777" w:rsidR="00114583" w:rsidRPr="00382F0B" w:rsidRDefault="00114583" w:rsidP="00DE1823">
            <w:pPr>
              <w:pStyle w:val="mps3-data"/>
              <w:widowControl w:val="0"/>
              <w:rPr>
                <w:szCs w:val="16"/>
              </w:rPr>
            </w:pPr>
            <w:r w:rsidRPr="00382F0B">
              <w:rPr>
                <w:szCs w:val="16"/>
              </w:rPr>
              <w:t>(ii) A patient is determined to be resistant by the identification of a genetic alteration that decreases susceptibility to ganciclovir, valganciclovir, cidofovir or foscarnet.</w:t>
            </w:r>
          </w:p>
          <w:p w14:paraId="5730CF76" w14:textId="1BFAAA19" w:rsidR="00114583" w:rsidRPr="00382F0B" w:rsidRDefault="00114583" w:rsidP="00DE1823">
            <w:pPr>
              <w:pStyle w:val="mps3-data"/>
              <w:widowControl w:val="0"/>
              <w:rPr>
                <w:szCs w:val="16"/>
              </w:rPr>
            </w:pPr>
            <w:r w:rsidRPr="00382F0B">
              <w:rPr>
                <w:szCs w:val="16"/>
              </w:rPr>
              <w:t>(iii) A patient with Grade 3 neutropenia (an absolute neutrophil count less than 1000 cells per cubic millimetre) or impaired renal function (creatinine clearance less than 50 mL/min) is determined to be intolerant/contraindicated.</w:t>
            </w:r>
          </w:p>
        </w:tc>
        <w:tc>
          <w:tcPr>
            <w:tcW w:w="2132" w:type="dxa"/>
            <w:tcBorders>
              <w:top w:val="single" w:sz="4" w:space="0" w:color="auto"/>
              <w:left w:val="single" w:sz="4" w:space="0" w:color="auto"/>
              <w:bottom w:val="single" w:sz="4" w:space="0" w:color="auto"/>
              <w:right w:val="single" w:sz="4" w:space="0" w:color="auto"/>
            </w:tcBorders>
          </w:tcPr>
          <w:p w14:paraId="0693D63C" w14:textId="7A5C4DDF" w:rsidR="00114583" w:rsidRPr="00382F0B" w:rsidRDefault="00114583" w:rsidP="00DE1823">
            <w:pPr>
              <w:pStyle w:val="mps3-data"/>
              <w:widowControl w:val="0"/>
              <w:rPr>
                <w:szCs w:val="16"/>
              </w:rPr>
            </w:pPr>
            <w:r w:rsidRPr="00382F0B">
              <w:rPr>
                <w:szCs w:val="16"/>
              </w:rPr>
              <w:lastRenderedPageBreak/>
              <w:t>Compliance with Authority Required procedures - Streamlined Authority Code 16735</w:t>
            </w:r>
          </w:p>
        </w:tc>
      </w:tr>
      <w:tr w:rsidR="00114583" w:rsidRPr="00206D12" w14:paraId="5658AEDE" w14:textId="77777777" w:rsidTr="00CF2A42">
        <w:tc>
          <w:tcPr>
            <w:tcW w:w="1854" w:type="dxa"/>
            <w:tcBorders>
              <w:top w:val="single" w:sz="4" w:space="0" w:color="auto"/>
              <w:left w:val="single" w:sz="4" w:space="0" w:color="auto"/>
              <w:bottom w:val="single" w:sz="4" w:space="0" w:color="auto"/>
              <w:right w:val="single" w:sz="4" w:space="0" w:color="auto"/>
            </w:tcBorders>
          </w:tcPr>
          <w:p w14:paraId="23D0FC49" w14:textId="77777777" w:rsidR="00114583" w:rsidRPr="00382F0B" w:rsidRDefault="00114583" w:rsidP="00DE1823">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236B35FE" w14:textId="42245BEF" w:rsidR="00114583" w:rsidRPr="00382F0B" w:rsidRDefault="00114583" w:rsidP="00DE1823">
            <w:pPr>
              <w:pStyle w:val="mps3-data"/>
              <w:widowControl w:val="0"/>
              <w:rPr>
                <w:szCs w:val="16"/>
              </w:rPr>
            </w:pPr>
            <w:r w:rsidRPr="00382F0B">
              <w:rPr>
                <w:szCs w:val="16"/>
              </w:rPr>
              <w:t>C16806</w:t>
            </w:r>
          </w:p>
        </w:tc>
        <w:tc>
          <w:tcPr>
            <w:tcW w:w="1094" w:type="dxa"/>
            <w:tcBorders>
              <w:top w:val="single" w:sz="4" w:space="0" w:color="auto"/>
              <w:left w:val="single" w:sz="4" w:space="0" w:color="auto"/>
              <w:bottom w:val="single" w:sz="4" w:space="0" w:color="auto"/>
              <w:right w:val="single" w:sz="4" w:space="0" w:color="auto"/>
            </w:tcBorders>
          </w:tcPr>
          <w:p w14:paraId="630310F6" w14:textId="77777777" w:rsidR="00114583" w:rsidRPr="00382F0B" w:rsidRDefault="00114583" w:rsidP="00DE1823">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07E7C20F" w14:textId="77777777" w:rsidR="00114583" w:rsidRPr="00382F0B" w:rsidRDefault="00114583" w:rsidP="00DE1823">
            <w:pPr>
              <w:pStyle w:val="mps3-data"/>
              <w:widowControl w:val="0"/>
              <w:rPr>
                <w:szCs w:val="16"/>
              </w:rPr>
            </w:pPr>
            <w:r w:rsidRPr="00382F0B">
              <w:rPr>
                <w:szCs w:val="16"/>
              </w:rPr>
              <w:t>Cytomegalovirus infection and disease</w:t>
            </w:r>
          </w:p>
          <w:p w14:paraId="610C71F2" w14:textId="77777777" w:rsidR="00114583" w:rsidRPr="00382F0B" w:rsidRDefault="00114583" w:rsidP="00DE1823">
            <w:pPr>
              <w:pStyle w:val="mps3-data"/>
              <w:widowControl w:val="0"/>
              <w:rPr>
                <w:szCs w:val="16"/>
              </w:rPr>
            </w:pPr>
            <w:r w:rsidRPr="00382F0B">
              <w:rPr>
                <w:szCs w:val="16"/>
              </w:rPr>
              <w:t>Patient must have received a hematopoietic stem-cell transplant; OR</w:t>
            </w:r>
          </w:p>
          <w:p w14:paraId="357C291B" w14:textId="77777777" w:rsidR="00114583" w:rsidRPr="00382F0B" w:rsidRDefault="00114583" w:rsidP="00DE1823">
            <w:pPr>
              <w:pStyle w:val="mps3-data"/>
              <w:widowControl w:val="0"/>
              <w:rPr>
                <w:szCs w:val="16"/>
              </w:rPr>
            </w:pPr>
            <w:r w:rsidRPr="00382F0B">
              <w:rPr>
                <w:szCs w:val="16"/>
              </w:rPr>
              <w:t>Patient must have received a solid-organ transplant; AND</w:t>
            </w:r>
          </w:p>
          <w:p w14:paraId="7741C2A1" w14:textId="77777777" w:rsidR="00114583" w:rsidRPr="00382F0B" w:rsidRDefault="00114583" w:rsidP="00DE1823">
            <w:pPr>
              <w:pStyle w:val="mps3-data"/>
              <w:widowControl w:val="0"/>
              <w:rPr>
                <w:szCs w:val="16"/>
              </w:rPr>
            </w:pPr>
            <w:r w:rsidRPr="00382F0B">
              <w:rPr>
                <w:szCs w:val="16"/>
              </w:rPr>
              <w:t xml:space="preserve">Patient must have a cytomegalovirus infection or cytomegalovirus disease that is resistant, refractory or intolerant/contraindicated to appropriately dosed ganciclovir, valganciclovir, cidofovir or </w:t>
            </w:r>
            <w:proofErr w:type="gramStart"/>
            <w:r w:rsidRPr="00382F0B">
              <w:rPr>
                <w:szCs w:val="16"/>
              </w:rPr>
              <w:t>foscarnet;</w:t>
            </w:r>
            <w:proofErr w:type="gramEnd"/>
            <w:r w:rsidRPr="00382F0B">
              <w:rPr>
                <w:szCs w:val="16"/>
              </w:rPr>
              <w:t xml:space="preserve"> OR</w:t>
            </w:r>
          </w:p>
          <w:p w14:paraId="30D481D1" w14:textId="77777777" w:rsidR="00114583" w:rsidRPr="00382F0B" w:rsidRDefault="00114583" w:rsidP="00DE1823">
            <w:pPr>
              <w:pStyle w:val="mps3-data"/>
              <w:widowControl w:val="0"/>
              <w:rPr>
                <w:szCs w:val="16"/>
              </w:rPr>
            </w:pPr>
            <w:r w:rsidRPr="00382F0B">
              <w:rPr>
                <w:szCs w:val="16"/>
              </w:rPr>
              <w:t>Patient must have received and is intolerant to continued use of appropriately dosed ganciclovir, valganciclovir, cidofovir or foscarnet; AND</w:t>
            </w:r>
          </w:p>
          <w:p w14:paraId="6384F4FB" w14:textId="77777777" w:rsidR="00114583" w:rsidRPr="00382F0B" w:rsidRDefault="00114583" w:rsidP="00DE1823">
            <w:pPr>
              <w:pStyle w:val="mps3-data"/>
              <w:widowControl w:val="0"/>
              <w:rPr>
                <w:szCs w:val="16"/>
              </w:rPr>
            </w:pPr>
            <w:r w:rsidRPr="00382F0B">
              <w:rPr>
                <w:szCs w:val="16"/>
              </w:rPr>
              <w:t>The treatment must be used as monotherapy for this condition under this restriction; AND</w:t>
            </w:r>
          </w:p>
          <w:p w14:paraId="7EB73B03" w14:textId="77777777" w:rsidR="00114583" w:rsidRPr="00382F0B" w:rsidRDefault="00114583" w:rsidP="00DE1823">
            <w:pPr>
              <w:pStyle w:val="mps3-data"/>
              <w:widowControl w:val="0"/>
              <w:rPr>
                <w:szCs w:val="16"/>
              </w:rPr>
            </w:pPr>
            <w:r w:rsidRPr="00382F0B">
              <w:rPr>
                <w:szCs w:val="16"/>
              </w:rPr>
              <w:t>Patient must not have previously demonstrated resistance to this drug; AND</w:t>
            </w:r>
          </w:p>
          <w:p w14:paraId="565FEFA1" w14:textId="77777777" w:rsidR="00114583" w:rsidRPr="00382F0B" w:rsidRDefault="00114583" w:rsidP="00DE1823">
            <w:pPr>
              <w:pStyle w:val="mps3-data"/>
              <w:widowControl w:val="0"/>
              <w:rPr>
                <w:szCs w:val="16"/>
              </w:rPr>
            </w:pPr>
            <w:r w:rsidRPr="00382F0B">
              <w:rPr>
                <w:szCs w:val="16"/>
              </w:rPr>
              <w:t>Patient must not have cytomegalovirus disease that involves the central nervous system; AND</w:t>
            </w:r>
          </w:p>
          <w:p w14:paraId="3978D1F9" w14:textId="77777777" w:rsidR="00114583" w:rsidRPr="00382F0B" w:rsidRDefault="00114583" w:rsidP="00DE1823">
            <w:pPr>
              <w:pStyle w:val="mps3-data"/>
              <w:widowControl w:val="0"/>
              <w:rPr>
                <w:szCs w:val="16"/>
              </w:rPr>
            </w:pPr>
            <w:r w:rsidRPr="00382F0B">
              <w:rPr>
                <w:szCs w:val="16"/>
              </w:rPr>
              <w:t>Patient must not have cytomegalovirus retinitis.</w:t>
            </w:r>
          </w:p>
          <w:p w14:paraId="6B1C192B" w14:textId="77777777" w:rsidR="00114583" w:rsidRPr="00382F0B" w:rsidRDefault="00114583" w:rsidP="00DE1823">
            <w:pPr>
              <w:pStyle w:val="mps3-data"/>
              <w:widowControl w:val="0"/>
              <w:rPr>
                <w:szCs w:val="16"/>
              </w:rPr>
            </w:pPr>
            <w:proofErr w:type="gramStart"/>
            <w:r w:rsidRPr="00382F0B">
              <w:rPr>
                <w:szCs w:val="16"/>
              </w:rPr>
              <w:t>For the purpose of</w:t>
            </w:r>
            <w:proofErr w:type="gramEnd"/>
            <w:r w:rsidRPr="00382F0B">
              <w:rPr>
                <w:szCs w:val="16"/>
              </w:rPr>
              <w:t xml:space="preserve"> administering this restriction:</w:t>
            </w:r>
          </w:p>
          <w:p w14:paraId="2FFE6D0D" w14:textId="77777777" w:rsidR="00114583" w:rsidRPr="00382F0B" w:rsidRDefault="00114583" w:rsidP="00DE1823">
            <w:pPr>
              <w:pStyle w:val="mps3-data"/>
              <w:widowControl w:val="0"/>
              <w:rPr>
                <w:szCs w:val="16"/>
              </w:rPr>
            </w:pPr>
            <w:r w:rsidRPr="00382F0B">
              <w:rPr>
                <w:szCs w:val="16"/>
              </w:rPr>
              <w:t>(</w:t>
            </w:r>
            <w:proofErr w:type="spellStart"/>
            <w:r w:rsidRPr="00382F0B">
              <w:rPr>
                <w:szCs w:val="16"/>
              </w:rPr>
              <w:t>i</w:t>
            </w:r>
            <w:proofErr w:type="spellEnd"/>
            <w:r w:rsidRPr="00382F0B">
              <w:rPr>
                <w:szCs w:val="16"/>
              </w:rPr>
              <w:t>) A patient is determined to be refractory if after at least two weeks of appropriately dosed ganciclovir, valganciclovir, cidofovir or foscarnet, they fail to achieve a greater than 1log10 decrease in cytomegalovirus DNA level.</w:t>
            </w:r>
          </w:p>
          <w:p w14:paraId="4EAA4AE3" w14:textId="77777777" w:rsidR="00114583" w:rsidRPr="00382F0B" w:rsidRDefault="00114583" w:rsidP="00DE1823">
            <w:pPr>
              <w:pStyle w:val="mps3-data"/>
              <w:widowControl w:val="0"/>
              <w:rPr>
                <w:szCs w:val="16"/>
              </w:rPr>
            </w:pPr>
            <w:r w:rsidRPr="00382F0B">
              <w:rPr>
                <w:szCs w:val="16"/>
              </w:rPr>
              <w:t>(ii) A patient is determined to be resistant by the identification of a genetic alteration that decreases susceptibility to ganciclovir, valganciclovir, cidofovir or foscarnet.</w:t>
            </w:r>
          </w:p>
          <w:p w14:paraId="0EF8A71A" w14:textId="7607C505" w:rsidR="00114583" w:rsidRPr="00382F0B" w:rsidRDefault="00114583" w:rsidP="00DE1823">
            <w:pPr>
              <w:pStyle w:val="mps3-data"/>
              <w:widowControl w:val="0"/>
              <w:rPr>
                <w:szCs w:val="16"/>
              </w:rPr>
            </w:pPr>
            <w:r w:rsidRPr="00382F0B">
              <w:rPr>
                <w:szCs w:val="16"/>
              </w:rPr>
              <w:t>(iii) A patient with Grade 3 neutropenia (an absolute neutrophil count less than 1000 cells per cubic millimetre) or impaired renal function (creatinine clearance less than 50 mL/min) is determined to be intolerant/contraindicated.</w:t>
            </w:r>
          </w:p>
        </w:tc>
        <w:tc>
          <w:tcPr>
            <w:tcW w:w="2132" w:type="dxa"/>
            <w:tcBorders>
              <w:top w:val="single" w:sz="4" w:space="0" w:color="auto"/>
              <w:left w:val="single" w:sz="4" w:space="0" w:color="auto"/>
              <w:bottom w:val="single" w:sz="4" w:space="0" w:color="auto"/>
              <w:right w:val="single" w:sz="4" w:space="0" w:color="auto"/>
            </w:tcBorders>
          </w:tcPr>
          <w:p w14:paraId="742F518E" w14:textId="231E59DD" w:rsidR="00114583" w:rsidRPr="00206D12" w:rsidRDefault="00114583" w:rsidP="00DE1823">
            <w:pPr>
              <w:pStyle w:val="mps3-data"/>
              <w:widowControl w:val="0"/>
              <w:rPr>
                <w:szCs w:val="16"/>
              </w:rPr>
            </w:pPr>
            <w:r w:rsidRPr="00382F0B">
              <w:rPr>
                <w:szCs w:val="16"/>
              </w:rPr>
              <w:t>Compliance with Authority Required procedures - Streamlined Authority Code 16806</w:t>
            </w:r>
          </w:p>
        </w:tc>
      </w:tr>
    </w:tbl>
    <w:p w14:paraId="323244DB" w14:textId="77777777" w:rsidR="001C01FB" w:rsidRPr="00114583" w:rsidRDefault="001C01FB" w:rsidP="00DE1823">
      <w:pPr>
        <w:pStyle w:val="Amendment1"/>
        <w:tabs>
          <w:tab w:val="clear" w:pos="794"/>
        </w:tabs>
        <w:spacing w:before="0" w:line="260" w:lineRule="exact"/>
        <w:ind w:left="0" w:firstLine="0"/>
        <w:rPr>
          <w:b w:val="0"/>
          <w:bCs w:val="0"/>
        </w:rPr>
      </w:pPr>
    </w:p>
    <w:sectPr w:rsidR="001C01FB" w:rsidRPr="00114583" w:rsidSect="00630F1C">
      <w:footerReference w:type="even" r:id="rId20"/>
      <w:pgSz w:w="16839" w:h="11907" w:orient="landscape"/>
      <w:pgMar w:top="1797" w:right="167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72EE" w14:textId="77777777" w:rsidR="00C241B5" w:rsidRDefault="00C241B5" w:rsidP="0048364F">
      <w:pPr>
        <w:spacing w:line="240" w:lineRule="auto"/>
      </w:pPr>
      <w:r>
        <w:separator/>
      </w:r>
    </w:p>
  </w:endnote>
  <w:endnote w:type="continuationSeparator" w:id="0">
    <w:p w14:paraId="02EAB9CC" w14:textId="77777777" w:rsidR="00C241B5" w:rsidRDefault="00C241B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6FE6" w14:textId="77777777" w:rsidR="00061E29" w:rsidRPr="00E33C1C" w:rsidRDefault="00061E29" w:rsidP="00EF607D">
    <w:pPr>
      <w:pBdr>
        <w:top w:val="single" w:sz="6" w:space="1" w:color="auto"/>
      </w:pBdr>
      <w:spacing w:before="120" w:line="0" w:lineRule="atLeast"/>
      <w:rPr>
        <w:sz w:val="16"/>
        <w:szCs w:val="16"/>
      </w:rPr>
    </w:pPr>
  </w:p>
  <w:p w14:paraId="07509E07" w14:textId="0F25F20D" w:rsidR="00061E29" w:rsidRDefault="00061E29" w:rsidP="00EF607D">
    <w:pPr>
      <w:rPr>
        <w:i/>
        <w:noProof/>
        <w:sz w:val="18"/>
      </w:rPr>
    </w:pPr>
    <w:r w:rsidRPr="008253D2">
      <w:rPr>
        <w:i/>
        <w:sz w:val="18"/>
      </w:rPr>
      <w:ptab w:relativeTo="margin" w:alignment="center" w:leader="none"/>
    </w:r>
    <w:r w:rsidRPr="00EF607D">
      <w:rPr>
        <w:i/>
        <w:sz w:val="16"/>
        <w:szCs w:val="14"/>
      </w:rPr>
      <w:t>National Health (Efficient Funding of Chemotherapy) Special Arrangement Amendment Instrument 2021 (</w:t>
    </w:r>
    <w:r w:rsidRPr="00EF607D">
      <w:rPr>
        <w:i/>
        <w:sz w:val="16"/>
        <w:szCs w:val="14"/>
        <w:highlight w:val="green"/>
      </w:rPr>
      <w:t>No. 8)</w:t>
    </w:r>
    <w:r w:rsidRPr="00EF607D">
      <w:rPr>
        <w:i/>
        <w:sz w:val="18"/>
      </w:rPr>
      <w:t xml:space="preserve"> </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3ACB335B" w14:textId="77777777" w:rsidR="00061E29" w:rsidRDefault="00061E29" w:rsidP="00EF607D">
    <w:pPr>
      <w:rPr>
        <w:i/>
        <w:noProof/>
        <w:sz w:val="18"/>
      </w:rPr>
    </w:pPr>
  </w:p>
  <w:p w14:paraId="207E0878" w14:textId="77777777" w:rsidR="00061E29" w:rsidRPr="00EF607D" w:rsidRDefault="00061E29" w:rsidP="00EF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9F39" w14:textId="0F6AC659" w:rsidR="00061E29" w:rsidRDefault="00061E29" w:rsidP="00E32692">
    <w:pPr>
      <w:rPr>
        <w:i/>
        <w:sz w:val="18"/>
      </w:rPr>
    </w:pPr>
  </w:p>
  <w:p w14:paraId="0E47EFB8" w14:textId="77777777" w:rsidR="00061E29" w:rsidRPr="008253D2" w:rsidRDefault="00061E29" w:rsidP="00E32692">
    <w:pPr>
      <w:rPr>
        <w: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469" w14:textId="77777777" w:rsidR="00061E29" w:rsidRDefault="00061E29" w:rsidP="00A60204">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061E29" w14:paraId="3765E653" w14:textId="77777777" w:rsidTr="00A60204">
      <w:tc>
        <w:tcPr>
          <w:tcW w:w="5000" w:type="pct"/>
        </w:tcPr>
        <w:p w14:paraId="7199E151" w14:textId="77777777" w:rsidR="00061E29" w:rsidRDefault="00061E29" w:rsidP="00A60204">
          <w:pPr>
            <w:rPr>
              <w:sz w:val="18"/>
            </w:rPr>
          </w:pPr>
        </w:p>
      </w:tc>
    </w:tr>
  </w:tbl>
  <w:p w14:paraId="5B41C868" w14:textId="77777777" w:rsidR="00061E29" w:rsidRPr="00486382" w:rsidRDefault="00061E2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1B4C" w14:textId="77777777" w:rsidR="00061E29" w:rsidRPr="00E33C1C" w:rsidRDefault="00061E29" w:rsidP="00E32692">
    <w:pPr>
      <w:pBdr>
        <w:top w:val="single" w:sz="6" w:space="1" w:color="auto"/>
      </w:pBdr>
      <w:spacing w:before="120" w:line="0" w:lineRule="atLeast"/>
      <w:rPr>
        <w:sz w:val="16"/>
        <w:szCs w:val="16"/>
      </w:rPr>
    </w:pPr>
  </w:p>
  <w:p w14:paraId="5129D8E6" w14:textId="650A037E" w:rsidR="00061E29" w:rsidRPr="00956076" w:rsidRDefault="00061E29" w:rsidP="00E32692">
    <w:pPr>
      <w:rPr>
        <w:i/>
        <w:sz w:val="16"/>
        <w:szCs w:val="16"/>
      </w:rPr>
    </w:pPr>
    <w:r w:rsidRPr="00956076">
      <w:rPr>
        <w:i/>
        <w:sz w:val="16"/>
        <w:szCs w:val="16"/>
      </w:rPr>
      <w:t>National Health (Highly Specialised Drugs Program) Special Arrang</w:t>
    </w:r>
    <w:r w:rsidRPr="00BF648E">
      <w:rPr>
        <w:i/>
        <w:sz w:val="16"/>
        <w:szCs w:val="16"/>
      </w:rPr>
      <w:t xml:space="preserve">ement </w:t>
    </w:r>
    <w:r w:rsidRPr="00CE5922">
      <w:rPr>
        <w:i/>
        <w:sz w:val="16"/>
        <w:szCs w:val="16"/>
      </w:rPr>
      <w:t>Am</w:t>
    </w:r>
    <w:r w:rsidRPr="00331E91">
      <w:rPr>
        <w:i/>
        <w:sz w:val="16"/>
        <w:szCs w:val="16"/>
      </w:rPr>
      <w:t>endmen</w:t>
    </w:r>
    <w:r w:rsidRPr="004766FF">
      <w:rPr>
        <w:i/>
        <w:sz w:val="16"/>
        <w:szCs w:val="16"/>
      </w:rPr>
      <w:t>t (</w:t>
    </w:r>
    <w:r w:rsidR="00336539" w:rsidRPr="004766FF">
      <w:rPr>
        <w:i/>
        <w:sz w:val="16"/>
        <w:szCs w:val="16"/>
      </w:rPr>
      <w:t>Ju</w:t>
    </w:r>
    <w:r w:rsidR="00D90114" w:rsidRPr="004766FF">
      <w:rPr>
        <w:i/>
        <w:sz w:val="16"/>
        <w:szCs w:val="16"/>
      </w:rPr>
      <w:t>ly</w:t>
    </w:r>
    <w:r w:rsidR="007D1EA1" w:rsidRPr="004766FF">
      <w:rPr>
        <w:i/>
        <w:sz w:val="16"/>
        <w:szCs w:val="16"/>
      </w:rPr>
      <w:t xml:space="preserve"> </w:t>
    </w:r>
    <w:r w:rsidRPr="004766FF">
      <w:rPr>
        <w:i/>
        <w:sz w:val="16"/>
        <w:szCs w:val="16"/>
      </w:rPr>
      <w:t>Update) Instrument 202</w:t>
    </w:r>
    <w:r w:rsidR="00DB715F" w:rsidRPr="004766FF">
      <w:rPr>
        <w:i/>
        <w:sz w:val="16"/>
        <w:szCs w:val="16"/>
      </w:rPr>
      <w:t>5</w:t>
    </w:r>
    <w:r w:rsidRPr="004766FF">
      <w:rPr>
        <w:i/>
        <w:sz w:val="16"/>
        <w:szCs w:val="16"/>
      </w:rPr>
      <w:ptab w:relativeTo="margin" w:alignment="right" w:leader="none"/>
    </w:r>
    <w:proofErr w:type="spellStart"/>
    <w:r w:rsidRPr="004766FF">
      <w:rPr>
        <w:i/>
        <w:sz w:val="16"/>
        <w:szCs w:val="16"/>
      </w:rPr>
      <w:t>i</w:t>
    </w:r>
    <w:proofErr w:type="spellEnd"/>
  </w:p>
  <w:p w14:paraId="4D72C26D" w14:textId="77777777" w:rsidR="00061E29" w:rsidRDefault="00061E29" w:rsidP="00E32692">
    <w:pPr>
      <w:rPr>
        <w:i/>
        <w:noProof/>
        <w:sz w:val="18"/>
      </w:rPr>
    </w:pPr>
  </w:p>
  <w:p w14:paraId="4699A564" w14:textId="77777777" w:rsidR="00061E29" w:rsidRPr="008253D2" w:rsidRDefault="00061E29" w:rsidP="00E32692">
    <w:pPr>
      <w:rPr>
        <w:i/>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183F" w14:textId="40D5FF3A" w:rsidR="00061E29" w:rsidRDefault="00061E29" w:rsidP="00A136F5">
    <w:pPr>
      <w:pBdr>
        <w:top w:val="single" w:sz="6" w:space="1" w:color="auto"/>
      </w:pBdr>
      <w:spacing w:line="0" w:lineRule="atLeast"/>
      <w:rPr>
        <w:sz w:val="16"/>
        <w:szCs w:val="16"/>
      </w:rPr>
    </w:pPr>
  </w:p>
  <w:p w14:paraId="3012D85E" w14:textId="01B0EA40" w:rsidR="00061E29" w:rsidRPr="00E33C1C" w:rsidRDefault="00061E29" w:rsidP="00EF607D">
    <w:pPr>
      <w:pBdr>
        <w:top w:val="single" w:sz="6" w:space="1" w:color="auto"/>
      </w:pBdr>
      <w:spacing w:line="0" w:lineRule="atLeast"/>
      <w:rPr>
        <w:sz w:val="16"/>
        <w:szCs w:val="16"/>
      </w:rPr>
    </w:pPr>
    <w:r w:rsidRPr="008253D2">
      <w:rPr>
        <w:i/>
        <w:sz w:val="18"/>
      </w:rPr>
      <w:ptab w:relativeTo="margin" w:alignment="center" w:leader="none"/>
    </w:r>
    <w:r w:rsidRPr="00EF607D">
      <w:t xml:space="preserve"> </w:t>
    </w:r>
    <w:r w:rsidRPr="00EF607D">
      <w:rPr>
        <w:i/>
        <w:sz w:val="16"/>
        <w:szCs w:val="18"/>
      </w:rPr>
      <w:t>National Health (Efficient Funding of Chemotherapy) Special Arrangement Amendment Instrument 2021 (</w:t>
    </w:r>
    <w:r w:rsidRPr="00EF607D">
      <w:rPr>
        <w:i/>
        <w:sz w:val="16"/>
        <w:szCs w:val="18"/>
        <w:highlight w:val="green"/>
      </w:rPr>
      <w:t>No. 8</w:t>
    </w:r>
    <w:r w:rsidRPr="00EF607D">
      <w:rPr>
        <w:i/>
        <w:sz w:val="16"/>
        <w:szCs w:val="18"/>
      </w:rPr>
      <w:t>)</w:t>
    </w:r>
    <w:r w:rsidRPr="00EF607D">
      <w:rPr>
        <w:i/>
        <w:sz w:val="16"/>
        <w:szCs w:val="18"/>
      </w:rPr>
      <w:ptab w:relativeTo="margin" w:alignment="right" w:leader="none"/>
    </w:r>
    <w:proofErr w:type="spellStart"/>
    <w:r w:rsidRPr="00EF607D">
      <w:rPr>
        <w:i/>
        <w:sz w:val="16"/>
        <w:szCs w:val="18"/>
      </w:rPr>
      <w:t>i</w:t>
    </w:r>
    <w:proofErr w:type="spellEnd"/>
  </w:p>
  <w:p w14:paraId="72CF36BE" w14:textId="4B5C569D" w:rsidR="00061E29" w:rsidRDefault="00061E29" w:rsidP="00A136F5">
    <w:pPr>
      <w:rPr>
        <w:i/>
        <w:sz w:val="18"/>
      </w:rPr>
    </w:pPr>
  </w:p>
  <w:p w14:paraId="30739223" w14:textId="77777777" w:rsidR="00061E29" w:rsidRPr="00EF607D" w:rsidRDefault="00061E29" w:rsidP="00A136F5">
    <w:pPr>
      <w:rPr>
        <w:i/>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441C" w14:textId="77777777" w:rsidR="00061E29" w:rsidRPr="00E33C1C" w:rsidRDefault="00061E29" w:rsidP="00E32692">
    <w:pPr>
      <w:pBdr>
        <w:top w:val="single" w:sz="6" w:space="1" w:color="auto"/>
      </w:pBdr>
      <w:spacing w:before="120" w:line="0" w:lineRule="atLeast"/>
      <w:rPr>
        <w:sz w:val="16"/>
        <w:szCs w:val="16"/>
      </w:rPr>
    </w:pPr>
  </w:p>
  <w:p w14:paraId="3ABFDA16" w14:textId="3E070C89" w:rsidR="00061E29" w:rsidRPr="00B323CC" w:rsidRDefault="00061E29" w:rsidP="00E32692">
    <w:pPr>
      <w:rPr>
        <w:i/>
        <w:noProof/>
        <w:sz w:val="16"/>
        <w:szCs w:val="16"/>
      </w:rPr>
    </w:pPr>
    <w:r w:rsidRPr="00BF648E">
      <w:rPr>
        <w:i/>
        <w:sz w:val="16"/>
        <w:szCs w:val="16"/>
      </w:rPr>
      <w:ptab w:relativeTo="margin" w:alignment="center" w:leader="none"/>
    </w:r>
    <w:r w:rsidRPr="00BF648E">
      <w:rPr>
        <w:i/>
        <w:sz w:val="16"/>
        <w:szCs w:val="16"/>
      </w:rPr>
      <w:t xml:space="preserve">National Health (Highly Specialised Drugs Program) Special Arrangement </w:t>
    </w:r>
    <w:r w:rsidRPr="00B23790">
      <w:rPr>
        <w:i/>
        <w:sz w:val="16"/>
        <w:szCs w:val="16"/>
      </w:rPr>
      <w:t>Am</w:t>
    </w:r>
    <w:r w:rsidRPr="00E94D3C">
      <w:rPr>
        <w:i/>
        <w:sz w:val="16"/>
        <w:szCs w:val="16"/>
      </w:rPr>
      <w:t>end</w:t>
    </w:r>
    <w:r w:rsidRPr="00331E91">
      <w:rPr>
        <w:i/>
        <w:sz w:val="16"/>
        <w:szCs w:val="16"/>
      </w:rPr>
      <w:t>m</w:t>
    </w:r>
    <w:r w:rsidRPr="00A21030">
      <w:rPr>
        <w:i/>
        <w:sz w:val="16"/>
        <w:szCs w:val="16"/>
      </w:rPr>
      <w:t>e</w:t>
    </w:r>
    <w:r w:rsidRPr="004766FF">
      <w:rPr>
        <w:i/>
        <w:sz w:val="16"/>
        <w:szCs w:val="16"/>
      </w:rPr>
      <w:t>nt</w:t>
    </w:r>
    <w:r w:rsidR="00BD6608" w:rsidRPr="004766FF">
      <w:rPr>
        <w:i/>
        <w:sz w:val="16"/>
        <w:szCs w:val="16"/>
      </w:rPr>
      <w:t> </w:t>
    </w:r>
    <w:r w:rsidRPr="004766FF">
      <w:rPr>
        <w:i/>
        <w:sz w:val="16"/>
        <w:szCs w:val="16"/>
      </w:rPr>
      <w:t>(</w:t>
    </w:r>
    <w:r w:rsidR="00336539" w:rsidRPr="004766FF">
      <w:rPr>
        <w:i/>
        <w:sz w:val="16"/>
        <w:szCs w:val="16"/>
      </w:rPr>
      <w:t>Ju</w:t>
    </w:r>
    <w:r w:rsidR="00D90114" w:rsidRPr="004766FF">
      <w:rPr>
        <w:i/>
        <w:sz w:val="16"/>
        <w:szCs w:val="16"/>
      </w:rPr>
      <w:t>ly</w:t>
    </w:r>
    <w:r w:rsidR="00BF1FC9" w:rsidRPr="004766FF">
      <w:rPr>
        <w:i/>
        <w:sz w:val="16"/>
        <w:szCs w:val="16"/>
      </w:rPr>
      <w:t xml:space="preserve"> </w:t>
    </w:r>
    <w:r w:rsidRPr="004766FF">
      <w:rPr>
        <w:i/>
        <w:sz w:val="16"/>
        <w:szCs w:val="16"/>
      </w:rPr>
      <w:t>Update)</w:t>
    </w:r>
    <w:r w:rsidR="00BD6608" w:rsidRPr="004766FF">
      <w:rPr>
        <w:i/>
        <w:sz w:val="16"/>
        <w:szCs w:val="16"/>
      </w:rPr>
      <w:t> </w:t>
    </w:r>
    <w:r w:rsidRPr="004766FF">
      <w:rPr>
        <w:i/>
        <w:sz w:val="16"/>
        <w:szCs w:val="16"/>
      </w:rPr>
      <w:t>Instrument</w:t>
    </w:r>
    <w:r w:rsidR="00BD6608" w:rsidRPr="004766FF">
      <w:rPr>
        <w:i/>
        <w:sz w:val="16"/>
        <w:szCs w:val="16"/>
      </w:rPr>
      <w:t> </w:t>
    </w:r>
    <w:r w:rsidRPr="004766FF">
      <w:rPr>
        <w:i/>
        <w:sz w:val="16"/>
        <w:szCs w:val="16"/>
      </w:rPr>
      <w:t>202</w:t>
    </w:r>
    <w:r w:rsidR="00151631" w:rsidRPr="004766FF">
      <w:rPr>
        <w:i/>
        <w:sz w:val="16"/>
        <w:szCs w:val="16"/>
      </w:rPr>
      <w:t>5</w:t>
    </w:r>
    <w:r w:rsidRPr="00331E91">
      <w:rPr>
        <w:i/>
        <w:sz w:val="16"/>
        <w:szCs w:val="16"/>
      </w:rPr>
      <w:t xml:space="preserve"> </w:t>
    </w:r>
    <w:r w:rsidRPr="00331E91">
      <w:rPr>
        <w:i/>
        <w:sz w:val="16"/>
        <w:szCs w:val="16"/>
      </w:rPr>
      <w:ptab w:relativeTo="margin" w:alignment="right" w:leader="none"/>
    </w:r>
    <w:r w:rsidRPr="00B23790">
      <w:rPr>
        <w:i/>
        <w:sz w:val="16"/>
        <w:szCs w:val="16"/>
      </w:rPr>
      <w:fldChar w:fldCharType="begin"/>
    </w:r>
    <w:r w:rsidRPr="00B23790">
      <w:rPr>
        <w:i/>
        <w:sz w:val="16"/>
        <w:szCs w:val="16"/>
      </w:rPr>
      <w:instrText xml:space="preserve"> PAGE   \* MERGEFORMAT </w:instrText>
    </w:r>
    <w:r w:rsidRPr="00B23790">
      <w:rPr>
        <w:i/>
        <w:sz w:val="16"/>
        <w:szCs w:val="16"/>
      </w:rPr>
      <w:fldChar w:fldCharType="separate"/>
    </w:r>
    <w:r w:rsidRPr="00B23790">
      <w:rPr>
        <w:i/>
        <w:sz w:val="16"/>
        <w:szCs w:val="16"/>
      </w:rPr>
      <w:t>1</w:t>
    </w:r>
    <w:r w:rsidRPr="00B23790">
      <w:rPr>
        <w:i/>
        <w:noProof/>
        <w:sz w:val="16"/>
        <w:szCs w:val="16"/>
      </w:rPr>
      <w:fldChar w:fldCharType="end"/>
    </w:r>
  </w:p>
  <w:p w14:paraId="6D1E57C1" w14:textId="77777777" w:rsidR="00061E29" w:rsidRDefault="00061E29" w:rsidP="00E32692">
    <w:pPr>
      <w:rPr>
        <w:i/>
        <w:noProof/>
        <w:sz w:val="18"/>
      </w:rPr>
    </w:pPr>
  </w:p>
  <w:p w14:paraId="4019782E" w14:textId="77777777" w:rsidR="00061E29" w:rsidRPr="008253D2" w:rsidRDefault="00061E29" w:rsidP="00E32692">
    <w:pPr>
      <w:rPr>
        <w:i/>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83D6" w14:textId="77777777" w:rsidR="00061E29" w:rsidRPr="00E33C1C" w:rsidRDefault="00061E29" w:rsidP="009C5989">
    <w:pPr>
      <w:pBdr>
        <w:top w:val="single" w:sz="6" w:space="1" w:color="auto"/>
      </w:pBdr>
      <w:spacing w:before="120" w:line="0" w:lineRule="atLeast"/>
      <w:rPr>
        <w:sz w:val="16"/>
        <w:szCs w:val="16"/>
      </w:rPr>
    </w:pPr>
  </w:p>
  <w:tbl>
    <w:tblPr>
      <w:tblStyle w:val="TableGrid"/>
      <w:tblW w:w="13725" w:type="dxa"/>
      <w:tblLayout w:type="fixed"/>
      <w:tblLook w:val="04A0" w:firstRow="1" w:lastRow="0" w:firstColumn="1" w:lastColumn="0" w:noHBand="0" w:noVBand="1"/>
    </w:tblPr>
    <w:tblGrid>
      <w:gridCol w:w="1146"/>
      <w:gridCol w:w="11754"/>
      <w:gridCol w:w="825"/>
    </w:tblGrid>
    <w:tr w:rsidR="00061E29" w14:paraId="4EAEA115" w14:textId="77777777" w:rsidTr="000A4401">
      <w:trPr>
        <w:trHeight w:val="34"/>
      </w:trPr>
      <w:tc>
        <w:tcPr>
          <w:tcW w:w="1146" w:type="dxa"/>
          <w:tcBorders>
            <w:top w:val="nil"/>
            <w:left w:val="nil"/>
            <w:bottom w:val="nil"/>
            <w:right w:val="nil"/>
          </w:tcBorders>
        </w:tcPr>
        <w:p w14:paraId="176076F8" w14:textId="77777777" w:rsidR="00061E29" w:rsidRDefault="00061E29" w:rsidP="00EE57E8">
          <w:pPr>
            <w:spacing w:line="0" w:lineRule="atLeast"/>
            <w:rPr>
              <w:sz w:val="18"/>
            </w:rPr>
          </w:pPr>
        </w:p>
      </w:tc>
      <w:tc>
        <w:tcPr>
          <w:tcW w:w="11754" w:type="dxa"/>
          <w:tcBorders>
            <w:top w:val="nil"/>
            <w:left w:val="nil"/>
            <w:bottom w:val="nil"/>
            <w:right w:val="nil"/>
          </w:tcBorders>
        </w:tcPr>
        <w:p w14:paraId="6AC0D3D8" w14:textId="0A556974" w:rsidR="00061E29" w:rsidRDefault="00061E2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17BBF">
            <w:rPr>
              <w:b/>
              <w:bCs/>
              <w:i/>
              <w:noProof/>
              <w:sz w:val="18"/>
              <w:lang w:val="en-US"/>
            </w:rPr>
            <w:t>Error! No text of specified style in document.</w:t>
          </w:r>
          <w:r w:rsidRPr="00B20990">
            <w:rPr>
              <w:i/>
              <w:sz w:val="18"/>
            </w:rPr>
            <w:fldChar w:fldCharType="end"/>
          </w:r>
        </w:p>
      </w:tc>
      <w:tc>
        <w:tcPr>
          <w:tcW w:w="825" w:type="dxa"/>
          <w:tcBorders>
            <w:top w:val="nil"/>
            <w:left w:val="nil"/>
            <w:bottom w:val="nil"/>
            <w:right w:val="nil"/>
          </w:tcBorders>
        </w:tcPr>
        <w:p w14:paraId="028BF7D0" w14:textId="77777777" w:rsidR="00061E29" w:rsidRDefault="00061E29" w:rsidP="00EE57E8">
          <w:pPr>
            <w:spacing w:line="0" w:lineRule="atLeast"/>
            <w:jc w:val="right"/>
            <w:rPr>
              <w:sz w:val="18"/>
            </w:rPr>
          </w:pPr>
          <w:r>
            <w:rPr>
              <w:sz w:val="18"/>
            </w:rPr>
            <w:t>3</w:t>
          </w:r>
        </w:p>
      </w:tc>
    </w:tr>
    <w:tr w:rsidR="00061E29" w14:paraId="21F5D974" w14:textId="77777777" w:rsidTr="000A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3725" w:type="dxa"/>
          <w:gridSpan w:val="3"/>
        </w:tcPr>
        <w:p w14:paraId="1C667727" w14:textId="77777777" w:rsidR="00061E29" w:rsidRDefault="00061E29" w:rsidP="001A286A">
          <w:pPr>
            <w:rPr>
              <w:sz w:val="18"/>
            </w:rPr>
          </w:pPr>
          <w:r w:rsidRPr="00462D05">
            <w:rPr>
              <w:i/>
              <w:sz w:val="16"/>
              <w:szCs w:val="14"/>
            </w:rPr>
            <w:t>National Health (Efficient Funding of Chemotherapy) Special Arrangement Amendment Instrument 2021 (</w:t>
          </w:r>
          <w:r w:rsidRPr="00462D05">
            <w:rPr>
              <w:i/>
              <w:sz w:val="16"/>
              <w:szCs w:val="14"/>
              <w:highlight w:val="green"/>
            </w:rPr>
            <w:t>No. 8)</w:t>
          </w:r>
        </w:p>
      </w:tc>
    </w:tr>
  </w:tbl>
  <w:p w14:paraId="6FA3F926" w14:textId="77777777" w:rsidR="00061E29" w:rsidRPr="00ED79B6" w:rsidRDefault="00061E29"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64A3" w14:textId="77777777" w:rsidR="00C241B5" w:rsidRDefault="00C241B5" w:rsidP="0048364F">
      <w:pPr>
        <w:spacing w:line="240" w:lineRule="auto"/>
      </w:pPr>
      <w:r>
        <w:separator/>
      </w:r>
    </w:p>
  </w:footnote>
  <w:footnote w:type="continuationSeparator" w:id="0">
    <w:p w14:paraId="3E137B1C" w14:textId="77777777" w:rsidR="00C241B5" w:rsidRDefault="00C241B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CABA" w14:textId="77777777" w:rsidR="00061E29" w:rsidRPr="005F1388" w:rsidRDefault="00061E2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5DD" w14:textId="77777777" w:rsidR="00061E29" w:rsidRPr="00ED79B6" w:rsidRDefault="00061E29" w:rsidP="00EF607D">
    <w:pPr>
      <w:pBdr>
        <w:bottom w:val="single" w:sz="4"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A908" w14:textId="77777777" w:rsidR="00061E29" w:rsidRPr="00A961C4" w:rsidRDefault="00061E29" w:rsidP="0048364F">
    <w:pPr>
      <w:rPr>
        <w:b/>
        <w:sz w:val="20"/>
      </w:rPr>
    </w:pPr>
  </w:p>
  <w:p w14:paraId="2E714C95" w14:textId="77777777" w:rsidR="00061E29" w:rsidRPr="00A961C4" w:rsidRDefault="00061E29" w:rsidP="0048364F">
    <w:pPr>
      <w:rPr>
        <w:b/>
        <w:sz w:val="20"/>
      </w:rPr>
    </w:pPr>
  </w:p>
  <w:p w14:paraId="4B93BE34" w14:textId="77777777" w:rsidR="00061E29" w:rsidRPr="00A961C4" w:rsidRDefault="00061E29"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47C3" w14:textId="77777777" w:rsidR="00061E29" w:rsidRPr="00A961C4" w:rsidRDefault="00061E29" w:rsidP="0048364F">
    <w:pPr>
      <w:jc w:val="right"/>
      <w:rPr>
        <w:sz w:val="20"/>
      </w:rPr>
    </w:pPr>
  </w:p>
  <w:p w14:paraId="5774BD9C" w14:textId="77777777" w:rsidR="00061E29" w:rsidRPr="00A961C4" w:rsidRDefault="00061E29" w:rsidP="0048364F">
    <w:pPr>
      <w:jc w:val="right"/>
      <w:rPr>
        <w:b/>
        <w:sz w:val="20"/>
      </w:rPr>
    </w:pPr>
  </w:p>
  <w:p w14:paraId="349AE53C" w14:textId="77777777" w:rsidR="00061E29" w:rsidRPr="00A961C4" w:rsidRDefault="00061E29" w:rsidP="007F48ED">
    <w:pPr>
      <w:pBdr>
        <w:bottom w:val="single" w:sz="6" w:space="1" w:color="auto"/>
      </w:pBdr>
      <w:spacing w:after="1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4898" w14:textId="77777777" w:rsidR="00061E29" w:rsidRPr="00ED79B6" w:rsidRDefault="00061E29" w:rsidP="00EF607D">
    <w:pPr>
      <w:pBdr>
        <w:bottom w:val="single" w:sz="4" w:space="1" w:color="auto"/>
      </w:pBdr>
      <w:spacing w:before="100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768C"/>
    <w:multiLevelType w:val="multilevel"/>
    <w:tmpl w:val="7C7E7C22"/>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hint="default"/>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1" w15:restartNumberingAfterBreak="0">
    <w:nsid w:val="194827B1"/>
    <w:multiLevelType w:val="hybridMultilevel"/>
    <w:tmpl w:val="B2281EB0"/>
    <w:lvl w:ilvl="0" w:tplc="FFFFFFFF">
      <w:start w:val="1"/>
      <w:numFmt w:val="lowerLetter"/>
      <w:lvlText w:val="(%1)"/>
      <w:lvlJc w:val="left"/>
      <w:pPr>
        <w:ind w:left="720" w:hanging="360"/>
      </w:pPr>
      <w:rPr>
        <w:rFonts w:ascii="Arial Bold" w:hAnsi="Arial Bold" w:hint="default"/>
        <w:b/>
        <w:i w:val="0"/>
        <w:sz w:val="20"/>
      </w:rPr>
    </w:lvl>
    <w:lvl w:ilvl="1" w:tplc="A0BA72CC">
      <w:start w:val="1"/>
      <w:numFmt w:val="lowerLetter"/>
      <w:lvlText w:val="(%2)"/>
      <w:lvlJc w:val="left"/>
      <w:pPr>
        <w:ind w:left="1440" w:hanging="360"/>
      </w:pPr>
      <w:rPr>
        <w:rFonts w:ascii="Times New Roman" w:hAnsi="Times New Roman" w:hint="default"/>
        <w:b w:val="0"/>
        <w:i w:val="0"/>
        <w:sz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E773B5"/>
    <w:multiLevelType w:val="hybridMultilevel"/>
    <w:tmpl w:val="A6302116"/>
    <w:lvl w:ilvl="0" w:tplc="EE1404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851B9A"/>
    <w:multiLevelType w:val="hybridMultilevel"/>
    <w:tmpl w:val="02140F72"/>
    <w:lvl w:ilvl="0" w:tplc="543007E2">
      <w:start w:val="1"/>
      <w:numFmt w:val="lowerRoman"/>
      <w:lvlText w:val="(%1)"/>
      <w:lvlJc w:val="left"/>
      <w:pPr>
        <w:ind w:left="2789" w:hanging="720"/>
      </w:pPr>
      <w:rPr>
        <w:color w:val="auto"/>
      </w:rPr>
    </w:lvl>
    <w:lvl w:ilvl="1" w:tplc="0C090019">
      <w:start w:val="1"/>
      <w:numFmt w:val="lowerLetter"/>
      <w:lvlText w:val="%2."/>
      <w:lvlJc w:val="left"/>
      <w:pPr>
        <w:ind w:left="3149" w:hanging="360"/>
      </w:pPr>
    </w:lvl>
    <w:lvl w:ilvl="2" w:tplc="0C09001B">
      <w:start w:val="1"/>
      <w:numFmt w:val="lowerRoman"/>
      <w:lvlText w:val="%3."/>
      <w:lvlJc w:val="right"/>
      <w:pPr>
        <w:ind w:left="3869" w:hanging="180"/>
      </w:pPr>
    </w:lvl>
    <w:lvl w:ilvl="3" w:tplc="0C09000F">
      <w:start w:val="1"/>
      <w:numFmt w:val="decimal"/>
      <w:lvlText w:val="%4."/>
      <w:lvlJc w:val="left"/>
      <w:pPr>
        <w:ind w:left="4589" w:hanging="360"/>
      </w:pPr>
    </w:lvl>
    <w:lvl w:ilvl="4" w:tplc="0C090019">
      <w:start w:val="1"/>
      <w:numFmt w:val="lowerLetter"/>
      <w:lvlText w:val="%5."/>
      <w:lvlJc w:val="left"/>
      <w:pPr>
        <w:ind w:left="5309" w:hanging="360"/>
      </w:pPr>
    </w:lvl>
    <w:lvl w:ilvl="5" w:tplc="0C09001B">
      <w:start w:val="1"/>
      <w:numFmt w:val="lowerRoman"/>
      <w:lvlText w:val="%6."/>
      <w:lvlJc w:val="right"/>
      <w:pPr>
        <w:ind w:left="6029" w:hanging="180"/>
      </w:pPr>
    </w:lvl>
    <w:lvl w:ilvl="6" w:tplc="0C09000F">
      <w:start w:val="1"/>
      <w:numFmt w:val="decimal"/>
      <w:lvlText w:val="%7."/>
      <w:lvlJc w:val="left"/>
      <w:pPr>
        <w:ind w:left="6749" w:hanging="360"/>
      </w:pPr>
    </w:lvl>
    <w:lvl w:ilvl="7" w:tplc="0C090019">
      <w:start w:val="1"/>
      <w:numFmt w:val="lowerLetter"/>
      <w:lvlText w:val="%8."/>
      <w:lvlJc w:val="left"/>
      <w:pPr>
        <w:ind w:left="7469" w:hanging="360"/>
      </w:pPr>
    </w:lvl>
    <w:lvl w:ilvl="8" w:tplc="0C09001B">
      <w:start w:val="1"/>
      <w:numFmt w:val="lowerRoman"/>
      <w:lvlText w:val="%9."/>
      <w:lvlJc w:val="right"/>
      <w:pPr>
        <w:ind w:left="8189" w:hanging="180"/>
      </w:pPr>
    </w:lvl>
  </w:abstractNum>
  <w:abstractNum w:abstractNumId="5" w15:restartNumberingAfterBreak="0">
    <w:nsid w:val="2AD90B41"/>
    <w:multiLevelType w:val="hybridMultilevel"/>
    <w:tmpl w:val="02140F72"/>
    <w:lvl w:ilvl="0" w:tplc="FFFFFFFF">
      <w:start w:val="1"/>
      <w:numFmt w:val="lowerRoman"/>
      <w:lvlText w:val="(%1)"/>
      <w:lvlJc w:val="left"/>
      <w:pPr>
        <w:ind w:left="2789" w:hanging="720"/>
      </w:pPr>
      <w:rPr>
        <w:color w:val="auto"/>
      </w:rPr>
    </w:lvl>
    <w:lvl w:ilvl="1" w:tplc="FFFFFFFF">
      <w:start w:val="1"/>
      <w:numFmt w:val="lowerLetter"/>
      <w:lvlText w:val="%2."/>
      <w:lvlJc w:val="left"/>
      <w:pPr>
        <w:ind w:left="3149" w:hanging="360"/>
      </w:pPr>
    </w:lvl>
    <w:lvl w:ilvl="2" w:tplc="FFFFFFFF">
      <w:start w:val="1"/>
      <w:numFmt w:val="lowerRoman"/>
      <w:lvlText w:val="%3."/>
      <w:lvlJc w:val="right"/>
      <w:pPr>
        <w:ind w:left="3869" w:hanging="180"/>
      </w:pPr>
    </w:lvl>
    <w:lvl w:ilvl="3" w:tplc="FFFFFFFF">
      <w:start w:val="1"/>
      <w:numFmt w:val="decimal"/>
      <w:lvlText w:val="%4."/>
      <w:lvlJc w:val="left"/>
      <w:pPr>
        <w:ind w:left="4589" w:hanging="360"/>
      </w:pPr>
    </w:lvl>
    <w:lvl w:ilvl="4" w:tplc="FFFFFFFF">
      <w:start w:val="1"/>
      <w:numFmt w:val="lowerLetter"/>
      <w:lvlText w:val="%5."/>
      <w:lvlJc w:val="left"/>
      <w:pPr>
        <w:ind w:left="5309" w:hanging="360"/>
      </w:pPr>
    </w:lvl>
    <w:lvl w:ilvl="5" w:tplc="FFFFFFFF">
      <w:start w:val="1"/>
      <w:numFmt w:val="lowerRoman"/>
      <w:lvlText w:val="%6."/>
      <w:lvlJc w:val="right"/>
      <w:pPr>
        <w:ind w:left="6029" w:hanging="180"/>
      </w:pPr>
    </w:lvl>
    <w:lvl w:ilvl="6" w:tplc="FFFFFFFF">
      <w:start w:val="1"/>
      <w:numFmt w:val="decimal"/>
      <w:lvlText w:val="%7."/>
      <w:lvlJc w:val="left"/>
      <w:pPr>
        <w:ind w:left="6749" w:hanging="360"/>
      </w:pPr>
    </w:lvl>
    <w:lvl w:ilvl="7" w:tplc="FFFFFFFF">
      <w:start w:val="1"/>
      <w:numFmt w:val="lowerLetter"/>
      <w:lvlText w:val="%8."/>
      <w:lvlJc w:val="left"/>
      <w:pPr>
        <w:ind w:left="7469" w:hanging="360"/>
      </w:pPr>
    </w:lvl>
    <w:lvl w:ilvl="8" w:tplc="FFFFFFFF">
      <w:start w:val="1"/>
      <w:numFmt w:val="lowerRoman"/>
      <w:lvlText w:val="%9."/>
      <w:lvlJc w:val="right"/>
      <w:pPr>
        <w:ind w:left="8189" w:hanging="180"/>
      </w:pPr>
    </w:lvl>
  </w:abstractNum>
  <w:abstractNum w:abstractNumId="6" w15:restartNumberingAfterBreak="0">
    <w:nsid w:val="3237154B"/>
    <w:multiLevelType w:val="hybridMultilevel"/>
    <w:tmpl w:val="093A5854"/>
    <w:lvl w:ilvl="0" w:tplc="81FE5076">
      <w:start w:val="1"/>
      <w:numFmt w:val="lowerLetter"/>
      <w:lvlText w:val="(%1)"/>
      <w:lvlJc w:val="left"/>
      <w:pPr>
        <w:ind w:left="720" w:hanging="360"/>
      </w:pPr>
      <w:rPr>
        <w:rFonts w:ascii="Arial Bold" w:hAnsi="Arial Bold" w:hint="default"/>
        <w:b/>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8" w15:restartNumberingAfterBreak="0">
    <w:nsid w:val="5C696B96"/>
    <w:multiLevelType w:val="hybridMultilevel"/>
    <w:tmpl w:val="A06CD4AC"/>
    <w:lvl w:ilvl="0" w:tplc="3D96F9EC">
      <w:start w:val="1"/>
      <w:numFmt w:val="lowerLetter"/>
      <w:lvlText w:val="(%1)"/>
      <w:lvlJc w:val="left"/>
      <w:pPr>
        <w:ind w:left="1145" w:hanging="360"/>
      </w:pPr>
    </w:lvl>
    <w:lvl w:ilvl="1" w:tplc="0C090019">
      <w:start w:val="1"/>
      <w:numFmt w:val="lowerLetter"/>
      <w:lvlText w:val="%2."/>
      <w:lvlJc w:val="left"/>
      <w:pPr>
        <w:ind w:left="1865" w:hanging="360"/>
      </w:pPr>
    </w:lvl>
    <w:lvl w:ilvl="2" w:tplc="0C09001B">
      <w:start w:val="1"/>
      <w:numFmt w:val="lowerRoman"/>
      <w:lvlText w:val="%3."/>
      <w:lvlJc w:val="right"/>
      <w:pPr>
        <w:ind w:left="2585" w:hanging="180"/>
      </w:pPr>
    </w:lvl>
    <w:lvl w:ilvl="3" w:tplc="0C09000F">
      <w:start w:val="1"/>
      <w:numFmt w:val="decimal"/>
      <w:lvlText w:val="%4."/>
      <w:lvlJc w:val="left"/>
      <w:pPr>
        <w:ind w:left="3305" w:hanging="360"/>
      </w:pPr>
    </w:lvl>
    <w:lvl w:ilvl="4" w:tplc="0C090019">
      <w:start w:val="1"/>
      <w:numFmt w:val="lowerLetter"/>
      <w:lvlText w:val="%5."/>
      <w:lvlJc w:val="left"/>
      <w:pPr>
        <w:ind w:left="4025" w:hanging="360"/>
      </w:pPr>
    </w:lvl>
    <w:lvl w:ilvl="5" w:tplc="0C09001B">
      <w:start w:val="1"/>
      <w:numFmt w:val="lowerRoman"/>
      <w:lvlText w:val="%6."/>
      <w:lvlJc w:val="right"/>
      <w:pPr>
        <w:ind w:left="4745" w:hanging="180"/>
      </w:pPr>
    </w:lvl>
    <w:lvl w:ilvl="6" w:tplc="0C09000F">
      <w:start w:val="1"/>
      <w:numFmt w:val="decimal"/>
      <w:lvlText w:val="%7."/>
      <w:lvlJc w:val="left"/>
      <w:pPr>
        <w:ind w:left="5465" w:hanging="360"/>
      </w:pPr>
    </w:lvl>
    <w:lvl w:ilvl="7" w:tplc="0C090019">
      <w:start w:val="1"/>
      <w:numFmt w:val="lowerLetter"/>
      <w:lvlText w:val="%8."/>
      <w:lvlJc w:val="left"/>
      <w:pPr>
        <w:ind w:left="6185" w:hanging="360"/>
      </w:pPr>
    </w:lvl>
    <w:lvl w:ilvl="8" w:tplc="0C09001B">
      <w:start w:val="1"/>
      <w:numFmt w:val="lowerRoman"/>
      <w:lvlText w:val="%9."/>
      <w:lvlJc w:val="right"/>
      <w:pPr>
        <w:ind w:left="6905" w:hanging="180"/>
      </w:pPr>
    </w:lvl>
  </w:abstractNum>
  <w:abstractNum w:abstractNumId="9" w15:restartNumberingAfterBreak="0">
    <w:nsid w:val="5D4B4012"/>
    <w:multiLevelType w:val="hybridMultilevel"/>
    <w:tmpl w:val="7A860C2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C954B3"/>
    <w:multiLevelType w:val="hybridMultilevel"/>
    <w:tmpl w:val="327412A8"/>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1" w15:restartNumberingAfterBreak="0">
    <w:nsid w:val="6994150D"/>
    <w:multiLevelType w:val="hybridMultilevel"/>
    <w:tmpl w:val="70DE8D0A"/>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2" w15:restartNumberingAfterBreak="0">
    <w:nsid w:val="6ACD04AF"/>
    <w:multiLevelType w:val="hybridMultilevel"/>
    <w:tmpl w:val="AD1EEEAA"/>
    <w:lvl w:ilvl="0" w:tplc="978A2CD2">
      <w:start w:val="1"/>
      <w:numFmt w:val="decimal"/>
      <w:lvlText w:val="(%1)"/>
      <w:lvlJc w:val="left"/>
      <w:pPr>
        <w:ind w:left="720" w:hanging="360"/>
      </w:pPr>
      <w:rPr>
        <w:rFonts w:hint="default"/>
      </w:rPr>
    </w:lvl>
    <w:lvl w:ilvl="1" w:tplc="6DCC9180">
      <w:start w:val="1"/>
      <w:numFmt w:val="lowerRoman"/>
      <w:lvlText w:val="(%2)"/>
      <w:lvlJc w:val="left"/>
      <w:pPr>
        <w:ind w:left="1815" w:hanging="7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816123"/>
    <w:multiLevelType w:val="hybridMultilevel"/>
    <w:tmpl w:val="BF7EF40C"/>
    <w:lvl w:ilvl="0" w:tplc="03145D04">
      <w:start w:val="1"/>
      <w:numFmt w:val="decimal"/>
      <w:lvlText w:val="(%1)"/>
      <w:lvlJc w:val="left"/>
      <w:pPr>
        <w:ind w:left="1665" w:hanging="720"/>
      </w:pPr>
      <w:rPr>
        <w:rFonts w:ascii="Times New Roman" w:eastAsia="Times New Roman" w:hAnsi="Times New Roman" w:cs="Times New Roman"/>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num w:numId="1" w16cid:durableId="718944287">
    <w:abstractNumId w:val="7"/>
  </w:num>
  <w:num w:numId="2" w16cid:durableId="1381246034">
    <w:abstractNumId w:val="3"/>
  </w:num>
  <w:num w:numId="3" w16cid:durableId="19401941">
    <w:abstractNumId w:val="13"/>
  </w:num>
  <w:num w:numId="4" w16cid:durableId="1675766851">
    <w:abstractNumId w:val="2"/>
  </w:num>
  <w:num w:numId="5" w16cid:durableId="855536776">
    <w:abstractNumId w:val="0"/>
  </w:num>
  <w:num w:numId="6" w16cid:durableId="1361928251">
    <w:abstractNumId w:val="12"/>
  </w:num>
  <w:num w:numId="7" w16cid:durableId="273251154">
    <w:abstractNumId w:val="0"/>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lowerLetter"/>
        <w:lvlText w:val="(%2)"/>
        <w:lvlJc w:val="left"/>
        <w:pPr>
          <w:ind w:left="360" w:hanging="360"/>
        </w:pPr>
        <w:rPr>
          <w:rFonts w:ascii="Arial" w:hAnsi="Arial" w:cs="Arial" w:hint="default"/>
          <w:b/>
          <w:bCs w:val="0"/>
          <w:i w:val="0"/>
          <w:iCs/>
          <w:sz w:val="20"/>
          <w:szCs w:val="20"/>
        </w:rPr>
      </w:lvl>
    </w:lvlOverride>
    <w:lvlOverride w:ilvl="2">
      <w:lvl w:ilvl="2">
        <w:start w:val="1"/>
        <w:numFmt w:val="lowerLetter"/>
        <w:lvlText w:val="(%3)"/>
        <w:lvlJc w:val="left"/>
        <w:pPr>
          <w:ind w:left="1494" w:hanging="36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Letter"/>
        <w:lvlText w:val="(%6)"/>
        <w:lvlJc w:val="left"/>
        <w:pPr>
          <w:ind w:left="4500" w:hanging="360"/>
        </w:pPr>
        <w:rPr>
          <w:rFonts w:eastAsia="Times New Roman" w:cs="Times New Roman" w:hint="default"/>
          <w:i/>
          <w:sz w:val="20"/>
        </w:rPr>
      </w:lvl>
    </w:lvlOverride>
    <w:lvlOverride w:ilvl="6">
      <w:lvl w:ilvl="6">
        <w:start w:val="1"/>
        <w:numFmt w:val="lowerLetter"/>
        <w:lvlText w:val="(%7)"/>
        <w:lvlJc w:val="left"/>
        <w:pPr>
          <w:ind w:left="5040" w:hanging="360"/>
        </w:pPr>
        <w:rPr>
          <w:rFonts w:hint="default"/>
          <w:i/>
        </w:rPr>
      </w:lvl>
    </w:lvlOverride>
    <w:lvlOverride w:ilvl="7">
      <w:lvl w:ilvl="7">
        <w:start w:val="1"/>
        <w:numFmt w:val="lowerLetter"/>
        <w:lvlText w:val="(%8)"/>
        <w:lvlJc w:val="left"/>
        <w:pPr>
          <w:ind w:left="5760" w:hanging="360"/>
        </w:pPr>
        <w:rPr>
          <w:rFonts w:hint="default"/>
          <w:i/>
          <w:sz w:val="20"/>
        </w:rPr>
      </w:lvl>
    </w:lvlOverride>
    <w:lvlOverride w:ilvl="8">
      <w:lvl w:ilvl="8">
        <w:start w:val="1"/>
        <w:numFmt w:val="lowerRoman"/>
        <w:lvlText w:val="%9."/>
        <w:lvlJc w:val="right"/>
        <w:pPr>
          <w:ind w:left="6480" w:hanging="180"/>
        </w:pPr>
        <w:rPr>
          <w:rFonts w:hint="default"/>
        </w:rPr>
      </w:lvl>
    </w:lvlOverride>
  </w:num>
  <w:num w:numId="8" w16cid:durableId="132987443">
    <w:abstractNumId w:val="10"/>
  </w:num>
  <w:num w:numId="9" w16cid:durableId="1144934167">
    <w:abstractNumId w:val="9"/>
  </w:num>
  <w:num w:numId="10" w16cid:durableId="1220677625">
    <w:abstractNumId w:val="11"/>
  </w:num>
  <w:num w:numId="11" w16cid:durableId="1043599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999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4287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917439">
    <w:abstractNumId w:val="6"/>
  </w:num>
  <w:num w:numId="15" w16cid:durableId="158310319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2BCC"/>
    <w:rsid w:val="0000673B"/>
    <w:rsid w:val="00010FB8"/>
    <w:rsid w:val="000113BC"/>
    <w:rsid w:val="00011DE5"/>
    <w:rsid w:val="000129FF"/>
    <w:rsid w:val="00013555"/>
    <w:rsid w:val="000136AF"/>
    <w:rsid w:val="0001411C"/>
    <w:rsid w:val="00021E4E"/>
    <w:rsid w:val="00024893"/>
    <w:rsid w:val="00025590"/>
    <w:rsid w:val="00026E35"/>
    <w:rsid w:val="00030014"/>
    <w:rsid w:val="00033107"/>
    <w:rsid w:val="000333C4"/>
    <w:rsid w:val="000402CA"/>
    <w:rsid w:val="0004044E"/>
    <w:rsid w:val="00040676"/>
    <w:rsid w:val="0004265E"/>
    <w:rsid w:val="000430A1"/>
    <w:rsid w:val="000437D0"/>
    <w:rsid w:val="00043D38"/>
    <w:rsid w:val="0004691D"/>
    <w:rsid w:val="0005106D"/>
    <w:rsid w:val="0005120E"/>
    <w:rsid w:val="0005281D"/>
    <w:rsid w:val="00053B81"/>
    <w:rsid w:val="00054577"/>
    <w:rsid w:val="000545F7"/>
    <w:rsid w:val="00055070"/>
    <w:rsid w:val="000614BF"/>
    <w:rsid w:val="00061E29"/>
    <w:rsid w:val="000637AA"/>
    <w:rsid w:val="00063D3F"/>
    <w:rsid w:val="000713EB"/>
    <w:rsid w:val="0007169C"/>
    <w:rsid w:val="00074820"/>
    <w:rsid w:val="00075F1D"/>
    <w:rsid w:val="00076FAC"/>
    <w:rsid w:val="00077593"/>
    <w:rsid w:val="000775C8"/>
    <w:rsid w:val="00082730"/>
    <w:rsid w:val="00083F48"/>
    <w:rsid w:val="00084774"/>
    <w:rsid w:val="00085555"/>
    <w:rsid w:val="00087509"/>
    <w:rsid w:val="00087AC9"/>
    <w:rsid w:val="00090ECE"/>
    <w:rsid w:val="000917FD"/>
    <w:rsid w:val="00091A69"/>
    <w:rsid w:val="00092183"/>
    <w:rsid w:val="00094D79"/>
    <w:rsid w:val="000A0769"/>
    <w:rsid w:val="000A4401"/>
    <w:rsid w:val="000A4707"/>
    <w:rsid w:val="000A479A"/>
    <w:rsid w:val="000A48D2"/>
    <w:rsid w:val="000A7B9B"/>
    <w:rsid w:val="000A7DF9"/>
    <w:rsid w:val="000B2200"/>
    <w:rsid w:val="000B3425"/>
    <w:rsid w:val="000B37CE"/>
    <w:rsid w:val="000B75B5"/>
    <w:rsid w:val="000C0946"/>
    <w:rsid w:val="000C0D68"/>
    <w:rsid w:val="000C2355"/>
    <w:rsid w:val="000C5093"/>
    <w:rsid w:val="000C523C"/>
    <w:rsid w:val="000C559D"/>
    <w:rsid w:val="000C5849"/>
    <w:rsid w:val="000C685C"/>
    <w:rsid w:val="000C6962"/>
    <w:rsid w:val="000D05EF"/>
    <w:rsid w:val="000D2A64"/>
    <w:rsid w:val="000D32BE"/>
    <w:rsid w:val="000D3957"/>
    <w:rsid w:val="000D3FB9"/>
    <w:rsid w:val="000D419A"/>
    <w:rsid w:val="000D42D3"/>
    <w:rsid w:val="000D4567"/>
    <w:rsid w:val="000D5485"/>
    <w:rsid w:val="000D72ED"/>
    <w:rsid w:val="000E07B3"/>
    <w:rsid w:val="000E1963"/>
    <w:rsid w:val="000E1E36"/>
    <w:rsid w:val="000E2061"/>
    <w:rsid w:val="000E2C29"/>
    <w:rsid w:val="000E4592"/>
    <w:rsid w:val="000E4786"/>
    <w:rsid w:val="000E57CD"/>
    <w:rsid w:val="000E598E"/>
    <w:rsid w:val="000E59A3"/>
    <w:rsid w:val="000E5A3D"/>
    <w:rsid w:val="000E6DB0"/>
    <w:rsid w:val="000F02A3"/>
    <w:rsid w:val="000F0ADA"/>
    <w:rsid w:val="000F116E"/>
    <w:rsid w:val="000F1C5B"/>
    <w:rsid w:val="000F21C1"/>
    <w:rsid w:val="000F28B7"/>
    <w:rsid w:val="000F2F53"/>
    <w:rsid w:val="000F352B"/>
    <w:rsid w:val="000F5ACD"/>
    <w:rsid w:val="00100D73"/>
    <w:rsid w:val="001016EC"/>
    <w:rsid w:val="00102D7A"/>
    <w:rsid w:val="00104761"/>
    <w:rsid w:val="00104A1E"/>
    <w:rsid w:val="0010529F"/>
    <w:rsid w:val="0010745C"/>
    <w:rsid w:val="00111F26"/>
    <w:rsid w:val="001122FF"/>
    <w:rsid w:val="00114583"/>
    <w:rsid w:val="00116E28"/>
    <w:rsid w:val="0011746E"/>
    <w:rsid w:val="00117FC4"/>
    <w:rsid w:val="00121F20"/>
    <w:rsid w:val="00122CB2"/>
    <w:rsid w:val="001242AB"/>
    <w:rsid w:val="00124BE2"/>
    <w:rsid w:val="00125CB1"/>
    <w:rsid w:val="00127010"/>
    <w:rsid w:val="0012751B"/>
    <w:rsid w:val="00127B5B"/>
    <w:rsid w:val="0013021A"/>
    <w:rsid w:val="00141B18"/>
    <w:rsid w:val="0014407D"/>
    <w:rsid w:val="0014478B"/>
    <w:rsid w:val="00146347"/>
    <w:rsid w:val="00151631"/>
    <w:rsid w:val="00154469"/>
    <w:rsid w:val="001547D0"/>
    <w:rsid w:val="00155E3F"/>
    <w:rsid w:val="0015668E"/>
    <w:rsid w:val="00156F8A"/>
    <w:rsid w:val="00157AD2"/>
    <w:rsid w:val="001605A5"/>
    <w:rsid w:val="00160BD7"/>
    <w:rsid w:val="0016379F"/>
    <w:rsid w:val="001643C9"/>
    <w:rsid w:val="001648A5"/>
    <w:rsid w:val="00164BEA"/>
    <w:rsid w:val="00165568"/>
    <w:rsid w:val="00166082"/>
    <w:rsid w:val="001662C8"/>
    <w:rsid w:val="00166C2F"/>
    <w:rsid w:val="00167300"/>
    <w:rsid w:val="00170CAE"/>
    <w:rsid w:val="001716C9"/>
    <w:rsid w:val="001724BB"/>
    <w:rsid w:val="0017259C"/>
    <w:rsid w:val="0017571E"/>
    <w:rsid w:val="001774B3"/>
    <w:rsid w:val="00181EA0"/>
    <w:rsid w:val="00182961"/>
    <w:rsid w:val="00183A4B"/>
    <w:rsid w:val="00184261"/>
    <w:rsid w:val="00184BEE"/>
    <w:rsid w:val="001926CC"/>
    <w:rsid w:val="00193289"/>
    <w:rsid w:val="00193461"/>
    <w:rsid w:val="001939E1"/>
    <w:rsid w:val="001942CD"/>
    <w:rsid w:val="0019452E"/>
    <w:rsid w:val="001949D7"/>
    <w:rsid w:val="00194CE1"/>
    <w:rsid w:val="00195382"/>
    <w:rsid w:val="00197253"/>
    <w:rsid w:val="001973EE"/>
    <w:rsid w:val="001A176D"/>
    <w:rsid w:val="001A286A"/>
    <w:rsid w:val="001A348C"/>
    <w:rsid w:val="001A3B9F"/>
    <w:rsid w:val="001A5376"/>
    <w:rsid w:val="001A5520"/>
    <w:rsid w:val="001A65C0"/>
    <w:rsid w:val="001A696B"/>
    <w:rsid w:val="001A7128"/>
    <w:rsid w:val="001B1AE5"/>
    <w:rsid w:val="001B2815"/>
    <w:rsid w:val="001B3A12"/>
    <w:rsid w:val="001B45A8"/>
    <w:rsid w:val="001B4CD0"/>
    <w:rsid w:val="001B5DDB"/>
    <w:rsid w:val="001B7539"/>
    <w:rsid w:val="001B7A5D"/>
    <w:rsid w:val="001C01FB"/>
    <w:rsid w:val="001C0593"/>
    <w:rsid w:val="001C4839"/>
    <w:rsid w:val="001C6960"/>
    <w:rsid w:val="001C69C4"/>
    <w:rsid w:val="001C6C20"/>
    <w:rsid w:val="001D01DA"/>
    <w:rsid w:val="001D294D"/>
    <w:rsid w:val="001D42BE"/>
    <w:rsid w:val="001D4937"/>
    <w:rsid w:val="001D4D1D"/>
    <w:rsid w:val="001D5DED"/>
    <w:rsid w:val="001D7192"/>
    <w:rsid w:val="001D73E7"/>
    <w:rsid w:val="001E0A8D"/>
    <w:rsid w:val="001E3590"/>
    <w:rsid w:val="001E5736"/>
    <w:rsid w:val="001E7240"/>
    <w:rsid w:val="001E7407"/>
    <w:rsid w:val="001F1A46"/>
    <w:rsid w:val="001F3B53"/>
    <w:rsid w:val="001F3B64"/>
    <w:rsid w:val="001F5648"/>
    <w:rsid w:val="001F6B25"/>
    <w:rsid w:val="001F73F2"/>
    <w:rsid w:val="001F7D2F"/>
    <w:rsid w:val="00200697"/>
    <w:rsid w:val="002008CA"/>
    <w:rsid w:val="00201D27"/>
    <w:rsid w:val="00205A1B"/>
    <w:rsid w:val="00205E53"/>
    <w:rsid w:val="002064BE"/>
    <w:rsid w:val="00206D12"/>
    <w:rsid w:val="00207232"/>
    <w:rsid w:val="00207EE4"/>
    <w:rsid w:val="002108E6"/>
    <w:rsid w:val="0021153A"/>
    <w:rsid w:val="00212930"/>
    <w:rsid w:val="00220FB9"/>
    <w:rsid w:val="00223241"/>
    <w:rsid w:val="002245A6"/>
    <w:rsid w:val="00224C08"/>
    <w:rsid w:val="00225E0B"/>
    <w:rsid w:val="002302EA"/>
    <w:rsid w:val="00230D36"/>
    <w:rsid w:val="00233ED3"/>
    <w:rsid w:val="00234A97"/>
    <w:rsid w:val="00236DD5"/>
    <w:rsid w:val="00237614"/>
    <w:rsid w:val="00240749"/>
    <w:rsid w:val="0024373E"/>
    <w:rsid w:val="002468D7"/>
    <w:rsid w:val="00247E97"/>
    <w:rsid w:val="002500FC"/>
    <w:rsid w:val="002536E6"/>
    <w:rsid w:val="00256973"/>
    <w:rsid w:val="00256C81"/>
    <w:rsid w:val="0025714F"/>
    <w:rsid w:val="00257BBB"/>
    <w:rsid w:val="00260361"/>
    <w:rsid w:val="00260398"/>
    <w:rsid w:val="00260496"/>
    <w:rsid w:val="00261493"/>
    <w:rsid w:val="0026242B"/>
    <w:rsid w:val="0026387F"/>
    <w:rsid w:val="00263BCF"/>
    <w:rsid w:val="00264787"/>
    <w:rsid w:val="002650AD"/>
    <w:rsid w:val="00271545"/>
    <w:rsid w:val="00277B7A"/>
    <w:rsid w:val="00280CFF"/>
    <w:rsid w:val="0028396B"/>
    <w:rsid w:val="00285CDD"/>
    <w:rsid w:val="0029091A"/>
    <w:rsid w:val="00291167"/>
    <w:rsid w:val="00292789"/>
    <w:rsid w:val="00293E5F"/>
    <w:rsid w:val="0029489E"/>
    <w:rsid w:val="00296A9C"/>
    <w:rsid w:val="00297ECB"/>
    <w:rsid w:val="002A5F9C"/>
    <w:rsid w:val="002A6FB7"/>
    <w:rsid w:val="002B1BB8"/>
    <w:rsid w:val="002B22FF"/>
    <w:rsid w:val="002B2C66"/>
    <w:rsid w:val="002B4379"/>
    <w:rsid w:val="002B45C1"/>
    <w:rsid w:val="002B69F3"/>
    <w:rsid w:val="002B6E2F"/>
    <w:rsid w:val="002C01FF"/>
    <w:rsid w:val="002C0490"/>
    <w:rsid w:val="002C152A"/>
    <w:rsid w:val="002C251F"/>
    <w:rsid w:val="002C7E14"/>
    <w:rsid w:val="002D020B"/>
    <w:rsid w:val="002D043A"/>
    <w:rsid w:val="002D2FF7"/>
    <w:rsid w:val="002D43FD"/>
    <w:rsid w:val="002E0A2A"/>
    <w:rsid w:val="002E1674"/>
    <w:rsid w:val="002E18FF"/>
    <w:rsid w:val="002E3E4A"/>
    <w:rsid w:val="002E5D0D"/>
    <w:rsid w:val="002E5EF1"/>
    <w:rsid w:val="002F3033"/>
    <w:rsid w:val="002F625C"/>
    <w:rsid w:val="00300398"/>
    <w:rsid w:val="0030116F"/>
    <w:rsid w:val="003020EE"/>
    <w:rsid w:val="0030287E"/>
    <w:rsid w:val="003045E0"/>
    <w:rsid w:val="00305A29"/>
    <w:rsid w:val="00312AEE"/>
    <w:rsid w:val="003138E0"/>
    <w:rsid w:val="0031713F"/>
    <w:rsid w:val="00317D4B"/>
    <w:rsid w:val="003206C9"/>
    <w:rsid w:val="003222D1"/>
    <w:rsid w:val="003224C4"/>
    <w:rsid w:val="00323E14"/>
    <w:rsid w:val="003260E5"/>
    <w:rsid w:val="0032750F"/>
    <w:rsid w:val="003308BB"/>
    <w:rsid w:val="003313CB"/>
    <w:rsid w:val="00331E91"/>
    <w:rsid w:val="00334440"/>
    <w:rsid w:val="003344A6"/>
    <w:rsid w:val="0033562F"/>
    <w:rsid w:val="00336539"/>
    <w:rsid w:val="003415D3"/>
    <w:rsid w:val="00342C0D"/>
    <w:rsid w:val="003437A6"/>
    <w:rsid w:val="003442F6"/>
    <w:rsid w:val="0034455F"/>
    <w:rsid w:val="00344A79"/>
    <w:rsid w:val="00344B11"/>
    <w:rsid w:val="00345183"/>
    <w:rsid w:val="00346229"/>
    <w:rsid w:val="00346335"/>
    <w:rsid w:val="00350256"/>
    <w:rsid w:val="0035280E"/>
    <w:rsid w:val="00352B0F"/>
    <w:rsid w:val="003561B0"/>
    <w:rsid w:val="00356901"/>
    <w:rsid w:val="00356FC8"/>
    <w:rsid w:val="00357F17"/>
    <w:rsid w:val="00361C43"/>
    <w:rsid w:val="003641D6"/>
    <w:rsid w:val="00365676"/>
    <w:rsid w:val="00366B9F"/>
    <w:rsid w:val="00371C8F"/>
    <w:rsid w:val="00371F20"/>
    <w:rsid w:val="003730DD"/>
    <w:rsid w:val="0037545E"/>
    <w:rsid w:val="00375C36"/>
    <w:rsid w:val="00380364"/>
    <w:rsid w:val="0038130C"/>
    <w:rsid w:val="00382BA7"/>
    <w:rsid w:val="00382F0B"/>
    <w:rsid w:val="00383A6E"/>
    <w:rsid w:val="0039272C"/>
    <w:rsid w:val="003928CD"/>
    <w:rsid w:val="00393F6B"/>
    <w:rsid w:val="00396391"/>
    <w:rsid w:val="003964BC"/>
    <w:rsid w:val="00396708"/>
    <w:rsid w:val="00396F14"/>
    <w:rsid w:val="00397893"/>
    <w:rsid w:val="003A15AC"/>
    <w:rsid w:val="003A41FA"/>
    <w:rsid w:val="003A76A3"/>
    <w:rsid w:val="003A7DC7"/>
    <w:rsid w:val="003B0627"/>
    <w:rsid w:val="003B1114"/>
    <w:rsid w:val="003B780B"/>
    <w:rsid w:val="003B7DE8"/>
    <w:rsid w:val="003C1BF1"/>
    <w:rsid w:val="003C24DE"/>
    <w:rsid w:val="003C27F8"/>
    <w:rsid w:val="003C38AB"/>
    <w:rsid w:val="003C3DD0"/>
    <w:rsid w:val="003C3DF2"/>
    <w:rsid w:val="003C4420"/>
    <w:rsid w:val="003C5F2B"/>
    <w:rsid w:val="003C716C"/>
    <w:rsid w:val="003C74E0"/>
    <w:rsid w:val="003C7CD4"/>
    <w:rsid w:val="003C7D35"/>
    <w:rsid w:val="003D0079"/>
    <w:rsid w:val="003D0BFE"/>
    <w:rsid w:val="003D1883"/>
    <w:rsid w:val="003D2ED0"/>
    <w:rsid w:val="003D2EEA"/>
    <w:rsid w:val="003D3A66"/>
    <w:rsid w:val="003D4ECA"/>
    <w:rsid w:val="003D4F56"/>
    <w:rsid w:val="003D5700"/>
    <w:rsid w:val="003D5DC0"/>
    <w:rsid w:val="003D5ED0"/>
    <w:rsid w:val="003D6272"/>
    <w:rsid w:val="003D6CA2"/>
    <w:rsid w:val="003E0300"/>
    <w:rsid w:val="003E0591"/>
    <w:rsid w:val="003E06EE"/>
    <w:rsid w:val="003E1224"/>
    <w:rsid w:val="003E70C7"/>
    <w:rsid w:val="003F008E"/>
    <w:rsid w:val="003F3D8F"/>
    <w:rsid w:val="003F4224"/>
    <w:rsid w:val="003F467C"/>
    <w:rsid w:val="003F6F52"/>
    <w:rsid w:val="003F7F28"/>
    <w:rsid w:val="0040068E"/>
    <w:rsid w:val="00400B92"/>
    <w:rsid w:val="00400C5F"/>
    <w:rsid w:val="00401F52"/>
    <w:rsid w:val="004022CA"/>
    <w:rsid w:val="00406BA4"/>
    <w:rsid w:val="00406C4D"/>
    <w:rsid w:val="0041022B"/>
    <w:rsid w:val="00410290"/>
    <w:rsid w:val="00411322"/>
    <w:rsid w:val="004116CD"/>
    <w:rsid w:val="00411808"/>
    <w:rsid w:val="00413E62"/>
    <w:rsid w:val="00413EA6"/>
    <w:rsid w:val="00414ADE"/>
    <w:rsid w:val="004168A1"/>
    <w:rsid w:val="00416A8C"/>
    <w:rsid w:val="00417897"/>
    <w:rsid w:val="00417BBF"/>
    <w:rsid w:val="0042056F"/>
    <w:rsid w:val="00420633"/>
    <w:rsid w:val="00421779"/>
    <w:rsid w:val="0042293E"/>
    <w:rsid w:val="00423C8F"/>
    <w:rsid w:val="00424CA9"/>
    <w:rsid w:val="00425437"/>
    <w:rsid w:val="004257BB"/>
    <w:rsid w:val="00431AEE"/>
    <w:rsid w:val="004370D6"/>
    <w:rsid w:val="00440D1E"/>
    <w:rsid w:val="004410AE"/>
    <w:rsid w:val="0044262F"/>
    <w:rsid w:val="0044291A"/>
    <w:rsid w:val="00443A4D"/>
    <w:rsid w:val="004440B3"/>
    <w:rsid w:val="00445CD8"/>
    <w:rsid w:val="00451A61"/>
    <w:rsid w:val="00454E67"/>
    <w:rsid w:val="004600B0"/>
    <w:rsid w:val="00460499"/>
    <w:rsid w:val="004607AC"/>
    <w:rsid w:val="00460FBA"/>
    <w:rsid w:val="00462D05"/>
    <w:rsid w:val="00464EE3"/>
    <w:rsid w:val="00467583"/>
    <w:rsid w:val="00470B80"/>
    <w:rsid w:val="004710D7"/>
    <w:rsid w:val="00471729"/>
    <w:rsid w:val="004739E8"/>
    <w:rsid w:val="00473F60"/>
    <w:rsid w:val="00474835"/>
    <w:rsid w:val="00475656"/>
    <w:rsid w:val="004766FF"/>
    <w:rsid w:val="00480882"/>
    <w:rsid w:val="00481681"/>
    <w:rsid w:val="004819C7"/>
    <w:rsid w:val="0048364F"/>
    <w:rsid w:val="00485E4A"/>
    <w:rsid w:val="004862C7"/>
    <w:rsid w:val="004877FC"/>
    <w:rsid w:val="00490F2E"/>
    <w:rsid w:val="00491748"/>
    <w:rsid w:val="0049218E"/>
    <w:rsid w:val="004956AA"/>
    <w:rsid w:val="00495879"/>
    <w:rsid w:val="00495B90"/>
    <w:rsid w:val="00496F97"/>
    <w:rsid w:val="0049750C"/>
    <w:rsid w:val="00497DD1"/>
    <w:rsid w:val="004A0CC1"/>
    <w:rsid w:val="004A354A"/>
    <w:rsid w:val="004A50BB"/>
    <w:rsid w:val="004A53EA"/>
    <w:rsid w:val="004A6E99"/>
    <w:rsid w:val="004B00B9"/>
    <w:rsid w:val="004B2D12"/>
    <w:rsid w:val="004B35E7"/>
    <w:rsid w:val="004B7836"/>
    <w:rsid w:val="004C1AED"/>
    <w:rsid w:val="004C3376"/>
    <w:rsid w:val="004C4B38"/>
    <w:rsid w:val="004C64F3"/>
    <w:rsid w:val="004C6603"/>
    <w:rsid w:val="004D037B"/>
    <w:rsid w:val="004D0939"/>
    <w:rsid w:val="004D157C"/>
    <w:rsid w:val="004D1A70"/>
    <w:rsid w:val="004D31D2"/>
    <w:rsid w:val="004D584E"/>
    <w:rsid w:val="004D5D4E"/>
    <w:rsid w:val="004D72B1"/>
    <w:rsid w:val="004E101A"/>
    <w:rsid w:val="004E1E67"/>
    <w:rsid w:val="004E2781"/>
    <w:rsid w:val="004E390D"/>
    <w:rsid w:val="004E7FB9"/>
    <w:rsid w:val="004F158E"/>
    <w:rsid w:val="004F1CE8"/>
    <w:rsid w:val="004F1FAC"/>
    <w:rsid w:val="004F3CAF"/>
    <w:rsid w:val="004F3D64"/>
    <w:rsid w:val="004F3F1C"/>
    <w:rsid w:val="004F676E"/>
    <w:rsid w:val="004F6D21"/>
    <w:rsid w:val="004F6DE1"/>
    <w:rsid w:val="004F71C0"/>
    <w:rsid w:val="00502CC4"/>
    <w:rsid w:val="005035C5"/>
    <w:rsid w:val="00504069"/>
    <w:rsid w:val="00505D6E"/>
    <w:rsid w:val="00506D6F"/>
    <w:rsid w:val="005146A5"/>
    <w:rsid w:val="00516B8D"/>
    <w:rsid w:val="005204AC"/>
    <w:rsid w:val="00520E7B"/>
    <w:rsid w:val="005220AA"/>
    <w:rsid w:val="00524939"/>
    <w:rsid w:val="005252B7"/>
    <w:rsid w:val="00526411"/>
    <w:rsid w:val="0052756C"/>
    <w:rsid w:val="00527A6E"/>
    <w:rsid w:val="00530230"/>
    <w:rsid w:val="005304BF"/>
    <w:rsid w:val="00530CC9"/>
    <w:rsid w:val="00530E2E"/>
    <w:rsid w:val="00531B46"/>
    <w:rsid w:val="00534125"/>
    <w:rsid w:val="005377F2"/>
    <w:rsid w:val="00537FBC"/>
    <w:rsid w:val="005413F2"/>
    <w:rsid w:val="00541D73"/>
    <w:rsid w:val="00543469"/>
    <w:rsid w:val="00546FA3"/>
    <w:rsid w:val="005507C9"/>
    <w:rsid w:val="0055142F"/>
    <w:rsid w:val="005547EC"/>
    <w:rsid w:val="00554E3E"/>
    <w:rsid w:val="00555DA5"/>
    <w:rsid w:val="00556766"/>
    <w:rsid w:val="00557C7A"/>
    <w:rsid w:val="005605A4"/>
    <w:rsid w:val="00560C15"/>
    <w:rsid w:val="00561FF7"/>
    <w:rsid w:val="00562A58"/>
    <w:rsid w:val="0056420E"/>
    <w:rsid w:val="00564365"/>
    <w:rsid w:val="005643C7"/>
    <w:rsid w:val="005647E0"/>
    <w:rsid w:val="0056541A"/>
    <w:rsid w:val="00574E7A"/>
    <w:rsid w:val="005771D5"/>
    <w:rsid w:val="005773C3"/>
    <w:rsid w:val="00581211"/>
    <w:rsid w:val="00582FB6"/>
    <w:rsid w:val="00583062"/>
    <w:rsid w:val="00584811"/>
    <w:rsid w:val="0058614C"/>
    <w:rsid w:val="00587EEE"/>
    <w:rsid w:val="005916CE"/>
    <w:rsid w:val="005930FF"/>
    <w:rsid w:val="00593280"/>
    <w:rsid w:val="0059341F"/>
    <w:rsid w:val="00593AA6"/>
    <w:rsid w:val="00594161"/>
    <w:rsid w:val="00594749"/>
    <w:rsid w:val="00594956"/>
    <w:rsid w:val="0059670C"/>
    <w:rsid w:val="005A0D79"/>
    <w:rsid w:val="005A2595"/>
    <w:rsid w:val="005A71D6"/>
    <w:rsid w:val="005A72D4"/>
    <w:rsid w:val="005B1555"/>
    <w:rsid w:val="005B2711"/>
    <w:rsid w:val="005B373C"/>
    <w:rsid w:val="005B3E5C"/>
    <w:rsid w:val="005B4067"/>
    <w:rsid w:val="005B676D"/>
    <w:rsid w:val="005C3CC2"/>
    <w:rsid w:val="005C3F41"/>
    <w:rsid w:val="005C4EF0"/>
    <w:rsid w:val="005C5819"/>
    <w:rsid w:val="005C58DF"/>
    <w:rsid w:val="005C65DD"/>
    <w:rsid w:val="005C76CC"/>
    <w:rsid w:val="005D1031"/>
    <w:rsid w:val="005D1950"/>
    <w:rsid w:val="005D3DD4"/>
    <w:rsid w:val="005D540A"/>
    <w:rsid w:val="005D5EA1"/>
    <w:rsid w:val="005E098C"/>
    <w:rsid w:val="005E1F8D"/>
    <w:rsid w:val="005E317F"/>
    <w:rsid w:val="005E61D3"/>
    <w:rsid w:val="005E665A"/>
    <w:rsid w:val="005E7450"/>
    <w:rsid w:val="005F4A02"/>
    <w:rsid w:val="00600219"/>
    <w:rsid w:val="00602A1D"/>
    <w:rsid w:val="00604D98"/>
    <w:rsid w:val="00604F4D"/>
    <w:rsid w:val="006065DA"/>
    <w:rsid w:val="00606AA4"/>
    <w:rsid w:val="00615224"/>
    <w:rsid w:val="0061661E"/>
    <w:rsid w:val="006179A3"/>
    <w:rsid w:val="006201F2"/>
    <w:rsid w:val="00621BD4"/>
    <w:rsid w:val="00621F8C"/>
    <w:rsid w:val="00625F90"/>
    <w:rsid w:val="00626FE7"/>
    <w:rsid w:val="006309BF"/>
    <w:rsid w:val="00630F1C"/>
    <w:rsid w:val="00631973"/>
    <w:rsid w:val="00631EE1"/>
    <w:rsid w:val="00632AE4"/>
    <w:rsid w:val="006331CB"/>
    <w:rsid w:val="006346F4"/>
    <w:rsid w:val="006357B6"/>
    <w:rsid w:val="00635C97"/>
    <w:rsid w:val="00635D41"/>
    <w:rsid w:val="006375A9"/>
    <w:rsid w:val="00640170"/>
    <w:rsid w:val="00640402"/>
    <w:rsid w:val="0064049E"/>
    <w:rsid w:val="0064071F"/>
    <w:rsid w:val="00640B6B"/>
    <w:rsid w:val="00640F78"/>
    <w:rsid w:val="00642EFD"/>
    <w:rsid w:val="006432B1"/>
    <w:rsid w:val="00644C41"/>
    <w:rsid w:val="00644F5A"/>
    <w:rsid w:val="006454A2"/>
    <w:rsid w:val="00645FC1"/>
    <w:rsid w:val="00646EC8"/>
    <w:rsid w:val="0065199A"/>
    <w:rsid w:val="00652A74"/>
    <w:rsid w:val="006540EC"/>
    <w:rsid w:val="00655245"/>
    <w:rsid w:val="0065575E"/>
    <w:rsid w:val="00655D6A"/>
    <w:rsid w:val="00656DE9"/>
    <w:rsid w:val="00664E13"/>
    <w:rsid w:val="0066598B"/>
    <w:rsid w:val="006659CD"/>
    <w:rsid w:val="00667C24"/>
    <w:rsid w:val="00671184"/>
    <w:rsid w:val="00671329"/>
    <w:rsid w:val="00672876"/>
    <w:rsid w:val="006748A8"/>
    <w:rsid w:val="00674F36"/>
    <w:rsid w:val="00675BD9"/>
    <w:rsid w:val="00675FC9"/>
    <w:rsid w:val="00677164"/>
    <w:rsid w:val="00677527"/>
    <w:rsid w:val="006775AB"/>
    <w:rsid w:val="00677CC2"/>
    <w:rsid w:val="006833E9"/>
    <w:rsid w:val="00684754"/>
    <w:rsid w:val="00685F42"/>
    <w:rsid w:val="00691B37"/>
    <w:rsid w:val="0069207B"/>
    <w:rsid w:val="00697094"/>
    <w:rsid w:val="00697764"/>
    <w:rsid w:val="006A1099"/>
    <w:rsid w:val="006A19EC"/>
    <w:rsid w:val="006A2348"/>
    <w:rsid w:val="006A304E"/>
    <w:rsid w:val="006A68CB"/>
    <w:rsid w:val="006A7A70"/>
    <w:rsid w:val="006B1C9D"/>
    <w:rsid w:val="006B3289"/>
    <w:rsid w:val="006B405D"/>
    <w:rsid w:val="006B4971"/>
    <w:rsid w:val="006B6728"/>
    <w:rsid w:val="006B7006"/>
    <w:rsid w:val="006C00E6"/>
    <w:rsid w:val="006C170D"/>
    <w:rsid w:val="006C3073"/>
    <w:rsid w:val="006C6BBB"/>
    <w:rsid w:val="006C753B"/>
    <w:rsid w:val="006C77BC"/>
    <w:rsid w:val="006C7F8C"/>
    <w:rsid w:val="006D0B7A"/>
    <w:rsid w:val="006D5388"/>
    <w:rsid w:val="006D6F37"/>
    <w:rsid w:val="006D7437"/>
    <w:rsid w:val="006D7AB9"/>
    <w:rsid w:val="006D7CFC"/>
    <w:rsid w:val="006E00D5"/>
    <w:rsid w:val="006E09A9"/>
    <w:rsid w:val="006E1985"/>
    <w:rsid w:val="006E3BB2"/>
    <w:rsid w:val="006E50C6"/>
    <w:rsid w:val="006E60F4"/>
    <w:rsid w:val="006F00D6"/>
    <w:rsid w:val="006F18ED"/>
    <w:rsid w:val="006F2A1D"/>
    <w:rsid w:val="006F32FD"/>
    <w:rsid w:val="007003F8"/>
    <w:rsid w:val="00700B2C"/>
    <w:rsid w:val="00700BE3"/>
    <w:rsid w:val="00704712"/>
    <w:rsid w:val="00704884"/>
    <w:rsid w:val="007051BC"/>
    <w:rsid w:val="00705ADA"/>
    <w:rsid w:val="00705B58"/>
    <w:rsid w:val="007125EE"/>
    <w:rsid w:val="00713084"/>
    <w:rsid w:val="007138ED"/>
    <w:rsid w:val="007155B9"/>
    <w:rsid w:val="0071682D"/>
    <w:rsid w:val="00717463"/>
    <w:rsid w:val="00717664"/>
    <w:rsid w:val="00717A6E"/>
    <w:rsid w:val="00720FC2"/>
    <w:rsid w:val="007225BB"/>
    <w:rsid w:val="00722E89"/>
    <w:rsid w:val="00723EFF"/>
    <w:rsid w:val="00726734"/>
    <w:rsid w:val="00726CA9"/>
    <w:rsid w:val="00727D7A"/>
    <w:rsid w:val="0073038E"/>
    <w:rsid w:val="00731254"/>
    <w:rsid w:val="00731E00"/>
    <w:rsid w:val="00732076"/>
    <w:rsid w:val="007339C7"/>
    <w:rsid w:val="00735948"/>
    <w:rsid w:val="00736146"/>
    <w:rsid w:val="007366CF"/>
    <w:rsid w:val="0073686B"/>
    <w:rsid w:val="00736B3B"/>
    <w:rsid w:val="007370DA"/>
    <w:rsid w:val="00740059"/>
    <w:rsid w:val="0074049B"/>
    <w:rsid w:val="00742981"/>
    <w:rsid w:val="007440B7"/>
    <w:rsid w:val="00745EE1"/>
    <w:rsid w:val="00747298"/>
    <w:rsid w:val="00747993"/>
    <w:rsid w:val="0075362C"/>
    <w:rsid w:val="00753BCF"/>
    <w:rsid w:val="007546F5"/>
    <w:rsid w:val="0075487A"/>
    <w:rsid w:val="00754983"/>
    <w:rsid w:val="0076179E"/>
    <w:rsid w:val="007623B9"/>
    <w:rsid w:val="007634AD"/>
    <w:rsid w:val="007635F4"/>
    <w:rsid w:val="00763C85"/>
    <w:rsid w:val="00763C9A"/>
    <w:rsid w:val="00764090"/>
    <w:rsid w:val="007651D0"/>
    <w:rsid w:val="00766668"/>
    <w:rsid w:val="00766E80"/>
    <w:rsid w:val="007715C9"/>
    <w:rsid w:val="00774EDD"/>
    <w:rsid w:val="007757EC"/>
    <w:rsid w:val="0077761E"/>
    <w:rsid w:val="00783839"/>
    <w:rsid w:val="007854B0"/>
    <w:rsid w:val="00786941"/>
    <w:rsid w:val="00787290"/>
    <w:rsid w:val="00787387"/>
    <w:rsid w:val="00790E36"/>
    <w:rsid w:val="0079379B"/>
    <w:rsid w:val="007953E0"/>
    <w:rsid w:val="00795605"/>
    <w:rsid w:val="00796554"/>
    <w:rsid w:val="007A0F9B"/>
    <w:rsid w:val="007A12EC"/>
    <w:rsid w:val="007A1E8B"/>
    <w:rsid w:val="007A339B"/>
    <w:rsid w:val="007A3951"/>
    <w:rsid w:val="007A3C5E"/>
    <w:rsid w:val="007A4065"/>
    <w:rsid w:val="007A6863"/>
    <w:rsid w:val="007A7ABE"/>
    <w:rsid w:val="007B03B8"/>
    <w:rsid w:val="007B1729"/>
    <w:rsid w:val="007B24B2"/>
    <w:rsid w:val="007B431C"/>
    <w:rsid w:val="007B4C09"/>
    <w:rsid w:val="007B5005"/>
    <w:rsid w:val="007B75CF"/>
    <w:rsid w:val="007C090F"/>
    <w:rsid w:val="007C0C50"/>
    <w:rsid w:val="007C1C1E"/>
    <w:rsid w:val="007C2126"/>
    <w:rsid w:val="007C23BB"/>
    <w:rsid w:val="007C2B56"/>
    <w:rsid w:val="007C361A"/>
    <w:rsid w:val="007C4492"/>
    <w:rsid w:val="007C78B4"/>
    <w:rsid w:val="007D17C1"/>
    <w:rsid w:val="007D1C90"/>
    <w:rsid w:val="007D1EA1"/>
    <w:rsid w:val="007D2828"/>
    <w:rsid w:val="007D2DCA"/>
    <w:rsid w:val="007D3C84"/>
    <w:rsid w:val="007D45DF"/>
    <w:rsid w:val="007D5CAD"/>
    <w:rsid w:val="007E0896"/>
    <w:rsid w:val="007E32B6"/>
    <w:rsid w:val="007E37F6"/>
    <w:rsid w:val="007E410D"/>
    <w:rsid w:val="007E424A"/>
    <w:rsid w:val="007E486B"/>
    <w:rsid w:val="007E5524"/>
    <w:rsid w:val="007E5F87"/>
    <w:rsid w:val="007E7CC1"/>
    <w:rsid w:val="007E7D4A"/>
    <w:rsid w:val="007F0052"/>
    <w:rsid w:val="007F48ED"/>
    <w:rsid w:val="007F5E3F"/>
    <w:rsid w:val="007F7196"/>
    <w:rsid w:val="00801A55"/>
    <w:rsid w:val="00802965"/>
    <w:rsid w:val="00802DDF"/>
    <w:rsid w:val="00803066"/>
    <w:rsid w:val="008051F9"/>
    <w:rsid w:val="0081032A"/>
    <w:rsid w:val="00810870"/>
    <w:rsid w:val="00811AFF"/>
    <w:rsid w:val="00812A04"/>
    <w:rsid w:val="00812F45"/>
    <w:rsid w:val="00814B51"/>
    <w:rsid w:val="00815199"/>
    <w:rsid w:val="00816278"/>
    <w:rsid w:val="00816C7D"/>
    <w:rsid w:val="00821771"/>
    <w:rsid w:val="0082229B"/>
    <w:rsid w:val="00823462"/>
    <w:rsid w:val="00823AA8"/>
    <w:rsid w:val="00824B1D"/>
    <w:rsid w:val="00824DBE"/>
    <w:rsid w:val="00826C9D"/>
    <w:rsid w:val="0082732B"/>
    <w:rsid w:val="00827A17"/>
    <w:rsid w:val="0083044C"/>
    <w:rsid w:val="0083146E"/>
    <w:rsid w:val="00831B31"/>
    <w:rsid w:val="008325A1"/>
    <w:rsid w:val="00833644"/>
    <w:rsid w:val="0083428A"/>
    <w:rsid w:val="008369F8"/>
    <w:rsid w:val="00836FE9"/>
    <w:rsid w:val="008371AC"/>
    <w:rsid w:val="0083777D"/>
    <w:rsid w:val="00840172"/>
    <w:rsid w:val="00840318"/>
    <w:rsid w:val="0084172C"/>
    <w:rsid w:val="00841A43"/>
    <w:rsid w:val="0084313F"/>
    <w:rsid w:val="0084319D"/>
    <w:rsid w:val="008431C7"/>
    <w:rsid w:val="00850223"/>
    <w:rsid w:val="008515C0"/>
    <w:rsid w:val="0085175E"/>
    <w:rsid w:val="00852458"/>
    <w:rsid w:val="00853FAE"/>
    <w:rsid w:val="00856813"/>
    <w:rsid w:val="00856A31"/>
    <w:rsid w:val="00860E49"/>
    <w:rsid w:val="008619AC"/>
    <w:rsid w:val="00864D7B"/>
    <w:rsid w:val="00865BB5"/>
    <w:rsid w:val="00872B3E"/>
    <w:rsid w:val="008732F9"/>
    <w:rsid w:val="008736B4"/>
    <w:rsid w:val="00873D9D"/>
    <w:rsid w:val="0087425E"/>
    <w:rsid w:val="008754D0"/>
    <w:rsid w:val="00875547"/>
    <w:rsid w:val="008757FC"/>
    <w:rsid w:val="00877C69"/>
    <w:rsid w:val="00877D48"/>
    <w:rsid w:val="008807FD"/>
    <w:rsid w:val="008811C0"/>
    <w:rsid w:val="0088345B"/>
    <w:rsid w:val="008842E6"/>
    <w:rsid w:val="00884999"/>
    <w:rsid w:val="0088542F"/>
    <w:rsid w:val="00891D35"/>
    <w:rsid w:val="00892C4D"/>
    <w:rsid w:val="00893BA3"/>
    <w:rsid w:val="008A058C"/>
    <w:rsid w:val="008A16A5"/>
    <w:rsid w:val="008A203D"/>
    <w:rsid w:val="008A4797"/>
    <w:rsid w:val="008A5C57"/>
    <w:rsid w:val="008B14F2"/>
    <w:rsid w:val="008B1546"/>
    <w:rsid w:val="008B3FEC"/>
    <w:rsid w:val="008B57A4"/>
    <w:rsid w:val="008B5B21"/>
    <w:rsid w:val="008B6C85"/>
    <w:rsid w:val="008B6EBA"/>
    <w:rsid w:val="008C0629"/>
    <w:rsid w:val="008C225C"/>
    <w:rsid w:val="008C44AF"/>
    <w:rsid w:val="008C5E3B"/>
    <w:rsid w:val="008D0EE0"/>
    <w:rsid w:val="008D200E"/>
    <w:rsid w:val="008D42EB"/>
    <w:rsid w:val="008D76A3"/>
    <w:rsid w:val="008D7A27"/>
    <w:rsid w:val="008E31A5"/>
    <w:rsid w:val="008E4702"/>
    <w:rsid w:val="008E69AA"/>
    <w:rsid w:val="008E7333"/>
    <w:rsid w:val="008E79DC"/>
    <w:rsid w:val="008F19D9"/>
    <w:rsid w:val="008F2824"/>
    <w:rsid w:val="008F2F59"/>
    <w:rsid w:val="008F4F1C"/>
    <w:rsid w:val="008F6225"/>
    <w:rsid w:val="008F6E5E"/>
    <w:rsid w:val="008F728D"/>
    <w:rsid w:val="009004CB"/>
    <w:rsid w:val="00901000"/>
    <w:rsid w:val="0090219B"/>
    <w:rsid w:val="00902DE5"/>
    <w:rsid w:val="009053AC"/>
    <w:rsid w:val="009063CB"/>
    <w:rsid w:val="009069AD"/>
    <w:rsid w:val="00907CDE"/>
    <w:rsid w:val="00910232"/>
    <w:rsid w:val="009105B6"/>
    <w:rsid w:val="00910E64"/>
    <w:rsid w:val="009137CA"/>
    <w:rsid w:val="00914C78"/>
    <w:rsid w:val="0091692D"/>
    <w:rsid w:val="00916E99"/>
    <w:rsid w:val="00917BEE"/>
    <w:rsid w:val="00920FC9"/>
    <w:rsid w:val="00921F33"/>
    <w:rsid w:val="00922764"/>
    <w:rsid w:val="00922B4D"/>
    <w:rsid w:val="009251F6"/>
    <w:rsid w:val="009257BB"/>
    <w:rsid w:val="009258DE"/>
    <w:rsid w:val="009278C1"/>
    <w:rsid w:val="0093032B"/>
    <w:rsid w:val="00931443"/>
    <w:rsid w:val="009321A5"/>
    <w:rsid w:val="00932377"/>
    <w:rsid w:val="00932905"/>
    <w:rsid w:val="00932C4D"/>
    <w:rsid w:val="009346E3"/>
    <w:rsid w:val="0093704C"/>
    <w:rsid w:val="00940B1B"/>
    <w:rsid w:val="00941C0E"/>
    <w:rsid w:val="009422C1"/>
    <w:rsid w:val="0094523D"/>
    <w:rsid w:val="00945E27"/>
    <w:rsid w:val="00946A70"/>
    <w:rsid w:val="00947715"/>
    <w:rsid w:val="009501E5"/>
    <w:rsid w:val="00950BD1"/>
    <w:rsid w:val="00951A7D"/>
    <w:rsid w:val="00952072"/>
    <w:rsid w:val="00952849"/>
    <w:rsid w:val="00953781"/>
    <w:rsid w:val="00953F33"/>
    <w:rsid w:val="00956076"/>
    <w:rsid w:val="009603B1"/>
    <w:rsid w:val="0096208C"/>
    <w:rsid w:val="0096350A"/>
    <w:rsid w:val="009657C2"/>
    <w:rsid w:val="0097216D"/>
    <w:rsid w:val="00972735"/>
    <w:rsid w:val="009735CE"/>
    <w:rsid w:val="009740E2"/>
    <w:rsid w:val="00974349"/>
    <w:rsid w:val="00975F86"/>
    <w:rsid w:val="00976170"/>
    <w:rsid w:val="00976A63"/>
    <w:rsid w:val="009807D1"/>
    <w:rsid w:val="00983F09"/>
    <w:rsid w:val="0098490F"/>
    <w:rsid w:val="00985A48"/>
    <w:rsid w:val="00986101"/>
    <w:rsid w:val="00987180"/>
    <w:rsid w:val="00987D0D"/>
    <w:rsid w:val="0099010F"/>
    <w:rsid w:val="00993E55"/>
    <w:rsid w:val="0099667B"/>
    <w:rsid w:val="009A1B56"/>
    <w:rsid w:val="009A4155"/>
    <w:rsid w:val="009A4967"/>
    <w:rsid w:val="009A5F14"/>
    <w:rsid w:val="009A6D94"/>
    <w:rsid w:val="009A7A47"/>
    <w:rsid w:val="009B0106"/>
    <w:rsid w:val="009B2490"/>
    <w:rsid w:val="009B303A"/>
    <w:rsid w:val="009B50E5"/>
    <w:rsid w:val="009B5C1A"/>
    <w:rsid w:val="009B6C28"/>
    <w:rsid w:val="009C3431"/>
    <w:rsid w:val="009C3F6F"/>
    <w:rsid w:val="009C5989"/>
    <w:rsid w:val="009C6A32"/>
    <w:rsid w:val="009D08DA"/>
    <w:rsid w:val="009D0C63"/>
    <w:rsid w:val="009D26A8"/>
    <w:rsid w:val="009D5483"/>
    <w:rsid w:val="009E094B"/>
    <w:rsid w:val="009E11DB"/>
    <w:rsid w:val="009E20DD"/>
    <w:rsid w:val="009E3B4A"/>
    <w:rsid w:val="009E3BBD"/>
    <w:rsid w:val="009E40D2"/>
    <w:rsid w:val="009E4938"/>
    <w:rsid w:val="009E6B9B"/>
    <w:rsid w:val="009E6C43"/>
    <w:rsid w:val="009F184F"/>
    <w:rsid w:val="009F29F8"/>
    <w:rsid w:val="00A0350E"/>
    <w:rsid w:val="00A06860"/>
    <w:rsid w:val="00A06E91"/>
    <w:rsid w:val="00A116D0"/>
    <w:rsid w:val="00A11EB8"/>
    <w:rsid w:val="00A131D3"/>
    <w:rsid w:val="00A136F5"/>
    <w:rsid w:val="00A13A46"/>
    <w:rsid w:val="00A14956"/>
    <w:rsid w:val="00A15B6F"/>
    <w:rsid w:val="00A15F41"/>
    <w:rsid w:val="00A16CB9"/>
    <w:rsid w:val="00A1754C"/>
    <w:rsid w:val="00A20C4F"/>
    <w:rsid w:val="00A21030"/>
    <w:rsid w:val="00A210F1"/>
    <w:rsid w:val="00A231E2"/>
    <w:rsid w:val="00A23521"/>
    <w:rsid w:val="00A2550D"/>
    <w:rsid w:val="00A25FFF"/>
    <w:rsid w:val="00A27264"/>
    <w:rsid w:val="00A27C61"/>
    <w:rsid w:val="00A30558"/>
    <w:rsid w:val="00A30A41"/>
    <w:rsid w:val="00A3271F"/>
    <w:rsid w:val="00A34067"/>
    <w:rsid w:val="00A379BB"/>
    <w:rsid w:val="00A4169B"/>
    <w:rsid w:val="00A43EE7"/>
    <w:rsid w:val="00A4530B"/>
    <w:rsid w:val="00A462D3"/>
    <w:rsid w:val="00A50D55"/>
    <w:rsid w:val="00A52BE1"/>
    <w:rsid w:val="00A52FDA"/>
    <w:rsid w:val="00A536E1"/>
    <w:rsid w:val="00A563FA"/>
    <w:rsid w:val="00A57F32"/>
    <w:rsid w:val="00A60204"/>
    <w:rsid w:val="00A61633"/>
    <w:rsid w:val="00A647D3"/>
    <w:rsid w:val="00A64912"/>
    <w:rsid w:val="00A64A9A"/>
    <w:rsid w:val="00A70A74"/>
    <w:rsid w:val="00A70E2F"/>
    <w:rsid w:val="00A720D6"/>
    <w:rsid w:val="00A75F85"/>
    <w:rsid w:val="00A7743E"/>
    <w:rsid w:val="00A775DB"/>
    <w:rsid w:val="00A82161"/>
    <w:rsid w:val="00A9231A"/>
    <w:rsid w:val="00A924D3"/>
    <w:rsid w:val="00A95BC7"/>
    <w:rsid w:val="00A96105"/>
    <w:rsid w:val="00AA0343"/>
    <w:rsid w:val="00AA2140"/>
    <w:rsid w:val="00AA2E53"/>
    <w:rsid w:val="00AA5F08"/>
    <w:rsid w:val="00AA78CE"/>
    <w:rsid w:val="00AA7B26"/>
    <w:rsid w:val="00AB0CEA"/>
    <w:rsid w:val="00AB1D16"/>
    <w:rsid w:val="00AB20E6"/>
    <w:rsid w:val="00AC0EBC"/>
    <w:rsid w:val="00AC3CA6"/>
    <w:rsid w:val="00AC5314"/>
    <w:rsid w:val="00AC767C"/>
    <w:rsid w:val="00AD2FBE"/>
    <w:rsid w:val="00AD30FE"/>
    <w:rsid w:val="00AD3467"/>
    <w:rsid w:val="00AD5641"/>
    <w:rsid w:val="00AD5E7D"/>
    <w:rsid w:val="00AE038A"/>
    <w:rsid w:val="00AE35E0"/>
    <w:rsid w:val="00AE4C85"/>
    <w:rsid w:val="00AE52F0"/>
    <w:rsid w:val="00AE7DF0"/>
    <w:rsid w:val="00AF1708"/>
    <w:rsid w:val="00AF2058"/>
    <w:rsid w:val="00AF220C"/>
    <w:rsid w:val="00AF33DB"/>
    <w:rsid w:val="00AF484A"/>
    <w:rsid w:val="00AF56E9"/>
    <w:rsid w:val="00AF7850"/>
    <w:rsid w:val="00B0029E"/>
    <w:rsid w:val="00B013D7"/>
    <w:rsid w:val="00B01F71"/>
    <w:rsid w:val="00B032D8"/>
    <w:rsid w:val="00B0404A"/>
    <w:rsid w:val="00B0428A"/>
    <w:rsid w:val="00B0436A"/>
    <w:rsid w:val="00B05D72"/>
    <w:rsid w:val="00B0688D"/>
    <w:rsid w:val="00B07AF7"/>
    <w:rsid w:val="00B1726B"/>
    <w:rsid w:val="00B20990"/>
    <w:rsid w:val="00B21349"/>
    <w:rsid w:val="00B22C7B"/>
    <w:rsid w:val="00B22EB2"/>
    <w:rsid w:val="00B23790"/>
    <w:rsid w:val="00B23FAF"/>
    <w:rsid w:val="00B25255"/>
    <w:rsid w:val="00B278C0"/>
    <w:rsid w:val="00B27B98"/>
    <w:rsid w:val="00B31C7E"/>
    <w:rsid w:val="00B323CC"/>
    <w:rsid w:val="00B33B3C"/>
    <w:rsid w:val="00B35E44"/>
    <w:rsid w:val="00B36E0F"/>
    <w:rsid w:val="00B40D74"/>
    <w:rsid w:val="00B42129"/>
    <w:rsid w:val="00B425E4"/>
    <w:rsid w:val="00B42649"/>
    <w:rsid w:val="00B434AD"/>
    <w:rsid w:val="00B43C9C"/>
    <w:rsid w:val="00B4467E"/>
    <w:rsid w:val="00B46467"/>
    <w:rsid w:val="00B5264A"/>
    <w:rsid w:val="00B52663"/>
    <w:rsid w:val="00B54516"/>
    <w:rsid w:val="00B54BFC"/>
    <w:rsid w:val="00B55DB7"/>
    <w:rsid w:val="00B56DCB"/>
    <w:rsid w:val="00B57495"/>
    <w:rsid w:val="00B6001C"/>
    <w:rsid w:val="00B611E6"/>
    <w:rsid w:val="00B61728"/>
    <w:rsid w:val="00B61923"/>
    <w:rsid w:val="00B61ABF"/>
    <w:rsid w:val="00B623D3"/>
    <w:rsid w:val="00B63C57"/>
    <w:rsid w:val="00B64F5D"/>
    <w:rsid w:val="00B66109"/>
    <w:rsid w:val="00B6620B"/>
    <w:rsid w:val="00B66AF8"/>
    <w:rsid w:val="00B6779E"/>
    <w:rsid w:val="00B76A45"/>
    <w:rsid w:val="00B770D2"/>
    <w:rsid w:val="00B81324"/>
    <w:rsid w:val="00B820F9"/>
    <w:rsid w:val="00B83233"/>
    <w:rsid w:val="00B84519"/>
    <w:rsid w:val="00B855F5"/>
    <w:rsid w:val="00B869E8"/>
    <w:rsid w:val="00B915AB"/>
    <w:rsid w:val="00B918F4"/>
    <w:rsid w:val="00B923D9"/>
    <w:rsid w:val="00B92886"/>
    <w:rsid w:val="00B93516"/>
    <w:rsid w:val="00B9445D"/>
    <w:rsid w:val="00B95C30"/>
    <w:rsid w:val="00B96776"/>
    <w:rsid w:val="00B973E5"/>
    <w:rsid w:val="00BA2CAA"/>
    <w:rsid w:val="00BA47A3"/>
    <w:rsid w:val="00BA499A"/>
    <w:rsid w:val="00BA5026"/>
    <w:rsid w:val="00BA71D8"/>
    <w:rsid w:val="00BA7B5B"/>
    <w:rsid w:val="00BB02F3"/>
    <w:rsid w:val="00BB19C2"/>
    <w:rsid w:val="00BB4748"/>
    <w:rsid w:val="00BB5D3E"/>
    <w:rsid w:val="00BB67B5"/>
    <w:rsid w:val="00BB693B"/>
    <w:rsid w:val="00BB6E79"/>
    <w:rsid w:val="00BC1B20"/>
    <w:rsid w:val="00BC1E65"/>
    <w:rsid w:val="00BC2354"/>
    <w:rsid w:val="00BC23E7"/>
    <w:rsid w:val="00BC4D73"/>
    <w:rsid w:val="00BC5115"/>
    <w:rsid w:val="00BC633C"/>
    <w:rsid w:val="00BC6542"/>
    <w:rsid w:val="00BC671A"/>
    <w:rsid w:val="00BC68A4"/>
    <w:rsid w:val="00BC6EB9"/>
    <w:rsid w:val="00BC7363"/>
    <w:rsid w:val="00BD1342"/>
    <w:rsid w:val="00BD1A99"/>
    <w:rsid w:val="00BD26A6"/>
    <w:rsid w:val="00BD6608"/>
    <w:rsid w:val="00BE0741"/>
    <w:rsid w:val="00BE2071"/>
    <w:rsid w:val="00BE3676"/>
    <w:rsid w:val="00BE42C5"/>
    <w:rsid w:val="00BE5CE0"/>
    <w:rsid w:val="00BE66DA"/>
    <w:rsid w:val="00BE717C"/>
    <w:rsid w:val="00BE719A"/>
    <w:rsid w:val="00BE720A"/>
    <w:rsid w:val="00BF0723"/>
    <w:rsid w:val="00BF1B21"/>
    <w:rsid w:val="00BF1B8F"/>
    <w:rsid w:val="00BF1FC9"/>
    <w:rsid w:val="00BF41CA"/>
    <w:rsid w:val="00BF43EA"/>
    <w:rsid w:val="00BF4DBB"/>
    <w:rsid w:val="00BF51D3"/>
    <w:rsid w:val="00BF648E"/>
    <w:rsid w:val="00BF6650"/>
    <w:rsid w:val="00C02092"/>
    <w:rsid w:val="00C0679F"/>
    <w:rsid w:val="00C067E5"/>
    <w:rsid w:val="00C06F6E"/>
    <w:rsid w:val="00C100DA"/>
    <w:rsid w:val="00C1098A"/>
    <w:rsid w:val="00C11168"/>
    <w:rsid w:val="00C1163A"/>
    <w:rsid w:val="00C12239"/>
    <w:rsid w:val="00C13B8E"/>
    <w:rsid w:val="00C15E1E"/>
    <w:rsid w:val="00C164CA"/>
    <w:rsid w:val="00C16970"/>
    <w:rsid w:val="00C21A91"/>
    <w:rsid w:val="00C22210"/>
    <w:rsid w:val="00C228EB"/>
    <w:rsid w:val="00C241B5"/>
    <w:rsid w:val="00C24AAE"/>
    <w:rsid w:val="00C24E08"/>
    <w:rsid w:val="00C25D5F"/>
    <w:rsid w:val="00C26051"/>
    <w:rsid w:val="00C26568"/>
    <w:rsid w:val="00C2723A"/>
    <w:rsid w:val="00C3130A"/>
    <w:rsid w:val="00C3377B"/>
    <w:rsid w:val="00C374C8"/>
    <w:rsid w:val="00C42BF8"/>
    <w:rsid w:val="00C445CF"/>
    <w:rsid w:val="00C460AE"/>
    <w:rsid w:val="00C4631D"/>
    <w:rsid w:val="00C46612"/>
    <w:rsid w:val="00C50043"/>
    <w:rsid w:val="00C5015F"/>
    <w:rsid w:val="00C50A0F"/>
    <w:rsid w:val="00C50F4A"/>
    <w:rsid w:val="00C5145A"/>
    <w:rsid w:val="00C51C7C"/>
    <w:rsid w:val="00C5227B"/>
    <w:rsid w:val="00C52915"/>
    <w:rsid w:val="00C5391F"/>
    <w:rsid w:val="00C53D60"/>
    <w:rsid w:val="00C57FE1"/>
    <w:rsid w:val="00C60B3E"/>
    <w:rsid w:val="00C620A9"/>
    <w:rsid w:val="00C62233"/>
    <w:rsid w:val="00C66F49"/>
    <w:rsid w:val="00C67E13"/>
    <w:rsid w:val="00C72D10"/>
    <w:rsid w:val="00C73863"/>
    <w:rsid w:val="00C753A0"/>
    <w:rsid w:val="00C7573B"/>
    <w:rsid w:val="00C76CF3"/>
    <w:rsid w:val="00C82594"/>
    <w:rsid w:val="00C82BD7"/>
    <w:rsid w:val="00C835A2"/>
    <w:rsid w:val="00C8398D"/>
    <w:rsid w:val="00C8413E"/>
    <w:rsid w:val="00C90460"/>
    <w:rsid w:val="00C90B0A"/>
    <w:rsid w:val="00C92551"/>
    <w:rsid w:val="00C927CA"/>
    <w:rsid w:val="00C92E4D"/>
    <w:rsid w:val="00C93205"/>
    <w:rsid w:val="00C945DC"/>
    <w:rsid w:val="00C9689E"/>
    <w:rsid w:val="00C97208"/>
    <w:rsid w:val="00C972D9"/>
    <w:rsid w:val="00CA1EFD"/>
    <w:rsid w:val="00CA3724"/>
    <w:rsid w:val="00CA7844"/>
    <w:rsid w:val="00CB5527"/>
    <w:rsid w:val="00CB55CD"/>
    <w:rsid w:val="00CB58EF"/>
    <w:rsid w:val="00CB59EF"/>
    <w:rsid w:val="00CC0868"/>
    <w:rsid w:val="00CC308E"/>
    <w:rsid w:val="00CC52C2"/>
    <w:rsid w:val="00CC7579"/>
    <w:rsid w:val="00CD028A"/>
    <w:rsid w:val="00CD21A5"/>
    <w:rsid w:val="00CD22AE"/>
    <w:rsid w:val="00CD419F"/>
    <w:rsid w:val="00CD42CA"/>
    <w:rsid w:val="00CD62FD"/>
    <w:rsid w:val="00CD700B"/>
    <w:rsid w:val="00CD70DB"/>
    <w:rsid w:val="00CE0A93"/>
    <w:rsid w:val="00CE37A4"/>
    <w:rsid w:val="00CE504D"/>
    <w:rsid w:val="00CE5922"/>
    <w:rsid w:val="00CF0BB2"/>
    <w:rsid w:val="00CF0F84"/>
    <w:rsid w:val="00CF1DF3"/>
    <w:rsid w:val="00CF2648"/>
    <w:rsid w:val="00CF3C0D"/>
    <w:rsid w:val="00CF3D08"/>
    <w:rsid w:val="00CF4753"/>
    <w:rsid w:val="00CF5BB7"/>
    <w:rsid w:val="00D0279E"/>
    <w:rsid w:val="00D031F7"/>
    <w:rsid w:val="00D044F0"/>
    <w:rsid w:val="00D0464A"/>
    <w:rsid w:val="00D05B72"/>
    <w:rsid w:val="00D12AAF"/>
    <w:rsid w:val="00D12B0D"/>
    <w:rsid w:val="00D13441"/>
    <w:rsid w:val="00D148FF"/>
    <w:rsid w:val="00D151B2"/>
    <w:rsid w:val="00D20601"/>
    <w:rsid w:val="00D243A3"/>
    <w:rsid w:val="00D249AD"/>
    <w:rsid w:val="00D30036"/>
    <w:rsid w:val="00D31065"/>
    <w:rsid w:val="00D32338"/>
    <w:rsid w:val="00D33440"/>
    <w:rsid w:val="00D3652D"/>
    <w:rsid w:val="00D37E44"/>
    <w:rsid w:val="00D413D4"/>
    <w:rsid w:val="00D422D7"/>
    <w:rsid w:val="00D42CB2"/>
    <w:rsid w:val="00D47E32"/>
    <w:rsid w:val="00D50439"/>
    <w:rsid w:val="00D50758"/>
    <w:rsid w:val="00D52EFE"/>
    <w:rsid w:val="00D55B45"/>
    <w:rsid w:val="00D55D8F"/>
    <w:rsid w:val="00D569D7"/>
    <w:rsid w:val="00D56A0D"/>
    <w:rsid w:val="00D56F5C"/>
    <w:rsid w:val="00D61D5B"/>
    <w:rsid w:val="00D63EF6"/>
    <w:rsid w:val="00D65B12"/>
    <w:rsid w:val="00D65B33"/>
    <w:rsid w:val="00D66518"/>
    <w:rsid w:val="00D67C63"/>
    <w:rsid w:val="00D67DD0"/>
    <w:rsid w:val="00D67FE1"/>
    <w:rsid w:val="00D7010F"/>
    <w:rsid w:val="00D706F8"/>
    <w:rsid w:val="00D70DFB"/>
    <w:rsid w:val="00D71EEA"/>
    <w:rsid w:val="00D71FFE"/>
    <w:rsid w:val="00D735CD"/>
    <w:rsid w:val="00D73CAE"/>
    <w:rsid w:val="00D766DF"/>
    <w:rsid w:val="00D76C06"/>
    <w:rsid w:val="00D773C9"/>
    <w:rsid w:val="00D77CB4"/>
    <w:rsid w:val="00D805A9"/>
    <w:rsid w:val="00D80D98"/>
    <w:rsid w:val="00D81A9E"/>
    <w:rsid w:val="00D8294B"/>
    <w:rsid w:val="00D82FB5"/>
    <w:rsid w:val="00D84740"/>
    <w:rsid w:val="00D851BE"/>
    <w:rsid w:val="00D8592C"/>
    <w:rsid w:val="00D8792D"/>
    <w:rsid w:val="00D87E88"/>
    <w:rsid w:val="00D90114"/>
    <w:rsid w:val="00D90841"/>
    <w:rsid w:val="00D92420"/>
    <w:rsid w:val="00D92FCC"/>
    <w:rsid w:val="00D938AD"/>
    <w:rsid w:val="00D93F19"/>
    <w:rsid w:val="00D96416"/>
    <w:rsid w:val="00D96DA6"/>
    <w:rsid w:val="00D970A9"/>
    <w:rsid w:val="00D97672"/>
    <w:rsid w:val="00D97739"/>
    <w:rsid w:val="00D97945"/>
    <w:rsid w:val="00D97C3D"/>
    <w:rsid w:val="00DA1C79"/>
    <w:rsid w:val="00DA2242"/>
    <w:rsid w:val="00DA2439"/>
    <w:rsid w:val="00DA422E"/>
    <w:rsid w:val="00DA621E"/>
    <w:rsid w:val="00DA6336"/>
    <w:rsid w:val="00DA6F05"/>
    <w:rsid w:val="00DB1455"/>
    <w:rsid w:val="00DB3C8C"/>
    <w:rsid w:val="00DB3CB0"/>
    <w:rsid w:val="00DB5C4F"/>
    <w:rsid w:val="00DB64FC"/>
    <w:rsid w:val="00DB715F"/>
    <w:rsid w:val="00DB7372"/>
    <w:rsid w:val="00DB73EE"/>
    <w:rsid w:val="00DC154A"/>
    <w:rsid w:val="00DC21F5"/>
    <w:rsid w:val="00DC28C1"/>
    <w:rsid w:val="00DC2B1D"/>
    <w:rsid w:val="00DC2DF1"/>
    <w:rsid w:val="00DC395A"/>
    <w:rsid w:val="00DC7075"/>
    <w:rsid w:val="00DC77A7"/>
    <w:rsid w:val="00DD133B"/>
    <w:rsid w:val="00DD15A0"/>
    <w:rsid w:val="00DD1A64"/>
    <w:rsid w:val="00DD2C62"/>
    <w:rsid w:val="00DD306C"/>
    <w:rsid w:val="00DD3E1A"/>
    <w:rsid w:val="00DD755E"/>
    <w:rsid w:val="00DD7F1B"/>
    <w:rsid w:val="00DE149E"/>
    <w:rsid w:val="00DE1823"/>
    <w:rsid w:val="00DE30C5"/>
    <w:rsid w:val="00DE608A"/>
    <w:rsid w:val="00DF28DB"/>
    <w:rsid w:val="00DF5568"/>
    <w:rsid w:val="00DF5CD1"/>
    <w:rsid w:val="00E00F83"/>
    <w:rsid w:val="00E02E85"/>
    <w:rsid w:val="00E03002"/>
    <w:rsid w:val="00E031FD"/>
    <w:rsid w:val="00E034DB"/>
    <w:rsid w:val="00E037E8"/>
    <w:rsid w:val="00E05704"/>
    <w:rsid w:val="00E07FCF"/>
    <w:rsid w:val="00E12F1A"/>
    <w:rsid w:val="00E14A32"/>
    <w:rsid w:val="00E1784E"/>
    <w:rsid w:val="00E17A46"/>
    <w:rsid w:val="00E20BFB"/>
    <w:rsid w:val="00E22935"/>
    <w:rsid w:val="00E232A1"/>
    <w:rsid w:val="00E2526D"/>
    <w:rsid w:val="00E255D0"/>
    <w:rsid w:val="00E31513"/>
    <w:rsid w:val="00E322CA"/>
    <w:rsid w:val="00E32692"/>
    <w:rsid w:val="00E33518"/>
    <w:rsid w:val="00E402A7"/>
    <w:rsid w:val="00E434C3"/>
    <w:rsid w:val="00E43E04"/>
    <w:rsid w:val="00E43E75"/>
    <w:rsid w:val="00E467E2"/>
    <w:rsid w:val="00E47389"/>
    <w:rsid w:val="00E54292"/>
    <w:rsid w:val="00E55723"/>
    <w:rsid w:val="00E569D4"/>
    <w:rsid w:val="00E60191"/>
    <w:rsid w:val="00E612E4"/>
    <w:rsid w:val="00E61C7C"/>
    <w:rsid w:val="00E62714"/>
    <w:rsid w:val="00E62AAD"/>
    <w:rsid w:val="00E63428"/>
    <w:rsid w:val="00E63E8A"/>
    <w:rsid w:val="00E65EC8"/>
    <w:rsid w:val="00E67B0E"/>
    <w:rsid w:val="00E7018E"/>
    <w:rsid w:val="00E71B3F"/>
    <w:rsid w:val="00E736EE"/>
    <w:rsid w:val="00E74DC7"/>
    <w:rsid w:val="00E77976"/>
    <w:rsid w:val="00E82854"/>
    <w:rsid w:val="00E83954"/>
    <w:rsid w:val="00E8719E"/>
    <w:rsid w:val="00E87699"/>
    <w:rsid w:val="00E9040D"/>
    <w:rsid w:val="00E91941"/>
    <w:rsid w:val="00E92064"/>
    <w:rsid w:val="00E92E27"/>
    <w:rsid w:val="00E94180"/>
    <w:rsid w:val="00E94D3C"/>
    <w:rsid w:val="00E95377"/>
    <w:rsid w:val="00E9586B"/>
    <w:rsid w:val="00E95944"/>
    <w:rsid w:val="00E95B5D"/>
    <w:rsid w:val="00E965D2"/>
    <w:rsid w:val="00E97334"/>
    <w:rsid w:val="00E9768D"/>
    <w:rsid w:val="00EA1255"/>
    <w:rsid w:val="00EA3A16"/>
    <w:rsid w:val="00EA57A7"/>
    <w:rsid w:val="00EA7EF5"/>
    <w:rsid w:val="00EB1A99"/>
    <w:rsid w:val="00EB1E9B"/>
    <w:rsid w:val="00EB1FAD"/>
    <w:rsid w:val="00EB2081"/>
    <w:rsid w:val="00EB22EB"/>
    <w:rsid w:val="00EB2672"/>
    <w:rsid w:val="00EB3A99"/>
    <w:rsid w:val="00EB3D2E"/>
    <w:rsid w:val="00EB4E5A"/>
    <w:rsid w:val="00EB65F8"/>
    <w:rsid w:val="00EB7190"/>
    <w:rsid w:val="00EC0642"/>
    <w:rsid w:val="00EC2374"/>
    <w:rsid w:val="00EC2F06"/>
    <w:rsid w:val="00EC34A8"/>
    <w:rsid w:val="00EC473E"/>
    <w:rsid w:val="00EC4EB4"/>
    <w:rsid w:val="00EC62FA"/>
    <w:rsid w:val="00EC63B3"/>
    <w:rsid w:val="00EC6B22"/>
    <w:rsid w:val="00EC6EEE"/>
    <w:rsid w:val="00EC706D"/>
    <w:rsid w:val="00ED028A"/>
    <w:rsid w:val="00ED0B6F"/>
    <w:rsid w:val="00ED1139"/>
    <w:rsid w:val="00ED42BE"/>
    <w:rsid w:val="00ED4928"/>
    <w:rsid w:val="00ED511D"/>
    <w:rsid w:val="00ED65B4"/>
    <w:rsid w:val="00EE0AB2"/>
    <w:rsid w:val="00EE0B1C"/>
    <w:rsid w:val="00EE0D15"/>
    <w:rsid w:val="00EE1497"/>
    <w:rsid w:val="00EE3FFE"/>
    <w:rsid w:val="00EE57E8"/>
    <w:rsid w:val="00EE5F25"/>
    <w:rsid w:val="00EE6190"/>
    <w:rsid w:val="00EF0C6F"/>
    <w:rsid w:val="00EF1389"/>
    <w:rsid w:val="00EF19D1"/>
    <w:rsid w:val="00EF2C1C"/>
    <w:rsid w:val="00EF2E3A"/>
    <w:rsid w:val="00EF4728"/>
    <w:rsid w:val="00EF53AA"/>
    <w:rsid w:val="00EF607D"/>
    <w:rsid w:val="00EF6402"/>
    <w:rsid w:val="00F01A8A"/>
    <w:rsid w:val="00F02E7B"/>
    <w:rsid w:val="00F047E2"/>
    <w:rsid w:val="00F04D57"/>
    <w:rsid w:val="00F052E7"/>
    <w:rsid w:val="00F06EB6"/>
    <w:rsid w:val="00F078DC"/>
    <w:rsid w:val="00F07F76"/>
    <w:rsid w:val="00F10594"/>
    <w:rsid w:val="00F10715"/>
    <w:rsid w:val="00F1097B"/>
    <w:rsid w:val="00F10C0F"/>
    <w:rsid w:val="00F1112B"/>
    <w:rsid w:val="00F13E86"/>
    <w:rsid w:val="00F14D03"/>
    <w:rsid w:val="00F154CE"/>
    <w:rsid w:val="00F160C9"/>
    <w:rsid w:val="00F179A3"/>
    <w:rsid w:val="00F20B52"/>
    <w:rsid w:val="00F23AAD"/>
    <w:rsid w:val="00F24BC8"/>
    <w:rsid w:val="00F25C62"/>
    <w:rsid w:val="00F308D4"/>
    <w:rsid w:val="00F312AC"/>
    <w:rsid w:val="00F31396"/>
    <w:rsid w:val="00F313A3"/>
    <w:rsid w:val="00F32FCB"/>
    <w:rsid w:val="00F33523"/>
    <w:rsid w:val="00F35800"/>
    <w:rsid w:val="00F35DF9"/>
    <w:rsid w:val="00F35F5E"/>
    <w:rsid w:val="00F36D88"/>
    <w:rsid w:val="00F42E52"/>
    <w:rsid w:val="00F44B96"/>
    <w:rsid w:val="00F4557C"/>
    <w:rsid w:val="00F4636B"/>
    <w:rsid w:val="00F4667C"/>
    <w:rsid w:val="00F46868"/>
    <w:rsid w:val="00F508E5"/>
    <w:rsid w:val="00F50E87"/>
    <w:rsid w:val="00F50F16"/>
    <w:rsid w:val="00F5248F"/>
    <w:rsid w:val="00F55A9E"/>
    <w:rsid w:val="00F5647B"/>
    <w:rsid w:val="00F57E46"/>
    <w:rsid w:val="00F609A7"/>
    <w:rsid w:val="00F6653E"/>
    <w:rsid w:val="00F66926"/>
    <w:rsid w:val="00F66B07"/>
    <w:rsid w:val="00F677A9"/>
    <w:rsid w:val="00F701C8"/>
    <w:rsid w:val="00F702B2"/>
    <w:rsid w:val="00F70552"/>
    <w:rsid w:val="00F71D07"/>
    <w:rsid w:val="00F7219E"/>
    <w:rsid w:val="00F7320E"/>
    <w:rsid w:val="00F75EF1"/>
    <w:rsid w:val="00F7737C"/>
    <w:rsid w:val="00F8121C"/>
    <w:rsid w:val="00F81330"/>
    <w:rsid w:val="00F81CCD"/>
    <w:rsid w:val="00F82070"/>
    <w:rsid w:val="00F82D2F"/>
    <w:rsid w:val="00F83DD0"/>
    <w:rsid w:val="00F84CF5"/>
    <w:rsid w:val="00F8612E"/>
    <w:rsid w:val="00F8656C"/>
    <w:rsid w:val="00F867C6"/>
    <w:rsid w:val="00F86AA6"/>
    <w:rsid w:val="00F87163"/>
    <w:rsid w:val="00F9253E"/>
    <w:rsid w:val="00F92AF4"/>
    <w:rsid w:val="00F92FF7"/>
    <w:rsid w:val="00F9334A"/>
    <w:rsid w:val="00F94583"/>
    <w:rsid w:val="00F9501A"/>
    <w:rsid w:val="00F95CA6"/>
    <w:rsid w:val="00F96CE4"/>
    <w:rsid w:val="00FA420B"/>
    <w:rsid w:val="00FB0184"/>
    <w:rsid w:val="00FB2E63"/>
    <w:rsid w:val="00FB4773"/>
    <w:rsid w:val="00FB5EB8"/>
    <w:rsid w:val="00FB6AEE"/>
    <w:rsid w:val="00FB7B45"/>
    <w:rsid w:val="00FC1AB2"/>
    <w:rsid w:val="00FC1D02"/>
    <w:rsid w:val="00FC3C48"/>
    <w:rsid w:val="00FC3EAC"/>
    <w:rsid w:val="00FC5ADF"/>
    <w:rsid w:val="00FC660F"/>
    <w:rsid w:val="00FC6E9D"/>
    <w:rsid w:val="00FD0D9A"/>
    <w:rsid w:val="00FD1931"/>
    <w:rsid w:val="00FD37FB"/>
    <w:rsid w:val="00FD4E9D"/>
    <w:rsid w:val="00FE1C7F"/>
    <w:rsid w:val="00FE4703"/>
    <w:rsid w:val="00FE4DCE"/>
    <w:rsid w:val="00FE60EC"/>
    <w:rsid w:val="00FE6373"/>
    <w:rsid w:val="00FE64A0"/>
    <w:rsid w:val="00FE68E2"/>
    <w:rsid w:val="00FE7E12"/>
    <w:rsid w:val="00FF0D85"/>
    <w:rsid w:val="00FF27B0"/>
    <w:rsid w:val="00FF2A48"/>
    <w:rsid w:val="00FF3555"/>
    <w:rsid w:val="00FF35E3"/>
    <w:rsid w:val="00FF39DE"/>
    <w:rsid w:val="00FF51CC"/>
    <w:rsid w:val="00FF7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2B1D"/>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basedOn w:val="Normal"/>
    <w:link w:val="ListParagraphChar"/>
    <w:qFormat/>
    <w:rsid w:val="001A286A"/>
    <w:pPr>
      <w:spacing w:line="240" w:lineRule="auto"/>
      <w:ind w:left="720"/>
      <w:contextualSpacing/>
    </w:pPr>
    <w:rPr>
      <w:rFonts w:eastAsia="Times New Roman" w:cs="Times New Roman"/>
      <w:sz w:val="24"/>
      <w:szCs w:val="24"/>
    </w:rPr>
  </w:style>
  <w:style w:type="paragraph" w:customStyle="1" w:styleId="Amendment3">
    <w:name w:val="Amendment 3"/>
    <w:link w:val="Amendment3Char"/>
    <w:qFormat/>
    <w:rsid w:val="00DC2DF1"/>
    <w:pPr>
      <w:widowControl w:val="0"/>
      <w:spacing w:before="60" w:after="60" w:line="260" w:lineRule="exact"/>
      <w:outlineLvl w:val="2"/>
    </w:pPr>
    <w:rPr>
      <w:rFonts w:eastAsia="Times New Roman" w:cs="Times New Roman"/>
      <w:iCs/>
      <w:sz w:val="24"/>
      <w:szCs w:val="24"/>
      <w:lang w:eastAsia="en-AU"/>
    </w:rPr>
  </w:style>
  <w:style w:type="character" w:customStyle="1" w:styleId="Amendment3Char">
    <w:name w:val="Amendment 3 Char"/>
    <w:basedOn w:val="ListParagraphChar"/>
    <w:link w:val="Amendment3"/>
    <w:rsid w:val="00DC2DF1"/>
    <w:rPr>
      <w:rFonts w:eastAsia="Times New Roman" w:cs="Times New Roman"/>
      <w:iCs/>
      <w:sz w:val="24"/>
      <w:szCs w:val="24"/>
      <w:lang w:eastAsia="en-AU"/>
    </w:rPr>
  </w:style>
  <w:style w:type="character" w:customStyle="1" w:styleId="ListParagraphChar">
    <w:name w:val="List Paragraph Char"/>
    <w:basedOn w:val="DefaultParagraphFont"/>
    <w:link w:val="ListParagraph"/>
    <w:rsid w:val="001A286A"/>
    <w:rPr>
      <w:rFonts w:eastAsia="Times New Roman" w:cs="Times New Roman"/>
      <w:sz w:val="24"/>
      <w:szCs w:val="24"/>
    </w:rPr>
  </w:style>
  <w:style w:type="paragraph" w:customStyle="1" w:styleId="mps3-data">
    <w:name w:val="mps3-data"/>
    <w:basedOn w:val="Normal"/>
    <w:qFormat/>
    <w:rsid w:val="001A286A"/>
    <w:pPr>
      <w:spacing w:before="60" w:after="60" w:line="240" w:lineRule="auto"/>
    </w:pPr>
    <w:rPr>
      <w:rFonts w:ascii="Arial" w:eastAsia="Arial" w:hAnsi="Arial" w:cs="Arial"/>
      <w:sz w:val="16"/>
      <w:szCs w:val="22"/>
      <w:lang w:eastAsia="zh-CN"/>
    </w:rPr>
  </w:style>
  <w:style w:type="paragraph" w:customStyle="1" w:styleId="Amendment1">
    <w:name w:val="Amendment 1"/>
    <w:basedOn w:val="Normal"/>
    <w:link w:val="Amendment1Char"/>
    <w:qFormat/>
    <w:rsid w:val="00A60204"/>
    <w:pPr>
      <w:widowControl w:val="0"/>
      <w:tabs>
        <w:tab w:val="num" w:pos="794"/>
      </w:tabs>
      <w:spacing w:before="120" w:line="240" w:lineRule="auto"/>
      <w:ind w:left="794" w:hanging="794"/>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A60204"/>
    <w:pPr>
      <w:widowControl w:val="0"/>
      <w:spacing w:before="120" w:line="240" w:lineRule="auto"/>
      <w:ind w:left="794" w:hanging="794"/>
      <w:outlineLvl w:val="2"/>
    </w:pPr>
    <w:rPr>
      <w:rFonts w:eastAsia="Times New Roman" w:cs="Times New Roman"/>
      <w:iCs/>
      <w:sz w:val="20"/>
      <w:lang w:eastAsia="en-AU"/>
    </w:rPr>
  </w:style>
  <w:style w:type="character" w:customStyle="1" w:styleId="Amendment1Char">
    <w:name w:val="Amendment 1 Char"/>
    <w:basedOn w:val="DefaultParagraphFont"/>
    <w:link w:val="Amendment1"/>
    <w:rsid w:val="00A60204"/>
    <w:rPr>
      <w:rFonts w:ascii="Arial" w:eastAsia="Times New Roman" w:hAnsi="Arial" w:cs="Arial"/>
      <w:b/>
      <w:bCs/>
      <w:lang w:eastAsia="en-AU"/>
    </w:rPr>
  </w:style>
  <w:style w:type="character" w:customStyle="1" w:styleId="Amendment2Char">
    <w:name w:val="Amendment 2 Char"/>
    <w:basedOn w:val="DefaultParagraphFont"/>
    <w:link w:val="Amendment2"/>
    <w:rsid w:val="00A60204"/>
    <w:rPr>
      <w:rFonts w:eastAsia="Times New Roman" w:cs="Times New Roman"/>
      <w:iCs/>
      <w:lang w:eastAsia="en-AU"/>
    </w:rPr>
  </w:style>
  <w:style w:type="numbering" w:customStyle="1" w:styleId="AmendmentInstruction">
    <w:name w:val="Amendment Instruction"/>
    <w:basedOn w:val="NoList"/>
    <w:uiPriority w:val="99"/>
    <w:rsid w:val="00A60204"/>
    <w:pPr>
      <w:numPr>
        <w:numId w:val="5"/>
      </w:numPr>
    </w:pPr>
  </w:style>
  <w:style w:type="character" w:customStyle="1" w:styleId="TabletextChar">
    <w:name w:val="Tabletext Char"/>
    <w:aliases w:val="tt Char"/>
    <w:basedOn w:val="DefaultParagraphFont"/>
    <w:link w:val="Tabletext"/>
    <w:rsid w:val="00A60204"/>
    <w:rPr>
      <w:rFonts w:eastAsia="Times New Roman" w:cs="Times New Roman"/>
      <w:lang w:eastAsia="en-AU"/>
    </w:rPr>
  </w:style>
  <w:style w:type="character" w:customStyle="1" w:styleId="paragraphChar">
    <w:name w:val="paragraph Char"/>
    <w:aliases w:val="a Char"/>
    <w:link w:val="paragraph"/>
    <w:rsid w:val="00A60204"/>
    <w:rPr>
      <w:rFonts w:eastAsia="Times New Roman" w:cs="Times New Roman"/>
      <w:sz w:val="22"/>
      <w:lang w:eastAsia="en-AU"/>
    </w:rPr>
  </w:style>
  <w:style w:type="paragraph" w:customStyle="1" w:styleId="TableParagraph">
    <w:name w:val="Table Paragraph"/>
    <w:basedOn w:val="Normal"/>
    <w:uiPriority w:val="1"/>
    <w:qFormat/>
    <w:rsid w:val="00A60204"/>
    <w:pPr>
      <w:widowControl w:val="0"/>
      <w:autoSpaceDE w:val="0"/>
      <w:autoSpaceDN w:val="0"/>
      <w:spacing w:line="240" w:lineRule="auto"/>
      <w:ind w:left="26"/>
    </w:pPr>
    <w:rPr>
      <w:rFonts w:ascii="Arial" w:eastAsia="Arial" w:hAnsi="Arial" w:cs="Arial"/>
      <w:szCs w:val="22"/>
    </w:rPr>
  </w:style>
  <w:style w:type="character" w:styleId="CommentReference">
    <w:name w:val="annotation reference"/>
    <w:basedOn w:val="DefaultParagraphFont"/>
    <w:unhideWhenUsed/>
    <w:rsid w:val="00956076"/>
    <w:rPr>
      <w:sz w:val="16"/>
      <w:szCs w:val="16"/>
    </w:rPr>
  </w:style>
  <w:style w:type="paragraph" w:styleId="CommentText">
    <w:name w:val="annotation text"/>
    <w:basedOn w:val="Normal"/>
    <w:link w:val="CommentTextChar"/>
    <w:unhideWhenUsed/>
    <w:rsid w:val="00956076"/>
    <w:pPr>
      <w:spacing w:line="240" w:lineRule="auto"/>
    </w:pPr>
    <w:rPr>
      <w:sz w:val="20"/>
    </w:rPr>
  </w:style>
  <w:style w:type="character" w:customStyle="1" w:styleId="CommentTextChar">
    <w:name w:val="Comment Text Char"/>
    <w:basedOn w:val="DefaultParagraphFont"/>
    <w:link w:val="CommentText"/>
    <w:rsid w:val="00956076"/>
  </w:style>
  <w:style w:type="character" w:customStyle="1" w:styleId="amendmentkeyword">
    <w:name w:val="amendmentkeyword"/>
    <w:basedOn w:val="DefaultParagraphFont"/>
    <w:rsid w:val="009C3F6F"/>
  </w:style>
  <w:style w:type="paragraph" w:styleId="FootnoteText">
    <w:name w:val="footnote text"/>
    <w:basedOn w:val="Normal"/>
    <w:link w:val="FootnoteTextChar"/>
    <w:rsid w:val="00DC21F5"/>
    <w:rPr>
      <w:sz w:val="20"/>
    </w:rPr>
  </w:style>
  <w:style w:type="character" w:customStyle="1" w:styleId="FootnoteTextChar">
    <w:name w:val="Footnote Text Char"/>
    <w:basedOn w:val="DefaultParagraphFont"/>
    <w:link w:val="FootnoteText"/>
    <w:rsid w:val="00DC21F5"/>
  </w:style>
  <w:style w:type="character" w:customStyle="1" w:styleId="ActHead5Char">
    <w:name w:val="ActHead 5 Char"/>
    <w:aliases w:val="s Char"/>
    <w:link w:val="ActHead5"/>
    <w:locked/>
    <w:rsid w:val="0087425E"/>
    <w:rPr>
      <w:rFonts w:eastAsia="Times New Roman" w:cs="Times New Roman"/>
      <w:b/>
      <w:kern w:val="28"/>
      <w:sz w:val="24"/>
      <w:lang w:eastAsia="en-AU"/>
    </w:rPr>
  </w:style>
  <w:style w:type="paragraph" w:styleId="CommentSubject">
    <w:name w:val="annotation subject"/>
    <w:basedOn w:val="CommentText"/>
    <w:next w:val="CommentText"/>
    <w:link w:val="CommentSubjectChar"/>
    <w:uiPriority w:val="99"/>
    <w:semiHidden/>
    <w:unhideWhenUsed/>
    <w:rsid w:val="00B25255"/>
    <w:rPr>
      <w:b/>
      <w:bCs/>
    </w:rPr>
  </w:style>
  <w:style w:type="character" w:customStyle="1" w:styleId="CommentSubjectChar">
    <w:name w:val="Comment Subject Char"/>
    <w:basedOn w:val="CommentTextChar"/>
    <w:link w:val="CommentSubject"/>
    <w:uiPriority w:val="99"/>
    <w:semiHidden/>
    <w:rsid w:val="00B25255"/>
    <w:rPr>
      <w:b/>
      <w:bCs/>
    </w:rPr>
  </w:style>
  <w:style w:type="character" w:customStyle="1" w:styleId="AmendmentKeyword0">
    <w:name w:val="Amendment Keyword"/>
    <w:basedOn w:val="DefaultParagraphFont"/>
    <w:uiPriority w:val="1"/>
    <w:rsid w:val="004E7FB9"/>
    <w:rPr>
      <w:rFonts w:ascii="Arial" w:hAnsi="Arial" w:cs="Arial" w:hint="default"/>
      <w:b/>
      <w:bCs w:val="0"/>
      <w:i/>
      <w:iCs/>
      <w:sz w:val="20"/>
      <w:szCs w:val="24"/>
      <w:lang w:eastAsia="en-US"/>
    </w:rPr>
  </w:style>
  <w:style w:type="paragraph" w:customStyle="1" w:styleId="amendment10">
    <w:name w:val="amendment1"/>
    <w:basedOn w:val="Normal"/>
    <w:rsid w:val="004C4B38"/>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D249AD"/>
    <w:rPr>
      <w:sz w:val="22"/>
    </w:rPr>
  </w:style>
  <w:style w:type="paragraph" w:styleId="ListBullet">
    <w:name w:val="List Bullet"/>
    <w:basedOn w:val="Normal"/>
    <w:autoRedefine/>
    <w:rsid w:val="00E037E8"/>
    <w:pPr>
      <w:tabs>
        <w:tab w:val="num" w:pos="360"/>
      </w:tabs>
      <w:ind w:left="360" w:hanging="360"/>
    </w:pPr>
  </w:style>
  <w:style w:type="character" w:customStyle="1" w:styleId="item0">
    <w:name w:val="item"/>
    <w:basedOn w:val="DefaultParagraphFont"/>
    <w:uiPriority w:val="1"/>
    <w:qFormat/>
    <w:rsid w:val="00B0428A"/>
    <w:rPr>
      <w:vanish/>
      <w:color w:val="C00000"/>
    </w:rPr>
  </w:style>
  <w:style w:type="numbering" w:customStyle="1" w:styleId="AmendmentInstruction1">
    <w:name w:val="Amendment Instruction1"/>
    <w:basedOn w:val="NoList"/>
    <w:uiPriority w:val="99"/>
    <w:rsid w:val="00D56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300">
      <w:bodyDiv w:val="1"/>
      <w:marLeft w:val="0"/>
      <w:marRight w:val="0"/>
      <w:marTop w:val="0"/>
      <w:marBottom w:val="0"/>
      <w:divBdr>
        <w:top w:val="none" w:sz="0" w:space="0" w:color="auto"/>
        <w:left w:val="none" w:sz="0" w:space="0" w:color="auto"/>
        <w:bottom w:val="none" w:sz="0" w:space="0" w:color="auto"/>
        <w:right w:val="none" w:sz="0" w:space="0" w:color="auto"/>
      </w:divBdr>
    </w:div>
    <w:div w:id="40059864">
      <w:bodyDiv w:val="1"/>
      <w:marLeft w:val="0"/>
      <w:marRight w:val="0"/>
      <w:marTop w:val="0"/>
      <w:marBottom w:val="0"/>
      <w:divBdr>
        <w:top w:val="none" w:sz="0" w:space="0" w:color="auto"/>
        <w:left w:val="none" w:sz="0" w:space="0" w:color="auto"/>
        <w:bottom w:val="none" w:sz="0" w:space="0" w:color="auto"/>
        <w:right w:val="none" w:sz="0" w:space="0" w:color="auto"/>
      </w:divBdr>
    </w:div>
    <w:div w:id="56977692">
      <w:bodyDiv w:val="1"/>
      <w:marLeft w:val="0"/>
      <w:marRight w:val="0"/>
      <w:marTop w:val="0"/>
      <w:marBottom w:val="0"/>
      <w:divBdr>
        <w:top w:val="none" w:sz="0" w:space="0" w:color="auto"/>
        <w:left w:val="none" w:sz="0" w:space="0" w:color="auto"/>
        <w:bottom w:val="none" w:sz="0" w:space="0" w:color="auto"/>
        <w:right w:val="none" w:sz="0" w:space="0" w:color="auto"/>
      </w:divBdr>
    </w:div>
    <w:div w:id="106438209">
      <w:bodyDiv w:val="1"/>
      <w:marLeft w:val="0"/>
      <w:marRight w:val="0"/>
      <w:marTop w:val="0"/>
      <w:marBottom w:val="0"/>
      <w:divBdr>
        <w:top w:val="none" w:sz="0" w:space="0" w:color="auto"/>
        <w:left w:val="none" w:sz="0" w:space="0" w:color="auto"/>
        <w:bottom w:val="none" w:sz="0" w:space="0" w:color="auto"/>
        <w:right w:val="none" w:sz="0" w:space="0" w:color="auto"/>
      </w:divBdr>
    </w:div>
    <w:div w:id="134835280">
      <w:bodyDiv w:val="1"/>
      <w:marLeft w:val="0"/>
      <w:marRight w:val="0"/>
      <w:marTop w:val="0"/>
      <w:marBottom w:val="0"/>
      <w:divBdr>
        <w:top w:val="none" w:sz="0" w:space="0" w:color="auto"/>
        <w:left w:val="none" w:sz="0" w:space="0" w:color="auto"/>
        <w:bottom w:val="none" w:sz="0" w:space="0" w:color="auto"/>
        <w:right w:val="none" w:sz="0" w:space="0" w:color="auto"/>
      </w:divBdr>
    </w:div>
    <w:div w:id="213780886">
      <w:bodyDiv w:val="1"/>
      <w:marLeft w:val="0"/>
      <w:marRight w:val="0"/>
      <w:marTop w:val="0"/>
      <w:marBottom w:val="0"/>
      <w:divBdr>
        <w:top w:val="none" w:sz="0" w:space="0" w:color="auto"/>
        <w:left w:val="none" w:sz="0" w:space="0" w:color="auto"/>
        <w:bottom w:val="none" w:sz="0" w:space="0" w:color="auto"/>
        <w:right w:val="none" w:sz="0" w:space="0" w:color="auto"/>
      </w:divBdr>
    </w:div>
    <w:div w:id="232929064">
      <w:bodyDiv w:val="1"/>
      <w:marLeft w:val="0"/>
      <w:marRight w:val="0"/>
      <w:marTop w:val="0"/>
      <w:marBottom w:val="0"/>
      <w:divBdr>
        <w:top w:val="none" w:sz="0" w:space="0" w:color="auto"/>
        <w:left w:val="none" w:sz="0" w:space="0" w:color="auto"/>
        <w:bottom w:val="none" w:sz="0" w:space="0" w:color="auto"/>
        <w:right w:val="none" w:sz="0" w:space="0" w:color="auto"/>
      </w:divBdr>
    </w:div>
    <w:div w:id="234315420">
      <w:bodyDiv w:val="1"/>
      <w:marLeft w:val="0"/>
      <w:marRight w:val="0"/>
      <w:marTop w:val="0"/>
      <w:marBottom w:val="0"/>
      <w:divBdr>
        <w:top w:val="none" w:sz="0" w:space="0" w:color="auto"/>
        <w:left w:val="none" w:sz="0" w:space="0" w:color="auto"/>
        <w:bottom w:val="none" w:sz="0" w:space="0" w:color="auto"/>
        <w:right w:val="none" w:sz="0" w:space="0" w:color="auto"/>
      </w:divBdr>
    </w:div>
    <w:div w:id="405617970">
      <w:bodyDiv w:val="1"/>
      <w:marLeft w:val="0"/>
      <w:marRight w:val="0"/>
      <w:marTop w:val="0"/>
      <w:marBottom w:val="0"/>
      <w:divBdr>
        <w:top w:val="none" w:sz="0" w:space="0" w:color="auto"/>
        <w:left w:val="none" w:sz="0" w:space="0" w:color="auto"/>
        <w:bottom w:val="none" w:sz="0" w:space="0" w:color="auto"/>
        <w:right w:val="none" w:sz="0" w:space="0" w:color="auto"/>
      </w:divBdr>
    </w:div>
    <w:div w:id="493961138">
      <w:bodyDiv w:val="1"/>
      <w:marLeft w:val="0"/>
      <w:marRight w:val="0"/>
      <w:marTop w:val="0"/>
      <w:marBottom w:val="0"/>
      <w:divBdr>
        <w:top w:val="none" w:sz="0" w:space="0" w:color="auto"/>
        <w:left w:val="none" w:sz="0" w:space="0" w:color="auto"/>
        <w:bottom w:val="none" w:sz="0" w:space="0" w:color="auto"/>
        <w:right w:val="none" w:sz="0" w:space="0" w:color="auto"/>
      </w:divBdr>
    </w:div>
    <w:div w:id="503130144">
      <w:bodyDiv w:val="1"/>
      <w:marLeft w:val="0"/>
      <w:marRight w:val="0"/>
      <w:marTop w:val="0"/>
      <w:marBottom w:val="0"/>
      <w:divBdr>
        <w:top w:val="none" w:sz="0" w:space="0" w:color="auto"/>
        <w:left w:val="none" w:sz="0" w:space="0" w:color="auto"/>
        <w:bottom w:val="none" w:sz="0" w:space="0" w:color="auto"/>
        <w:right w:val="none" w:sz="0" w:space="0" w:color="auto"/>
      </w:divBdr>
    </w:div>
    <w:div w:id="526679477">
      <w:bodyDiv w:val="1"/>
      <w:marLeft w:val="0"/>
      <w:marRight w:val="0"/>
      <w:marTop w:val="0"/>
      <w:marBottom w:val="0"/>
      <w:divBdr>
        <w:top w:val="none" w:sz="0" w:space="0" w:color="auto"/>
        <w:left w:val="none" w:sz="0" w:space="0" w:color="auto"/>
        <w:bottom w:val="none" w:sz="0" w:space="0" w:color="auto"/>
        <w:right w:val="none" w:sz="0" w:space="0" w:color="auto"/>
      </w:divBdr>
    </w:div>
    <w:div w:id="531460870">
      <w:bodyDiv w:val="1"/>
      <w:marLeft w:val="0"/>
      <w:marRight w:val="0"/>
      <w:marTop w:val="0"/>
      <w:marBottom w:val="0"/>
      <w:divBdr>
        <w:top w:val="none" w:sz="0" w:space="0" w:color="auto"/>
        <w:left w:val="none" w:sz="0" w:space="0" w:color="auto"/>
        <w:bottom w:val="none" w:sz="0" w:space="0" w:color="auto"/>
        <w:right w:val="none" w:sz="0" w:space="0" w:color="auto"/>
      </w:divBdr>
    </w:div>
    <w:div w:id="532883580">
      <w:bodyDiv w:val="1"/>
      <w:marLeft w:val="0"/>
      <w:marRight w:val="0"/>
      <w:marTop w:val="0"/>
      <w:marBottom w:val="0"/>
      <w:divBdr>
        <w:top w:val="none" w:sz="0" w:space="0" w:color="auto"/>
        <w:left w:val="none" w:sz="0" w:space="0" w:color="auto"/>
        <w:bottom w:val="none" w:sz="0" w:space="0" w:color="auto"/>
        <w:right w:val="none" w:sz="0" w:space="0" w:color="auto"/>
      </w:divBdr>
    </w:div>
    <w:div w:id="540016963">
      <w:bodyDiv w:val="1"/>
      <w:marLeft w:val="0"/>
      <w:marRight w:val="0"/>
      <w:marTop w:val="0"/>
      <w:marBottom w:val="0"/>
      <w:divBdr>
        <w:top w:val="none" w:sz="0" w:space="0" w:color="auto"/>
        <w:left w:val="none" w:sz="0" w:space="0" w:color="auto"/>
        <w:bottom w:val="none" w:sz="0" w:space="0" w:color="auto"/>
        <w:right w:val="none" w:sz="0" w:space="0" w:color="auto"/>
      </w:divBdr>
    </w:div>
    <w:div w:id="579944143">
      <w:bodyDiv w:val="1"/>
      <w:marLeft w:val="0"/>
      <w:marRight w:val="0"/>
      <w:marTop w:val="0"/>
      <w:marBottom w:val="0"/>
      <w:divBdr>
        <w:top w:val="none" w:sz="0" w:space="0" w:color="auto"/>
        <w:left w:val="none" w:sz="0" w:space="0" w:color="auto"/>
        <w:bottom w:val="none" w:sz="0" w:space="0" w:color="auto"/>
        <w:right w:val="none" w:sz="0" w:space="0" w:color="auto"/>
      </w:divBdr>
    </w:div>
    <w:div w:id="627197661">
      <w:bodyDiv w:val="1"/>
      <w:marLeft w:val="0"/>
      <w:marRight w:val="0"/>
      <w:marTop w:val="0"/>
      <w:marBottom w:val="0"/>
      <w:divBdr>
        <w:top w:val="none" w:sz="0" w:space="0" w:color="auto"/>
        <w:left w:val="none" w:sz="0" w:space="0" w:color="auto"/>
        <w:bottom w:val="none" w:sz="0" w:space="0" w:color="auto"/>
        <w:right w:val="none" w:sz="0" w:space="0" w:color="auto"/>
      </w:divBdr>
    </w:div>
    <w:div w:id="727456769">
      <w:bodyDiv w:val="1"/>
      <w:marLeft w:val="0"/>
      <w:marRight w:val="0"/>
      <w:marTop w:val="0"/>
      <w:marBottom w:val="0"/>
      <w:divBdr>
        <w:top w:val="none" w:sz="0" w:space="0" w:color="auto"/>
        <w:left w:val="none" w:sz="0" w:space="0" w:color="auto"/>
        <w:bottom w:val="none" w:sz="0" w:space="0" w:color="auto"/>
        <w:right w:val="none" w:sz="0" w:space="0" w:color="auto"/>
      </w:divBdr>
    </w:div>
    <w:div w:id="851334798">
      <w:bodyDiv w:val="1"/>
      <w:marLeft w:val="0"/>
      <w:marRight w:val="0"/>
      <w:marTop w:val="0"/>
      <w:marBottom w:val="0"/>
      <w:divBdr>
        <w:top w:val="none" w:sz="0" w:space="0" w:color="auto"/>
        <w:left w:val="none" w:sz="0" w:space="0" w:color="auto"/>
        <w:bottom w:val="none" w:sz="0" w:space="0" w:color="auto"/>
        <w:right w:val="none" w:sz="0" w:space="0" w:color="auto"/>
      </w:divBdr>
    </w:div>
    <w:div w:id="883367465">
      <w:bodyDiv w:val="1"/>
      <w:marLeft w:val="0"/>
      <w:marRight w:val="0"/>
      <w:marTop w:val="0"/>
      <w:marBottom w:val="0"/>
      <w:divBdr>
        <w:top w:val="none" w:sz="0" w:space="0" w:color="auto"/>
        <w:left w:val="none" w:sz="0" w:space="0" w:color="auto"/>
        <w:bottom w:val="none" w:sz="0" w:space="0" w:color="auto"/>
        <w:right w:val="none" w:sz="0" w:space="0" w:color="auto"/>
      </w:divBdr>
    </w:div>
    <w:div w:id="927007795">
      <w:bodyDiv w:val="1"/>
      <w:marLeft w:val="0"/>
      <w:marRight w:val="0"/>
      <w:marTop w:val="0"/>
      <w:marBottom w:val="0"/>
      <w:divBdr>
        <w:top w:val="none" w:sz="0" w:space="0" w:color="auto"/>
        <w:left w:val="none" w:sz="0" w:space="0" w:color="auto"/>
        <w:bottom w:val="none" w:sz="0" w:space="0" w:color="auto"/>
        <w:right w:val="none" w:sz="0" w:space="0" w:color="auto"/>
      </w:divBdr>
    </w:div>
    <w:div w:id="960304334">
      <w:bodyDiv w:val="1"/>
      <w:marLeft w:val="0"/>
      <w:marRight w:val="0"/>
      <w:marTop w:val="0"/>
      <w:marBottom w:val="0"/>
      <w:divBdr>
        <w:top w:val="none" w:sz="0" w:space="0" w:color="auto"/>
        <w:left w:val="none" w:sz="0" w:space="0" w:color="auto"/>
        <w:bottom w:val="none" w:sz="0" w:space="0" w:color="auto"/>
        <w:right w:val="none" w:sz="0" w:space="0" w:color="auto"/>
      </w:divBdr>
    </w:div>
    <w:div w:id="967661824">
      <w:bodyDiv w:val="1"/>
      <w:marLeft w:val="0"/>
      <w:marRight w:val="0"/>
      <w:marTop w:val="0"/>
      <w:marBottom w:val="0"/>
      <w:divBdr>
        <w:top w:val="none" w:sz="0" w:space="0" w:color="auto"/>
        <w:left w:val="none" w:sz="0" w:space="0" w:color="auto"/>
        <w:bottom w:val="none" w:sz="0" w:space="0" w:color="auto"/>
        <w:right w:val="none" w:sz="0" w:space="0" w:color="auto"/>
      </w:divBdr>
    </w:div>
    <w:div w:id="1030953721">
      <w:bodyDiv w:val="1"/>
      <w:marLeft w:val="0"/>
      <w:marRight w:val="0"/>
      <w:marTop w:val="0"/>
      <w:marBottom w:val="0"/>
      <w:divBdr>
        <w:top w:val="none" w:sz="0" w:space="0" w:color="auto"/>
        <w:left w:val="none" w:sz="0" w:space="0" w:color="auto"/>
        <w:bottom w:val="none" w:sz="0" w:space="0" w:color="auto"/>
        <w:right w:val="none" w:sz="0" w:space="0" w:color="auto"/>
      </w:divBdr>
    </w:div>
    <w:div w:id="1082918622">
      <w:bodyDiv w:val="1"/>
      <w:marLeft w:val="0"/>
      <w:marRight w:val="0"/>
      <w:marTop w:val="0"/>
      <w:marBottom w:val="0"/>
      <w:divBdr>
        <w:top w:val="none" w:sz="0" w:space="0" w:color="auto"/>
        <w:left w:val="none" w:sz="0" w:space="0" w:color="auto"/>
        <w:bottom w:val="none" w:sz="0" w:space="0" w:color="auto"/>
        <w:right w:val="none" w:sz="0" w:space="0" w:color="auto"/>
      </w:divBdr>
    </w:div>
    <w:div w:id="1128280755">
      <w:bodyDiv w:val="1"/>
      <w:marLeft w:val="0"/>
      <w:marRight w:val="0"/>
      <w:marTop w:val="0"/>
      <w:marBottom w:val="0"/>
      <w:divBdr>
        <w:top w:val="none" w:sz="0" w:space="0" w:color="auto"/>
        <w:left w:val="none" w:sz="0" w:space="0" w:color="auto"/>
        <w:bottom w:val="none" w:sz="0" w:space="0" w:color="auto"/>
        <w:right w:val="none" w:sz="0" w:space="0" w:color="auto"/>
      </w:divBdr>
    </w:div>
    <w:div w:id="1141074536">
      <w:bodyDiv w:val="1"/>
      <w:marLeft w:val="0"/>
      <w:marRight w:val="0"/>
      <w:marTop w:val="0"/>
      <w:marBottom w:val="0"/>
      <w:divBdr>
        <w:top w:val="none" w:sz="0" w:space="0" w:color="auto"/>
        <w:left w:val="none" w:sz="0" w:space="0" w:color="auto"/>
        <w:bottom w:val="none" w:sz="0" w:space="0" w:color="auto"/>
        <w:right w:val="none" w:sz="0" w:space="0" w:color="auto"/>
      </w:divBdr>
    </w:div>
    <w:div w:id="1156259766">
      <w:bodyDiv w:val="1"/>
      <w:marLeft w:val="0"/>
      <w:marRight w:val="0"/>
      <w:marTop w:val="0"/>
      <w:marBottom w:val="0"/>
      <w:divBdr>
        <w:top w:val="none" w:sz="0" w:space="0" w:color="auto"/>
        <w:left w:val="none" w:sz="0" w:space="0" w:color="auto"/>
        <w:bottom w:val="none" w:sz="0" w:space="0" w:color="auto"/>
        <w:right w:val="none" w:sz="0" w:space="0" w:color="auto"/>
      </w:divBdr>
    </w:div>
    <w:div w:id="1266232746">
      <w:bodyDiv w:val="1"/>
      <w:marLeft w:val="0"/>
      <w:marRight w:val="0"/>
      <w:marTop w:val="0"/>
      <w:marBottom w:val="0"/>
      <w:divBdr>
        <w:top w:val="none" w:sz="0" w:space="0" w:color="auto"/>
        <w:left w:val="none" w:sz="0" w:space="0" w:color="auto"/>
        <w:bottom w:val="none" w:sz="0" w:space="0" w:color="auto"/>
        <w:right w:val="none" w:sz="0" w:space="0" w:color="auto"/>
      </w:divBdr>
    </w:div>
    <w:div w:id="1301493651">
      <w:bodyDiv w:val="1"/>
      <w:marLeft w:val="0"/>
      <w:marRight w:val="0"/>
      <w:marTop w:val="0"/>
      <w:marBottom w:val="0"/>
      <w:divBdr>
        <w:top w:val="none" w:sz="0" w:space="0" w:color="auto"/>
        <w:left w:val="none" w:sz="0" w:space="0" w:color="auto"/>
        <w:bottom w:val="none" w:sz="0" w:space="0" w:color="auto"/>
        <w:right w:val="none" w:sz="0" w:space="0" w:color="auto"/>
      </w:divBdr>
    </w:div>
    <w:div w:id="1366440515">
      <w:bodyDiv w:val="1"/>
      <w:marLeft w:val="0"/>
      <w:marRight w:val="0"/>
      <w:marTop w:val="0"/>
      <w:marBottom w:val="0"/>
      <w:divBdr>
        <w:top w:val="none" w:sz="0" w:space="0" w:color="auto"/>
        <w:left w:val="none" w:sz="0" w:space="0" w:color="auto"/>
        <w:bottom w:val="none" w:sz="0" w:space="0" w:color="auto"/>
        <w:right w:val="none" w:sz="0" w:space="0" w:color="auto"/>
      </w:divBdr>
    </w:div>
    <w:div w:id="1435906527">
      <w:bodyDiv w:val="1"/>
      <w:marLeft w:val="0"/>
      <w:marRight w:val="0"/>
      <w:marTop w:val="0"/>
      <w:marBottom w:val="0"/>
      <w:divBdr>
        <w:top w:val="none" w:sz="0" w:space="0" w:color="auto"/>
        <w:left w:val="none" w:sz="0" w:space="0" w:color="auto"/>
        <w:bottom w:val="none" w:sz="0" w:space="0" w:color="auto"/>
        <w:right w:val="none" w:sz="0" w:space="0" w:color="auto"/>
      </w:divBdr>
    </w:div>
    <w:div w:id="1437745898">
      <w:bodyDiv w:val="1"/>
      <w:marLeft w:val="0"/>
      <w:marRight w:val="0"/>
      <w:marTop w:val="0"/>
      <w:marBottom w:val="0"/>
      <w:divBdr>
        <w:top w:val="none" w:sz="0" w:space="0" w:color="auto"/>
        <w:left w:val="none" w:sz="0" w:space="0" w:color="auto"/>
        <w:bottom w:val="none" w:sz="0" w:space="0" w:color="auto"/>
        <w:right w:val="none" w:sz="0" w:space="0" w:color="auto"/>
      </w:divBdr>
    </w:div>
    <w:div w:id="1438452512">
      <w:bodyDiv w:val="1"/>
      <w:marLeft w:val="0"/>
      <w:marRight w:val="0"/>
      <w:marTop w:val="0"/>
      <w:marBottom w:val="0"/>
      <w:divBdr>
        <w:top w:val="none" w:sz="0" w:space="0" w:color="auto"/>
        <w:left w:val="none" w:sz="0" w:space="0" w:color="auto"/>
        <w:bottom w:val="none" w:sz="0" w:space="0" w:color="auto"/>
        <w:right w:val="none" w:sz="0" w:space="0" w:color="auto"/>
      </w:divBdr>
    </w:div>
    <w:div w:id="1459254258">
      <w:bodyDiv w:val="1"/>
      <w:marLeft w:val="0"/>
      <w:marRight w:val="0"/>
      <w:marTop w:val="0"/>
      <w:marBottom w:val="0"/>
      <w:divBdr>
        <w:top w:val="none" w:sz="0" w:space="0" w:color="auto"/>
        <w:left w:val="none" w:sz="0" w:space="0" w:color="auto"/>
        <w:bottom w:val="none" w:sz="0" w:space="0" w:color="auto"/>
        <w:right w:val="none" w:sz="0" w:space="0" w:color="auto"/>
      </w:divBdr>
    </w:div>
    <w:div w:id="1597640045">
      <w:bodyDiv w:val="1"/>
      <w:marLeft w:val="0"/>
      <w:marRight w:val="0"/>
      <w:marTop w:val="0"/>
      <w:marBottom w:val="0"/>
      <w:divBdr>
        <w:top w:val="none" w:sz="0" w:space="0" w:color="auto"/>
        <w:left w:val="none" w:sz="0" w:space="0" w:color="auto"/>
        <w:bottom w:val="none" w:sz="0" w:space="0" w:color="auto"/>
        <w:right w:val="none" w:sz="0" w:space="0" w:color="auto"/>
      </w:divBdr>
    </w:div>
    <w:div w:id="1651443660">
      <w:bodyDiv w:val="1"/>
      <w:marLeft w:val="0"/>
      <w:marRight w:val="0"/>
      <w:marTop w:val="0"/>
      <w:marBottom w:val="0"/>
      <w:divBdr>
        <w:top w:val="none" w:sz="0" w:space="0" w:color="auto"/>
        <w:left w:val="none" w:sz="0" w:space="0" w:color="auto"/>
        <w:bottom w:val="none" w:sz="0" w:space="0" w:color="auto"/>
        <w:right w:val="none" w:sz="0" w:space="0" w:color="auto"/>
      </w:divBdr>
    </w:div>
    <w:div w:id="1652369953">
      <w:bodyDiv w:val="1"/>
      <w:marLeft w:val="0"/>
      <w:marRight w:val="0"/>
      <w:marTop w:val="0"/>
      <w:marBottom w:val="0"/>
      <w:divBdr>
        <w:top w:val="none" w:sz="0" w:space="0" w:color="auto"/>
        <w:left w:val="none" w:sz="0" w:space="0" w:color="auto"/>
        <w:bottom w:val="none" w:sz="0" w:space="0" w:color="auto"/>
        <w:right w:val="none" w:sz="0" w:space="0" w:color="auto"/>
      </w:divBdr>
    </w:div>
    <w:div w:id="1718122081">
      <w:bodyDiv w:val="1"/>
      <w:marLeft w:val="0"/>
      <w:marRight w:val="0"/>
      <w:marTop w:val="0"/>
      <w:marBottom w:val="0"/>
      <w:divBdr>
        <w:top w:val="none" w:sz="0" w:space="0" w:color="auto"/>
        <w:left w:val="none" w:sz="0" w:space="0" w:color="auto"/>
        <w:bottom w:val="none" w:sz="0" w:space="0" w:color="auto"/>
        <w:right w:val="none" w:sz="0" w:space="0" w:color="auto"/>
      </w:divBdr>
    </w:div>
    <w:div w:id="1718510971">
      <w:bodyDiv w:val="1"/>
      <w:marLeft w:val="0"/>
      <w:marRight w:val="0"/>
      <w:marTop w:val="0"/>
      <w:marBottom w:val="0"/>
      <w:divBdr>
        <w:top w:val="none" w:sz="0" w:space="0" w:color="auto"/>
        <w:left w:val="none" w:sz="0" w:space="0" w:color="auto"/>
        <w:bottom w:val="none" w:sz="0" w:space="0" w:color="auto"/>
        <w:right w:val="none" w:sz="0" w:space="0" w:color="auto"/>
      </w:divBdr>
    </w:div>
    <w:div w:id="1757941815">
      <w:bodyDiv w:val="1"/>
      <w:marLeft w:val="0"/>
      <w:marRight w:val="0"/>
      <w:marTop w:val="0"/>
      <w:marBottom w:val="0"/>
      <w:divBdr>
        <w:top w:val="none" w:sz="0" w:space="0" w:color="auto"/>
        <w:left w:val="none" w:sz="0" w:space="0" w:color="auto"/>
        <w:bottom w:val="none" w:sz="0" w:space="0" w:color="auto"/>
        <w:right w:val="none" w:sz="0" w:space="0" w:color="auto"/>
      </w:divBdr>
    </w:div>
    <w:div w:id="1760100442">
      <w:bodyDiv w:val="1"/>
      <w:marLeft w:val="0"/>
      <w:marRight w:val="0"/>
      <w:marTop w:val="0"/>
      <w:marBottom w:val="0"/>
      <w:divBdr>
        <w:top w:val="none" w:sz="0" w:space="0" w:color="auto"/>
        <w:left w:val="none" w:sz="0" w:space="0" w:color="auto"/>
        <w:bottom w:val="none" w:sz="0" w:space="0" w:color="auto"/>
        <w:right w:val="none" w:sz="0" w:space="0" w:color="auto"/>
      </w:divBdr>
    </w:div>
    <w:div w:id="1825388632">
      <w:bodyDiv w:val="1"/>
      <w:marLeft w:val="0"/>
      <w:marRight w:val="0"/>
      <w:marTop w:val="0"/>
      <w:marBottom w:val="0"/>
      <w:divBdr>
        <w:top w:val="none" w:sz="0" w:space="0" w:color="auto"/>
        <w:left w:val="none" w:sz="0" w:space="0" w:color="auto"/>
        <w:bottom w:val="none" w:sz="0" w:space="0" w:color="auto"/>
        <w:right w:val="none" w:sz="0" w:space="0" w:color="auto"/>
      </w:divBdr>
    </w:div>
    <w:div w:id="1907102101">
      <w:bodyDiv w:val="1"/>
      <w:marLeft w:val="0"/>
      <w:marRight w:val="0"/>
      <w:marTop w:val="0"/>
      <w:marBottom w:val="0"/>
      <w:divBdr>
        <w:top w:val="none" w:sz="0" w:space="0" w:color="auto"/>
        <w:left w:val="none" w:sz="0" w:space="0" w:color="auto"/>
        <w:bottom w:val="none" w:sz="0" w:space="0" w:color="auto"/>
        <w:right w:val="none" w:sz="0" w:space="0" w:color="auto"/>
      </w:divBdr>
    </w:div>
    <w:div w:id="2057074875">
      <w:bodyDiv w:val="1"/>
      <w:marLeft w:val="0"/>
      <w:marRight w:val="0"/>
      <w:marTop w:val="0"/>
      <w:marBottom w:val="0"/>
      <w:divBdr>
        <w:top w:val="none" w:sz="0" w:space="0" w:color="auto"/>
        <w:left w:val="none" w:sz="0" w:space="0" w:color="auto"/>
        <w:bottom w:val="none" w:sz="0" w:space="0" w:color="auto"/>
        <w:right w:val="none" w:sz="0" w:space="0" w:color="auto"/>
      </w:divBdr>
    </w:div>
    <w:div w:id="2071221022">
      <w:bodyDiv w:val="1"/>
      <w:marLeft w:val="0"/>
      <w:marRight w:val="0"/>
      <w:marTop w:val="0"/>
      <w:marBottom w:val="0"/>
      <w:divBdr>
        <w:top w:val="none" w:sz="0" w:space="0" w:color="auto"/>
        <w:left w:val="none" w:sz="0" w:space="0" w:color="auto"/>
        <w:bottom w:val="none" w:sz="0" w:space="0" w:color="auto"/>
        <w:right w:val="none" w:sz="0" w:space="0" w:color="auto"/>
      </w:divBdr>
    </w:div>
    <w:div w:id="21394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FA9-0B0A-468D-9D3B-07ECE3E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13</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Diana</cp:lastModifiedBy>
  <cp:revision>103</cp:revision>
  <cp:lastPrinted>2022-08-24T21:53:00Z</cp:lastPrinted>
  <dcterms:created xsi:type="dcterms:W3CDTF">2025-01-23T03:18:00Z</dcterms:created>
  <dcterms:modified xsi:type="dcterms:W3CDTF">2025-06-27T02:01:00Z</dcterms:modified>
</cp:coreProperties>
</file>