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170A" w14:textId="7EFF512E" w:rsidR="0044465B" w:rsidRPr="00421C9E" w:rsidRDefault="008E23D6" w:rsidP="00BB0CF2">
      <w:pPr>
        <w:pStyle w:val="ESTitleHeader"/>
      </w:pPr>
      <w:r>
        <w:t xml:space="preserve"> </w:t>
      </w:r>
      <w:r w:rsidR="0057002B" w:rsidRPr="00421C9E">
        <w:t>EXPLANATORY STATEMENT</w:t>
      </w:r>
    </w:p>
    <w:p w14:paraId="6355B1C6" w14:textId="664FD713" w:rsidR="0057002B" w:rsidRPr="00421C9E" w:rsidRDefault="002F41B6" w:rsidP="00BB0CF2">
      <w:pPr>
        <w:pStyle w:val="ESTitleDecisionMaker"/>
      </w:pPr>
      <w:r w:rsidRPr="00421C9E">
        <w:t xml:space="preserve">Issued by authority of the </w:t>
      </w:r>
      <w:r w:rsidR="0096039C">
        <w:t xml:space="preserve">Minister for </w:t>
      </w:r>
      <w:r w:rsidR="005E2927">
        <w:t>Social Services</w:t>
      </w:r>
    </w:p>
    <w:p w14:paraId="6991DC48" w14:textId="2D58F531" w:rsidR="0057002B" w:rsidRPr="00421C9E" w:rsidRDefault="0066466D" w:rsidP="00BB0CF2">
      <w:pPr>
        <w:pStyle w:val="ESTitleEnablingLegislation"/>
      </w:pPr>
      <w:r>
        <w:t>Disability Services (Consequential Amendments and Transitional Provisions) Act 2023</w:t>
      </w:r>
    </w:p>
    <w:p w14:paraId="1BBCB0D1" w14:textId="7A21612E" w:rsidR="0057002B" w:rsidRPr="00421C9E" w:rsidRDefault="0076527E" w:rsidP="00BB0CF2">
      <w:pPr>
        <w:pStyle w:val="ESTitleInstrumentName"/>
      </w:pPr>
      <w:r>
        <w:t>Disability Services and Inclusion (Consequential Amendments and Transitional Provisions)</w:t>
      </w:r>
      <w:r w:rsidR="00246418">
        <w:t xml:space="preserve"> </w:t>
      </w:r>
      <w:r w:rsidR="005C617A" w:rsidRPr="005C617A">
        <w:t>Rules 2025</w:t>
      </w:r>
    </w:p>
    <w:p w14:paraId="72C859BE" w14:textId="53A21EA8" w:rsidR="0096039C" w:rsidRDefault="0096039C" w:rsidP="0096039C">
      <w:pPr>
        <w:pStyle w:val="ESPara"/>
      </w:pPr>
      <w:proofErr w:type="gramStart"/>
      <w:r w:rsidRPr="0096039C">
        <w:t xml:space="preserve">The instrument, </w:t>
      </w:r>
      <w:r w:rsidR="0076527E">
        <w:rPr>
          <w:i/>
          <w:iCs/>
        </w:rPr>
        <w:t>Disability Services and Inclusion (Consequential Amendments and Transitional Provisions)</w:t>
      </w:r>
      <w:r w:rsidR="00910C27">
        <w:rPr>
          <w:i/>
          <w:iCs/>
        </w:rPr>
        <w:t xml:space="preserve"> </w:t>
      </w:r>
      <w:r w:rsidR="0076527E">
        <w:rPr>
          <w:i/>
          <w:iCs/>
        </w:rPr>
        <w:t>Rules 2025</w:t>
      </w:r>
      <w:r>
        <w:t>,</w:t>
      </w:r>
      <w:proofErr w:type="gramEnd"/>
      <w:r w:rsidRPr="0096039C">
        <w:t xml:space="preserve"> is made under </w:t>
      </w:r>
      <w:r w:rsidR="0076527E">
        <w:t xml:space="preserve">item 10 of Schedule 3 of the </w:t>
      </w:r>
      <w:r w:rsidR="0076527E">
        <w:rPr>
          <w:i/>
          <w:iCs/>
        </w:rPr>
        <w:t>Disability Services (Consequential Amendments and Transitional Provisions) Act 2023</w:t>
      </w:r>
      <w:r w:rsidRPr="0096039C">
        <w:t xml:space="preserve"> (</w:t>
      </w:r>
      <w:r w:rsidRPr="0096039C">
        <w:rPr>
          <w:b/>
          <w:bCs/>
        </w:rPr>
        <w:t>the Act</w:t>
      </w:r>
      <w:r w:rsidRPr="0096039C">
        <w:t xml:space="preserve">). </w:t>
      </w:r>
      <w:r w:rsidR="001E0D94">
        <w:t xml:space="preserve">That provision allows the Minister to </w:t>
      </w:r>
      <w:r w:rsidR="002A77DA">
        <w:t xml:space="preserve">make rules </w:t>
      </w:r>
      <w:r w:rsidR="00340108">
        <w:t>prescribing matters of a transitional nature (including prescribing any</w:t>
      </w:r>
      <w:r w:rsidR="00604140">
        <w:t xml:space="preserve"> sav</w:t>
      </w:r>
      <w:r w:rsidR="00412B3D">
        <w:t xml:space="preserve">ing or applications provisions) relating to the enactment of the </w:t>
      </w:r>
      <w:r w:rsidR="00412B3D">
        <w:rPr>
          <w:i/>
          <w:iCs/>
        </w:rPr>
        <w:t>Disability Services and Inclusion Act</w:t>
      </w:r>
      <w:r w:rsidR="00BD2FBF">
        <w:rPr>
          <w:i/>
          <w:iCs/>
        </w:rPr>
        <w:t> </w:t>
      </w:r>
      <w:r w:rsidR="00412B3D">
        <w:rPr>
          <w:i/>
          <w:iCs/>
        </w:rPr>
        <w:t>2023</w:t>
      </w:r>
      <w:r w:rsidR="00412B3D">
        <w:t xml:space="preserve"> </w:t>
      </w:r>
      <w:r w:rsidR="00644C6E">
        <w:t>(</w:t>
      </w:r>
      <w:r w:rsidR="00644C6E">
        <w:rPr>
          <w:b/>
          <w:bCs/>
        </w:rPr>
        <w:t xml:space="preserve">DSI </w:t>
      </w:r>
      <w:r w:rsidR="00644C6E" w:rsidRPr="00644C6E">
        <w:rPr>
          <w:b/>
          <w:bCs/>
        </w:rPr>
        <w:t>Act</w:t>
      </w:r>
      <w:r w:rsidR="00644C6E">
        <w:t xml:space="preserve">) </w:t>
      </w:r>
      <w:r w:rsidR="00412B3D" w:rsidRPr="00644C6E">
        <w:t>or</w:t>
      </w:r>
      <w:r w:rsidR="00412B3D">
        <w:t xml:space="preserve"> the amendments or repeals made by </w:t>
      </w:r>
      <w:r w:rsidR="00C058F9">
        <w:t>Schedule 1 or 2 of the Act</w:t>
      </w:r>
      <w:r w:rsidR="002A77DA">
        <w:t xml:space="preserve">. </w:t>
      </w:r>
    </w:p>
    <w:p w14:paraId="25E050D8" w14:textId="3D86977E" w:rsidR="00FF07FF" w:rsidRPr="00AA02ED" w:rsidRDefault="00FF07FF" w:rsidP="00FF07FF">
      <w:pPr>
        <w:pStyle w:val="ESPara"/>
      </w:pPr>
      <w:r w:rsidRPr="00AA02ED">
        <w:t xml:space="preserve">The </w:t>
      </w:r>
      <w:r>
        <w:t>instrument</w:t>
      </w:r>
      <w:r w:rsidRPr="00AA02ED">
        <w:t xml:space="preserve"> commences on the day after registration on the Federal Register of Legislation a</w:t>
      </w:r>
      <w:r>
        <w:t>nd</w:t>
      </w:r>
      <w:r w:rsidRPr="00AA02ED">
        <w:t xml:space="preserve"> is a legislative instrument for the </w:t>
      </w:r>
      <w:r w:rsidRPr="0096039C">
        <w:rPr>
          <w:i/>
          <w:iCs/>
        </w:rPr>
        <w:t>Legislation Act 2003</w:t>
      </w:r>
      <w:r w:rsidRPr="0096039C">
        <w:t xml:space="preserve"> </w:t>
      </w:r>
      <w:r>
        <w:t>(</w:t>
      </w:r>
      <w:r w:rsidRPr="0096039C">
        <w:rPr>
          <w:b/>
          <w:bCs/>
        </w:rPr>
        <w:t>the Legislation Act</w:t>
      </w:r>
      <w:r>
        <w:t>)</w:t>
      </w:r>
      <w:r w:rsidRPr="0096039C">
        <w:t xml:space="preserve">. </w:t>
      </w:r>
    </w:p>
    <w:p w14:paraId="2F3AEBAC" w14:textId="77777777" w:rsidR="00EA12C9" w:rsidRPr="00421C9E" w:rsidRDefault="00BD598E" w:rsidP="00100DFC">
      <w:pPr>
        <w:pStyle w:val="ESHeading"/>
      </w:pPr>
      <w:r w:rsidRPr="00421C9E">
        <w:t>Purpose</w:t>
      </w:r>
    </w:p>
    <w:p w14:paraId="6DEB74B5" w14:textId="14A130B8" w:rsidR="005B3BA0" w:rsidRDefault="00366E5B" w:rsidP="00411416">
      <w:pPr>
        <w:pStyle w:val="ESPara"/>
      </w:pPr>
      <w:bookmarkStart w:id="0" w:name="_Hlk199521061"/>
      <w:r w:rsidRPr="00366E5B">
        <w:t>The</w:t>
      </w:r>
      <w:r w:rsidR="005B3BA0">
        <w:t xml:space="preserve"> </w:t>
      </w:r>
      <w:r w:rsidR="00644C6E" w:rsidRPr="00F1108F">
        <w:t>DS Act</w:t>
      </w:r>
      <w:r w:rsidR="005B3BA0">
        <w:rPr>
          <w:i/>
          <w:iCs/>
        </w:rPr>
        <w:t xml:space="preserve"> </w:t>
      </w:r>
      <w:r w:rsidR="005B3BA0">
        <w:t xml:space="preserve">was </w:t>
      </w:r>
      <w:r w:rsidR="00774060">
        <w:t>replaced by the DSI Act</w:t>
      </w:r>
      <w:r w:rsidR="00A7515E">
        <w:t xml:space="preserve"> </w:t>
      </w:r>
      <w:r w:rsidR="00BD2FBF">
        <w:t xml:space="preserve">on </w:t>
      </w:r>
      <w:r w:rsidR="00A7515E">
        <w:t>1 January 2024.</w:t>
      </w:r>
      <w:r w:rsidR="00A16633">
        <w:t xml:space="preserve"> </w:t>
      </w:r>
      <w:r w:rsidR="00E0160F">
        <w:t>However, grants of financial assistance</w:t>
      </w:r>
      <w:r w:rsidR="00A7515E">
        <w:t xml:space="preserve"> </w:t>
      </w:r>
      <w:r w:rsidR="00E0160F">
        <w:t>made under Part II</w:t>
      </w:r>
      <w:r w:rsidR="00644C6E">
        <w:t xml:space="preserve"> and measures or arrangements made under Part III of the </w:t>
      </w:r>
      <w:r w:rsidR="009A4691">
        <w:t>DS Act before</w:t>
      </w:r>
      <w:r w:rsidR="003C42CF">
        <w:t xml:space="preserve"> 1</w:t>
      </w:r>
      <w:r w:rsidR="00BD2FBF">
        <w:t> </w:t>
      </w:r>
      <w:r w:rsidR="003C42CF">
        <w:t>January</w:t>
      </w:r>
      <w:r w:rsidR="00BD2FBF">
        <w:t> </w:t>
      </w:r>
      <w:r w:rsidR="003C42CF">
        <w:t>2024 can continue to be administered on and after that date</w:t>
      </w:r>
      <w:r w:rsidR="00C6718A">
        <w:t xml:space="preserve"> (see </w:t>
      </w:r>
      <w:r w:rsidR="00D20117">
        <w:t>the notes to sub-items 4(1) and 8(</w:t>
      </w:r>
      <w:r w:rsidR="00ED3C7E">
        <w:t>1</w:t>
      </w:r>
      <w:r w:rsidR="00D20117">
        <w:t>) of Schedule 3 of the Act)</w:t>
      </w:r>
      <w:r w:rsidR="003C42CF">
        <w:t xml:space="preserve">. </w:t>
      </w:r>
    </w:p>
    <w:p w14:paraId="0900D5EE" w14:textId="784240C2" w:rsidR="0017526D" w:rsidRDefault="0048226F" w:rsidP="00411416">
      <w:pPr>
        <w:pStyle w:val="ESPara"/>
      </w:pPr>
      <w:r>
        <w:t>The purpose of th</w:t>
      </w:r>
      <w:r w:rsidR="00F17E0D">
        <w:t>is</w:t>
      </w:r>
      <w:r>
        <w:t xml:space="preserve"> instrument is to </w:t>
      </w:r>
      <w:r w:rsidR="00637D23">
        <w:t xml:space="preserve">support </w:t>
      </w:r>
      <w:r w:rsidR="008E2FBE">
        <w:t>persons who provi</w:t>
      </w:r>
      <w:r w:rsidR="001F3268">
        <w:t>de supports and services for the benefit of people with disability, their families and carers</w:t>
      </w:r>
      <w:r w:rsidR="005D0A37">
        <w:t>,</w:t>
      </w:r>
      <w:r w:rsidR="001F3268">
        <w:t xml:space="preserve"> </w:t>
      </w:r>
      <w:r w:rsidR="00BD2FBF">
        <w:t xml:space="preserve">to </w:t>
      </w:r>
      <w:r w:rsidR="001F3268">
        <w:t xml:space="preserve">meet the </w:t>
      </w:r>
      <w:r w:rsidR="006B7781">
        <w:t xml:space="preserve">eligibility </w:t>
      </w:r>
      <w:r w:rsidR="001F3268">
        <w:t xml:space="preserve">requirements of </w:t>
      </w:r>
      <w:r w:rsidR="003D477D">
        <w:t>the DSI Act</w:t>
      </w:r>
      <w:r w:rsidR="006B7781">
        <w:t xml:space="preserve"> for a transition period (</w:t>
      </w:r>
      <w:r w:rsidR="00A5104E">
        <w:t>1 July 2025 to 31 December 2025)</w:t>
      </w:r>
      <w:r w:rsidR="003D477D">
        <w:t xml:space="preserve"> where </w:t>
      </w:r>
      <w:r w:rsidR="00B72911">
        <w:t xml:space="preserve">the payment arrangement or grant </w:t>
      </w:r>
      <w:r w:rsidR="006B7781">
        <w:t>is</w:t>
      </w:r>
      <w:r w:rsidR="00A5104E">
        <w:t xml:space="preserve"> for</w:t>
      </w:r>
      <w:r w:rsidR="006B7781">
        <w:t xml:space="preserve"> a “regulated activity” under the DSI Act. </w:t>
      </w:r>
    </w:p>
    <w:p w14:paraId="69F5AB92" w14:textId="77777777" w:rsidR="0017526D" w:rsidRDefault="0017526D" w:rsidP="0017526D">
      <w:pPr>
        <w:pStyle w:val="ESPara"/>
      </w:pPr>
      <w:r>
        <w:t xml:space="preserve">A regulated activity is defined under the </w:t>
      </w:r>
      <w:r>
        <w:rPr>
          <w:i/>
          <w:iCs/>
        </w:rPr>
        <w:t xml:space="preserve">Disability Services and Inclusion (Regulated Activities) Determination 2023 </w:t>
      </w:r>
      <w:r>
        <w:t xml:space="preserve">to mean an eligible activity that either: </w:t>
      </w:r>
    </w:p>
    <w:p w14:paraId="10C3ED70" w14:textId="77777777" w:rsidR="0017526D" w:rsidRDefault="0017526D" w:rsidP="0017526D">
      <w:pPr>
        <w:pStyle w:val="ESSubparaList"/>
      </w:pPr>
      <w:r>
        <w:t>involves the delivery of higher-risk or complex supports to people with disability; or</w:t>
      </w:r>
    </w:p>
    <w:p w14:paraId="47789CA8" w14:textId="77777777" w:rsidR="0017526D" w:rsidRDefault="0017526D" w:rsidP="0017526D">
      <w:pPr>
        <w:pStyle w:val="ESSubparaList"/>
      </w:pPr>
      <w:r>
        <w:t xml:space="preserve">is delivered by persons undertaking the activity through substantial one-on-one contact with people with disability to whom the activity is provided; or </w:t>
      </w:r>
    </w:p>
    <w:p w14:paraId="791EB0FE" w14:textId="77777777" w:rsidR="0017526D" w:rsidRDefault="0017526D" w:rsidP="0017526D">
      <w:pPr>
        <w:pStyle w:val="ESSubparaList"/>
      </w:pPr>
      <w:r>
        <w:t xml:space="preserve">involves regular engagement over a prolonged period between persons undertaking the activity and people with disability to whom the activity is provided. </w:t>
      </w:r>
    </w:p>
    <w:p w14:paraId="5F7855CC" w14:textId="0007AF19" w:rsidR="0048226F" w:rsidRDefault="00C20709" w:rsidP="00411416">
      <w:pPr>
        <w:pStyle w:val="ESPara"/>
      </w:pPr>
      <w:r>
        <w:t xml:space="preserve">Paragraph </w:t>
      </w:r>
      <w:r w:rsidR="002A3BB0">
        <w:t>9(1)(a)(</w:t>
      </w:r>
      <w:proofErr w:type="spellStart"/>
      <w:r w:rsidR="002A3BB0">
        <w:t>i</w:t>
      </w:r>
      <w:proofErr w:type="spellEnd"/>
      <w:r w:rsidR="002A3BB0">
        <w:t xml:space="preserve">) of the DSI Act requires a person to hold a </w:t>
      </w:r>
      <w:r w:rsidR="003B3063">
        <w:t>‘</w:t>
      </w:r>
      <w:r w:rsidR="002A3BB0">
        <w:t>certificate of compliance</w:t>
      </w:r>
      <w:r w:rsidR="003B3063">
        <w:t>’</w:t>
      </w:r>
      <w:r w:rsidR="0003182E">
        <w:t xml:space="preserve"> </w:t>
      </w:r>
      <w:r w:rsidR="002A3BB0">
        <w:t xml:space="preserve">for the regulated activity </w:t>
      </w:r>
      <w:r w:rsidR="00001CB2">
        <w:t>to</w:t>
      </w:r>
      <w:r w:rsidR="0003182E">
        <w:t xml:space="preserve"> be eligible for the payment arrangement or grant</w:t>
      </w:r>
      <w:r w:rsidR="00741C16">
        <w:t xml:space="preserve"> under section 13 of the DSI Act. </w:t>
      </w:r>
      <w:r w:rsidR="009E5E41">
        <w:t>The person must maintain that certificate of</w:t>
      </w:r>
      <w:r w:rsidR="009B55DD">
        <w:t xml:space="preserve"> compliance </w:t>
      </w:r>
      <w:r w:rsidR="00404561">
        <w:t xml:space="preserve">as a statutory funding condition under subsection 15(3) of the DSI Act. </w:t>
      </w:r>
      <w:r w:rsidR="003D477D">
        <w:t xml:space="preserve"> </w:t>
      </w:r>
      <w:r w:rsidR="00637D23">
        <w:t xml:space="preserve"> </w:t>
      </w:r>
    </w:p>
    <w:bookmarkEnd w:id="0"/>
    <w:p w14:paraId="280570D9" w14:textId="314F3A94" w:rsidR="005A1192" w:rsidRDefault="00EF1EEB" w:rsidP="00E525CC">
      <w:pPr>
        <w:pStyle w:val="ESPara"/>
      </w:pPr>
      <w:r>
        <w:t>A</w:t>
      </w:r>
      <w:r w:rsidR="00B904AB">
        <w:t xml:space="preserve"> certificate of compliance </w:t>
      </w:r>
      <w:r>
        <w:t xml:space="preserve">may be issued by an </w:t>
      </w:r>
      <w:r w:rsidR="00293B52">
        <w:t>accredited certification body und</w:t>
      </w:r>
      <w:r w:rsidR="008179A9">
        <w:t xml:space="preserve">er section 21 of the DSI Act if satisfied that the person complies with the </w:t>
      </w:r>
      <w:r w:rsidR="003B3063">
        <w:t>‘</w:t>
      </w:r>
      <w:r w:rsidR="008179A9">
        <w:t>compliance standards</w:t>
      </w:r>
      <w:r w:rsidR="003B3063">
        <w:t>’</w:t>
      </w:r>
      <w:r w:rsidR="008179A9">
        <w:t xml:space="preserve"> for those activities. </w:t>
      </w:r>
      <w:r w:rsidR="009B1861">
        <w:t xml:space="preserve">The compliance standards are </w:t>
      </w:r>
      <w:r w:rsidR="00591470">
        <w:t xml:space="preserve">the National Standards for Disability Services (NSDS) as </w:t>
      </w:r>
      <w:r w:rsidR="009B1861">
        <w:t xml:space="preserve">outlined in </w:t>
      </w:r>
      <w:r w:rsidR="00DB5558">
        <w:t xml:space="preserve">Part 2 of the </w:t>
      </w:r>
      <w:r w:rsidR="00DB5558">
        <w:rPr>
          <w:i/>
          <w:iCs/>
        </w:rPr>
        <w:t xml:space="preserve">Disability Services and Inclusion (Compliance Standards and Alternative Compliance </w:t>
      </w:r>
      <w:r w:rsidR="00DB5558">
        <w:rPr>
          <w:i/>
          <w:iCs/>
        </w:rPr>
        <w:lastRenderedPageBreak/>
        <w:t>Requirements) Rules 2023</w:t>
      </w:r>
      <w:r w:rsidR="00DB5558">
        <w:t>.</w:t>
      </w:r>
      <w:r w:rsidR="00583F9B" w:rsidRPr="00583F9B">
        <w:t xml:space="preserve"> </w:t>
      </w:r>
      <w:r w:rsidR="00583F9B">
        <w:t>In practice, the certification body assesses compliance through an audit carried out against the current version of the audit scheme specified for the activities.</w:t>
      </w:r>
    </w:p>
    <w:p w14:paraId="4EB04E9D" w14:textId="7FAA09E3" w:rsidR="00E525CC" w:rsidRDefault="00591470" w:rsidP="00E525CC">
      <w:pPr>
        <w:pStyle w:val="ESPara"/>
      </w:pPr>
      <w:bookmarkStart w:id="1" w:name="_Hlk200488370"/>
      <w:r>
        <w:t>As part of the transition to the DSI Act, existing NSDS</w:t>
      </w:r>
      <w:r w:rsidR="00D3187F" w:rsidRPr="00F1108F">
        <w:t xml:space="preserve"> audit schemes </w:t>
      </w:r>
      <w:r>
        <w:t xml:space="preserve">have been revised to address outdated provisions and update legislative references as needed. </w:t>
      </w:r>
      <w:r w:rsidR="00E525CC">
        <w:t xml:space="preserve">The </w:t>
      </w:r>
      <w:r w:rsidR="005777F9">
        <w:t xml:space="preserve">new </w:t>
      </w:r>
      <w:r w:rsidR="00E525CC">
        <w:t>schemes were developed by the Joint Accreditation System for Australia and New Zealand</w:t>
      </w:r>
      <w:r>
        <w:t xml:space="preserve"> as instructed by </w:t>
      </w:r>
      <w:r w:rsidR="00E525CC">
        <w:t xml:space="preserve">the department. </w:t>
      </w:r>
      <w:r>
        <w:t xml:space="preserve">These new schemes are available for new audits taking place on or after </w:t>
      </w:r>
      <w:r w:rsidR="00E525CC">
        <w:t xml:space="preserve">1 July 2025. </w:t>
      </w:r>
    </w:p>
    <w:p w14:paraId="07B216C4" w14:textId="2F3AE64B" w:rsidR="00B904AB" w:rsidRDefault="007D41C5" w:rsidP="00411416">
      <w:pPr>
        <w:pStyle w:val="ESPara"/>
      </w:pPr>
      <w:r>
        <w:t>Certificates</w:t>
      </w:r>
      <w:r w:rsidR="00743661">
        <w:t xml:space="preserve"> under the DS Act</w:t>
      </w:r>
      <w:r>
        <w:t xml:space="preserve"> are generally issued with an expiry date based on the date of issue (for example, three years from issue). To ensure that recently certified providers are not disadvantaged during the transition to the DSI Act, the updated audit schemes </w:t>
      </w:r>
      <w:r w:rsidR="005777F9">
        <w:t>include a transition policy which</w:t>
      </w:r>
      <w:r w:rsidR="00E525CC" w:rsidRPr="00E525CC">
        <w:t xml:space="preserve"> will </w:t>
      </w:r>
      <w:r w:rsidR="005777F9">
        <w:t>allow existing certificates to be reissued</w:t>
      </w:r>
      <w:r w:rsidR="00C710CB" w:rsidRPr="00F1108F">
        <w:t xml:space="preserve"> in </w:t>
      </w:r>
      <w:r w:rsidR="005777F9">
        <w:t xml:space="preserve">recognition of current certificate expiry dates, effectively matching current certification periods to ensure a smooth transition. </w:t>
      </w:r>
      <w:r>
        <w:t xml:space="preserve">However, to allow certifying </w:t>
      </w:r>
      <w:r w:rsidR="00E94D07" w:rsidRPr="00F1108F">
        <w:t xml:space="preserve">bodies </w:t>
      </w:r>
      <w:r>
        <w:t>to undertake due diligence, t</w:t>
      </w:r>
      <w:r w:rsidR="005777F9">
        <w:t>his process will not be able to be complete before 1 September 2025.</w:t>
      </w:r>
      <w:r w:rsidR="008179A9" w:rsidRPr="00F1108F">
        <w:t xml:space="preserve"> </w:t>
      </w:r>
      <w:r w:rsidR="00B904AB" w:rsidRPr="00F1108F">
        <w:t xml:space="preserve"> </w:t>
      </w:r>
    </w:p>
    <w:p w14:paraId="3BA77442" w14:textId="60403F37" w:rsidR="006F0C15" w:rsidRPr="004414D4" w:rsidRDefault="007D41C5" w:rsidP="006F0C15">
      <w:pPr>
        <w:pStyle w:val="ESPara"/>
        <w:rPr>
          <w:color w:val="FF0000"/>
        </w:rPr>
      </w:pPr>
      <w:r>
        <w:t>This creates a gap during which providers under the DSI Act may be in technical breach of the legislative requirements despite holding a current certificate of compliance</w:t>
      </w:r>
      <w:r w:rsidR="001772C2">
        <w:t xml:space="preserve"> under the DS Act</w:t>
      </w:r>
      <w:r>
        <w:t xml:space="preserve">. </w:t>
      </w:r>
      <w:r w:rsidR="00376CF0">
        <w:t xml:space="preserve">The purpose of </w:t>
      </w:r>
      <w:r w:rsidR="006F0C15">
        <w:t>th</w:t>
      </w:r>
      <w:r w:rsidR="00F17E0D">
        <w:t>is</w:t>
      </w:r>
      <w:r w:rsidR="00376CF0">
        <w:t xml:space="preserve"> </w:t>
      </w:r>
      <w:r w:rsidR="00366E5B" w:rsidRPr="00366E5B">
        <w:t xml:space="preserve">instrument </w:t>
      </w:r>
      <w:r w:rsidR="00CB79A2">
        <w:t xml:space="preserve">is to allow a person who holds a certificate of compliance </w:t>
      </w:r>
      <w:r w:rsidR="00A91A7B">
        <w:t>given under section 6D, 6DA or 6E of the</w:t>
      </w:r>
      <w:r w:rsidR="00CB79A2">
        <w:t xml:space="preserve"> DS Act </w:t>
      </w:r>
      <w:r w:rsidR="00830C39">
        <w:t xml:space="preserve">that is in force on 30 June 2025 to </w:t>
      </w:r>
      <w:r w:rsidR="00097829">
        <w:t>be el</w:t>
      </w:r>
      <w:r w:rsidR="00246306">
        <w:t>igible for a payment arrangement or grant under section 13 of the DSI Act that concerns a regulated activity</w:t>
      </w:r>
      <w:r w:rsidR="00AE3A3E">
        <w:t xml:space="preserve"> during the transition period of 1 July 2025 and 31 December 2025</w:t>
      </w:r>
      <w:r w:rsidR="00366E5B" w:rsidRPr="00366E5B">
        <w:t>.</w:t>
      </w:r>
      <w:r w:rsidR="00A141A9">
        <w:t xml:space="preserve"> After this period</w:t>
      </w:r>
      <w:r w:rsidR="0031043B">
        <w:t>,</w:t>
      </w:r>
      <w:r w:rsidR="00A141A9">
        <w:t xml:space="preserve"> it is expected that the person would </w:t>
      </w:r>
      <w:r w:rsidR="006F0C15">
        <w:t>hold</w:t>
      </w:r>
      <w:r w:rsidR="00A141A9">
        <w:t xml:space="preserve"> a new certificate of compliance </w:t>
      </w:r>
      <w:r w:rsidR="006F0C15">
        <w:t xml:space="preserve">under the DSI Act. </w:t>
      </w:r>
    </w:p>
    <w:bookmarkEnd w:id="1"/>
    <w:p w14:paraId="6DDE27AB" w14:textId="101616A4" w:rsidR="008E70DB" w:rsidRPr="00CF1454" w:rsidRDefault="003C786B" w:rsidP="00906216">
      <w:pPr>
        <w:pStyle w:val="ESPara"/>
        <w:rPr>
          <w:color w:val="FF0000"/>
        </w:rPr>
      </w:pPr>
      <w:r>
        <w:t xml:space="preserve">Prior to 1 July 2025, </w:t>
      </w:r>
      <w:r w:rsidR="00BD2FBF">
        <w:t xml:space="preserve">grants made for </w:t>
      </w:r>
      <w:r>
        <w:t>the Disability Employment Services (</w:t>
      </w:r>
      <w:r w:rsidRPr="008E70DB">
        <w:rPr>
          <w:b/>
          <w:bCs/>
        </w:rPr>
        <w:t>DES</w:t>
      </w:r>
      <w:r>
        <w:t xml:space="preserve">) Program </w:t>
      </w:r>
      <w:r w:rsidR="00311829">
        <w:t>and the National Disability Advocacy Program (</w:t>
      </w:r>
      <w:r w:rsidR="00311829" w:rsidRPr="005D03AA">
        <w:rPr>
          <w:b/>
          <w:bCs/>
        </w:rPr>
        <w:t>NDAP</w:t>
      </w:r>
      <w:r w:rsidR="00311829">
        <w:t xml:space="preserve">) </w:t>
      </w:r>
      <w:r w:rsidR="00BD2FBF">
        <w:t xml:space="preserve">were made under the </w:t>
      </w:r>
      <w:r>
        <w:t>DS</w:t>
      </w:r>
      <w:r w:rsidR="00A141A9">
        <w:t xml:space="preserve"> Act.</w:t>
      </w:r>
      <w:r w:rsidR="00C06C8A">
        <w:t xml:space="preserve"> </w:t>
      </w:r>
      <w:r w:rsidR="00570BD4">
        <w:t xml:space="preserve">Both </w:t>
      </w:r>
      <w:r w:rsidR="00E457FC" w:rsidRPr="009024FF">
        <w:t>program</w:t>
      </w:r>
      <w:r w:rsidR="00570BD4">
        <w:t>s</w:t>
      </w:r>
      <w:r w:rsidR="00E457FC" w:rsidRPr="009024FF">
        <w:t xml:space="preserve"> </w:t>
      </w:r>
      <w:r w:rsidR="00BD2FBF">
        <w:t>ha</w:t>
      </w:r>
      <w:r w:rsidR="00570BD4">
        <w:t>ve</w:t>
      </w:r>
      <w:r w:rsidR="00BD2FBF">
        <w:t xml:space="preserve"> been </w:t>
      </w:r>
      <w:r>
        <w:t>extended from 1 July 2025</w:t>
      </w:r>
      <w:r w:rsidR="00BD2FBF">
        <w:t xml:space="preserve"> by arrangement under section 13 of the DSI Act and therefore the</w:t>
      </w:r>
      <w:r w:rsidR="001B4E98">
        <w:t xml:space="preserve"> </w:t>
      </w:r>
      <w:r w:rsidR="000A02F5">
        <w:t>eligibility requirements of the DSI Act will apply</w:t>
      </w:r>
      <w:r w:rsidR="00BD2FBF">
        <w:t xml:space="preserve"> to </w:t>
      </w:r>
      <w:r w:rsidR="00570BD4">
        <w:t>both</w:t>
      </w:r>
      <w:r w:rsidR="00BD2FBF">
        <w:t xml:space="preserve"> </w:t>
      </w:r>
      <w:r w:rsidR="00570BD4">
        <w:t>programs</w:t>
      </w:r>
      <w:r w:rsidR="00BD2FBF">
        <w:t xml:space="preserve"> from 1 July 2025</w:t>
      </w:r>
      <w:r w:rsidR="000A02F5">
        <w:t>.</w:t>
      </w:r>
      <w:r w:rsidR="000F17A0">
        <w:t xml:space="preserve"> </w:t>
      </w:r>
      <w:r w:rsidR="008E70DB">
        <w:t xml:space="preserve">This instrument provides certainty that eligible persons delivering the DES </w:t>
      </w:r>
      <w:r w:rsidR="00570BD4">
        <w:t>and NDAP p</w:t>
      </w:r>
      <w:r w:rsidR="008E70DB">
        <w:t>rogram</w:t>
      </w:r>
      <w:r w:rsidR="00570BD4">
        <w:t>s</w:t>
      </w:r>
      <w:r w:rsidR="008E70DB">
        <w:t xml:space="preserve"> </w:t>
      </w:r>
      <w:proofErr w:type="gramStart"/>
      <w:r w:rsidR="008E70DB">
        <w:t>are able to</w:t>
      </w:r>
      <w:proofErr w:type="gramEnd"/>
      <w:r w:rsidR="008E70DB">
        <w:t xml:space="preserve"> meet the requirements of the DSI Act and their grant agreements during the transition.</w:t>
      </w:r>
    </w:p>
    <w:p w14:paraId="1699CE41" w14:textId="657B2E48" w:rsidR="006F0C15" w:rsidRDefault="003C786B" w:rsidP="00906216">
      <w:pPr>
        <w:pStyle w:val="ESPara"/>
      </w:pPr>
      <w:r>
        <w:t xml:space="preserve">Based on current data, around </w:t>
      </w:r>
      <w:r w:rsidR="000F17A0">
        <w:t>three quarters</w:t>
      </w:r>
      <w:r w:rsidR="006F0C15">
        <w:t xml:space="preserve"> of DES</w:t>
      </w:r>
      <w:r w:rsidR="00570BD4">
        <w:t xml:space="preserve"> and NDAP</w:t>
      </w:r>
      <w:r w:rsidR="006F0C15">
        <w:t xml:space="preserve"> providers (approximately </w:t>
      </w:r>
      <w:r w:rsidR="00570BD4">
        <w:t>1</w:t>
      </w:r>
      <w:r w:rsidR="00FC7EEE">
        <w:t>10</w:t>
      </w:r>
      <w:r w:rsidR="00570BD4">
        <w:t xml:space="preserve"> </w:t>
      </w:r>
      <w:r w:rsidR="006F0C15">
        <w:t xml:space="preserve">providers) will have their certificates </w:t>
      </w:r>
      <w:r w:rsidR="005D03AA">
        <w:t>preserved</w:t>
      </w:r>
      <w:r w:rsidR="005D03AA">
        <w:t xml:space="preserve"> </w:t>
      </w:r>
      <w:r w:rsidR="006F0C15">
        <w:t xml:space="preserve">by the </w:t>
      </w:r>
      <w:r w:rsidR="008A3697">
        <w:t>instrument</w:t>
      </w:r>
      <w:r w:rsidR="006F0C15">
        <w:t xml:space="preserve">. The remaining providers have certificates which have recently expired and will not be covered by the </w:t>
      </w:r>
      <w:r w:rsidR="005548C9">
        <w:t>instrument</w:t>
      </w:r>
      <w:r w:rsidR="006F0C15">
        <w:t xml:space="preserve">. For these providers, the </w:t>
      </w:r>
      <w:r w:rsidR="00BD2FBF">
        <w:t xml:space="preserve">Secretary </w:t>
      </w:r>
      <w:proofErr w:type="gramStart"/>
      <w:r w:rsidR="006F0C15">
        <w:t>is able to</w:t>
      </w:r>
      <w:proofErr w:type="gramEnd"/>
      <w:r w:rsidR="006F0C15">
        <w:t xml:space="preserve"> issue a determination under subsection 9(2) of the DSI Act, allowing them up to 15</w:t>
      </w:r>
      <w:r w:rsidR="00570BD4">
        <w:t> </w:t>
      </w:r>
      <w:r w:rsidR="006F0C15">
        <w:t>months to obtain a certificate of compliance</w:t>
      </w:r>
      <w:r>
        <w:t xml:space="preserve"> under</w:t>
      </w:r>
      <w:r w:rsidR="00F17E0D">
        <w:t xml:space="preserve"> the</w:t>
      </w:r>
      <w:r>
        <w:t xml:space="preserve"> new arrangements</w:t>
      </w:r>
      <w:r w:rsidR="006F0C15">
        <w:t>.</w:t>
      </w:r>
    </w:p>
    <w:p w14:paraId="47591DD9" w14:textId="77777777" w:rsidR="00AA4557" w:rsidRPr="00421C9E" w:rsidRDefault="00464080" w:rsidP="00100DFC">
      <w:pPr>
        <w:pStyle w:val="ESHeading"/>
      </w:pPr>
      <w:r w:rsidRPr="00421C9E">
        <w:t>Details</w:t>
      </w:r>
      <w:r w:rsidR="00AA4557" w:rsidRPr="00421C9E">
        <w:t xml:space="preserve"> of the instrument</w:t>
      </w:r>
    </w:p>
    <w:p w14:paraId="2C7C5AD3" w14:textId="1DC59129" w:rsidR="00593D02" w:rsidRPr="00421C9E" w:rsidRDefault="00593D02" w:rsidP="00593D02">
      <w:pPr>
        <w:pStyle w:val="ESSubparaHeader"/>
        <w:keepNext w:val="0"/>
      </w:pPr>
      <w:r w:rsidRPr="00421C9E">
        <w:t xml:space="preserve">Details of the instrument are included at </w:t>
      </w:r>
      <w:r w:rsidRPr="00421C9E">
        <w:rPr>
          <w:b/>
          <w:u w:val="single"/>
        </w:rPr>
        <w:t>Attachment A</w:t>
      </w:r>
      <w:r w:rsidRPr="00421C9E">
        <w:t xml:space="preserve">.  </w:t>
      </w:r>
    </w:p>
    <w:p w14:paraId="536F85B8" w14:textId="3C357AF1" w:rsidR="005D2D86" w:rsidRDefault="005D2D86" w:rsidP="00100DFC">
      <w:pPr>
        <w:pStyle w:val="ESHeading"/>
      </w:pPr>
      <w:r>
        <w:t>Consultation</w:t>
      </w:r>
    </w:p>
    <w:p w14:paraId="5EDA296D" w14:textId="1110A509" w:rsidR="00517374" w:rsidRPr="00517374" w:rsidRDefault="00517374" w:rsidP="00517374">
      <w:pPr>
        <w:pStyle w:val="ESPara"/>
      </w:pPr>
      <w:r w:rsidRPr="00E92829">
        <w:t xml:space="preserve">The instrument has been prepared in consultation with </w:t>
      </w:r>
      <w:r w:rsidR="00286A13" w:rsidRPr="004414D4">
        <w:t>the Joint Accreditation System of Australia and New Zealand</w:t>
      </w:r>
      <w:r w:rsidR="00C03490">
        <w:t xml:space="preserve"> (JASANZ) to develop the transition policy for certificates of compliance, which together with this instrument ensures a smooth transition to the DSI Act.</w:t>
      </w:r>
      <w:r w:rsidR="00286A13" w:rsidRPr="004414D4">
        <w:t xml:space="preserve"> </w:t>
      </w:r>
      <w:r w:rsidR="00C03490" w:rsidRPr="005D0E92">
        <w:t>JASANZ</w:t>
      </w:r>
      <w:r w:rsidR="00AF45D4">
        <w:t xml:space="preserve"> is the </w:t>
      </w:r>
      <w:r w:rsidR="00CD110D">
        <w:t xml:space="preserve">authority responsible under section 25 of the DSI Act for accrediting certification bodies who assess and issue certificates of compliance. </w:t>
      </w:r>
    </w:p>
    <w:p w14:paraId="63D1183B" w14:textId="7B743BF8" w:rsidR="002F1FE3" w:rsidRPr="002F1FE3" w:rsidRDefault="00517374" w:rsidP="00517374">
      <w:pPr>
        <w:pStyle w:val="ESPara"/>
      </w:pPr>
      <w:r w:rsidRPr="00517374">
        <w:lastRenderedPageBreak/>
        <w:t>The Office of Impact Analysis (</w:t>
      </w:r>
      <w:r w:rsidRPr="005C6E65">
        <w:rPr>
          <w:b/>
          <w:bCs/>
        </w:rPr>
        <w:t>OIA</w:t>
      </w:r>
      <w:r w:rsidRPr="00517374">
        <w:t xml:space="preserve">) was consulted and considered that a detailed analysis is not required under the Australian Government’s Policy Impact Analysis Framework and no regulatory impact statement was required. The OIA reference number is </w:t>
      </w:r>
      <w:r w:rsidR="00286A13" w:rsidRPr="004414D4">
        <w:rPr>
          <w:bCs/>
        </w:rPr>
        <w:t>OIA25-09513</w:t>
      </w:r>
      <w:r w:rsidRPr="00517374">
        <w:t>.</w:t>
      </w:r>
      <w:r w:rsidR="002F1FE3">
        <w:t xml:space="preserve"> </w:t>
      </w:r>
    </w:p>
    <w:p w14:paraId="497C65F8" w14:textId="6949E8A9" w:rsidR="00AA4557" w:rsidRPr="00421C9E" w:rsidRDefault="00AA4557" w:rsidP="00100DFC">
      <w:pPr>
        <w:pStyle w:val="ESHeading"/>
      </w:pPr>
      <w:r w:rsidRPr="00421C9E">
        <w:t xml:space="preserve">Parliamentary scrutiny etc.  </w:t>
      </w:r>
    </w:p>
    <w:p w14:paraId="66217F14" w14:textId="77777777" w:rsidR="00AA0881" w:rsidRDefault="00AA0881" w:rsidP="00AA0881">
      <w:pPr>
        <w:pStyle w:val="ESPara"/>
      </w:pPr>
      <w:r w:rsidRPr="00BD3FB9">
        <w:t>Th</w:t>
      </w:r>
      <w:r>
        <w:t>e</w:t>
      </w:r>
      <w:r w:rsidRPr="00BD3FB9">
        <w:t xml:space="preserve"> </w:t>
      </w:r>
      <w:r>
        <w:t>instrument is subject to disallowance under section 42 of the Legislation Act</w:t>
      </w:r>
      <w:r w:rsidRPr="00BD3FB9">
        <w:t>.</w:t>
      </w:r>
    </w:p>
    <w:p w14:paraId="1978903C" w14:textId="6B729ECA" w:rsidR="00B66D9D" w:rsidRDefault="00AA0881" w:rsidP="00AA0881">
      <w:pPr>
        <w:pStyle w:val="ESPara"/>
      </w:pPr>
      <w:r w:rsidRPr="0021464C">
        <w:t xml:space="preserve">A Statement of Compatibility with Human Rights has been prepared in relation to the </w:t>
      </w:r>
      <w:r>
        <w:t>instrument and</w:t>
      </w:r>
      <w:r w:rsidRPr="0021464C">
        <w:t xml:space="preserve"> provides that</w:t>
      </w:r>
      <w:r>
        <w:t xml:space="preserve"> the instrument</w:t>
      </w:r>
      <w:r w:rsidRPr="0021464C">
        <w:t xml:space="preserve"> is compatible with human rights </w:t>
      </w:r>
      <w:r w:rsidRPr="00F03E9B">
        <w:t xml:space="preserve">as it </w:t>
      </w:r>
      <w:r w:rsidR="003C786B" w:rsidRPr="005D0E92">
        <w:t>supports</w:t>
      </w:r>
      <w:r w:rsidRPr="00F03E9B">
        <w:t xml:space="preserve"> the </w:t>
      </w:r>
      <w:r w:rsidR="003C786B" w:rsidRPr="005D0E92">
        <w:t xml:space="preserve">continuity and smooth transition of programs that </w:t>
      </w:r>
      <w:r w:rsidR="00A36BEC" w:rsidRPr="005D0E92">
        <w:t>contribute</w:t>
      </w:r>
      <w:r w:rsidRPr="00F03E9B">
        <w:t xml:space="preserve"> to </w:t>
      </w:r>
      <w:r w:rsidR="00A36BEC" w:rsidRPr="005D0E92">
        <w:t>upholding</w:t>
      </w:r>
      <w:r w:rsidR="003C786B" w:rsidRPr="005D0E92">
        <w:t xml:space="preserve"> the rights of people with disability.</w:t>
      </w:r>
      <w:r>
        <w:t xml:space="preserve"> The Statement is included at </w:t>
      </w:r>
      <w:r w:rsidRPr="00AA0881">
        <w:rPr>
          <w:b/>
          <w:bCs/>
          <w:u w:val="single"/>
        </w:rPr>
        <w:t>Attachment B</w:t>
      </w:r>
      <w:r>
        <w:t>.</w:t>
      </w:r>
    </w:p>
    <w:p w14:paraId="75B6064D" w14:textId="77777777" w:rsidR="00B66D9D" w:rsidRDefault="00B66D9D" w:rsidP="00B66D9D">
      <w:pPr>
        <w:pStyle w:val="ESPara"/>
        <w:numPr>
          <w:ilvl w:val="0"/>
          <w:numId w:val="0"/>
        </w:numPr>
        <w:ind w:left="567" w:hanging="567"/>
      </w:pPr>
    </w:p>
    <w:p w14:paraId="6C6AE71B" w14:textId="10F5299E" w:rsidR="003B7689" w:rsidRPr="00AA0881" w:rsidRDefault="003B7689" w:rsidP="00AA0881">
      <w:pPr>
        <w:pStyle w:val="ESPara"/>
      </w:pPr>
      <w:r w:rsidRPr="00AA0881">
        <w:br w:type="page"/>
      </w:r>
    </w:p>
    <w:p w14:paraId="36EC882E" w14:textId="2AC27D27" w:rsidR="00915032" w:rsidRPr="00421C9E" w:rsidRDefault="003B7689" w:rsidP="003B7689">
      <w:pPr>
        <w:jc w:val="right"/>
        <w:rPr>
          <w:rFonts w:ascii="Times New Roman" w:hAnsi="Times New Roman" w:cs="Times New Roman"/>
          <w:b/>
          <w:u w:val="single"/>
        </w:rPr>
      </w:pPr>
      <w:r w:rsidRPr="00421C9E">
        <w:rPr>
          <w:rFonts w:ascii="Times New Roman" w:hAnsi="Times New Roman" w:cs="Times New Roman"/>
          <w:b/>
          <w:u w:val="single"/>
        </w:rPr>
        <w:lastRenderedPageBreak/>
        <w:t>Attachment A</w:t>
      </w:r>
    </w:p>
    <w:p w14:paraId="0414F1F3" w14:textId="6774489D" w:rsidR="003B7689" w:rsidRPr="00421C9E" w:rsidRDefault="003B7689" w:rsidP="003B7689">
      <w:pPr>
        <w:pStyle w:val="ESAttHeading"/>
        <w:rPr>
          <w:i/>
        </w:rPr>
      </w:pPr>
      <w:r w:rsidRPr="00421C9E">
        <w:t xml:space="preserve">Details of the </w:t>
      </w:r>
      <w:r w:rsidR="00B71521">
        <w:rPr>
          <w:i/>
          <w:iCs/>
        </w:rPr>
        <w:t>Disability Services and Inclusion (Consequential Amendments and Transitional Provisions)</w:t>
      </w:r>
      <w:r w:rsidR="003403F8">
        <w:rPr>
          <w:i/>
          <w:iCs/>
        </w:rPr>
        <w:t xml:space="preserve"> </w:t>
      </w:r>
      <w:r w:rsidR="00B71521">
        <w:rPr>
          <w:i/>
          <w:iCs/>
        </w:rPr>
        <w:t>Rules 2025</w:t>
      </w:r>
    </w:p>
    <w:p w14:paraId="1AF1ACB9" w14:textId="23B5B181" w:rsidR="000A4317" w:rsidRDefault="000A4317" w:rsidP="003B7689">
      <w:pPr>
        <w:pStyle w:val="ESAttHeading"/>
      </w:pPr>
      <w:r>
        <w:t>Part 1—Preliminary</w:t>
      </w:r>
    </w:p>
    <w:p w14:paraId="14D557F2" w14:textId="60AAFE7B" w:rsidR="003B7689" w:rsidRPr="00421C9E" w:rsidRDefault="003B7689" w:rsidP="003B7689">
      <w:pPr>
        <w:pStyle w:val="ESAttHeading"/>
      </w:pPr>
      <w:r w:rsidRPr="00421C9E">
        <w:t>Section 1</w:t>
      </w:r>
      <w:r w:rsidRPr="00421C9E">
        <w:tab/>
        <w:t>Name</w:t>
      </w:r>
    </w:p>
    <w:p w14:paraId="511F8FAD" w14:textId="7312A798" w:rsidR="005E0105" w:rsidRDefault="005E0105" w:rsidP="003B7689">
      <w:pPr>
        <w:pStyle w:val="ESAttNormal"/>
      </w:pPr>
      <w:r w:rsidRPr="005E0105">
        <w:t xml:space="preserve">This section provides that the name of the instrument is the </w:t>
      </w:r>
      <w:bookmarkStart w:id="2" w:name="_Hlk199520928"/>
      <w:r w:rsidR="00B71521">
        <w:rPr>
          <w:i/>
          <w:iCs/>
        </w:rPr>
        <w:t>Disability Services and Inclusion (Consequential Amendments and Transitional Provisions) Rules 2025</w:t>
      </w:r>
      <w:bookmarkEnd w:id="2"/>
      <w:r w:rsidRPr="005E0105">
        <w:t xml:space="preserve">.   </w:t>
      </w:r>
    </w:p>
    <w:p w14:paraId="2E1E361E" w14:textId="4AB0A361" w:rsidR="003B7689" w:rsidRPr="00421C9E" w:rsidRDefault="003B7689" w:rsidP="003B7689">
      <w:pPr>
        <w:pStyle w:val="ESAttHeading"/>
      </w:pPr>
      <w:r w:rsidRPr="00421C9E">
        <w:t>Section 2</w:t>
      </w:r>
      <w:r w:rsidRPr="00421C9E">
        <w:tab/>
        <w:t xml:space="preserve">Commencement </w:t>
      </w:r>
    </w:p>
    <w:p w14:paraId="10B9562C" w14:textId="0210FBFB" w:rsidR="002F1FE3" w:rsidRPr="00421C9E" w:rsidRDefault="003B7689">
      <w:pPr>
        <w:pStyle w:val="ESAttNormal"/>
      </w:pPr>
      <w:r w:rsidRPr="00421C9E">
        <w:t>This section provides that the instrument commences on the day</w:t>
      </w:r>
      <w:r w:rsidR="00FA2461">
        <w:t xml:space="preserve"> after registration on the Federal Register of Legislation.</w:t>
      </w:r>
      <w:r w:rsidR="002F1FE3">
        <w:t xml:space="preserve">  </w:t>
      </w:r>
    </w:p>
    <w:p w14:paraId="3057ADE8" w14:textId="25276342" w:rsidR="00B218A5" w:rsidRPr="00421C9E" w:rsidRDefault="00B218A5" w:rsidP="00B218A5">
      <w:pPr>
        <w:pStyle w:val="ESHeading"/>
      </w:pPr>
      <w:r w:rsidRPr="00421C9E">
        <w:rPr>
          <w:i w:val="0"/>
        </w:rPr>
        <w:t>Section 3</w:t>
      </w:r>
      <w:r w:rsidRPr="00421C9E">
        <w:rPr>
          <w:i w:val="0"/>
        </w:rPr>
        <w:tab/>
      </w:r>
      <w:r w:rsidR="000E295A">
        <w:rPr>
          <w:i w:val="0"/>
        </w:rPr>
        <w:t>Authority</w:t>
      </w:r>
    </w:p>
    <w:p w14:paraId="4B344D4F" w14:textId="17F208C3" w:rsidR="000E295A" w:rsidRDefault="00052376" w:rsidP="006C6AD7">
      <w:pPr>
        <w:pStyle w:val="ESAttNormal"/>
      </w:pPr>
      <w:r>
        <w:t>This section</w:t>
      </w:r>
      <w:r w:rsidR="000E295A">
        <w:t xml:space="preserve"> provides that </w:t>
      </w:r>
      <w:r>
        <w:t>the instrument</w:t>
      </w:r>
      <w:r w:rsidR="000E295A">
        <w:t xml:space="preserve"> is made under</w:t>
      </w:r>
      <w:r w:rsidR="001A069A">
        <w:t xml:space="preserve"> item 10 of Schedule 3 of</w:t>
      </w:r>
      <w:r w:rsidR="000E295A">
        <w:t xml:space="preserve"> </w:t>
      </w:r>
      <w:r w:rsidR="006C6AD7">
        <w:t>the Act</w:t>
      </w:r>
      <w:r w:rsidR="000E295A">
        <w:t>.</w:t>
      </w:r>
    </w:p>
    <w:p w14:paraId="59D5E2B0" w14:textId="566833EC" w:rsidR="000E295A" w:rsidRDefault="001101D9" w:rsidP="000E295A">
      <w:pPr>
        <w:pStyle w:val="ESAttNormal"/>
      </w:pPr>
      <w:r>
        <w:t xml:space="preserve">That provision allows the Minister to make rules prescribing matters of a transitional nature (including prescribing any saving or applications provisions) relating to the enactment of the </w:t>
      </w:r>
      <w:r w:rsidRPr="001101D9">
        <w:t>DSI Act</w:t>
      </w:r>
      <w:r>
        <w:t xml:space="preserve"> </w:t>
      </w:r>
      <w:r w:rsidRPr="00644C6E">
        <w:t>or</w:t>
      </w:r>
      <w:r>
        <w:t xml:space="preserve"> the amendments or repeals made by Schedule 1 or 2 of the Act.</w:t>
      </w:r>
      <w:r w:rsidR="000E295A">
        <w:t xml:space="preserve">  </w:t>
      </w:r>
    </w:p>
    <w:p w14:paraId="4E01808B" w14:textId="6D81A7B2" w:rsidR="003B7689" w:rsidRPr="00421C9E" w:rsidRDefault="003B7689" w:rsidP="003B7689">
      <w:pPr>
        <w:pStyle w:val="ESHeading"/>
      </w:pPr>
      <w:r w:rsidRPr="00421C9E">
        <w:rPr>
          <w:i w:val="0"/>
        </w:rPr>
        <w:t xml:space="preserve">Section </w:t>
      </w:r>
      <w:r w:rsidR="00B218A5" w:rsidRPr="00421C9E">
        <w:rPr>
          <w:i w:val="0"/>
        </w:rPr>
        <w:t>4</w:t>
      </w:r>
      <w:r w:rsidRPr="00421C9E">
        <w:rPr>
          <w:i w:val="0"/>
        </w:rPr>
        <w:tab/>
      </w:r>
      <w:r w:rsidR="00987C70">
        <w:rPr>
          <w:i w:val="0"/>
        </w:rPr>
        <w:t>Interpretation</w:t>
      </w:r>
    </w:p>
    <w:p w14:paraId="7120F715" w14:textId="465CCFF0" w:rsidR="0054675F" w:rsidRDefault="0054675F" w:rsidP="0054675F">
      <w:pPr>
        <w:pStyle w:val="ESAttNormal"/>
      </w:pPr>
      <w:r w:rsidRPr="0054675F">
        <w:t xml:space="preserve">Section 4 provides </w:t>
      </w:r>
      <w:r w:rsidR="00BB2DBA">
        <w:t xml:space="preserve">definitions for </w:t>
      </w:r>
      <w:r w:rsidR="00EE7CE5">
        <w:t xml:space="preserve">the following </w:t>
      </w:r>
      <w:r w:rsidR="00BB2DBA">
        <w:t>terms used in the instrument</w:t>
      </w:r>
      <w:r w:rsidR="00EE7CE5">
        <w:t>:</w:t>
      </w:r>
    </w:p>
    <w:p w14:paraId="29ED7363" w14:textId="77777777" w:rsidR="002E6DFC" w:rsidRDefault="002E6DFC" w:rsidP="00F1108F">
      <w:pPr>
        <w:pStyle w:val="ESAttNormal"/>
        <w:numPr>
          <w:ilvl w:val="0"/>
          <w:numId w:val="51"/>
        </w:numPr>
      </w:pPr>
      <w:r w:rsidRPr="002E6DFC">
        <w:rPr>
          <w:b/>
          <w:bCs/>
          <w:i/>
          <w:iCs/>
        </w:rPr>
        <w:t>Act</w:t>
      </w:r>
      <w:r>
        <w:t xml:space="preserve"> means the </w:t>
      </w:r>
      <w:r w:rsidRPr="00936A84">
        <w:rPr>
          <w:i/>
          <w:iCs/>
        </w:rPr>
        <w:t>Disability Services and Inclusion (Consequential Amendments and Transitional Provisions) Act 2023</w:t>
      </w:r>
      <w:r>
        <w:t>.</w:t>
      </w:r>
    </w:p>
    <w:p w14:paraId="2BDB9073" w14:textId="77777777" w:rsidR="003403F8" w:rsidRDefault="003403F8" w:rsidP="003403F8">
      <w:pPr>
        <w:pStyle w:val="ESAttNormal"/>
        <w:numPr>
          <w:ilvl w:val="0"/>
          <w:numId w:val="51"/>
        </w:numPr>
      </w:pPr>
      <w:r>
        <w:rPr>
          <w:b/>
          <w:bCs/>
          <w:i/>
          <w:iCs/>
        </w:rPr>
        <w:t>Advocacy service</w:t>
      </w:r>
      <w:r>
        <w:t xml:space="preserve"> has the same meaning in section 7 of the DS Act.</w:t>
      </w:r>
    </w:p>
    <w:p w14:paraId="146E26D3" w14:textId="0854FD0A" w:rsidR="002E6DFC" w:rsidRDefault="002E6DFC" w:rsidP="00F1108F">
      <w:pPr>
        <w:pStyle w:val="ESAttNormal"/>
        <w:numPr>
          <w:ilvl w:val="0"/>
          <w:numId w:val="51"/>
        </w:numPr>
      </w:pPr>
      <w:r w:rsidRPr="002E6DFC">
        <w:rPr>
          <w:b/>
          <w:bCs/>
          <w:i/>
          <w:iCs/>
        </w:rPr>
        <w:t>DS Act</w:t>
      </w:r>
      <w:r>
        <w:t xml:space="preserve"> means the </w:t>
      </w:r>
      <w:r w:rsidRPr="00F1108F">
        <w:rPr>
          <w:i/>
          <w:iCs/>
        </w:rPr>
        <w:t>Disability Services Act 1986</w:t>
      </w:r>
      <w:r>
        <w:t>.</w:t>
      </w:r>
    </w:p>
    <w:p w14:paraId="60D4272B" w14:textId="77777777" w:rsidR="002E6DFC" w:rsidRDefault="002E6DFC" w:rsidP="00F1108F">
      <w:pPr>
        <w:pStyle w:val="ESAttNormal"/>
        <w:numPr>
          <w:ilvl w:val="0"/>
          <w:numId w:val="51"/>
        </w:numPr>
      </w:pPr>
      <w:r w:rsidRPr="002E6DFC">
        <w:rPr>
          <w:b/>
          <w:bCs/>
          <w:i/>
          <w:iCs/>
        </w:rPr>
        <w:t>DSI Act</w:t>
      </w:r>
      <w:r>
        <w:t xml:space="preserve"> means the </w:t>
      </w:r>
      <w:r w:rsidRPr="00F1108F">
        <w:rPr>
          <w:i/>
          <w:iCs/>
        </w:rPr>
        <w:t>Disability Services and Inclusion Act 2023</w:t>
      </w:r>
      <w:r>
        <w:t>.</w:t>
      </w:r>
    </w:p>
    <w:p w14:paraId="45EF9781" w14:textId="788EB4AA" w:rsidR="002E6DFC" w:rsidRDefault="002E6DFC" w:rsidP="00F1108F">
      <w:pPr>
        <w:pStyle w:val="ESAttNormal"/>
        <w:numPr>
          <w:ilvl w:val="0"/>
          <w:numId w:val="51"/>
        </w:numPr>
      </w:pPr>
      <w:r w:rsidRPr="002E6DFC">
        <w:rPr>
          <w:b/>
          <w:bCs/>
          <w:i/>
          <w:iCs/>
        </w:rPr>
        <w:t>Employment service</w:t>
      </w:r>
      <w:r>
        <w:t xml:space="preserve"> has the same meaning in</w:t>
      </w:r>
      <w:r w:rsidR="003703F9">
        <w:t xml:space="preserve"> section 7 </w:t>
      </w:r>
      <w:r>
        <w:t>the DS Act.</w:t>
      </w:r>
    </w:p>
    <w:p w14:paraId="13940582" w14:textId="53B6DF8B" w:rsidR="002E6DFC" w:rsidRPr="00B15B55" w:rsidRDefault="002E6DFC" w:rsidP="00F1108F">
      <w:pPr>
        <w:pStyle w:val="ESAttNormal"/>
        <w:numPr>
          <w:ilvl w:val="0"/>
          <w:numId w:val="51"/>
        </w:numPr>
      </w:pPr>
      <w:r w:rsidRPr="002E6DFC">
        <w:rPr>
          <w:b/>
          <w:bCs/>
          <w:i/>
          <w:iCs/>
        </w:rPr>
        <w:t>Regulated activity</w:t>
      </w:r>
      <w:r>
        <w:t xml:space="preserve"> has the same meaning in </w:t>
      </w:r>
      <w:r w:rsidR="00A314EF">
        <w:t xml:space="preserve">section 8 of </w:t>
      </w:r>
      <w:r>
        <w:t>the DSI Act</w:t>
      </w:r>
      <w:r w:rsidR="00A314EF">
        <w:t xml:space="preserve">, which means an activity specified in an instrument in force under section 11 of the DSI Act. </w:t>
      </w:r>
      <w:r w:rsidR="00B15B55">
        <w:t xml:space="preserve">Section 5 of the </w:t>
      </w:r>
      <w:r w:rsidR="00B15B55">
        <w:rPr>
          <w:i/>
          <w:iCs/>
        </w:rPr>
        <w:t xml:space="preserve">Disability Services and Inclusion (Regulated Activities) Determination 2023 </w:t>
      </w:r>
      <w:r w:rsidR="00B15B55">
        <w:t>specifies the kinds of activities that a</w:t>
      </w:r>
      <w:r w:rsidR="00965E47">
        <w:t xml:space="preserve">re a regulated activity. </w:t>
      </w:r>
    </w:p>
    <w:p w14:paraId="62992081" w14:textId="77777777" w:rsidR="003403F8" w:rsidRDefault="003403F8" w:rsidP="003403F8">
      <w:pPr>
        <w:pStyle w:val="ESAttNormal"/>
        <w:numPr>
          <w:ilvl w:val="0"/>
          <w:numId w:val="51"/>
        </w:numPr>
      </w:pPr>
      <w:r>
        <w:rPr>
          <w:b/>
          <w:bCs/>
          <w:i/>
          <w:iCs/>
        </w:rPr>
        <w:t>Rehabilitation program</w:t>
      </w:r>
      <w:r>
        <w:t xml:space="preserve"> has the same meaning in Part III of the DS Act.</w:t>
      </w:r>
    </w:p>
    <w:p w14:paraId="7F2024F6" w14:textId="3D37FCDA" w:rsidR="00BB2DBA" w:rsidRDefault="002E6DFC" w:rsidP="00F1108F">
      <w:pPr>
        <w:pStyle w:val="ESAttNormal"/>
        <w:numPr>
          <w:ilvl w:val="0"/>
          <w:numId w:val="51"/>
        </w:numPr>
      </w:pPr>
      <w:r w:rsidRPr="002E6DFC">
        <w:rPr>
          <w:b/>
          <w:bCs/>
          <w:i/>
          <w:iCs/>
        </w:rPr>
        <w:t>Transition Period</w:t>
      </w:r>
      <w:r>
        <w:t xml:space="preserve"> means the period starting on 1 July 2025 and ending 31 December 2025.</w:t>
      </w:r>
    </w:p>
    <w:p w14:paraId="78498256" w14:textId="399409C1" w:rsidR="000A4317" w:rsidRDefault="000A4317" w:rsidP="005F2190">
      <w:pPr>
        <w:pStyle w:val="ESAttNormal"/>
        <w:rPr>
          <w:b/>
        </w:rPr>
      </w:pPr>
      <w:r>
        <w:rPr>
          <w:b/>
        </w:rPr>
        <w:t>Part 2—Transitional Rules for Certificates of Compliance under the DSI Act</w:t>
      </w:r>
    </w:p>
    <w:p w14:paraId="63C6282E" w14:textId="12300590" w:rsidR="005F2190" w:rsidRPr="005F2190" w:rsidRDefault="005F2190" w:rsidP="005F2190">
      <w:pPr>
        <w:pStyle w:val="ESAttNormal"/>
        <w:rPr>
          <w:b/>
        </w:rPr>
      </w:pPr>
      <w:r w:rsidRPr="005F2190">
        <w:rPr>
          <w:b/>
        </w:rPr>
        <w:lastRenderedPageBreak/>
        <w:t xml:space="preserve">Section </w:t>
      </w:r>
      <w:r w:rsidR="004022FD">
        <w:rPr>
          <w:b/>
        </w:rPr>
        <w:t>5</w:t>
      </w:r>
      <w:r w:rsidR="002129D0">
        <w:rPr>
          <w:b/>
        </w:rPr>
        <w:tab/>
        <w:t>Certificates of compliance issued under DS Act have effect under the DSI Act</w:t>
      </w:r>
    </w:p>
    <w:p w14:paraId="173C1939" w14:textId="54623C3F" w:rsidR="00FE796C" w:rsidRDefault="00AE65D9" w:rsidP="002129D0">
      <w:pPr>
        <w:pStyle w:val="ESAttNormal"/>
      </w:pPr>
      <w:r w:rsidRPr="00333999">
        <w:t>Sub</w:t>
      </w:r>
      <w:r w:rsidR="002129D0" w:rsidRPr="00333999">
        <w:t>section</w:t>
      </w:r>
      <w:r w:rsidRPr="00333999">
        <w:t xml:space="preserve"> 5(1)</w:t>
      </w:r>
      <w:r w:rsidR="00451F56">
        <w:t xml:space="preserve"> </w:t>
      </w:r>
      <w:r w:rsidR="008E1E26">
        <w:t>allows a person to</w:t>
      </w:r>
      <w:r w:rsidR="003C5F5D">
        <w:t xml:space="preserve"> satisfy subparagraph 9(1)(a)(</w:t>
      </w:r>
      <w:proofErr w:type="spellStart"/>
      <w:r w:rsidR="003C5F5D">
        <w:t>i</w:t>
      </w:r>
      <w:proofErr w:type="spellEnd"/>
      <w:r w:rsidR="003C5F5D">
        <w:t xml:space="preserve">) of the DSI Act </w:t>
      </w:r>
      <w:r w:rsidR="009F120D">
        <w:t>during the transition period (1 July 2025 to 31 December 2025) if the person holds a certificat</w:t>
      </w:r>
      <w:r w:rsidR="00CE1B05">
        <w:t>e of compliance under section 6D, 6DA or 6E of the DS Act. The certificate must be in force on 30 June 2025</w:t>
      </w:r>
      <w:r w:rsidR="008F17C5">
        <w:t xml:space="preserve"> and </w:t>
      </w:r>
      <w:r w:rsidR="007B2034">
        <w:t xml:space="preserve">be </w:t>
      </w:r>
      <w:r w:rsidR="008F17C5">
        <w:t xml:space="preserve">for a service or program under </w:t>
      </w:r>
      <w:r w:rsidR="00913E3C">
        <w:t>the DSI Act that is</w:t>
      </w:r>
      <w:r w:rsidR="00D66F2C">
        <w:t xml:space="preserve"> now</w:t>
      </w:r>
      <w:r w:rsidR="00913E3C">
        <w:t xml:space="preserve"> a regulated activity</w:t>
      </w:r>
      <w:r w:rsidR="00C23C18">
        <w:t xml:space="preserve"> under section 13 of the DSI Act. </w:t>
      </w:r>
    </w:p>
    <w:p w14:paraId="102AECF2" w14:textId="17ABD2E4" w:rsidR="00BB50BE" w:rsidRDefault="002004CD" w:rsidP="002129D0">
      <w:pPr>
        <w:pStyle w:val="ESAttNormal"/>
      </w:pPr>
      <w:r>
        <w:t>The purpose of th</w:t>
      </w:r>
      <w:r w:rsidR="00424AFB">
        <w:t>is</w:t>
      </w:r>
      <w:r>
        <w:t xml:space="preserve"> section is to </w:t>
      </w:r>
      <w:r w:rsidR="00B87B36">
        <w:t>allow</w:t>
      </w:r>
      <w:r>
        <w:t xml:space="preserve"> </w:t>
      </w:r>
      <w:r w:rsidR="00EE3A3E">
        <w:t xml:space="preserve">persons who provide </w:t>
      </w:r>
      <w:r w:rsidR="008904EC">
        <w:t>a service or program under the DS Act to</w:t>
      </w:r>
      <w:r w:rsidR="00C41822">
        <w:t xml:space="preserve"> </w:t>
      </w:r>
      <w:r w:rsidR="008904EC">
        <w:t>cont</w:t>
      </w:r>
      <w:r w:rsidR="00C41822">
        <w:t>inue</w:t>
      </w:r>
      <w:r w:rsidR="00D9445E">
        <w:t xml:space="preserve"> to provide those services or programs </w:t>
      </w:r>
      <w:r w:rsidR="007D0441">
        <w:t xml:space="preserve">where they </w:t>
      </w:r>
      <w:r w:rsidR="00E721E1">
        <w:t xml:space="preserve">are now a regulated activity </w:t>
      </w:r>
      <w:r w:rsidR="00154B04">
        <w:t>under the DSI Act.</w:t>
      </w:r>
      <w:r w:rsidR="00C44B64">
        <w:t xml:space="preserve"> </w:t>
      </w:r>
      <w:r w:rsidR="005B146F">
        <w:t xml:space="preserve">Reference to </w:t>
      </w:r>
      <w:r w:rsidR="000F67EA">
        <w:t>the grant opportunity guidelines</w:t>
      </w:r>
      <w:r w:rsidR="00C44B64">
        <w:t xml:space="preserve"> for the payment arrangement or grant under section 13 of the DSI Act</w:t>
      </w:r>
      <w:r w:rsidR="000F67EA">
        <w:t xml:space="preserve"> will assist with determining whether </w:t>
      </w:r>
      <w:r w:rsidR="0090147E">
        <w:t>th</w:t>
      </w:r>
      <w:r w:rsidR="000F67EA">
        <w:t xml:space="preserve">e service or program </w:t>
      </w:r>
      <w:r w:rsidR="0090147E">
        <w:t xml:space="preserve">is a regulated activity. </w:t>
      </w:r>
    </w:p>
    <w:p w14:paraId="41C01F96" w14:textId="6A746DBD" w:rsidR="005A7BE1" w:rsidRDefault="0090147E" w:rsidP="002129D0">
      <w:pPr>
        <w:pStyle w:val="ESAttNormal"/>
      </w:pPr>
      <w:r>
        <w:t>Subsection 5(2)</w:t>
      </w:r>
      <w:r w:rsidR="00955BF6">
        <w:t xml:space="preserve"> </w:t>
      </w:r>
      <w:r>
        <w:t xml:space="preserve">provides that </w:t>
      </w:r>
      <w:r w:rsidR="00E40BD1">
        <w:t>a certificate of compliance given under the DS Act is in force on 30</w:t>
      </w:r>
      <w:r w:rsidR="006F7894">
        <w:t> </w:t>
      </w:r>
      <w:r w:rsidR="00E40BD1">
        <w:t>June 2025 if</w:t>
      </w:r>
      <w:r w:rsidR="00F23579">
        <w:t xml:space="preserve"> the certificate has not been revoked by that date and the certification body which gave the certificate has not lost its accreditation</w:t>
      </w:r>
      <w:r w:rsidR="00E84B6F">
        <w:t>.</w:t>
      </w:r>
      <w:r w:rsidR="00A36BEC">
        <w:t xml:space="preserve"> </w:t>
      </w:r>
    </w:p>
    <w:p w14:paraId="147C3DFE" w14:textId="77777777" w:rsidR="00766A48" w:rsidRDefault="00F31C33" w:rsidP="00424CBF">
      <w:pPr>
        <w:pStyle w:val="ESAttNormal"/>
      </w:pPr>
      <w:r>
        <w:t xml:space="preserve">The notes </w:t>
      </w:r>
      <w:r w:rsidR="004D7E76">
        <w:t xml:space="preserve">in section 5 assist with explaining the effect of </w:t>
      </w:r>
      <w:r w:rsidR="004A1BD5">
        <w:t xml:space="preserve">relevant savings provisions in the Act. </w:t>
      </w:r>
    </w:p>
    <w:p w14:paraId="19504175" w14:textId="290954B9" w:rsidR="00766A48" w:rsidRDefault="006E22D8" w:rsidP="00424CBF">
      <w:pPr>
        <w:pStyle w:val="ESAttNormal"/>
      </w:pPr>
      <w:r>
        <w:t xml:space="preserve">Notes 1 and 2 </w:t>
      </w:r>
      <w:r w:rsidR="0014108D">
        <w:t xml:space="preserve">explain that grants of financial assistance made under Part II or </w:t>
      </w:r>
      <w:r w:rsidR="00F1433D">
        <w:t xml:space="preserve">measures or arrangements made under Part III of the DS Act can continue to be administered and have effect after 1 January 2024 until </w:t>
      </w:r>
      <w:r w:rsidR="007B70B6">
        <w:t xml:space="preserve">those </w:t>
      </w:r>
      <w:r w:rsidR="003C40D1">
        <w:t xml:space="preserve">funding </w:t>
      </w:r>
      <w:r w:rsidR="007B70B6">
        <w:t>agreements</w:t>
      </w:r>
      <w:r w:rsidR="003C40D1">
        <w:t>, measures or arrangements</w:t>
      </w:r>
      <w:r w:rsidR="007B70B6">
        <w:t xml:space="preserve"> </w:t>
      </w:r>
      <w:r w:rsidR="003C40D1">
        <w:t>expire.</w:t>
      </w:r>
      <w:r w:rsidR="009F3DDC">
        <w:t xml:space="preserve"> </w:t>
      </w:r>
      <w:r w:rsidR="005D2345">
        <w:t xml:space="preserve">This </w:t>
      </w:r>
      <w:r w:rsidR="00A9432B">
        <w:t>assists</w:t>
      </w:r>
      <w:r w:rsidR="008F12DF">
        <w:t xml:space="preserve"> in explaining that certificates of </w:t>
      </w:r>
      <w:r w:rsidR="00DD32F0">
        <w:t xml:space="preserve">compliance will be in force where a grant, measure or arrangement under Part II or III of the DS Act is </w:t>
      </w:r>
      <w:r w:rsidR="0093232A">
        <w:t xml:space="preserve">also still in force on 30 June 2025. </w:t>
      </w:r>
    </w:p>
    <w:p w14:paraId="166C3A80" w14:textId="6603FCBC" w:rsidR="00424CBF" w:rsidRDefault="005D2EAA" w:rsidP="00424CBF">
      <w:pPr>
        <w:pStyle w:val="ESAttNormal"/>
      </w:pPr>
      <w:r>
        <w:t xml:space="preserve">Note 3 explains that an accreditation under </w:t>
      </w:r>
      <w:r w:rsidR="00BD1BD6">
        <w:t xml:space="preserve">Part IA of the DS Act continues in relation to the continued application of Parts II and III of the DS Act. </w:t>
      </w:r>
      <w:r w:rsidR="009E75DE">
        <w:t>This</w:t>
      </w:r>
      <w:r w:rsidR="006F65DD">
        <w:t xml:space="preserve"> </w:t>
      </w:r>
      <w:r w:rsidR="00643D70">
        <w:t xml:space="preserve">assists in explaining that </w:t>
      </w:r>
      <w:r w:rsidR="00DC60F0">
        <w:t xml:space="preserve">the certification body that gave the certificate </w:t>
      </w:r>
      <w:r w:rsidR="00B647A6">
        <w:t>is not taken to h</w:t>
      </w:r>
      <w:r w:rsidR="00643D70">
        <w:t>a</w:t>
      </w:r>
      <w:r w:rsidR="00B647A6">
        <w:t>ve</w:t>
      </w:r>
      <w:r w:rsidR="00DC60F0">
        <w:t xml:space="preserve"> </w:t>
      </w:r>
      <w:r w:rsidR="00B647A6">
        <w:t xml:space="preserve">automatically </w:t>
      </w:r>
      <w:r w:rsidR="00DC60F0">
        <w:t xml:space="preserve">ceased to be accredited </w:t>
      </w:r>
      <w:proofErr w:type="gramStart"/>
      <w:r w:rsidR="00DC60F0">
        <w:t>as a result of</w:t>
      </w:r>
      <w:proofErr w:type="gramEnd"/>
      <w:r w:rsidR="00DC60F0">
        <w:t xml:space="preserve"> the repeal of the</w:t>
      </w:r>
      <w:r w:rsidR="00B647A6">
        <w:t xml:space="preserve"> DS Act</w:t>
      </w:r>
      <w:r w:rsidR="00766A48">
        <w:t xml:space="preserve">. </w:t>
      </w:r>
    </w:p>
    <w:p w14:paraId="649DE47D" w14:textId="77777777" w:rsidR="00EC5914" w:rsidRDefault="00EC5914">
      <w:pPr>
        <w:rPr>
          <w:rFonts w:ascii="Times New Roman" w:hAnsi="Times New Roman" w:cs="Times New Roman"/>
          <w:b/>
          <w:u w:val="single"/>
        </w:rPr>
      </w:pPr>
      <w:bookmarkStart w:id="3" w:name="_Hlk198887796"/>
      <w:r>
        <w:br w:type="page"/>
      </w:r>
    </w:p>
    <w:p w14:paraId="0D8F0186" w14:textId="2F54D5E1" w:rsidR="006129BE" w:rsidRPr="00421C9E" w:rsidRDefault="006129BE" w:rsidP="006129BE">
      <w:pPr>
        <w:pStyle w:val="ESAttAttName"/>
      </w:pPr>
      <w:r w:rsidRPr="00421C9E">
        <w:lastRenderedPageBreak/>
        <w:t>Attachment B</w:t>
      </w:r>
    </w:p>
    <w:p w14:paraId="423A32DE" w14:textId="77777777" w:rsidR="006129BE" w:rsidRPr="00FB4929" w:rsidRDefault="006129BE" w:rsidP="006129BE">
      <w:pPr>
        <w:spacing w:before="360" w:after="120" w:line="240" w:lineRule="auto"/>
        <w:jc w:val="center"/>
        <w:outlineLvl w:val="1"/>
        <w:rPr>
          <w:rFonts w:ascii="Times New Roman" w:hAnsi="Times New Roman"/>
          <w:b/>
          <w:sz w:val="28"/>
          <w:szCs w:val="28"/>
        </w:rPr>
      </w:pPr>
      <w:r w:rsidRPr="00FB4929">
        <w:rPr>
          <w:rFonts w:ascii="Times New Roman" w:hAnsi="Times New Roman"/>
          <w:b/>
          <w:sz w:val="28"/>
          <w:szCs w:val="28"/>
        </w:rPr>
        <w:t>Statement of Compatibility with Human Rights</w:t>
      </w:r>
    </w:p>
    <w:p w14:paraId="4DBE4989" w14:textId="77777777" w:rsidR="006129BE" w:rsidRPr="00FB4929" w:rsidRDefault="006129BE" w:rsidP="006129BE">
      <w:pPr>
        <w:spacing w:before="120" w:after="120" w:line="240" w:lineRule="auto"/>
        <w:jc w:val="center"/>
        <w:rPr>
          <w:rFonts w:ascii="Times New Roman" w:hAnsi="Times New Roman"/>
          <w:sz w:val="24"/>
          <w:szCs w:val="24"/>
        </w:rPr>
      </w:pPr>
      <w:r w:rsidRPr="00FB4929">
        <w:rPr>
          <w:rFonts w:ascii="Times New Roman" w:hAnsi="Times New Roman"/>
          <w:i/>
          <w:sz w:val="24"/>
          <w:szCs w:val="24"/>
        </w:rPr>
        <w:t>Prepared in accordance with Part 3 of the Human Rights (Parliamentary Scrutiny) Act 2011</w:t>
      </w:r>
    </w:p>
    <w:p w14:paraId="1817F346" w14:textId="77777777" w:rsidR="006129BE" w:rsidRPr="00FB4929" w:rsidRDefault="006129BE" w:rsidP="006129BE">
      <w:pPr>
        <w:spacing w:before="120" w:after="120" w:line="240" w:lineRule="auto"/>
        <w:jc w:val="center"/>
        <w:rPr>
          <w:rFonts w:ascii="Times New Roman" w:hAnsi="Times New Roman"/>
          <w:sz w:val="24"/>
          <w:szCs w:val="24"/>
        </w:rPr>
      </w:pPr>
    </w:p>
    <w:p w14:paraId="69DC8A7C" w14:textId="3C075680" w:rsidR="006129BE" w:rsidRPr="00304EED" w:rsidRDefault="00333999" w:rsidP="006129BE">
      <w:pPr>
        <w:spacing w:before="120" w:after="120" w:line="240" w:lineRule="auto"/>
        <w:jc w:val="center"/>
        <w:rPr>
          <w:rFonts w:ascii="Times New Roman" w:hAnsi="Times New Roman"/>
          <w:b/>
          <w:bCs/>
          <w:i/>
          <w:sz w:val="24"/>
          <w:szCs w:val="24"/>
        </w:rPr>
      </w:pPr>
      <w:r w:rsidRPr="00333999">
        <w:rPr>
          <w:rFonts w:ascii="Times New Roman" w:hAnsi="Times New Roman"/>
          <w:b/>
          <w:bCs/>
          <w:i/>
          <w:sz w:val="24"/>
          <w:szCs w:val="24"/>
        </w:rPr>
        <w:t>Disability Services and Inclusion (Consequential Amendments and Transitional Provisions)</w:t>
      </w:r>
      <w:r w:rsidR="00F43A07">
        <w:rPr>
          <w:rFonts w:ascii="Times New Roman" w:hAnsi="Times New Roman"/>
          <w:b/>
          <w:bCs/>
          <w:i/>
          <w:sz w:val="24"/>
          <w:szCs w:val="24"/>
        </w:rPr>
        <w:t xml:space="preserve"> </w:t>
      </w:r>
      <w:r w:rsidRPr="00333999">
        <w:rPr>
          <w:rFonts w:ascii="Times New Roman" w:hAnsi="Times New Roman"/>
          <w:b/>
          <w:bCs/>
          <w:i/>
          <w:sz w:val="24"/>
          <w:szCs w:val="24"/>
        </w:rPr>
        <w:t>Rules 2025</w:t>
      </w:r>
    </w:p>
    <w:p w14:paraId="4CB9B0E1" w14:textId="77777777" w:rsidR="006129BE" w:rsidRPr="00FB4929" w:rsidRDefault="006129BE" w:rsidP="006129BE">
      <w:pPr>
        <w:spacing w:before="120" w:after="120" w:line="240" w:lineRule="auto"/>
        <w:jc w:val="center"/>
        <w:rPr>
          <w:rFonts w:ascii="Times New Roman" w:hAnsi="Times New Roman"/>
          <w:sz w:val="24"/>
          <w:szCs w:val="24"/>
        </w:rPr>
      </w:pPr>
    </w:p>
    <w:p w14:paraId="0AC38EEB" w14:textId="77777777" w:rsidR="006129BE" w:rsidRPr="00FB4929" w:rsidRDefault="006129BE" w:rsidP="006129BE">
      <w:pPr>
        <w:spacing w:before="120" w:after="120" w:line="240" w:lineRule="auto"/>
        <w:jc w:val="center"/>
        <w:rPr>
          <w:rFonts w:ascii="Times New Roman" w:hAnsi="Times New Roman"/>
          <w:sz w:val="24"/>
          <w:szCs w:val="24"/>
        </w:rPr>
      </w:pPr>
      <w:r w:rsidRPr="00FB4929">
        <w:rPr>
          <w:rFonts w:ascii="Times New Roman" w:hAnsi="Times New Roman"/>
          <w:sz w:val="24"/>
          <w:szCs w:val="24"/>
        </w:rPr>
        <w:t xml:space="preserve">This Disallowable Legislative Instrument (the instrument) is compatible with the human rights and freedoms recognised or declared in the international instruments listed in section 3 of the </w:t>
      </w:r>
      <w:r w:rsidRPr="00FB4929">
        <w:rPr>
          <w:rFonts w:ascii="Times New Roman" w:hAnsi="Times New Roman"/>
          <w:i/>
          <w:sz w:val="24"/>
          <w:szCs w:val="24"/>
        </w:rPr>
        <w:t>Human Rights (Parliamentary Scrutiny) Act 2011</w:t>
      </w:r>
      <w:r w:rsidRPr="00FB4929">
        <w:rPr>
          <w:rFonts w:ascii="Times New Roman" w:hAnsi="Times New Roman"/>
          <w:sz w:val="24"/>
          <w:szCs w:val="24"/>
        </w:rPr>
        <w:t>.</w:t>
      </w:r>
    </w:p>
    <w:p w14:paraId="0B4E856C" w14:textId="77777777" w:rsidR="006129BE" w:rsidRPr="00FB4929" w:rsidRDefault="006129BE" w:rsidP="006129BE">
      <w:pPr>
        <w:spacing w:before="120" w:after="120" w:line="240" w:lineRule="auto"/>
        <w:rPr>
          <w:rFonts w:ascii="Times New Roman" w:hAnsi="Times New Roman"/>
          <w:sz w:val="24"/>
          <w:szCs w:val="24"/>
        </w:rPr>
      </w:pPr>
    </w:p>
    <w:p w14:paraId="5E612E9D" w14:textId="77777777" w:rsidR="006129BE" w:rsidRPr="00FB4929" w:rsidRDefault="006129BE" w:rsidP="006129BE">
      <w:pPr>
        <w:spacing w:before="120" w:after="120" w:line="240" w:lineRule="auto"/>
        <w:jc w:val="both"/>
        <w:outlineLvl w:val="2"/>
        <w:rPr>
          <w:rFonts w:ascii="Times New Roman" w:hAnsi="Times New Roman"/>
          <w:b/>
          <w:sz w:val="24"/>
          <w:szCs w:val="24"/>
        </w:rPr>
      </w:pPr>
      <w:r w:rsidRPr="00FB4929">
        <w:rPr>
          <w:rFonts w:ascii="Times New Roman" w:hAnsi="Times New Roman"/>
          <w:b/>
          <w:sz w:val="24"/>
          <w:szCs w:val="24"/>
        </w:rPr>
        <w:t>Overview of the Disallowable Legislative Instrument</w:t>
      </w:r>
    </w:p>
    <w:p w14:paraId="4A7B13D5" w14:textId="369D09D4" w:rsidR="00B77C55" w:rsidRDefault="00983B49" w:rsidP="00B77C55">
      <w:pPr>
        <w:rPr>
          <w:rFonts w:ascii="Times New Roman" w:hAnsi="Times New Roman"/>
          <w:sz w:val="24"/>
          <w:szCs w:val="24"/>
        </w:rPr>
      </w:pPr>
      <w:proofErr w:type="gramStart"/>
      <w:r w:rsidRPr="00983B49">
        <w:rPr>
          <w:rFonts w:ascii="Times New Roman" w:hAnsi="Times New Roman"/>
          <w:sz w:val="24"/>
          <w:szCs w:val="24"/>
        </w:rPr>
        <w:t xml:space="preserve">The instrument, </w:t>
      </w:r>
      <w:r w:rsidRPr="00983B49">
        <w:rPr>
          <w:rFonts w:ascii="Times New Roman" w:hAnsi="Times New Roman"/>
          <w:i/>
          <w:iCs/>
          <w:sz w:val="24"/>
          <w:szCs w:val="24"/>
        </w:rPr>
        <w:t>Disability Services and Inclusion (Consequential Amendments and Transitional Provisions)</w:t>
      </w:r>
      <w:r w:rsidR="00F43A07">
        <w:rPr>
          <w:rFonts w:ascii="Times New Roman" w:hAnsi="Times New Roman"/>
          <w:i/>
          <w:iCs/>
          <w:sz w:val="24"/>
          <w:szCs w:val="24"/>
        </w:rPr>
        <w:t xml:space="preserve"> </w:t>
      </w:r>
      <w:r w:rsidRPr="00983B49">
        <w:rPr>
          <w:rFonts w:ascii="Times New Roman" w:hAnsi="Times New Roman"/>
          <w:i/>
          <w:iCs/>
          <w:sz w:val="24"/>
          <w:szCs w:val="24"/>
        </w:rPr>
        <w:t>Rules 2025</w:t>
      </w:r>
      <w:r w:rsidRPr="00983B49">
        <w:rPr>
          <w:rFonts w:ascii="Times New Roman" w:hAnsi="Times New Roman"/>
          <w:sz w:val="24"/>
          <w:szCs w:val="24"/>
        </w:rPr>
        <w:t>,</w:t>
      </w:r>
      <w:proofErr w:type="gramEnd"/>
      <w:r w:rsidRPr="00983B49">
        <w:rPr>
          <w:rFonts w:ascii="Times New Roman" w:hAnsi="Times New Roman"/>
          <w:sz w:val="24"/>
          <w:szCs w:val="24"/>
        </w:rPr>
        <w:t xml:space="preserve"> is made under item 10 of Schedule 3 of the </w:t>
      </w:r>
      <w:r w:rsidRPr="00B77C55">
        <w:rPr>
          <w:rFonts w:ascii="Times New Roman" w:hAnsi="Times New Roman"/>
          <w:i/>
          <w:iCs/>
          <w:sz w:val="24"/>
          <w:szCs w:val="24"/>
        </w:rPr>
        <w:t>Disability Services (Consequential Amendments and Transitional Provisions) Act 2023</w:t>
      </w:r>
      <w:r w:rsidRPr="00983B49">
        <w:rPr>
          <w:rFonts w:ascii="Times New Roman" w:hAnsi="Times New Roman"/>
          <w:sz w:val="24"/>
          <w:szCs w:val="24"/>
        </w:rPr>
        <w:t xml:space="preserve"> (</w:t>
      </w:r>
      <w:r w:rsidRPr="00983B49">
        <w:rPr>
          <w:rFonts w:ascii="Times New Roman" w:hAnsi="Times New Roman"/>
          <w:b/>
          <w:bCs/>
          <w:sz w:val="24"/>
          <w:szCs w:val="24"/>
        </w:rPr>
        <w:t>the Act</w:t>
      </w:r>
      <w:r w:rsidRPr="00983B49">
        <w:rPr>
          <w:rFonts w:ascii="Times New Roman" w:hAnsi="Times New Roman"/>
          <w:sz w:val="24"/>
          <w:szCs w:val="24"/>
        </w:rPr>
        <w:t xml:space="preserve">). That provision allows </w:t>
      </w:r>
      <w:r w:rsidR="00EA70AD">
        <w:rPr>
          <w:rFonts w:ascii="Times New Roman" w:hAnsi="Times New Roman"/>
          <w:sz w:val="24"/>
          <w:szCs w:val="24"/>
        </w:rPr>
        <w:t>‘</w:t>
      </w:r>
      <w:r w:rsidRPr="00983B49">
        <w:rPr>
          <w:rFonts w:ascii="Times New Roman" w:hAnsi="Times New Roman"/>
          <w:sz w:val="24"/>
          <w:szCs w:val="24"/>
        </w:rPr>
        <w:t>the Minister</w:t>
      </w:r>
      <w:r w:rsidR="00EA70AD">
        <w:rPr>
          <w:rFonts w:ascii="Times New Roman" w:hAnsi="Times New Roman"/>
          <w:sz w:val="24"/>
          <w:szCs w:val="24"/>
        </w:rPr>
        <w:t>’</w:t>
      </w:r>
      <w:r w:rsidRPr="00983B49">
        <w:rPr>
          <w:rFonts w:ascii="Times New Roman" w:hAnsi="Times New Roman"/>
          <w:sz w:val="24"/>
          <w:szCs w:val="24"/>
        </w:rPr>
        <w:t xml:space="preserve"> to make rules prescribing matters of a transitional nature (including prescribing any saving or applications provisions) relating to the enactment of the </w:t>
      </w:r>
      <w:r w:rsidRPr="00983B49">
        <w:rPr>
          <w:rFonts w:ascii="Times New Roman" w:hAnsi="Times New Roman"/>
          <w:i/>
          <w:iCs/>
          <w:sz w:val="24"/>
          <w:szCs w:val="24"/>
        </w:rPr>
        <w:t>Disability Services and Inclusion Act 2023</w:t>
      </w:r>
      <w:r w:rsidRPr="00983B49">
        <w:rPr>
          <w:rFonts w:ascii="Times New Roman" w:hAnsi="Times New Roman"/>
          <w:sz w:val="24"/>
          <w:szCs w:val="24"/>
        </w:rPr>
        <w:t xml:space="preserve"> (</w:t>
      </w:r>
      <w:r w:rsidRPr="00983B49">
        <w:rPr>
          <w:rFonts w:ascii="Times New Roman" w:hAnsi="Times New Roman"/>
          <w:b/>
          <w:bCs/>
          <w:sz w:val="24"/>
          <w:szCs w:val="24"/>
        </w:rPr>
        <w:t>DSI Act</w:t>
      </w:r>
      <w:r w:rsidRPr="00983B49">
        <w:rPr>
          <w:rFonts w:ascii="Times New Roman" w:hAnsi="Times New Roman"/>
          <w:sz w:val="24"/>
          <w:szCs w:val="24"/>
        </w:rPr>
        <w:t xml:space="preserve">) or the amendments or repeals made by Schedule 1 or 2 of the Act. </w:t>
      </w:r>
    </w:p>
    <w:p w14:paraId="2B07DEDD" w14:textId="2F3C12F9" w:rsidR="00B77C55" w:rsidRDefault="00B77C55" w:rsidP="00B77C55">
      <w:pPr>
        <w:rPr>
          <w:rFonts w:ascii="Times New Roman" w:hAnsi="Times New Roman"/>
          <w:sz w:val="24"/>
          <w:szCs w:val="24"/>
        </w:rPr>
      </w:pPr>
      <w:r w:rsidRPr="00B77C55">
        <w:rPr>
          <w:rFonts w:ascii="Times New Roman" w:hAnsi="Times New Roman"/>
          <w:sz w:val="24"/>
          <w:szCs w:val="24"/>
        </w:rPr>
        <w:t xml:space="preserve">The </w:t>
      </w:r>
      <w:r w:rsidRPr="00F1108F">
        <w:rPr>
          <w:rFonts w:ascii="Times New Roman" w:hAnsi="Times New Roman"/>
          <w:sz w:val="24"/>
          <w:szCs w:val="24"/>
        </w:rPr>
        <w:t>DS Act</w:t>
      </w:r>
      <w:r w:rsidRPr="00B77C55">
        <w:rPr>
          <w:rFonts w:ascii="Times New Roman" w:hAnsi="Times New Roman"/>
          <w:sz w:val="24"/>
          <w:szCs w:val="24"/>
        </w:rPr>
        <w:t xml:space="preserve"> was replaced by the DSI Act from 1 January 2024. However, grants of financial assistance made under Part II and measures or arrangements made under Part III of the DS Act before 1 January 2024 can continue to be administered on and after that date (see the notes to sub-items 4(1) and 8(1) of Schedule 3 of the Act). </w:t>
      </w:r>
    </w:p>
    <w:p w14:paraId="60BEF356" w14:textId="5974D6D6" w:rsidR="00B77C55" w:rsidRPr="00D90BBA" w:rsidRDefault="00B77C55" w:rsidP="00D90BBA">
      <w:pPr>
        <w:rPr>
          <w:rFonts w:ascii="Times New Roman" w:hAnsi="Times New Roman"/>
          <w:sz w:val="24"/>
          <w:szCs w:val="24"/>
        </w:rPr>
      </w:pPr>
      <w:r w:rsidRPr="00D90BBA">
        <w:rPr>
          <w:rFonts w:ascii="Times New Roman" w:hAnsi="Times New Roman"/>
          <w:sz w:val="24"/>
          <w:szCs w:val="24"/>
        </w:rPr>
        <w:t>The purpose of th</w:t>
      </w:r>
      <w:r w:rsidR="00D40ADB">
        <w:rPr>
          <w:rFonts w:ascii="Times New Roman" w:hAnsi="Times New Roman"/>
          <w:sz w:val="24"/>
          <w:szCs w:val="24"/>
        </w:rPr>
        <w:t>is</w:t>
      </w:r>
      <w:r w:rsidRPr="00D90BBA">
        <w:rPr>
          <w:rFonts w:ascii="Times New Roman" w:hAnsi="Times New Roman"/>
          <w:sz w:val="24"/>
          <w:szCs w:val="24"/>
        </w:rPr>
        <w:t xml:space="preserve"> instrument is to support persons, who provide supports and services for the benefit of people with disability, their families and carers, meet the eligibility requirements of the DSI Act for a transition period (1 July 2025 to 31 December 2025) where the payment arrangement or grant is for a </w:t>
      </w:r>
      <w:r w:rsidR="0092247F">
        <w:rPr>
          <w:rFonts w:ascii="Times New Roman" w:hAnsi="Times New Roman"/>
          <w:sz w:val="24"/>
          <w:szCs w:val="24"/>
        </w:rPr>
        <w:t>‘</w:t>
      </w:r>
      <w:r w:rsidRPr="00D90BBA">
        <w:rPr>
          <w:rFonts w:ascii="Times New Roman" w:hAnsi="Times New Roman"/>
          <w:sz w:val="24"/>
          <w:szCs w:val="24"/>
        </w:rPr>
        <w:t>regulated activity</w:t>
      </w:r>
      <w:r w:rsidR="009A2D22">
        <w:rPr>
          <w:rFonts w:ascii="Times New Roman" w:hAnsi="Times New Roman"/>
          <w:sz w:val="24"/>
          <w:szCs w:val="24"/>
        </w:rPr>
        <w:t>’</w:t>
      </w:r>
      <w:r w:rsidRPr="00D90BBA">
        <w:rPr>
          <w:rFonts w:ascii="Times New Roman" w:hAnsi="Times New Roman"/>
          <w:sz w:val="24"/>
          <w:szCs w:val="24"/>
        </w:rPr>
        <w:t xml:space="preserve"> under the DSI Act. </w:t>
      </w:r>
    </w:p>
    <w:p w14:paraId="73F35E6E" w14:textId="77777777" w:rsidR="00B77C55" w:rsidRPr="00D90BBA" w:rsidRDefault="00B77C55" w:rsidP="00B77C55">
      <w:pPr>
        <w:rPr>
          <w:rFonts w:ascii="Times New Roman" w:hAnsi="Times New Roman"/>
          <w:sz w:val="24"/>
          <w:szCs w:val="24"/>
        </w:rPr>
      </w:pPr>
      <w:r w:rsidRPr="00D90BBA">
        <w:rPr>
          <w:rFonts w:ascii="Times New Roman" w:hAnsi="Times New Roman"/>
          <w:sz w:val="24"/>
          <w:szCs w:val="24"/>
        </w:rPr>
        <w:t xml:space="preserve">A regulated activity is defined under the </w:t>
      </w:r>
      <w:r w:rsidRPr="00F1108F">
        <w:rPr>
          <w:rFonts w:ascii="Times New Roman" w:hAnsi="Times New Roman"/>
          <w:i/>
          <w:iCs/>
          <w:sz w:val="24"/>
          <w:szCs w:val="24"/>
        </w:rPr>
        <w:t>Disability Services and Inclusion (Regulated Activities) Determination 2023</w:t>
      </w:r>
      <w:r w:rsidRPr="00D90BBA">
        <w:rPr>
          <w:rFonts w:ascii="Times New Roman" w:hAnsi="Times New Roman"/>
          <w:sz w:val="24"/>
          <w:szCs w:val="24"/>
        </w:rPr>
        <w:t xml:space="preserve"> to mean an eligible activity that either: </w:t>
      </w:r>
    </w:p>
    <w:p w14:paraId="398B28B2" w14:textId="77777777" w:rsidR="00B77C55" w:rsidRPr="00D90BBA" w:rsidRDefault="00B77C55" w:rsidP="00D90BBA">
      <w:pPr>
        <w:pStyle w:val="ListParagraph"/>
        <w:numPr>
          <w:ilvl w:val="0"/>
          <w:numId w:val="46"/>
        </w:numPr>
        <w:rPr>
          <w:rFonts w:ascii="Times New Roman" w:hAnsi="Times New Roman"/>
          <w:sz w:val="24"/>
          <w:szCs w:val="24"/>
        </w:rPr>
      </w:pPr>
      <w:r w:rsidRPr="00D90BBA">
        <w:rPr>
          <w:rFonts w:ascii="Times New Roman" w:hAnsi="Times New Roman"/>
          <w:sz w:val="24"/>
          <w:szCs w:val="24"/>
        </w:rPr>
        <w:t>involves the delivery of higher-risk or complex supports to people with disability; or</w:t>
      </w:r>
    </w:p>
    <w:p w14:paraId="7A4AFD0E" w14:textId="77777777" w:rsidR="00B77C55" w:rsidRPr="00D90BBA" w:rsidRDefault="00B77C55" w:rsidP="00D90BBA">
      <w:pPr>
        <w:pStyle w:val="ListParagraph"/>
        <w:numPr>
          <w:ilvl w:val="0"/>
          <w:numId w:val="46"/>
        </w:numPr>
        <w:rPr>
          <w:rFonts w:ascii="Times New Roman" w:hAnsi="Times New Roman"/>
          <w:sz w:val="24"/>
          <w:szCs w:val="24"/>
        </w:rPr>
      </w:pPr>
      <w:r w:rsidRPr="00D90BBA">
        <w:rPr>
          <w:rFonts w:ascii="Times New Roman" w:hAnsi="Times New Roman"/>
          <w:sz w:val="24"/>
          <w:szCs w:val="24"/>
        </w:rPr>
        <w:t xml:space="preserve">is delivered by persons undertaking the activity through substantial one-on-one contact with people with disability to whom the activity is provided; or </w:t>
      </w:r>
    </w:p>
    <w:p w14:paraId="6E67A9A1" w14:textId="19B61B88" w:rsidR="00B77C55" w:rsidRPr="00D90BBA" w:rsidRDefault="00B77C55" w:rsidP="00D90BBA">
      <w:pPr>
        <w:pStyle w:val="ListParagraph"/>
        <w:numPr>
          <w:ilvl w:val="0"/>
          <w:numId w:val="46"/>
        </w:numPr>
        <w:rPr>
          <w:rFonts w:ascii="Times New Roman" w:hAnsi="Times New Roman"/>
          <w:sz w:val="24"/>
          <w:szCs w:val="24"/>
        </w:rPr>
      </w:pPr>
      <w:r w:rsidRPr="00D90BBA">
        <w:rPr>
          <w:rFonts w:ascii="Times New Roman" w:hAnsi="Times New Roman"/>
          <w:sz w:val="24"/>
          <w:szCs w:val="24"/>
        </w:rPr>
        <w:t xml:space="preserve">involves regular engagement over a prolonged period between persons undertaking the activity and people with disability to whom the activity is provided. </w:t>
      </w:r>
    </w:p>
    <w:p w14:paraId="058B4096" w14:textId="191A4220" w:rsidR="00BD2F85" w:rsidRPr="00D90BBA" w:rsidRDefault="00B77C55" w:rsidP="00D90BBA">
      <w:pPr>
        <w:rPr>
          <w:rFonts w:ascii="Times New Roman" w:hAnsi="Times New Roman"/>
          <w:sz w:val="24"/>
          <w:szCs w:val="24"/>
        </w:rPr>
      </w:pPr>
      <w:r w:rsidRPr="00D90BBA">
        <w:rPr>
          <w:rFonts w:ascii="Times New Roman" w:hAnsi="Times New Roman"/>
          <w:sz w:val="24"/>
          <w:szCs w:val="24"/>
        </w:rPr>
        <w:t>Paragraph 9(1)(a)(</w:t>
      </w:r>
      <w:proofErr w:type="spellStart"/>
      <w:r w:rsidRPr="00D90BBA">
        <w:rPr>
          <w:rFonts w:ascii="Times New Roman" w:hAnsi="Times New Roman"/>
          <w:sz w:val="24"/>
          <w:szCs w:val="24"/>
        </w:rPr>
        <w:t>i</w:t>
      </w:r>
      <w:proofErr w:type="spellEnd"/>
      <w:r w:rsidRPr="00D90BBA">
        <w:rPr>
          <w:rFonts w:ascii="Times New Roman" w:hAnsi="Times New Roman"/>
          <w:sz w:val="24"/>
          <w:szCs w:val="24"/>
        </w:rPr>
        <w:t xml:space="preserve">) of the DSI Act requires a person to hold a </w:t>
      </w:r>
      <w:r w:rsidR="004B04D1">
        <w:rPr>
          <w:rFonts w:ascii="Times New Roman" w:hAnsi="Times New Roman"/>
          <w:sz w:val="24"/>
          <w:szCs w:val="24"/>
        </w:rPr>
        <w:t>‘</w:t>
      </w:r>
      <w:r w:rsidRPr="00D90BBA">
        <w:rPr>
          <w:rFonts w:ascii="Times New Roman" w:hAnsi="Times New Roman"/>
          <w:sz w:val="24"/>
          <w:szCs w:val="24"/>
        </w:rPr>
        <w:t>certificate of compliance</w:t>
      </w:r>
      <w:r w:rsidR="004B04D1">
        <w:rPr>
          <w:rFonts w:ascii="Times New Roman" w:hAnsi="Times New Roman"/>
          <w:sz w:val="24"/>
          <w:szCs w:val="24"/>
        </w:rPr>
        <w:t>’</w:t>
      </w:r>
      <w:r w:rsidRPr="00D90BBA">
        <w:rPr>
          <w:rFonts w:ascii="Times New Roman" w:hAnsi="Times New Roman"/>
          <w:sz w:val="24"/>
          <w:szCs w:val="24"/>
        </w:rPr>
        <w:t xml:space="preserve"> for the regulated activity to be eligible for the payment arrangement or grant under section 13 of the DSI</w:t>
      </w:r>
      <w:r w:rsidR="00CC082A">
        <w:rPr>
          <w:rFonts w:ascii="Times New Roman" w:hAnsi="Times New Roman"/>
          <w:sz w:val="24"/>
          <w:szCs w:val="24"/>
        </w:rPr>
        <w:t> </w:t>
      </w:r>
      <w:r w:rsidRPr="00D90BBA">
        <w:rPr>
          <w:rFonts w:ascii="Times New Roman" w:hAnsi="Times New Roman"/>
          <w:sz w:val="24"/>
          <w:szCs w:val="24"/>
        </w:rPr>
        <w:t xml:space="preserve">Act. The person must maintain that certificate of compliance as a statutory funding condition under subsection 15(3) of the DSI Act.   </w:t>
      </w:r>
    </w:p>
    <w:p w14:paraId="5CB90DAD" w14:textId="630A64AC" w:rsidR="00B51BDC" w:rsidRPr="00D90BBA" w:rsidRDefault="00913B98" w:rsidP="00CC082A">
      <w:pPr>
        <w:rPr>
          <w:rFonts w:ascii="Times New Roman" w:hAnsi="Times New Roman"/>
          <w:sz w:val="24"/>
          <w:szCs w:val="24"/>
        </w:rPr>
      </w:pPr>
      <w:r w:rsidRPr="00D90BBA">
        <w:rPr>
          <w:rFonts w:ascii="Times New Roman" w:hAnsi="Times New Roman"/>
          <w:sz w:val="24"/>
          <w:szCs w:val="24"/>
        </w:rPr>
        <w:t>The purpose of the instrument is to</w:t>
      </w:r>
      <w:r w:rsidR="00B51BDC" w:rsidRPr="00D90BBA">
        <w:rPr>
          <w:rFonts w:ascii="Times New Roman" w:hAnsi="Times New Roman"/>
          <w:sz w:val="24"/>
          <w:szCs w:val="24"/>
        </w:rPr>
        <w:t xml:space="preserve"> allow a person to satisfy subparagraph 9(1)(a)(</w:t>
      </w:r>
      <w:proofErr w:type="spellStart"/>
      <w:r w:rsidR="00B51BDC" w:rsidRPr="00D90BBA">
        <w:rPr>
          <w:rFonts w:ascii="Times New Roman" w:hAnsi="Times New Roman"/>
          <w:sz w:val="24"/>
          <w:szCs w:val="24"/>
        </w:rPr>
        <w:t>i</w:t>
      </w:r>
      <w:proofErr w:type="spellEnd"/>
      <w:r w:rsidR="00B51BDC" w:rsidRPr="00D90BBA">
        <w:rPr>
          <w:rFonts w:ascii="Times New Roman" w:hAnsi="Times New Roman"/>
          <w:sz w:val="24"/>
          <w:szCs w:val="24"/>
        </w:rPr>
        <w:t xml:space="preserve">) of the DSI Act during the transition period (1 July 2025 to 31 December 2025) if the person holds a certificate of compliance under section 6D, 6DA or 6E of the DS Act. The certificate must be in force on </w:t>
      </w:r>
      <w:r w:rsidR="00B51BDC" w:rsidRPr="00D90BBA">
        <w:rPr>
          <w:rFonts w:ascii="Times New Roman" w:hAnsi="Times New Roman"/>
          <w:sz w:val="24"/>
          <w:szCs w:val="24"/>
        </w:rPr>
        <w:lastRenderedPageBreak/>
        <w:t>30</w:t>
      </w:r>
      <w:r w:rsidR="00CC082A">
        <w:rPr>
          <w:rFonts w:ascii="Times New Roman" w:hAnsi="Times New Roman"/>
          <w:sz w:val="24"/>
          <w:szCs w:val="24"/>
        </w:rPr>
        <w:t> </w:t>
      </w:r>
      <w:r w:rsidR="00B51BDC" w:rsidRPr="00D90BBA">
        <w:rPr>
          <w:rFonts w:ascii="Times New Roman" w:hAnsi="Times New Roman"/>
          <w:sz w:val="24"/>
          <w:szCs w:val="24"/>
        </w:rPr>
        <w:t>June</w:t>
      </w:r>
      <w:r w:rsidR="00CC082A">
        <w:rPr>
          <w:rFonts w:ascii="Times New Roman" w:hAnsi="Times New Roman"/>
          <w:sz w:val="24"/>
          <w:szCs w:val="24"/>
        </w:rPr>
        <w:t> </w:t>
      </w:r>
      <w:r w:rsidR="00B51BDC" w:rsidRPr="00D90BBA">
        <w:rPr>
          <w:rFonts w:ascii="Times New Roman" w:hAnsi="Times New Roman"/>
          <w:sz w:val="24"/>
          <w:szCs w:val="24"/>
        </w:rPr>
        <w:t xml:space="preserve">2025 and for a service or program under the DSI Act that is now a regulated activity under section 13 of the DSI Act. </w:t>
      </w:r>
    </w:p>
    <w:p w14:paraId="424E90C5" w14:textId="403C7242" w:rsidR="00B51BDC" w:rsidRPr="00D90BBA" w:rsidRDefault="00B51BDC" w:rsidP="00D90BBA">
      <w:pPr>
        <w:rPr>
          <w:rFonts w:ascii="Times New Roman" w:hAnsi="Times New Roman"/>
          <w:sz w:val="24"/>
          <w:szCs w:val="24"/>
        </w:rPr>
      </w:pPr>
      <w:r w:rsidRPr="00D90BBA">
        <w:rPr>
          <w:rFonts w:ascii="Times New Roman" w:hAnsi="Times New Roman"/>
          <w:sz w:val="24"/>
          <w:szCs w:val="24"/>
        </w:rPr>
        <w:t xml:space="preserve">The </w:t>
      </w:r>
      <w:r w:rsidR="00D90BBA" w:rsidRPr="00D90BBA">
        <w:rPr>
          <w:rFonts w:ascii="Times New Roman" w:hAnsi="Times New Roman"/>
          <w:sz w:val="24"/>
          <w:szCs w:val="24"/>
        </w:rPr>
        <w:t>intended effect of the instrument</w:t>
      </w:r>
      <w:r w:rsidRPr="00D90BBA">
        <w:rPr>
          <w:rFonts w:ascii="Times New Roman" w:hAnsi="Times New Roman"/>
          <w:sz w:val="24"/>
          <w:szCs w:val="24"/>
        </w:rPr>
        <w:t xml:space="preserve"> is to allow persons who provide a service or program under the DS Act to continue to provide those services or programs where they are now a regulated activity under the DSI Act. Reference to the grant opportunity guidelines for the payment arrangement or grant under section 13 of the DSI Act will assist with determining whether the service or program is a regulated activity. </w:t>
      </w:r>
    </w:p>
    <w:p w14:paraId="6D08B208" w14:textId="77777777" w:rsidR="00D90BBA" w:rsidRPr="00D90BBA" w:rsidRDefault="00B51BDC" w:rsidP="00D90BBA">
      <w:pPr>
        <w:rPr>
          <w:rFonts w:ascii="Times New Roman" w:hAnsi="Times New Roman"/>
          <w:sz w:val="24"/>
          <w:szCs w:val="24"/>
        </w:rPr>
      </w:pPr>
      <w:r w:rsidRPr="00D90BBA">
        <w:rPr>
          <w:rFonts w:ascii="Times New Roman" w:hAnsi="Times New Roman"/>
          <w:sz w:val="24"/>
          <w:szCs w:val="24"/>
        </w:rPr>
        <w:t xml:space="preserve">It is expected that after the transition period, the person will hold a new certificate of compliance issued by an accredited certification body under section 21 of the DSI Act to maintain their eligibility for the payment arrangement or grant in accordance with the second statutory funding condition under subsection 15(3) of the DSI Act. </w:t>
      </w:r>
    </w:p>
    <w:p w14:paraId="410AF646" w14:textId="69F81348" w:rsidR="006129BE" w:rsidRPr="002B449A" w:rsidRDefault="006129BE" w:rsidP="00B51BDC">
      <w:pPr>
        <w:spacing w:before="120" w:after="120" w:line="240" w:lineRule="auto"/>
        <w:rPr>
          <w:rFonts w:ascii="Times New Roman" w:hAnsi="Times New Roman"/>
          <w:b/>
          <w:sz w:val="24"/>
        </w:rPr>
      </w:pPr>
      <w:r w:rsidRPr="002B449A">
        <w:rPr>
          <w:rFonts w:ascii="Times New Roman" w:hAnsi="Times New Roman"/>
          <w:b/>
          <w:sz w:val="24"/>
        </w:rPr>
        <w:t>Human rights implications</w:t>
      </w:r>
    </w:p>
    <w:p w14:paraId="5C96C4A1" w14:textId="77777777" w:rsidR="006129BE" w:rsidRPr="00116052" w:rsidRDefault="006129BE" w:rsidP="006129BE">
      <w:pPr>
        <w:spacing w:before="120" w:after="120" w:line="240" w:lineRule="auto"/>
        <w:rPr>
          <w:rFonts w:ascii="Times New Roman" w:hAnsi="Times New Roman"/>
          <w:sz w:val="24"/>
          <w:szCs w:val="24"/>
        </w:rPr>
      </w:pPr>
      <w:r w:rsidRPr="002B449A">
        <w:rPr>
          <w:rFonts w:ascii="Times New Roman" w:hAnsi="Times New Roman"/>
          <w:sz w:val="24"/>
        </w:rPr>
        <w:t>This instrument engages the following rights:</w:t>
      </w:r>
    </w:p>
    <w:p w14:paraId="70903431" w14:textId="290B2ADA" w:rsidR="000F73AC" w:rsidRPr="004414D4" w:rsidRDefault="00F043DA" w:rsidP="004414D4">
      <w:pPr>
        <w:pStyle w:val="ListParagraph"/>
        <w:numPr>
          <w:ilvl w:val="0"/>
          <w:numId w:val="50"/>
        </w:numPr>
        <w:spacing w:before="120" w:after="120" w:line="240" w:lineRule="auto"/>
        <w:rPr>
          <w:rFonts w:ascii="Times New Roman" w:hAnsi="Times New Roman"/>
          <w:sz w:val="24"/>
          <w:szCs w:val="24"/>
        </w:rPr>
      </w:pPr>
      <w:r w:rsidRPr="004414D4">
        <w:rPr>
          <w:rFonts w:ascii="Times New Roman" w:hAnsi="Times New Roman"/>
          <w:sz w:val="24"/>
          <w:szCs w:val="24"/>
        </w:rPr>
        <w:t>Right to full and effective participation and inclusion in society, equality and non-discrimination – Articles 3 and 5 of the</w:t>
      </w:r>
      <w:r w:rsidR="000F73AC" w:rsidRPr="004414D4">
        <w:rPr>
          <w:rFonts w:ascii="Times New Roman" w:hAnsi="Times New Roman"/>
          <w:sz w:val="24"/>
          <w:szCs w:val="24"/>
        </w:rPr>
        <w:t xml:space="preserve"> Convention on the Rights of Persons with Disabilities (</w:t>
      </w:r>
      <w:r w:rsidR="000F73AC" w:rsidRPr="00F1108F">
        <w:rPr>
          <w:rFonts w:ascii="Times New Roman" w:hAnsi="Times New Roman"/>
          <w:b/>
          <w:bCs/>
          <w:sz w:val="24"/>
          <w:szCs w:val="24"/>
        </w:rPr>
        <w:t>CRPD</w:t>
      </w:r>
      <w:r w:rsidR="000F73AC" w:rsidRPr="004414D4">
        <w:rPr>
          <w:rFonts w:ascii="Times New Roman" w:hAnsi="Times New Roman"/>
          <w:sz w:val="24"/>
          <w:szCs w:val="24"/>
        </w:rPr>
        <w:t xml:space="preserve">) </w:t>
      </w:r>
    </w:p>
    <w:p w14:paraId="6D225D78" w14:textId="7114A7CA" w:rsidR="000F73AC" w:rsidRDefault="000F73AC" w:rsidP="000F73AC">
      <w:pPr>
        <w:pStyle w:val="ListParagraph"/>
        <w:numPr>
          <w:ilvl w:val="0"/>
          <w:numId w:val="50"/>
        </w:numPr>
        <w:spacing w:before="120" w:after="120" w:line="240" w:lineRule="auto"/>
        <w:rPr>
          <w:rFonts w:ascii="Times New Roman" w:hAnsi="Times New Roman"/>
          <w:sz w:val="24"/>
          <w:szCs w:val="24"/>
        </w:rPr>
      </w:pPr>
      <w:r w:rsidRPr="004414D4">
        <w:rPr>
          <w:rFonts w:ascii="Times New Roman" w:hAnsi="Times New Roman"/>
          <w:sz w:val="24"/>
          <w:szCs w:val="24"/>
        </w:rPr>
        <w:t xml:space="preserve">Right to freedom </w:t>
      </w:r>
      <w:r w:rsidR="00301E21">
        <w:rPr>
          <w:rFonts w:ascii="Times New Roman" w:hAnsi="Times New Roman"/>
          <w:sz w:val="24"/>
          <w:szCs w:val="24"/>
        </w:rPr>
        <w:t>from</w:t>
      </w:r>
      <w:r w:rsidRPr="004414D4">
        <w:rPr>
          <w:rFonts w:ascii="Times New Roman" w:hAnsi="Times New Roman"/>
          <w:sz w:val="24"/>
          <w:szCs w:val="24"/>
        </w:rPr>
        <w:t xml:space="preserve"> exploitation, violence and abuse – Article 16 of the CRPD. </w:t>
      </w:r>
    </w:p>
    <w:p w14:paraId="2D721A26" w14:textId="77777777" w:rsidR="000F73AC" w:rsidRDefault="000F73AC" w:rsidP="000F73AC">
      <w:pPr>
        <w:spacing w:before="120" w:after="120" w:line="240" w:lineRule="auto"/>
        <w:rPr>
          <w:rFonts w:ascii="Times New Roman" w:hAnsi="Times New Roman"/>
          <w:sz w:val="24"/>
          <w:szCs w:val="24"/>
        </w:rPr>
      </w:pPr>
    </w:p>
    <w:p w14:paraId="26281FCC" w14:textId="4142B46C" w:rsidR="000F73AC" w:rsidRDefault="000F73AC" w:rsidP="000F73AC">
      <w:pPr>
        <w:spacing w:before="120" w:after="120" w:line="240" w:lineRule="auto"/>
        <w:rPr>
          <w:rFonts w:ascii="Times New Roman" w:hAnsi="Times New Roman"/>
          <w:sz w:val="24"/>
          <w:szCs w:val="24"/>
          <w:u w:val="single"/>
        </w:rPr>
      </w:pPr>
      <w:r w:rsidRPr="004414D4">
        <w:rPr>
          <w:rFonts w:ascii="Times New Roman" w:hAnsi="Times New Roman"/>
          <w:sz w:val="24"/>
          <w:szCs w:val="24"/>
          <w:u w:val="single"/>
        </w:rPr>
        <w:t xml:space="preserve">Right to </w:t>
      </w:r>
      <w:r w:rsidR="00231782" w:rsidRPr="004414D4">
        <w:rPr>
          <w:rFonts w:ascii="Times New Roman" w:hAnsi="Times New Roman"/>
          <w:sz w:val="24"/>
          <w:szCs w:val="24"/>
          <w:u w:val="single"/>
        </w:rPr>
        <w:t xml:space="preserve">full and effective participation and inclusion in society, </w:t>
      </w:r>
      <w:r w:rsidRPr="004414D4">
        <w:rPr>
          <w:rFonts w:ascii="Times New Roman" w:hAnsi="Times New Roman"/>
          <w:sz w:val="24"/>
          <w:szCs w:val="24"/>
          <w:u w:val="single"/>
        </w:rPr>
        <w:t>equality</w:t>
      </w:r>
      <w:r w:rsidR="00231782">
        <w:rPr>
          <w:rFonts w:ascii="Times New Roman" w:hAnsi="Times New Roman"/>
          <w:sz w:val="24"/>
          <w:szCs w:val="24"/>
          <w:u w:val="single"/>
        </w:rPr>
        <w:t xml:space="preserve"> </w:t>
      </w:r>
      <w:r w:rsidRPr="004414D4">
        <w:rPr>
          <w:rFonts w:ascii="Times New Roman" w:hAnsi="Times New Roman"/>
          <w:sz w:val="24"/>
          <w:szCs w:val="24"/>
          <w:u w:val="single"/>
        </w:rPr>
        <w:t>and non-discrimination – Article</w:t>
      </w:r>
      <w:r w:rsidR="00231782">
        <w:rPr>
          <w:rFonts w:ascii="Times New Roman" w:hAnsi="Times New Roman"/>
          <w:sz w:val="24"/>
          <w:szCs w:val="24"/>
          <w:u w:val="single"/>
        </w:rPr>
        <w:t>s 3 and</w:t>
      </w:r>
      <w:r w:rsidRPr="004414D4">
        <w:rPr>
          <w:rFonts w:ascii="Times New Roman" w:hAnsi="Times New Roman"/>
          <w:sz w:val="24"/>
          <w:szCs w:val="24"/>
          <w:u w:val="single"/>
        </w:rPr>
        <w:t xml:space="preserve"> 5 of the </w:t>
      </w:r>
      <w:r>
        <w:rPr>
          <w:rFonts w:ascii="Times New Roman" w:hAnsi="Times New Roman"/>
          <w:sz w:val="24"/>
          <w:szCs w:val="24"/>
          <w:u w:val="single"/>
        </w:rPr>
        <w:t xml:space="preserve">CRPD </w:t>
      </w:r>
    </w:p>
    <w:p w14:paraId="0DD61A23" w14:textId="1FE5169B" w:rsidR="00B81660" w:rsidRDefault="00231782" w:rsidP="000F73AC">
      <w:pPr>
        <w:spacing w:before="120" w:after="120" w:line="240" w:lineRule="auto"/>
        <w:rPr>
          <w:rFonts w:ascii="Times New Roman" w:hAnsi="Times New Roman"/>
          <w:sz w:val="24"/>
          <w:szCs w:val="24"/>
        </w:rPr>
      </w:pPr>
      <w:r>
        <w:rPr>
          <w:rFonts w:ascii="Times New Roman" w:hAnsi="Times New Roman"/>
          <w:sz w:val="24"/>
          <w:szCs w:val="24"/>
        </w:rPr>
        <w:t xml:space="preserve">The Instrument engages Article 3 and Article 5 of the CRPD. </w:t>
      </w:r>
      <w:r w:rsidR="00571D94">
        <w:rPr>
          <w:rFonts w:ascii="Times New Roman" w:hAnsi="Times New Roman"/>
          <w:sz w:val="24"/>
          <w:szCs w:val="24"/>
        </w:rPr>
        <w:t>Article 3 of the CRP</w:t>
      </w:r>
      <w:r w:rsidR="001D5152">
        <w:rPr>
          <w:rFonts w:ascii="Times New Roman" w:hAnsi="Times New Roman"/>
          <w:sz w:val="24"/>
          <w:szCs w:val="24"/>
        </w:rPr>
        <w:t xml:space="preserve">D reflects the </w:t>
      </w:r>
      <w:r w:rsidR="0072144C">
        <w:rPr>
          <w:rFonts w:ascii="Times New Roman" w:hAnsi="Times New Roman"/>
          <w:sz w:val="24"/>
          <w:szCs w:val="24"/>
        </w:rPr>
        <w:t xml:space="preserve">need for full and effective participation and inclusion in society and </w:t>
      </w:r>
      <w:r w:rsidR="00DD4DF8">
        <w:rPr>
          <w:rFonts w:ascii="Times New Roman" w:hAnsi="Times New Roman"/>
          <w:sz w:val="24"/>
          <w:szCs w:val="24"/>
        </w:rPr>
        <w:t xml:space="preserve">equality of opportunity for persons with disability. </w:t>
      </w:r>
      <w:r w:rsidR="00B81660">
        <w:rPr>
          <w:rFonts w:ascii="Times New Roman" w:hAnsi="Times New Roman"/>
          <w:sz w:val="24"/>
          <w:szCs w:val="24"/>
        </w:rPr>
        <w:t xml:space="preserve">Article 5 of the CRPD </w:t>
      </w:r>
      <w:r>
        <w:rPr>
          <w:rFonts w:ascii="Times New Roman" w:hAnsi="Times New Roman"/>
          <w:sz w:val="24"/>
          <w:szCs w:val="24"/>
        </w:rPr>
        <w:t>details</w:t>
      </w:r>
      <w:r w:rsidR="005F08AD">
        <w:rPr>
          <w:rFonts w:ascii="Times New Roman" w:hAnsi="Times New Roman"/>
          <w:sz w:val="24"/>
          <w:szCs w:val="24"/>
        </w:rPr>
        <w:t xml:space="preserve"> the right of people with disability to equality and non-discrimination</w:t>
      </w:r>
      <w:r w:rsidR="00363C26">
        <w:rPr>
          <w:rFonts w:ascii="Times New Roman" w:hAnsi="Times New Roman"/>
          <w:sz w:val="24"/>
          <w:szCs w:val="24"/>
        </w:rPr>
        <w:t xml:space="preserve">. </w:t>
      </w:r>
    </w:p>
    <w:p w14:paraId="18EFCAA2" w14:textId="5EDAD7A4" w:rsidR="005F08AD" w:rsidRDefault="006B09C0" w:rsidP="000F73AC">
      <w:pPr>
        <w:spacing w:before="120" w:after="120" w:line="240" w:lineRule="auto"/>
        <w:rPr>
          <w:rFonts w:ascii="Times New Roman" w:hAnsi="Times New Roman"/>
          <w:sz w:val="24"/>
          <w:szCs w:val="24"/>
        </w:rPr>
      </w:pPr>
      <w:r>
        <w:rPr>
          <w:rFonts w:ascii="Times New Roman" w:hAnsi="Times New Roman"/>
          <w:sz w:val="24"/>
          <w:szCs w:val="24"/>
        </w:rPr>
        <w:t>The DSI Act provide</w:t>
      </w:r>
      <w:r w:rsidR="004742C8">
        <w:rPr>
          <w:rFonts w:ascii="Times New Roman" w:hAnsi="Times New Roman"/>
          <w:sz w:val="24"/>
          <w:szCs w:val="24"/>
        </w:rPr>
        <w:t>s a mechanism for the funding of services and supports</w:t>
      </w:r>
      <w:r w:rsidR="000A71AE">
        <w:rPr>
          <w:rFonts w:ascii="Times New Roman" w:hAnsi="Times New Roman"/>
          <w:sz w:val="24"/>
          <w:szCs w:val="24"/>
        </w:rPr>
        <w:t xml:space="preserve"> for people with disability</w:t>
      </w:r>
      <w:r w:rsidR="005C0A76">
        <w:rPr>
          <w:rFonts w:ascii="Times New Roman" w:hAnsi="Times New Roman"/>
          <w:sz w:val="24"/>
          <w:szCs w:val="24"/>
        </w:rPr>
        <w:t>. This includes the continuation of existing measures, such as Disability Employment Services</w:t>
      </w:r>
      <w:r w:rsidR="00FC7EEE">
        <w:rPr>
          <w:rFonts w:ascii="Times New Roman" w:hAnsi="Times New Roman"/>
          <w:sz w:val="24"/>
          <w:szCs w:val="24"/>
        </w:rPr>
        <w:t xml:space="preserve"> and the National Disability Advocacy Program</w:t>
      </w:r>
      <w:r w:rsidR="005C0A76">
        <w:rPr>
          <w:rFonts w:ascii="Times New Roman" w:hAnsi="Times New Roman"/>
          <w:sz w:val="24"/>
          <w:szCs w:val="24"/>
        </w:rPr>
        <w:t>, which play an important role in</w:t>
      </w:r>
      <w:r w:rsidR="0050125A">
        <w:rPr>
          <w:rFonts w:ascii="Times New Roman" w:hAnsi="Times New Roman"/>
          <w:sz w:val="24"/>
          <w:szCs w:val="24"/>
        </w:rPr>
        <w:t xml:space="preserve"> advancing</w:t>
      </w:r>
      <w:r w:rsidR="005C0A76">
        <w:rPr>
          <w:rFonts w:ascii="Times New Roman" w:hAnsi="Times New Roman"/>
          <w:sz w:val="24"/>
          <w:szCs w:val="24"/>
        </w:rPr>
        <w:t xml:space="preserve"> the</w:t>
      </w:r>
      <w:r w:rsidR="004D1895">
        <w:rPr>
          <w:rFonts w:ascii="Times New Roman" w:hAnsi="Times New Roman"/>
          <w:sz w:val="24"/>
          <w:szCs w:val="24"/>
        </w:rPr>
        <w:t xml:space="preserve"> </w:t>
      </w:r>
      <w:r w:rsidR="00A92BB3">
        <w:rPr>
          <w:rFonts w:ascii="Times New Roman" w:hAnsi="Times New Roman"/>
          <w:sz w:val="24"/>
          <w:szCs w:val="24"/>
        </w:rPr>
        <w:t>inclusion of people wit</w:t>
      </w:r>
      <w:r w:rsidR="0050125A">
        <w:rPr>
          <w:rFonts w:ascii="Times New Roman" w:hAnsi="Times New Roman"/>
          <w:sz w:val="24"/>
          <w:szCs w:val="24"/>
        </w:rPr>
        <w:t>h disability</w:t>
      </w:r>
      <w:r w:rsidR="005C0A76">
        <w:rPr>
          <w:rFonts w:ascii="Times New Roman" w:hAnsi="Times New Roman"/>
          <w:sz w:val="24"/>
          <w:szCs w:val="24"/>
        </w:rPr>
        <w:t xml:space="preserve"> and supporting their full and effective participation</w:t>
      </w:r>
      <w:r w:rsidR="0050125A">
        <w:rPr>
          <w:rFonts w:ascii="Times New Roman" w:hAnsi="Times New Roman"/>
          <w:sz w:val="24"/>
          <w:szCs w:val="24"/>
        </w:rPr>
        <w:t xml:space="preserve">. </w:t>
      </w:r>
    </w:p>
    <w:p w14:paraId="7C712086" w14:textId="45E039E8" w:rsidR="00665FDA" w:rsidRDefault="005C0A76" w:rsidP="000F73AC">
      <w:pPr>
        <w:spacing w:before="120" w:after="120" w:line="240" w:lineRule="auto"/>
        <w:rPr>
          <w:rFonts w:ascii="Times New Roman" w:hAnsi="Times New Roman"/>
          <w:sz w:val="24"/>
          <w:szCs w:val="24"/>
        </w:rPr>
      </w:pPr>
      <w:r>
        <w:rPr>
          <w:rFonts w:ascii="Times New Roman" w:hAnsi="Times New Roman"/>
          <w:sz w:val="24"/>
          <w:szCs w:val="24"/>
        </w:rPr>
        <w:t>By providing a mechanism for providers to transition smoothly to new arrangements, t</w:t>
      </w:r>
      <w:r w:rsidR="00F50FA7">
        <w:rPr>
          <w:rFonts w:ascii="Times New Roman" w:hAnsi="Times New Roman"/>
          <w:sz w:val="24"/>
          <w:szCs w:val="24"/>
        </w:rPr>
        <w:t>h</w:t>
      </w:r>
      <w:r w:rsidR="00D40ADB">
        <w:rPr>
          <w:rFonts w:ascii="Times New Roman" w:hAnsi="Times New Roman"/>
          <w:sz w:val="24"/>
          <w:szCs w:val="24"/>
        </w:rPr>
        <w:t>is</w:t>
      </w:r>
      <w:r w:rsidR="00F50FA7">
        <w:rPr>
          <w:rFonts w:ascii="Times New Roman" w:hAnsi="Times New Roman"/>
          <w:sz w:val="24"/>
          <w:szCs w:val="24"/>
        </w:rPr>
        <w:t xml:space="preserve"> instrument </w:t>
      </w:r>
      <w:r>
        <w:rPr>
          <w:rFonts w:ascii="Times New Roman" w:hAnsi="Times New Roman"/>
          <w:sz w:val="24"/>
          <w:szCs w:val="24"/>
        </w:rPr>
        <w:t>helps to prevent any detrimental effect on program delivery during transition, ensuring that the rights of people with disability are not compromised by service interruption</w:t>
      </w:r>
      <w:r w:rsidR="00B6157E">
        <w:rPr>
          <w:rFonts w:ascii="Times New Roman" w:hAnsi="Times New Roman"/>
          <w:sz w:val="24"/>
          <w:szCs w:val="24"/>
        </w:rPr>
        <w:t xml:space="preserve">, </w:t>
      </w:r>
      <w:r w:rsidR="00842338">
        <w:rPr>
          <w:rFonts w:ascii="Times New Roman" w:hAnsi="Times New Roman"/>
          <w:sz w:val="24"/>
          <w:szCs w:val="24"/>
        </w:rPr>
        <w:t xml:space="preserve">through </w:t>
      </w:r>
      <w:r w:rsidR="00B6157E">
        <w:rPr>
          <w:rFonts w:ascii="Times New Roman" w:hAnsi="Times New Roman"/>
          <w:sz w:val="24"/>
          <w:szCs w:val="24"/>
        </w:rPr>
        <w:t xml:space="preserve">supporting providers to ensure they meet compliance requirements under the Act. This </w:t>
      </w:r>
      <w:r>
        <w:rPr>
          <w:rFonts w:ascii="Times New Roman" w:hAnsi="Times New Roman"/>
          <w:sz w:val="24"/>
          <w:szCs w:val="24"/>
        </w:rPr>
        <w:t>upholds</w:t>
      </w:r>
      <w:r w:rsidR="00B6157E">
        <w:rPr>
          <w:rFonts w:ascii="Times New Roman" w:hAnsi="Times New Roman"/>
          <w:sz w:val="24"/>
          <w:szCs w:val="24"/>
        </w:rPr>
        <w:t xml:space="preserve"> t</w:t>
      </w:r>
      <w:r w:rsidR="009F3EE4">
        <w:rPr>
          <w:rFonts w:ascii="Times New Roman" w:hAnsi="Times New Roman"/>
          <w:sz w:val="24"/>
          <w:szCs w:val="24"/>
        </w:rPr>
        <w:t xml:space="preserve">he right to </w:t>
      </w:r>
      <w:r w:rsidR="00334383">
        <w:rPr>
          <w:rFonts w:ascii="Times New Roman" w:hAnsi="Times New Roman"/>
          <w:sz w:val="24"/>
          <w:szCs w:val="24"/>
        </w:rPr>
        <w:t xml:space="preserve">full and </w:t>
      </w:r>
      <w:r w:rsidR="00762AEC">
        <w:rPr>
          <w:rFonts w:ascii="Times New Roman" w:hAnsi="Times New Roman"/>
          <w:sz w:val="24"/>
          <w:szCs w:val="24"/>
        </w:rPr>
        <w:t>effective participation</w:t>
      </w:r>
      <w:r w:rsidR="00B95BD4">
        <w:rPr>
          <w:rFonts w:ascii="Times New Roman" w:hAnsi="Times New Roman"/>
          <w:sz w:val="24"/>
          <w:szCs w:val="24"/>
        </w:rPr>
        <w:t xml:space="preserve">, </w:t>
      </w:r>
      <w:r w:rsidR="00762AEC">
        <w:rPr>
          <w:rFonts w:ascii="Times New Roman" w:hAnsi="Times New Roman"/>
          <w:sz w:val="24"/>
          <w:szCs w:val="24"/>
        </w:rPr>
        <w:t>equality and non-discrimination</w:t>
      </w:r>
      <w:r w:rsidR="00B6157E">
        <w:rPr>
          <w:rFonts w:ascii="Times New Roman" w:hAnsi="Times New Roman"/>
          <w:sz w:val="24"/>
          <w:szCs w:val="24"/>
        </w:rPr>
        <w:t xml:space="preserve">. </w:t>
      </w:r>
    </w:p>
    <w:p w14:paraId="486C0048" w14:textId="77777777" w:rsidR="00CC082A" w:rsidRPr="004414D4" w:rsidRDefault="00CC082A" w:rsidP="004414D4">
      <w:pPr>
        <w:spacing w:before="120" w:after="120" w:line="240" w:lineRule="auto"/>
        <w:rPr>
          <w:rFonts w:ascii="Times New Roman" w:hAnsi="Times New Roman"/>
          <w:sz w:val="24"/>
          <w:szCs w:val="24"/>
        </w:rPr>
      </w:pPr>
    </w:p>
    <w:p w14:paraId="24EC664E" w14:textId="67534140" w:rsidR="000F73AC" w:rsidRDefault="000F73AC" w:rsidP="000F73AC">
      <w:pPr>
        <w:spacing w:before="120" w:after="120" w:line="240" w:lineRule="auto"/>
        <w:rPr>
          <w:rFonts w:ascii="Times New Roman" w:hAnsi="Times New Roman"/>
          <w:sz w:val="24"/>
          <w:szCs w:val="24"/>
          <w:u w:val="single"/>
        </w:rPr>
      </w:pPr>
      <w:r w:rsidRPr="004414D4">
        <w:rPr>
          <w:rFonts w:ascii="Times New Roman" w:hAnsi="Times New Roman"/>
          <w:sz w:val="24"/>
          <w:szCs w:val="24"/>
          <w:u w:val="single"/>
        </w:rPr>
        <w:t>Right to freedom of exploitation, violence and abuse – Article 16 of the CRPD</w:t>
      </w:r>
    </w:p>
    <w:p w14:paraId="002DDD78" w14:textId="461A5B36" w:rsidR="00C108F2" w:rsidRDefault="00A23205" w:rsidP="000F73AC">
      <w:pPr>
        <w:spacing w:before="120" w:after="120" w:line="240" w:lineRule="auto"/>
        <w:rPr>
          <w:rFonts w:ascii="Times New Roman" w:hAnsi="Times New Roman"/>
          <w:sz w:val="24"/>
          <w:szCs w:val="24"/>
        </w:rPr>
      </w:pPr>
      <w:r>
        <w:rPr>
          <w:rFonts w:ascii="Times New Roman" w:hAnsi="Times New Roman"/>
          <w:sz w:val="24"/>
          <w:szCs w:val="24"/>
        </w:rPr>
        <w:t>Th</w:t>
      </w:r>
      <w:r w:rsidR="00D40ADB">
        <w:rPr>
          <w:rFonts w:ascii="Times New Roman" w:hAnsi="Times New Roman"/>
          <w:sz w:val="24"/>
          <w:szCs w:val="24"/>
        </w:rPr>
        <w:t>is</w:t>
      </w:r>
      <w:r>
        <w:rPr>
          <w:rFonts w:ascii="Times New Roman" w:hAnsi="Times New Roman"/>
          <w:sz w:val="24"/>
          <w:szCs w:val="24"/>
        </w:rPr>
        <w:t xml:space="preserve"> instrument engages the right to freedom </w:t>
      </w:r>
      <w:r w:rsidR="00301E21">
        <w:rPr>
          <w:rFonts w:ascii="Times New Roman" w:hAnsi="Times New Roman"/>
          <w:sz w:val="24"/>
          <w:szCs w:val="24"/>
        </w:rPr>
        <w:t>from</w:t>
      </w:r>
      <w:r>
        <w:rPr>
          <w:rFonts w:ascii="Times New Roman" w:hAnsi="Times New Roman"/>
          <w:sz w:val="24"/>
          <w:szCs w:val="24"/>
        </w:rPr>
        <w:t xml:space="preserve"> e</w:t>
      </w:r>
      <w:r w:rsidR="00301E21">
        <w:rPr>
          <w:rFonts w:ascii="Times New Roman" w:hAnsi="Times New Roman"/>
          <w:sz w:val="24"/>
          <w:szCs w:val="24"/>
        </w:rPr>
        <w:t xml:space="preserve">xploitation, violence and abuse. </w:t>
      </w:r>
      <w:r w:rsidR="00C108F2" w:rsidRPr="004414D4">
        <w:rPr>
          <w:rFonts w:ascii="Times New Roman" w:hAnsi="Times New Roman"/>
          <w:sz w:val="24"/>
          <w:szCs w:val="24"/>
        </w:rPr>
        <w:t xml:space="preserve">Article 16 </w:t>
      </w:r>
      <w:r w:rsidR="00301E21">
        <w:rPr>
          <w:rFonts w:ascii="Times New Roman" w:hAnsi="Times New Roman"/>
          <w:sz w:val="24"/>
          <w:szCs w:val="24"/>
        </w:rPr>
        <w:t xml:space="preserve">of the CRPD </w:t>
      </w:r>
      <w:r w:rsidR="00C108F2" w:rsidRPr="004414D4">
        <w:rPr>
          <w:rFonts w:ascii="Times New Roman" w:hAnsi="Times New Roman"/>
          <w:sz w:val="24"/>
          <w:szCs w:val="24"/>
        </w:rPr>
        <w:t xml:space="preserve">provides that States Parties shall take all </w:t>
      </w:r>
      <w:r w:rsidR="00965038">
        <w:rPr>
          <w:rFonts w:ascii="Times New Roman" w:hAnsi="Times New Roman"/>
          <w:sz w:val="24"/>
          <w:szCs w:val="24"/>
        </w:rPr>
        <w:t>appropriate legislative and administrative</w:t>
      </w:r>
      <w:r w:rsidR="00C108F2" w:rsidRPr="004414D4">
        <w:rPr>
          <w:rFonts w:ascii="Times New Roman" w:hAnsi="Times New Roman"/>
          <w:sz w:val="24"/>
          <w:szCs w:val="24"/>
        </w:rPr>
        <w:t xml:space="preserve"> measures to protect persons with disabilities from all forms of exploitation, violence and abuse</w:t>
      </w:r>
      <w:r w:rsidR="009D40C9">
        <w:rPr>
          <w:rFonts w:ascii="Times New Roman" w:hAnsi="Times New Roman"/>
          <w:sz w:val="24"/>
          <w:szCs w:val="24"/>
        </w:rPr>
        <w:t>.</w:t>
      </w:r>
      <w:r w:rsidR="00C108F2" w:rsidRPr="004414D4">
        <w:rPr>
          <w:rFonts w:ascii="Times New Roman" w:hAnsi="Times New Roman"/>
          <w:sz w:val="24"/>
          <w:szCs w:val="24"/>
        </w:rPr>
        <w:t xml:space="preserve"> State Parties </w:t>
      </w:r>
      <w:r w:rsidR="00ED3888">
        <w:rPr>
          <w:rFonts w:ascii="Times New Roman" w:hAnsi="Times New Roman"/>
          <w:sz w:val="24"/>
          <w:szCs w:val="24"/>
        </w:rPr>
        <w:t>shall</w:t>
      </w:r>
      <w:r w:rsidR="00C108F2" w:rsidRPr="004414D4">
        <w:rPr>
          <w:rFonts w:ascii="Times New Roman" w:hAnsi="Times New Roman"/>
          <w:sz w:val="24"/>
          <w:szCs w:val="24"/>
        </w:rPr>
        <w:t xml:space="preserve"> ensure that </w:t>
      </w:r>
      <w:r w:rsidR="00965038">
        <w:rPr>
          <w:rFonts w:ascii="Times New Roman" w:hAnsi="Times New Roman"/>
          <w:sz w:val="24"/>
          <w:szCs w:val="24"/>
        </w:rPr>
        <w:t xml:space="preserve">supports and services </w:t>
      </w:r>
      <w:r w:rsidR="00C108F2" w:rsidRPr="004414D4">
        <w:rPr>
          <w:rFonts w:ascii="Times New Roman" w:hAnsi="Times New Roman"/>
          <w:sz w:val="24"/>
          <w:szCs w:val="24"/>
        </w:rPr>
        <w:t xml:space="preserve">designed </w:t>
      </w:r>
      <w:r w:rsidR="00965038">
        <w:rPr>
          <w:rFonts w:ascii="Times New Roman" w:hAnsi="Times New Roman"/>
          <w:sz w:val="24"/>
          <w:szCs w:val="24"/>
        </w:rPr>
        <w:t>for</w:t>
      </w:r>
      <w:r w:rsidR="00C108F2" w:rsidRPr="004414D4">
        <w:rPr>
          <w:rFonts w:ascii="Times New Roman" w:hAnsi="Times New Roman"/>
          <w:sz w:val="24"/>
          <w:szCs w:val="24"/>
        </w:rPr>
        <w:t xml:space="preserve"> persons with disabilities are effectively monitored by independent authorities.</w:t>
      </w:r>
    </w:p>
    <w:p w14:paraId="13D020B5" w14:textId="202C2F0D" w:rsidR="004701DD" w:rsidRDefault="00AE2CAA" w:rsidP="000F73AC">
      <w:pPr>
        <w:spacing w:before="120" w:after="120" w:line="240" w:lineRule="auto"/>
        <w:rPr>
          <w:rFonts w:ascii="Times New Roman" w:hAnsi="Times New Roman"/>
          <w:sz w:val="24"/>
          <w:szCs w:val="24"/>
        </w:rPr>
      </w:pPr>
      <w:r>
        <w:rPr>
          <w:rFonts w:ascii="Times New Roman" w:hAnsi="Times New Roman"/>
          <w:sz w:val="24"/>
          <w:szCs w:val="24"/>
        </w:rPr>
        <w:t xml:space="preserve">The DSI Act </w:t>
      </w:r>
      <w:r w:rsidR="00BD03B3">
        <w:rPr>
          <w:rFonts w:ascii="Times New Roman" w:hAnsi="Times New Roman"/>
          <w:sz w:val="24"/>
          <w:szCs w:val="24"/>
        </w:rPr>
        <w:t>requires eligible persons providing higher risk supports and services</w:t>
      </w:r>
      <w:r w:rsidR="0052182C">
        <w:rPr>
          <w:rFonts w:ascii="Times New Roman" w:hAnsi="Times New Roman"/>
          <w:sz w:val="24"/>
          <w:szCs w:val="24"/>
        </w:rPr>
        <w:t xml:space="preserve"> to meet additional regulatory requirements</w:t>
      </w:r>
      <w:r w:rsidR="00817655">
        <w:rPr>
          <w:rFonts w:ascii="Times New Roman" w:hAnsi="Times New Roman"/>
          <w:sz w:val="24"/>
          <w:szCs w:val="24"/>
        </w:rPr>
        <w:t>, including</w:t>
      </w:r>
      <w:r w:rsidR="00832A08">
        <w:rPr>
          <w:rFonts w:ascii="Times New Roman" w:hAnsi="Times New Roman"/>
          <w:sz w:val="24"/>
          <w:szCs w:val="24"/>
        </w:rPr>
        <w:t xml:space="preserve"> but not limited to</w:t>
      </w:r>
      <w:r w:rsidR="00817655">
        <w:rPr>
          <w:rFonts w:ascii="Times New Roman" w:hAnsi="Times New Roman"/>
          <w:sz w:val="24"/>
          <w:szCs w:val="24"/>
        </w:rPr>
        <w:t xml:space="preserve"> being certified </w:t>
      </w:r>
      <w:r w:rsidR="00832A08">
        <w:rPr>
          <w:rFonts w:ascii="Times New Roman" w:hAnsi="Times New Roman"/>
          <w:sz w:val="24"/>
          <w:szCs w:val="24"/>
        </w:rPr>
        <w:t>against</w:t>
      </w:r>
      <w:r w:rsidR="00817655">
        <w:rPr>
          <w:rFonts w:ascii="Times New Roman" w:hAnsi="Times New Roman"/>
          <w:sz w:val="24"/>
          <w:szCs w:val="24"/>
        </w:rPr>
        <w:t xml:space="preserve"> the </w:t>
      </w:r>
      <w:r w:rsidR="004701DD" w:rsidRPr="0012407F">
        <w:rPr>
          <w:rFonts w:ascii="Times New Roman" w:hAnsi="Times New Roman"/>
          <w:sz w:val="24"/>
          <w:szCs w:val="24"/>
        </w:rPr>
        <w:t xml:space="preserve">National Standards </w:t>
      </w:r>
      <w:r w:rsidR="004701DD" w:rsidRPr="0012407F">
        <w:rPr>
          <w:rFonts w:ascii="Times New Roman" w:hAnsi="Times New Roman"/>
          <w:sz w:val="24"/>
          <w:szCs w:val="24"/>
        </w:rPr>
        <w:lastRenderedPageBreak/>
        <w:t xml:space="preserve">for Disability Services as outlined in Part 2 of the </w:t>
      </w:r>
      <w:r w:rsidR="004701DD" w:rsidRPr="00195AF3">
        <w:rPr>
          <w:rFonts w:ascii="Times New Roman" w:hAnsi="Times New Roman"/>
          <w:i/>
          <w:iCs/>
          <w:sz w:val="24"/>
          <w:szCs w:val="24"/>
        </w:rPr>
        <w:t>Disability Services and Inclusion (Compliance Standards and Alternative Compliance Requirements) Rules 2023</w:t>
      </w:r>
      <w:r w:rsidR="0052182C">
        <w:rPr>
          <w:rFonts w:ascii="Times New Roman" w:hAnsi="Times New Roman"/>
          <w:sz w:val="24"/>
          <w:szCs w:val="24"/>
        </w:rPr>
        <w:t>.</w:t>
      </w:r>
      <w:r w:rsidR="004F55EF">
        <w:rPr>
          <w:rFonts w:ascii="Times New Roman" w:hAnsi="Times New Roman"/>
          <w:sz w:val="24"/>
          <w:szCs w:val="24"/>
        </w:rPr>
        <w:t xml:space="preserve"> </w:t>
      </w:r>
    </w:p>
    <w:p w14:paraId="0A9017E6" w14:textId="77777777" w:rsidR="004701DD" w:rsidRDefault="005C0A76" w:rsidP="000F73AC">
      <w:pPr>
        <w:spacing w:before="120" w:after="120" w:line="240" w:lineRule="auto"/>
        <w:rPr>
          <w:rFonts w:ascii="Times New Roman" w:hAnsi="Times New Roman"/>
          <w:sz w:val="24"/>
          <w:szCs w:val="24"/>
        </w:rPr>
      </w:pPr>
      <w:r>
        <w:rPr>
          <w:rFonts w:ascii="Times New Roman" w:hAnsi="Times New Roman"/>
          <w:sz w:val="24"/>
          <w:szCs w:val="24"/>
        </w:rPr>
        <w:t xml:space="preserve">By </w:t>
      </w:r>
      <w:r w:rsidR="00EC3BE2">
        <w:rPr>
          <w:rFonts w:ascii="Times New Roman" w:hAnsi="Times New Roman"/>
          <w:sz w:val="24"/>
          <w:szCs w:val="24"/>
        </w:rPr>
        <w:t>allow</w:t>
      </w:r>
      <w:r>
        <w:rPr>
          <w:rFonts w:ascii="Times New Roman" w:hAnsi="Times New Roman"/>
          <w:sz w:val="24"/>
          <w:szCs w:val="24"/>
        </w:rPr>
        <w:t>ing</w:t>
      </w:r>
      <w:r w:rsidR="00EC3BE2">
        <w:rPr>
          <w:rFonts w:ascii="Times New Roman" w:hAnsi="Times New Roman"/>
          <w:sz w:val="24"/>
          <w:szCs w:val="24"/>
        </w:rPr>
        <w:t xml:space="preserve"> for</w:t>
      </w:r>
      <w:r w:rsidR="00E85682">
        <w:rPr>
          <w:rFonts w:ascii="Times New Roman" w:hAnsi="Times New Roman"/>
          <w:sz w:val="24"/>
          <w:szCs w:val="24"/>
        </w:rPr>
        <w:t xml:space="preserve"> certification held under the DS</w:t>
      </w:r>
      <w:r w:rsidR="00D40ADB">
        <w:rPr>
          <w:rFonts w:ascii="Times New Roman" w:hAnsi="Times New Roman"/>
          <w:sz w:val="24"/>
          <w:szCs w:val="24"/>
        </w:rPr>
        <w:t xml:space="preserve"> </w:t>
      </w:r>
      <w:r w:rsidR="00E85682">
        <w:rPr>
          <w:rFonts w:ascii="Times New Roman" w:hAnsi="Times New Roman"/>
          <w:sz w:val="24"/>
          <w:szCs w:val="24"/>
        </w:rPr>
        <w:t>A</w:t>
      </w:r>
      <w:r w:rsidR="00D40ADB">
        <w:rPr>
          <w:rFonts w:ascii="Times New Roman" w:hAnsi="Times New Roman"/>
          <w:sz w:val="24"/>
          <w:szCs w:val="24"/>
        </w:rPr>
        <w:t>ct</w:t>
      </w:r>
      <w:r w:rsidR="00E85682">
        <w:rPr>
          <w:rFonts w:ascii="Times New Roman" w:hAnsi="Times New Roman"/>
          <w:sz w:val="24"/>
          <w:szCs w:val="24"/>
        </w:rPr>
        <w:t xml:space="preserve"> to be r</w:t>
      </w:r>
      <w:r w:rsidR="00FF557C">
        <w:rPr>
          <w:rFonts w:ascii="Times New Roman" w:hAnsi="Times New Roman"/>
          <w:sz w:val="24"/>
          <w:szCs w:val="24"/>
        </w:rPr>
        <w:t xml:space="preserve">ecognised for the purposes of </w:t>
      </w:r>
      <w:r w:rsidR="00892F01">
        <w:rPr>
          <w:rFonts w:ascii="Times New Roman" w:hAnsi="Times New Roman"/>
          <w:sz w:val="24"/>
          <w:szCs w:val="24"/>
        </w:rPr>
        <w:t>obtaining certification under the DSI Act</w:t>
      </w:r>
      <w:r>
        <w:rPr>
          <w:rFonts w:ascii="Times New Roman" w:hAnsi="Times New Roman"/>
          <w:sz w:val="24"/>
          <w:szCs w:val="24"/>
        </w:rPr>
        <w:t>, the instrument forms part of an effective, proportionate and risk-based approach to the regulation of disability services and supports. Failing to recognise existing certificates would create a risk that providers, certifying bodies or the department would waste resources on duplicative requirements with no beneficial effect on the rights of people with disability.</w:t>
      </w:r>
      <w:r w:rsidR="009624E1">
        <w:rPr>
          <w:rFonts w:ascii="Times New Roman" w:hAnsi="Times New Roman"/>
          <w:sz w:val="24"/>
          <w:szCs w:val="24"/>
        </w:rPr>
        <w:t xml:space="preserve"> </w:t>
      </w:r>
    </w:p>
    <w:p w14:paraId="3749AA09" w14:textId="2EA1A6FE" w:rsidR="008B6274" w:rsidRDefault="009624E1" w:rsidP="000F73AC">
      <w:pPr>
        <w:spacing w:before="120" w:after="120" w:line="240" w:lineRule="auto"/>
        <w:rPr>
          <w:rFonts w:ascii="Times New Roman" w:hAnsi="Times New Roman"/>
          <w:sz w:val="24"/>
          <w:szCs w:val="24"/>
        </w:rPr>
      </w:pPr>
      <w:r>
        <w:rPr>
          <w:rFonts w:ascii="Times New Roman" w:hAnsi="Times New Roman"/>
          <w:sz w:val="24"/>
          <w:szCs w:val="24"/>
        </w:rPr>
        <w:t>This instrument therefore forms part of a regulatory system which aims to ensure</w:t>
      </w:r>
      <w:r w:rsidR="00D24E0C">
        <w:rPr>
          <w:rFonts w:ascii="Times New Roman" w:hAnsi="Times New Roman"/>
          <w:sz w:val="24"/>
          <w:szCs w:val="24"/>
        </w:rPr>
        <w:t xml:space="preserve"> that people with disability can expect to receive services and supports free from </w:t>
      </w:r>
      <w:r w:rsidR="00D24E0C" w:rsidRPr="004414D4">
        <w:rPr>
          <w:rFonts w:ascii="Times New Roman" w:hAnsi="Times New Roman"/>
          <w:sz w:val="24"/>
          <w:szCs w:val="24"/>
        </w:rPr>
        <w:t>exploitation, violence and abuse</w:t>
      </w:r>
      <w:r w:rsidR="00D24E0C">
        <w:rPr>
          <w:rFonts w:ascii="Times New Roman" w:hAnsi="Times New Roman"/>
          <w:sz w:val="24"/>
          <w:szCs w:val="24"/>
        </w:rPr>
        <w:t xml:space="preserve">. </w:t>
      </w:r>
    </w:p>
    <w:p w14:paraId="410E98B3" w14:textId="77777777" w:rsidR="006129BE" w:rsidRPr="000B17DC" w:rsidRDefault="006129BE" w:rsidP="006129BE">
      <w:pPr>
        <w:spacing w:before="120" w:after="120" w:line="240" w:lineRule="auto"/>
        <w:rPr>
          <w:rFonts w:ascii="Times New Roman" w:hAnsi="Times New Roman"/>
          <w:b/>
          <w:sz w:val="24"/>
          <w:szCs w:val="24"/>
        </w:rPr>
      </w:pPr>
      <w:r w:rsidRPr="000B17DC">
        <w:rPr>
          <w:rFonts w:ascii="Times New Roman" w:hAnsi="Times New Roman"/>
          <w:b/>
          <w:sz w:val="24"/>
          <w:szCs w:val="24"/>
        </w:rPr>
        <w:t xml:space="preserve">Conclusion </w:t>
      </w:r>
    </w:p>
    <w:p w14:paraId="6804F114" w14:textId="409DE884" w:rsidR="006129BE" w:rsidRPr="000B17DC" w:rsidRDefault="006129BE" w:rsidP="006129BE">
      <w:pPr>
        <w:spacing w:before="120" w:after="120" w:line="240" w:lineRule="auto"/>
        <w:rPr>
          <w:rFonts w:ascii="Times New Roman" w:hAnsi="Times New Roman"/>
          <w:sz w:val="24"/>
          <w:szCs w:val="24"/>
        </w:rPr>
      </w:pPr>
      <w:r w:rsidRPr="000B17DC">
        <w:rPr>
          <w:rFonts w:ascii="Times New Roman" w:hAnsi="Times New Roman"/>
          <w:sz w:val="24"/>
          <w:szCs w:val="24"/>
        </w:rPr>
        <w:t xml:space="preserve">The </w:t>
      </w:r>
      <w:r w:rsidRPr="00842338">
        <w:rPr>
          <w:rFonts w:ascii="Times New Roman" w:hAnsi="Times New Roman"/>
          <w:sz w:val="24"/>
          <w:szCs w:val="24"/>
        </w:rPr>
        <w:t xml:space="preserve">instrument is compatible with human </w:t>
      </w:r>
      <w:r w:rsidRPr="004414D4">
        <w:rPr>
          <w:rFonts w:ascii="Times New Roman" w:hAnsi="Times New Roman"/>
          <w:sz w:val="24"/>
        </w:rPr>
        <w:t>rights because</w:t>
      </w:r>
      <w:r w:rsidR="00BD0340" w:rsidRPr="004414D4">
        <w:rPr>
          <w:rFonts w:ascii="Times New Roman" w:hAnsi="Times New Roman"/>
          <w:sz w:val="24"/>
          <w:szCs w:val="24"/>
        </w:rPr>
        <w:t xml:space="preserve"> it will support the continuation of</w:t>
      </w:r>
      <w:r w:rsidR="00D9410C">
        <w:rPr>
          <w:rFonts w:ascii="Times New Roman" w:hAnsi="Times New Roman"/>
          <w:sz w:val="24"/>
          <w:szCs w:val="24"/>
        </w:rPr>
        <w:t xml:space="preserve"> services and supports which have been designed to uphold and advance </w:t>
      </w:r>
      <w:r w:rsidR="001931E0" w:rsidRPr="004414D4">
        <w:rPr>
          <w:rFonts w:ascii="Times New Roman" w:hAnsi="Times New Roman"/>
          <w:sz w:val="24"/>
          <w:szCs w:val="24"/>
        </w:rPr>
        <w:t xml:space="preserve">social inclusion </w:t>
      </w:r>
      <w:r w:rsidR="00F51F9A" w:rsidRPr="004414D4">
        <w:rPr>
          <w:rFonts w:ascii="Times New Roman" w:hAnsi="Times New Roman"/>
          <w:sz w:val="24"/>
          <w:szCs w:val="24"/>
        </w:rPr>
        <w:t xml:space="preserve">and equality for </w:t>
      </w:r>
      <w:r w:rsidR="001931E0" w:rsidRPr="004414D4">
        <w:rPr>
          <w:rFonts w:ascii="Times New Roman" w:hAnsi="Times New Roman"/>
          <w:sz w:val="24"/>
          <w:szCs w:val="24"/>
        </w:rPr>
        <w:t xml:space="preserve">people with disability. </w:t>
      </w:r>
      <w:r w:rsidR="00F51F9A" w:rsidRPr="004414D4">
        <w:rPr>
          <w:rFonts w:ascii="Times New Roman" w:hAnsi="Times New Roman"/>
          <w:sz w:val="24"/>
          <w:szCs w:val="24"/>
        </w:rPr>
        <w:t>Th</w:t>
      </w:r>
      <w:r w:rsidR="00D40ADB">
        <w:rPr>
          <w:rFonts w:ascii="Times New Roman" w:hAnsi="Times New Roman"/>
          <w:sz w:val="24"/>
          <w:szCs w:val="24"/>
        </w:rPr>
        <w:t>is</w:t>
      </w:r>
      <w:r w:rsidR="00F51F9A" w:rsidRPr="004414D4">
        <w:rPr>
          <w:rFonts w:ascii="Times New Roman" w:hAnsi="Times New Roman"/>
          <w:sz w:val="24"/>
          <w:szCs w:val="24"/>
        </w:rPr>
        <w:t xml:space="preserve"> Instrument also provides assurance to </w:t>
      </w:r>
      <w:r w:rsidR="00D9410C">
        <w:rPr>
          <w:rFonts w:ascii="Times New Roman" w:hAnsi="Times New Roman"/>
          <w:sz w:val="24"/>
          <w:szCs w:val="24"/>
        </w:rPr>
        <w:t>people</w:t>
      </w:r>
      <w:r w:rsidR="00F51F9A" w:rsidRPr="004414D4">
        <w:rPr>
          <w:rFonts w:ascii="Times New Roman" w:hAnsi="Times New Roman"/>
          <w:sz w:val="24"/>
          <w:szCs w:val="24"/>
        </w:rPr>
        <w:t xml:space="preserve"> with disability </w:t>
      </w:r>
      <w:r w:rsidR="004E43C8" w:rsidRPr="004414D4">
        <w:rPr>
          <w:rFonts w:ascii="Times New Roman" w:hAnsi="Times New Roman"/>
          <w:sz w:val="24"/>
          <w:szCs w:val="24"/>
        </w:rPr>
        <w:t xml:space="preserve">that </w:t>
      </w:r>
      <w:r w:rsidR="00BF3266" w:rsidRPr="004414D4">
        <w:rPr>
          <w:rFonts w:ascii="Times New Roman" w:hAnsi="Times New Roman"/>
          <w:sz w:val="24"/>
          <w:szCs w:val="24"/>
        </w:rPr>
        <w:t xml:space="preserve">providers continue to meet regulatory requirements, ensuring the quality and safety of supports and services. </w:t>
      </w:r>
    </w:p>
    <w:p w14:paraId="20A1753E" w14:textId="77777777" w:rsidR="006129BE" w:rsidRDefault="006129BE" w:rsidP="006129BE">
      <w:pPr>
        <w:spacing w:before="120" w:after="120" w:line="240" w:lineRule="auto"/>
        <w:rPr>
          <w:rFonts w:ascii="Times New Roman" w:hAnsi="Times New Roman"/>
          <w:sz w:val="24"/>
          <w:szCs w:val="24"/>
        </w:rPr>
      </w:pPr>
    </w:p>
    <w:p w14:paraId="6D1B915B" w14:textId="77777777" w:rsidR="006129BE" w:rsidRPr="00FB4929" w:rsidRDefault="006129BE" w:rsidP="006129BE">
      <w:pPr>
        <w:spacing w:before="120" w:after="120" w:line="240" w:lineRule="auto"/>
        <w:rPr>
          <w:rFonts w:ascii="Times New Roman" w:hAnsi="Times New Roman"/>
          <w:sz w:val="24"/>
          <w:szCs w:val="24"/>
        </w:rPr>
      </w:pPr>
    </w:p>
    <w:p w14:paraId="55A434FC" w14:textId="77777777" w:rsidR="006129BE" w:rsidRDefault="006129BE" w:rsidP="006129BE">
      <w:pPr>
        <w:spacing w:before="120" w:after="120" w:line="240" w:lineRule="auto"/>
        <w:jc w:val="center"/>
        <w:rPr>
          <w:rFonts w:ascii="Times New Roman" w:hAnsi="Times New Roman"/>
          <w:b/>
          <w:bCs/>
          <w:sz w:val="24"/>
          <w:szCs w:val="24"/>
        </w:rPr>
      </w:pPr>
    </w:p>
    <w:p w14:paraId="0BC6D31C" w14:textId="77777777" w:rsidR="00FF07FF" w:rsidRPr="00FB4929" w:rsidRDefault="00FF07FF" w:rsidP="00FF07FF">
      <w:pPr>
        <w:spacing w:before="120" w:after="120" w:line="240" w:lineRule="auto"/>
        <w:jc w:val="center"/>
        <w:rPr>
          <w:rFonts w:ascii="Times New Roman" w:hAnsi="Times New Roman"/>
          <w:sz w:val="24"/>
          <w:szCs w:val="24"/>
        </w:rPr>
      </w:pPr>
      <w:bookmarkStart w:id="4" w:name="_Hlk199948649"/>
      <w:r>
        <w:rPr>
          <w:rFonts w:ascii="Times New Roman" w:hAnsi="Times New Roman"/>
          <w:b/>
          <w:bCs/>
          <w:sz w:val="24"/>
          <w:szCs w:val="24"/>
        </w:rPr>
        <w:t>T</w:t>
      </w:r>
      <w:r w:rsidRPr="00FB4929">
        <w:rPr>
          <w:rFonts w:ascii="Times New Roman" w:hAnsi="Times New Roman"/>
          <w:b/>
          <w:bCs/>
          <w:sz w:val="24"/>
          <w:szCs w:val="24"/>
        </w:rPr>
        <w:t xml:space="preserve">he Hon </w:t>
      </w:r>
      <w:r>
        <w:rPr>
          <w:rFonts w:ascii="Times New Roman" w:hAnsi="Times New Roman"/>
          <w:b/>
          <w:bCs/>
          <w:sz w:val="24"/>
          <w:szCs w:val="24"/>
        </w:rPr>
        <w:t>Tanya Plibersek MP</w:t>
      </w:r>
      <w:bookmarkEnd w:id="4"/>
      <w:r w:rsidRPr="00FB4929">
        <w:rPr>
          <w:rFonts w:ascii="Times New Roman" w:hAnsi="Times New Roman"/>
          <w:b/>
          <w:bCs/>
          <w:sz w:val="24"/>
          <w:szCs w:val="24"/>
        </w:rPr>
        <w:t xml:space="preserve"> </w:t>
      </w:r>
    </w:p>
    <w:p w14:paraId="47FA5826" w14:textId="77777777" w:rsidR="006129BE" w:rsidRPr="00FB4929" w:rsidRDefault="006129BE" w:rsidP="006129BE">
      <w:pPr>
        <w:spacing w:before="120" w:after="120" w:line="240" w:lineRule="auto"/>
        <w:jc w:val="center"/>
        <w:rPr>
          <w:rFonts w:ascii="Times New Roman" w:hAnsi="Times New Roman"/>
          <w:sz w:val="24"/>
          <w:szCs w:val="24"/>
        </w:rPr>
      </w:pPr>
      <w:r w:rsidRPr="00FB4929">
        <w:rPr>
          <w:rFonts w:ascii="Times New Roman" w:hAnsi="Times New Roman"/>
          <w:b/>
          <w:bCs/>
          <w:sz w:val="24"/>
          <w:szCs w:val="24"/>
        </w:rPr>
        <w:t xml:space="preserve">Minister for </w:t>
      </w:r>
      <w:r>
        <w:rPr>
          <w:rFonts w:ascii="Times New Roman" w:hAnsi="Times New Roman"/>
          <w:b/>
          <w:bCs/>
          <w:sz w:val="24"/>
          <w:szCs w:val="24"/>
        </w:rPr>
        <w:t>Social Services</w:t>
      </w:r>
    </w:p>
    <w:bookmarkEnd w:id="3"/>
    <w:p w14:paraId="6A1484FD" w14:textId="77777777" w:rsidR="006129BE" w:rsidRPr="00421C9E" w:rsidRDefault="006129BE" w:rsidP="006129BE">
      <w:pPr>
        <w:pStyle w:val="ESAttHeading"/>
        <w:jc w:val="center"/>
        <w:rPr>
          <w:b w:val="0"/>
        </w:rPr>
      </w:pPr>
    </w:p>
    <w:p w14:paraId="2849C5F0" w14:textId="01790F9C" w:rsidR="00EE00B5" w:rsidRPr="00421C9E" w:rsidRDefault="00EE00B5" w:rsidP="00EE00B5">
      <w:pPr>
        <w:pStyle w:val="ESAttHeading"/>
        <w:jc w:val="center"/>
        <w:rPr>
          <w:b w:val="0"/>
        </w:rPr>
      </w:pPr>
    </w:p>
    <w:sectPr w:rsidR="00EE00B5" w:rsidRPr="00421C9E" w:rsidSect="00EE00B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3F81" w14:textId="77777777" w:rsidR="00880E15" w:rsidRDefault="00880E15" w:rsidP="00AD062B">
      <w:pPr>
        <w:spacing w:after="0" w:line="240" w:lineRule="auto"/>
      </w:pPr>
      <w:r>
        <w:separator/>
      </w:r>
    </w:p>
  </w:endnote>
  <w:endnote w:type="continuationSeparator" w:id="0">
    <w:p w14:paraId="442912E8" w14:textId="77777777" w:rsidR="00880E15" w:rsidRDefault="00880E15" w:rsidP="00AD062B">
      <w:pPr>
        <w:spacing w:after="0" w:line="240" w:lineRule="auto"/>
      </w:pPr>
      <w:r>
        <w:continuationSeparator/>
      </w:r>
    </w:p>
  </w:endnote>
  <w:endnote w:type="continuationNotice" w:id="1">
    <w:p w14:paraId="5094A7DB" w14:textId="77777777" w:rsidR="00880E15" w:rsidRDefault="0088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1FA8" w14:textId="77777777" w:rsidR="009437D2" w:rsidRDefault="0094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753C" w14:textId="4C4262DF" w:rsidR="00E23CF7" w:rsidRPr="00421C9E" w:rsidRDefault="00E23CF7" w:rsidP="00E23CF7">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40A" w14:textId="00A4F433" w:rsidR="00E23CF7" w:rsidRPr="00421C9E" w:rsidRDefault="00E23CF7" w:rsidP="00E23CF7">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8873" w14:textId="77777777" w:rsidR="00880E15" w:rsidRDefault="00880E15" w:rsidP="00AD062B">
      <w:pPr>
        <w:spacing w:after="0" w:line="240" w:lineRule="auto"/>
      </w:pPr>
      <w:r>
        <w:separator/>
      </w:r>
    </w:p>
  </w:footnote>
  <w:footnote w:type="continuationSeparator" w:id="0">
    <w:p w14:paraId="787F859C" w14:textId="77777777" w:rsidR="00880E15" w:rsidRDefault="00880E15" w:rsidP="00AD062B">
      <w:pPr>
        <w:spacing w:after="0" w:line="240" w:lineRule="auto"/>
      </w:pPr>
      <w:r>
        <w:continuationSeparator/>
      </w:r>
    </w:p>
  </w:footnote>
  <w:footnote w:type="continuationNotice" w:id="1">
    <w:p w14:paraId="59A8138A" w14:textId="77777777" w:rsidR="00880E15" w:rsidRDefault="00880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5E6" w14:textId="77777777" w:rsidR="009437D2" w:rsidRDefault="0094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226" w14:textId="578D42EF" w:rsidR="00E23CF7" w:rsidRPr="00421C9E" w:rsidRDefault="00E23CF7" w:rsidP="00E23CF7">
    <w:pPr>
      <w:pStyle w:val="Foot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A09C" w14:textId="0982B926" w:rsidR="00E23CF7" w:rsidRPr="00421C9E" w:rsidRDefault="00E23CF7" w:rsidP="00E23CF7">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2EB"/>
    <w:multiLevelType w:val="hybridMultilevel"/>
    <w:tmpl w:val="6E6E119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 w15:restartNumberingAfterBreak="0">
    <w:nsid w:val="03E059C7"/>
    <w:multiLevelType w:val="hybridMultilevel"/>
    <w:tmpl w:val="FE1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E3E6E"/>
    <w:multiLevelType w:val="hybridMultilevel"/>
    <w:tmpl w:val="935A92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592BD2"/>
    <w:multiLevelType w:val="multilevel"/>
    <w:tmpl w:val="27543AE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C7109"/>
    <w:multiLevelType w:val="hybridMultilevel"/>
    <w:tmpl w:val="83865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026255"/>
    <w:multiLevelType w:val="multilevel"/>
    <w:tmpl w:val="6A2A3C6C"/>
    <w:lvl w:ilvl="0">
      <w:start w:val="1"/>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7" w15:restartNumberingAfterBreak="0">
    <w:nsid w:val="1D521314"/>
    <w:multiLevelType w:val="multilevel"/>
    <w:tmpl w:val="A752743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EC1212"/>
    <w:multiLevelType w:val="hybridMultilevel"/>
    <w:tmpl w:val="BE0C7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3727FD7"/>
    <w:multiLevelType w:val="hybridMultilevel"/>
    <w:tmpl w:val="1DF0D924"/>
    <w:lvl w:ilvl="0" w:tplc="BC5C890C">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298B78D4"/>
    <w:multiLevelType w:val="hybridMultilevel"/>
    <w:tmpl w:val="6186D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0E1176"/>
    <w:multiLevelType w:val="hybridMultilevel"/>
    <w:tmpl w:val="F8769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C04CD1"/>
    <w:multiLevelType w:val="hybridMultilevel"/>
    <w:tmpl w:val="499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532A9"/>
    <w:multiLevelType w:val="multilevel"/>
    <w:tmpl w:val="C400E542"/>
    <w:lvl w:ilvl="0">
      <w:start w:val="1"/>
      <w:numFmt w:val="decimal"/>
      <w:pStyle w:val="ESSubparaHeader"/>
      <w:lvlText w:val="%1"/>
      <w:lvlJc w:val="left"/>
      <w:pPr>
        <w:ind w:left="567" w:hanging="567"/>
      </w:pPr>
      <w:rPr>
        <w:rFonts w:hint="default"/>
        <w:b w:val="0"/>
        <w:i w:val="0"/>
        <w:color w:val="auto"/>
      </w:rPr>
    </w:lvl>
    <w:lvl w:ilvl="1">
      <w:start w:val="1"/>
      <w:numFmt w:val="lowerLetter"/>
      <w:pStyle w:val="ESSubparaList"/>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3F0154BF"/>
    <w:multiLevelType w:val="multilevel"/>
    <w:tmpl w:val="E99E18E2"/>
    <w:lvl w:ilvl="0">
      <w:start w:val="1"/>
      <w:numFmt w:val="bullet"/>
      <w:lvlText w:val=""/>
      <w:lvlJc w:val="left"/>
      <w:pPr>
        <w:ind w:left="567" w:hanging="567"/>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408B59CA"/>
    <w:multiLevelType w:val="hybridMultilevel"/>
    <w:tmpl w:val="AEE4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32DF9"/>
    <w:multiLevelType w:val="hybridMultilevel"/>
    <w:tmpl w:val="E1A40A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9337B01"/>
    <w:multiLevelType w:val="hybridMultilevel"/>
    <w:tmpl w:val="4C9EB100"/>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18"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485849"/>
    <w:multiLevelType w:val="hybridMultilevel"/>
    <w:tmpl w:val="5B8A5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A10C6"/>
    <w:multiLevelType w:val="multilevel"/>
    <w:tmpl w:val="BD16941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A40845"/>
    <w:multiLevelType w:val="hybridMultilevel"/>
    <w:tmpl w:val="E4261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F3BAB"/>
    <w:multiLevelType w:val="hybridMultilevel"/>
    <w:tmpl w:val="799AA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ED5BF0"/>
    <w:multiLevelType w:val="hybridMultilevel"/>
    <w:tmpl w:val="BE740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15:restartNumberingAfterBreak="0">
    <w:nsid w:val="641B2D1F"/>
    <w:multiLevelType w:val="hybridMultilevel"/>
    <w:tmpl w:val="740ED3C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6" w15:restartNumberingAfterBreak="0">
    <w:nsid w:val="689B5D5D"/>
    <w:multiLevelType w:val="hybridMultilevel"/>
    <w:tmpl w:val="E490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0B02B9"/>
    <w:multiLevelType w:val="hybridMultilevel"/>
    <w:tmpl w:val="3DBCB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34373F"/>
    <w:multiLevelType w:val="hybridMultilevel"/>
    <w:tmpl w:val="8C926490"/>
    <w:lvl w:ilvl="0" w:tplc="7F1E0EAE">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597526"/>
    <w:multiLevelType w:val="hybridMultilevel"/>
    <w:tmpl w:val="EE56E9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98A0161"/>
    <w:multiLevelType w:val="hybridMultilevel"/>
    <w:tmpl w:val="2228D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1E4F3C"/>
    <w:multiLevelType w:val="hybridMultilevel"/>
    <w:tmpl w:val="EB5490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DA21653"/>
    <w:multiLevelType w:val="hybridMultilevel"/>
    <w:tmpl w:val="4842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7281532">
    <w:abstractNumId w:val="13"/>
  </w:num>
  <w:num w:numId="2" w16cid:durableId="1595892949">
    <w:abstractNumId w:val="18"/>
  </w:num>
  <w:num w:numId="3" w16cid:durableId="849880025">
    <w:abstractNumId w:val="28"/>
  </w:num>
  <w:num w:numId="4" w16cid:durableId="2145387723">
    <w:abstractNumId w:val="1"/>
  </w:num>
  <w:num w:numId="5" w16cid:durableId="1352419155">
    <w:abstractNumId w:val="29"/>
  </w:num>
  <w:num w:numId="6" w16cid:durableId="1609968496">
    <w:abstractNumId w:val="13"/>
    <w:lvlOverride w:ilvl="0">
      <w:startOverride w:val="1"/>
    </w:lvlOverride>
  </w:num>
  <w:num w:numId="7" w16cid:durableId="396130152">
    <w:abstractNumId w:val="13"/>
  </w:num>
  <w:num w:numId="8" w16cid:durableId="1613169959">
    <w:abstractNumId w:val="13"/>
  </w:num>
  <w:num w:numId="9" w16cid:durableId="1589383812">
    <w:abstractNumId w:val="13"/>
  </w:num>
  <w:num w:numId="10" w16cid:durableId="1921938951">
    <w:abstractNumId w:val="13"/>
  </w:num>
  <w:num w:numId="11" w16cid:durableId="1994603300">
    <w:abstractNumId w:val="18"/>
  </w:num>
  <w:num w:numId="12" w16cid:durableId="110630498">
    <w:abstractNumId w:val="12"/>
  </w:num>
  <w:num w:numId="13" w16cid:durableId="1896891692">
    <w:abstractNumId w:val="13"/>
  </w:num>
  <w:num w:numId="14" w16cid:durableId="1803964820">
    <w:abstractNumId w:val="13"/>
  </w:num>
  <w:num w:numId="15" w16cid:durableId="2018118171">
    <w:abstractNumId w:val="32"/>
  </w:num>
  <w:num w:numId="16" w16cid:durableId="2079396985">
    <w:abstractNumId w:val="13"/>
  </w:num>
  <w:num w:numId="17" w16cid:durableId="135688924">
    <w:abstractNumId w:val="13"/>
  </w:num>
  <w:num w:numId="18" w16cid:durableId="156380379">
    <w:abstractNumId w:val="13"/>
  </w:num>
  <w:num w:numId="19" w16cid:durableId="1100294270">
    <w:abstractNumId w:val="13"/>
  </w:num>
  <w:num w:numId="20" w16cid:durableId="1899239650">
    <w:abstractNumId w:val="13"/>
  </w:num>
  <w:num w:numId="21" w16cid:durableId="272564342">
    <w:abstractNumId w:val="13"/>
  </w:num>
  <w:num w:numId="22" w16cid:durableId="825362810">
    <w:abstractNumId w:val="25"/>
  </w:num>
  <w:num w:numId="23" w16cid:durableId="451827971">
    <w:abstractNumId w:val="17"/>
  </w:num>
  <w:num w:numId="24" w16cid:durableId="1159152149">
    <w:abstractNumId w:val="8"/>
  </w:num>
  <w:num w:numId="25" w16cid:durableId="1926722609">
    <w:abstractNumId w:val="21"/>
  </w:num>
  <w:num w:numId="26" w16cid:durableId="657076410">
    <w:abstractNumId w:val="4"/>
  </w:num>
  <w:num w:numId="27" w16cid:durableId="653071310">
    <w:abstractNumId w:val="10"/>
  </w:num>
  <w:num w:numId="28" w16cid:durableId="1501701283">
    <w:abstractNumId w:val="23"/>
  </w:num>
  <w:num w:numId="29" w16cid:durableId="1985965811">
    <w:abstractNumId w:val="14"/>
  </w:num>
  <w:num w:numId="30" w16cid:durableId="1187133805">
    <w:abstractNumId w:val="20"/>
  </w:num>
  <w:num w:numId="31" w16cid:durableId="1960456906">
    <w:abstractNumId w:val="11"/>
  </w:num>
  <w:num w:numId="32" w16cid:durableId="1811744056">
    <w:abstractNumId w:val="3"/>
  </w:num>
  <w:num w:numId="33" w16cid:durableId="205652749">
    <w:abstractNumId w:val="7"/>
  </w:num>
  <w:num w:numId="34" w16cid:durableId="1314723729">
    <w:abstractNumId w:val="0"/>
  </w:num>
  <w:num w:numId="35" w16cid:durableId="1704287210">
    <w:abstractNumId w:val="16"/>
  </w:num>
  <w:num w:numId="36" w16cid:durableId="208885326">
    <w:abstractNumId w:val="26"/>
  </w:num>
  <w:num w:numId="37" w16cid:durableId="697004570">
    <w:abstractNumId w:val="27"/>
  </w:num>
  <w:num w:numId="38" w16cid:durableId="1036076760">
    <w:abstractNumId w:val="5"/>
  </w:num>
  <w:num w:numId="39" w16cid:durableId="11452726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341035">
    <w:abstractNumId w:val="24"/>
  </w:num>
  <w:num w:numId="41" w16cid:durableId="1341196259">
    <w:abstractNumId w:val="2"/>
  </w:num>
  <w:num w:numId="42" w16cid:durableId="276916555">
    <w:abstractNumId w:val="31"/>
  </w:num>
  <w:num w:numId="43" w16cid:durableId="127088464">
    <w:abstractNumId w:val="19"/>
  </w:num>
  <w:num w:numId="44" w16cid:durableId="2069304718">
    <w:abstractNumId w:val="13"/>
  </w:num>
  <w:num w:numId="45" w16cid:durableId="788164895">
    <w:abstractNumId w:val="13"/>
  </w:num>
  <w:num w:numId="46" w16cid:durableId="36130760">
    <w:abstractNumId w:val="15"/>
  </w:num>
  <w:num w:numId="47" w16cid:durableId="2007853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5748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41994622">
    <w:abstractNumId w:val="9"/>
  </w:num>
  <w:num w:numId="50" w16cid:durableId="414789032">
    <w:abstractNumId w:val="30"/>
  </w:num>
  <w:num w:numId="51" w16cid:durableId="32540539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55"/>
    <w:rsid w:val="00001CB2"/>
    <w:rsid w:val="00015B99"/>
    <w:rsid w:val="00017A7C"/>
    <w:rsid w:val="00020857"/>
    <w:rsid w:val="00020AC3"/>
    <w:rsid w:val="0002290E"/>
    <w:rsid w:val="0003182E"/>
    <w:rsid w:val="00033471"/>
    <w:rsid w:val="00037BBB"/>
    <w:rsid w:val="00042372"/>
    <w:rsid w:val="00046AAE"/>
    <w:rsid w:val="00052197"/>
    <w:rsid w:val="00052376"/>
    <w:rsid w:val="00060622"/>
    <w:rsid w:val="000678C1"/>
    <w:rsid w:val="000757DA"/>
    <w:rsid w:val="0007705F"/>
    <w:rsid w:val="00077C84"/>
    <w:rsid w:val="00081FA4"/>
    <w:rsid w:val="00083420"/>
    <w:rsid w:val="00083A2B"/>
    <w:rsid w:val="00083E10"/>
    <w:rsid w:val="000853BC"/>
    <w:rsid w:val="00085C81"/>
    <w:rsid w:val="0008609E"/>
    <w:rsid w:val="000918F7"/>
    <w:rsid w:val="00096BDF"/>
    <w:rsid w:val="00097829"/>
    <w:rsid w:val="000A02F5"/>
    <w:rsid w:val="000A4317"/>
    <w:rsid w:val="000A71AE"/>
    <w:rsid w:val="000B0DB7"/>
    <w:rsid w:val="000B17DC"/>
    <w:rsid w:val="000B32F0"/>
    <w:rsid w:val="000C1556"/>
    <w:rsid w:val="000C1587"/>
    <w:rsid w:val="000C3423"/>
    <w:rsid w:val="000C39D8"/>
    <w:rsid w:val="000C43DC"/>
    <w:rsid w:val="000D014F"/>
    <w:rsid w:val="000D6D50"/>
    <w:rsid w:val="000D77A3"/>
    <w:rsid w:val="000E295A"/>
    <w:rsid w:val="000E30AA"/>
    <w:rsid w:val="000E63A7"/>
    <w:rsid w:val="000F17A0"/>
    <w:rsid w:val="000F67EA"/>
    <w:rsid w:val="000F6810"/>
    <w:rsid w:val="000F6E50"/>
    <w:rsid w:val="000F73AC"/>
    <w:rsid w:val="00100DFC"/>
    <w:rsid w:val="001101D9"/>
    <w:rsid w:val="001118EB"/>
    <w:rsid w:val="00112235"/>
    <w:rsid w:val="00112249"/>
    <w:rsid w:val="00113378"/>
    <w:rsid w:val="00114AC7"/>
    <w:rsid w:val="00124FE1"/>
    <w:rsid w:val="0012614E"/>
    <w:rsid w:val="001304FC"/>
    <w:rsid w:val="0014108D"/>
    <w:rsid w:val="001425C3"/>
    <w:rsid w:val="001436AD"/>
    <w:rsid w:val="00143EE4"/>
    <w:rsid w:val="00144EB2"/>
    <w:rsid w:val="00152048"/>
    <w:rsid w:val="00153A08"/>
    <w:rsid w:val="00154B04"/>
    <w:rsid w:val="00154FC2"/>
    <w:rsid w:val="001570B5"/>
    <w:rsid w:val="00160164"/>
    <w:rsid w:val="0016071D"/>
    <w:rsid w:val="001633F1"/>
    <w:rsid w:val="00166DAA"/>
    <w:rsid w:val="00167717"/>
    <w:rsid w:val="0017526D"/>
    <w:rsid w:val="001772C2"/>
    <w:rsid w:val="00183B13"/>
    <w:rsid w:val="00183DA0"/>
    <w:rsid w:val="0018608C"/>
    <w:rsid w:val="0019164E"/>
    <w:rsid w:val="00191C6E"/>
    <w:rsid w:val="001931E0"/>
    <w:rsid w:val="001965BB"/>
    <w:rsid w:val="001A069A"/>
    <w:rsid w:val="001B16B5"/>
    <w:rsid w:val="001B3BBC"/>
    <w:rsid w:val="001B4E98"/>
    <w:rsid w:val="001B540E"/>
    <w:rsid w:val="001B771B"/>
    <w:rsid w:val="001B79EE"/>
    <w:rsid w:val="001D0BC7"/>
    <w:rsid w:val="001D185C"/>
    <w:rsid w:val="001D2A30"/>
    <w:rsid w:val="001D42B9"/>
    <w:rsid w:val="001D4DDF"/>
    <w:rsid w:val="001D5152"/>
    <w:rsid w:val="001D5C93"/>
    <w:rsid w:val="001D5E38"/>
    <w:rsid w:val="001D76FB"/>
    <w:rsid w:val="001E0D94"/>
    <w:rsid w:val="001E2F00"/>
    <w:rsid w:val="001F1D64"/>
    <w:rsid w:val="001F2909"/>
    <w:rsid w:val="001F3268"/>
    <w:rsid w:val="002004CD"/>
    <w:rsid w:val="002045B5"/>
    <w:rsid w:val="00205136"/>
    <w:rsid w:val="002060C6"/>
    <w:rsid w:val="002129D0"/>
    <w:rsid w:val="00212E74"/>
    <w:rsid w:val="002144EA"/>
    <w:rsid w:val="00215B36"/>
    <w:rsid w:val="0021785C"/>
    <w:rsid w:val="00231782"/>
    <w:rsid w:val="00233ECB"/>
    <w:rsid w:val="0023451E"/>
    <w:rsid w:val="002402E0"/>
    <w:rsid w:val="0024133B"/>
    <w:rsid w:val="0024289F"/>
    <w:rsid w:val="00243A33"/>
    <w:rsid w:val="002441CC"/>
    <w:rsid w:val="00245173"/>
    <w:rsid w:val="00245537"/>
    <w:rsid w:val="00246306"/>
    <w:rsid w:val="00246418"/>
    <w:rsid w:val="00247237"/>
    <w:rsid w:val="00247F34"/>
    <w:rsid w:val="002621C9"/>
    <w:rsid w:val="00263250"/>
    <w:rsid w:val="00265CD9"/>
    <w:rsid w:val="00270D0E"/>
    <w:rsid w:val="00286748"/>
    <w:rsid w:val="00286A13"/>
    <w:rsid w:val="00293B52"/>
    <w:rsid w:val="002A1292"/>
    <w:rsid w:val="002A1DBB"/>
    <w:rsid w:val="002A3BB0"/>
    <w:rsid w:val="002A77DA"/>
    <w:rsid w:val="002B1E3F"/>
    <w:rsid w:val="002B2D6D"/>
    <w:rsid w:val="002B449A"/>
    <w:rsid w:val="002B6D55"/>
    <w:rsid w:val="002C1552"/>
    <w:rsid w:val="002C341D"/>
    <w:rsid w:val="002C5C20"/>
    <w:rsid w:val="002D167E"/>
    <w:rsid w:val="002D65FC"/>
    <w:rsid w:val="002E44D1"/>
    <w:rsid w:val="002E49CA"/>
    <w:rsid w:val="002E6DFC"/>
    <w:rsid w:val="002F0340"/>
    <w:rsid w:val="002F1FE3"/>
    <w:rsid w:val="002F267F"/>
    <w:rsid w:val="002F41B6"/>
    <w:rsid w:val="002F4B40"/>
    <w:rsid w:val="002F56B9"/>
    <w:rsid w:val="002F6F99"/>
    <w:rsid w:val="002F74FC"/>
    <w:rsid w:val="002F79FB"/>
    <w:rsid w:val="00301E21"/>
    <w:rsid w:val="00303A7F"/>
    <w:rsid w:val="0030450F"/>
    <w:rsid w:val="00304EED"/>
    <w:rsid w:val="003063A9"/>
    <w:rsid w:val="00306DC0"/>
    <w:rsid w:val="0031043B"/>
    <w:rsid w:val="00310A20"/>
    <w:rsid w:val="00311829"/>
    <w:rsid w:val="00316391"/>
    <w:rsid w:val="0031749F"/>
    <w:rsid w:val="00320FE8"/>
    <w:rsid w:val="00330B18"/>
    <w:rsid w:val="00331BED"/>
    <w:rsid w:val="00333999"/>
    <w:rsid w:val="00334383"/>
    <w:rsid w:val="00337728"/>
    <w:rsid w:val="00340108"/>
    <w:rsid w:val="003403F8"/>
    <w:rsid w:val="00340C48"/>
    <w:rsid w:val="00341834"/>
    <w:rsid w:val="0034564B"/>
    <w:rsid w:val="00347747"/>
    <w:rsid w:val="00350916"/>
    <w:rsid w:val="00353C97"/>
    <w:rsid w:val="00355045"/>
    <w:rsid w:val="0036194C"/>
    <w:rsid w:val="00363C26"/>
    <w:rsid w:val="00363F84"/>
    <w:rsid w:val="00365B8C"/>
    <w:rsid w:val="00366E5B"/>
    <w:rsid w:val="0036733C"/>
    <w:rsid w:val="003703F9"/>
    <w:rsid w:val="00372281"/>
    <w:rsid w:val="00372331"/>
    <w:rsid w:val="003735F2"/>
    <w:rsid w:val="00373957"/>
    <w:rsid w:val="00376CF0"/>
    <w:rsid w:val="00377663"/>
    <w:rsid w:val="003825BE"/>
    <w:rsid w:val="00382B92"/>
    <w:rsid w:val="00390B2E"/>
    <w:rsid w:val="00393866"/>
    <w:rsid w:val="00394F0B"/>
    <w:rsid w:val="003976DB"/>
    <w:rsid w:val="003A0CD9"/>
    <w:rsid w:val="003A1487"/>
    <w:rsid w:val="003A388B"/>
    <w:rsid w:val="003A5500"/>
    <w:rsid w:val="003A6DCF"/>
    <w:rsid w:val="003A76B8"/>
    <w:rsid w:val="003B3063"/>
    <w:rsid w:val="003B4B51"/>
    <w:rsid w:val="003B4E0F"/>
    <w:rsid w:val="003B7689"/>
    <w:rsid w:val="003C37C1"/>
    <w:rsid w:val="003C40D1"/>
    <w:rsid w:val="003C42CF"/>
    <w:rsid w:val="003C57E0"/>
    <w:rsid w:val="003C5F5D"/>
    <w:rsid w:val="003C73D4"/>
    <w:rsid w:val="003C786B"/>
    <w:rsid w:val="003D477D"/>
    <w:rsid w:val="003D79EC"/>
    <w:rsid w:val="003E256A"/>
    <w:rsid w:val="003E3BCD"/>
    <w:rsid w:val="003E3C80"/>
    <w:rsid w:val="003E4A59"/>
    <w:rsid w:val="003E5CB5"/>
    <w:rsid w:val="003F10A4"/>
    <w:rsid w:val="003F12A0"/>
    <w:rsid w:val="003F2BF0"/>
    <w:rsid w:val="004022FD"/>
    <w:rsid w:val="0040278F"/>
    <w:rsid w:val="00404561"/>
    <w:rsid w:val="00407E7D"/>
    <w:rsid w:val="00411416"/>
    <w:rsid w:val="00412B3D"/>
    <w:rsid w:val="00417B54"/>
    <w:rsid w:val="00421C9E"/>
    <w:rsid w:val="00422291"/>
    <w:rsid w:val="004242E1"/>
    <w:rsid w:val="00424AFB"/>
    <w:rsid w:val="00424CBF"/>
    <w:rsid w:val="00427E19"/>
    <w:rsid w:val="00432000"/>
    <w:rsid w:val="004352F0"/>
    <w:rsid w:val="00436782"/>
    <w:rsid w:val="004375AE"/>
    <w:rsid w:val="004414D4"/>
    <w:rsid w:val="004419B2"/>
    <w:rsid w:val="0044211B"/>
    <w:rsid w:val="0044465B"/>
    <w:rsid w:val="00445A52"/>
    <w:rsid w:val="004474A4"/>
    <w:rsid w:val="00451F56"/>
    <w:rsid w:val="00452B95"/>
    <w:rsid w:val="00457652"/>
    <w:rsid w:val="00457D4A"/>
    <w:rsid w:val="00462CE6"/>
    <w:rsid w:val="0046322E"/>
    <w:rsid w:val="00464080"/>
    <w:rsid w:val="004701DD"/>
    <w:rsid w:val="00473DA2"/>
    <w:rsid w:val="004742C8"/>
    <w:rsid w:val="004775D7"/>
    <w:rsid w:val="0048226F"/>
    <w:rsid w:val="004859BB"/>
    <w:rsid w:val="0048755F"/>
    <w:rsid w:val="00491043"/>
    <w:rsid w:val="00491695"/>
    <w:rsid w:val="004966D6"/>
    <w:rsid w:val="00496C5A"/>
    <w:rsid w:val="004A1BD5"/>
    <w:rsid w:val="004A1DB5"/>
    <w:rsid w:val="004A2ABB"/>
    <w:rsid w:val="004A4431"/>
    <w:rsid w:val="004A6329"/>
    <w:rsid w:val="004B04D1"/>
    <w:rsid w:val="004B133D"/>
    <w:rsid w:val="004B415B"/>
    <w:rsid w:val="004B43F2"/>
    <w:rsid w:val="004B5F81"/>
    <w:rsid w:val="004B6054"/>
    <w:rsid w:val="004B637C"/>
    <w:rsid w:val="004B6887"/>
    <w:rsid w:val="004C25A0"/>
    <w:rsid w:val="004C710B"/>
    <w:rsid w:val="004D1895"/>
    <w:rsid w:val="004D2AF0"/>
    <w:rsid w:val="004D2E3B"/>
    <w:rsid w:val="004D6B3F"/>
    <w:rsid w:val="004D7402"/>
    <w:rsid w:val="004D7E76"/>
    <w:rsid w:val="004E284F"/>
    <w:rsid w:val="004E43C8"/>
    <w:rsid w:val="004E69D1"/>
    <w:rsid w:val="004E6ACD"/>
    <w:rsid w:val="004F249B"/>
    <w:rsid w:val="004F55EF"/>
    <w:rsid w:val="004F5CE4"/>
    <w:rsid w:val="00500935"/>
    <w:rsid w:val="00500A2D"/>
    <w:rsid w:val="0050125A"/>
    <w:rsid w:val="005035B2"/>
    <w:rsid w:val="00504B0E"/>
    <w:rsid w:val="0050751E"/>
    <w:rsid w:val="00517374"/>
    <w:rsid w:val="0052025D"/>
    <w:rsid w:val="0052182C"/>
    <w:rsid w:val="00526D0E"/>
    <w:rsid w:val="00536E54"/>
    <w:rsid w:val="00536F13"/>
    <w:rsid w:val="005407E0"/>
    <w:rsid w:val="0054675F"/>
    <w:rsid w:val="00551AF7"/>
    <w:rsid w:val="00553F56"/>
    <w:rsid w:val="005548C9"/>
    <w:rsid w:val="005564B0"/>
    <w:rsid w:val="00560362"/>
    <w:rsid w:val="00560B24"/>
    <w:rsid w:val="00564313"/>
    <w:rsid w:val="00566AB5"/>
    <w:rsid w:val="0057002B"/>
    <w:rsid w:val="00570BD4"/>
    <w:rsid w:val="00571D94"/>
    <w:rsid w:val="005777F9"/>
    <w:rsid w:val="00581DF6"/>
    <w:rsid w:val="00583F9B"/>
    <w:rsid w:val="00584F94"/>
    <w:rsid w:val="00586506"/>
    <w:rsid w:val="005871B5"/>
    <w:rsid w:val="00590464"/>
    <w:rsid w:val="00591470"/>
    <w:rsid w:val="00591E87"/>
    <w:rsid w:val="00593D02"/>
    <w:rsid w:val="005A0899"/>
    <w:rsid w:val="005A1192"/>
    <w:rsid w:val="005A1C8B"/>
    <w:rsid w:val="005A364A"/>
    <w:rsid w:val="005A7BE1"/>
    <w:rsid w:val="005B146F"/>
    <w:rsid w:val="005B1791"/>
    <w:rsid w:val="005B3BA0"/>
    <w:rsid w:val="005B4CA0"/>
    <w:rsid w:val="005B4E52"/>
    <w:rsid w:val="005B65E0"/>
    <w:rsid w:val="005C0A76"/>
    <w:rsid w:val="005C2D42"/>
    <w:rsid w:val="005C617A"/>
    <w:rsid w:val="005C6E65"/>
    <w:rsid w:val="005D03AA"/>
    <w:rsid w:val="005D0A37"/>
    <w:rsid w:val="005D0E92"/>
    <w:rsid w:val="005D2345"/>
    <w:rsid w:val="005D29EE"/>
    <w:rsid w:val="005D2D86"/>
    <w:rsid w:val="005D2EAA"/>
    <w:rsid w:val="005D7119"/>
    <w:rsid w:val="005D7A60"/>
    <w:rsid w:val="005E0105"/>
    <w:rsid w:val="005E259B"/>
    <w:rsid w:val="005E28F0"/>
    <w:rsid w:val="005E2927"/>
    <w:rsid w:val="005E2A3B"/>
    <w:rsid w:val="005E5619"/>
    <w:rsid w:val="005E7BD5"/>
    <w:rsid w:val="005F08AD"/>
    <w:rsid w:val="005F2190"/>
    <w:rsid w:val="005F3CBB"/>
    <w:rsid w:val="00600DBB"/>
    <w:rsid w:val="00604140"/>
    <w:rsid w:val="00604E06"/>
    <w:rsid w:val="00605BE1"/>
    <w:rsid w:val="00610A19"/>
    <w:rsid w:val="006122A1"/>
    <w:rsid w:val="006129BE"/>
    <w:rsid w:val="00614DA4"/>
    <w:rsid w:val="006162B4"/>
    <w:rsid w:val="00617983"/>
    <w:rsid w:val="006308FB"/>
    <w:rsid w:val="00634DED"/>
    <w:rsid w:val="00637859"/>
    <w:rsid w:val="00637D23"/>
    <w:rsid w:val="00637D31"/>
    <w:rsid w:val="006414E2"/>
    <w:rsid w:val="00642DE1"/>
    <w:rsid w:val="00643D70"/>
    <w:rsid w:val="00644C6E"/>
    <w:rsid w:val="00645246"/>
    <w:rsid w:val="006461D7"/>
    <w:rsid w:val="00650883"/>
    <w:rsid w:val="00651258"/>
    <w:rsid w:val="00660FF2"/>
    <w:rsid w:val="0066466D"/>
    <w:rsid w:val="00665FDA"/>
    <w:rsid w:val="006679B6"/>
    <w:rsid w:val="00670444"/>
    <w:rsid w:val="00670BA8"/>
    <w:rsid w:val="006744F7"/>
    <w:rsid w:val="00681BA7"/>
    <w:rsid w:val="006828D1"/>
    <w:rsid w:val="00685A35"/>
    <w:rsid w:val="00687B4F"/>
    <w:rsid w:val="00687C34"/>
    <w:rsid w:val="00693471"/>
    <w:rsid w:val="006950B1"/>
    <w:rsid w:val="006A28CC"/>
    <w:rsid w:val="006B09C0"/>
    <w:rsid w:val="006B21EC"/>
    <w:rsid w:val="006B59D1"/>
    <w:rsid w:val="006B69D3"/>
    <w:rsid w:val="006B7781"/>
    <w:rsid w:val="006C0BE4"/>
    <w:rsid w:val="006C0EF4"/>
    <w:rsid w:val="006C4142"/>
    <w:rsid w:val="006C6AD7"/>
    <w:rsid w:val="006D075B"/>
    <w:rsid w:val="006D39AD"/>
    <w:rsid w:val="006E13C2"/>
    <w:rsid w:val="006E18F8"/>
    <w:rsid w:val="006E22D8"/>
    <w:rsid w:val="006E75D7"/>
    <w:rsid w:val="006F0C15"/>
    <w:rsid w:val="006F3AFA"/>
    <w:rsid w:val="006F42DB"/>
    <w:rsid w:val="006F65DD"/>
    <w:rsid w:val="006F682B"/>
    <w:rsid w:val="006F7894"/>
    <w:rsid w:val="00701978"/>
    <w:rsid w:val="00702EC2"/>
    <w:rsid w:val="00705DD4"/>
    <w:rsid w:val="007129B5"/>
    <w:rsid w:val="0071624B"/>
    <w:rsid w:val="0072144C"/>
    <w:rsid w:val="00723B42"/>
    <w:rsid w:val="00730CCB"/>
    <w:rsid w:val="00732B5B"/>
    <w:rsid w:val="00735718"/>
    <w:rsid w:val="00741C16"/>
    <w:rsid w:val="00743661"/>
    <w:rsid w:val="00750126"/>
    <w:rsid w:val="0075366D"/>
    <w:rsid w:val="00754C6A"/>
    <w:rsid w:val="00754F7B"/>
    <w:rsid w:val="007617DE"/>
    <w:rsid w:val="00762706"/>
    <w:rsid w:val="00762AE7"/>
    <w:rsid w:val="00762AEC"/>
    <w:rsid w:val="00762C68"/>
    <w:rsid w:val="007648D4"/>
    <w:rsid w:val="0076527E"/>
    <w:rsid w:val="00766A48"/>
    <w:rsid w:val="007716B4"/>
    <w:rsid w:val="00774060"/>
    <w:rsid w:val="00776971"/>
    <w:rsid w:val="00776D1C"/>
    <w:rsid w:val="007824FB"/>
    <w:rsid w:val="00783B02"/>
    <w:rsid w:val="00784739"/>
    <w:rsid w:val="00784D5D"/>
    <w:rsid w:val="00784EDC"/>
    <w:rsid w:val="0079077A"/>
    <w:rsid w:val="0079348D"/>
    <w:rsid w:val="007A15A3"/>
    <w:rsid w:val="007A5801"/>
    <w:rsid w:val="007A64AF"/>
    <w:rsid w:val="007B2034"/>
    <w:rsid w:val="007B3D8F"/>
    <w:rsid w:val="007B70B6"/>
    <w:rsid w:val="007C4DD4"/>
    <w:rsid w:val="007C7426"/>
    <w:rsid w:val="007D0441"/>
    <w:rsid w:val="007D33E4"/>
    <w:rsid w:val="007D41C5"/>
    <w:rsid w:val="007D4950"/>
    <w:rsid w:val="007E4691"/>
    <w:rsid w:val="007E6ABA"/>
    <w:rsid w:val="007F5EDF"/>
    <w:rsid w:val="0080098C"/>
    <w:rsid w:val="00800D57"/>
    <w:rsid w:val="0080171C"/>
    <w:rsid w:val="00802AB4"/>
    <w:rsid w:val="0080434D"/>
    <w:rsid w:val="00805544"/>
    <w:rsid w:val="00805FE0"/>
    <w:rsid w:val="00810544"/>
    <w:rsid w:val="008134C8"/>
    <w:rsid w:val="0081394F"/>
    <w:rsid w:val="00817655"/>
    <w:rsid w:val="008179A9"/>
    <w:rsid w:val="0082351D"/>
    <w:rsid w:val="00830C39"/>
    <w:rsid w:val="00832A08"/>
    <w:rsid w:val="00834F77"/>
    <w:rsid w:val="0083629D"/>
    <w:rsid w:val="00836A91"/>
    <w:rsid w:val="00836F7B"/>
    <w:rsid w:val="00840579"/>
    <w:rsid w:val="00842338"/>
    <w:rsid w:val="008467A4"/>
    <w:rsid w:val="00851043"/>
    <w:rsid w:val="00853938"/>
    <w:rsid w:val="00855A06"/>
    <w:rsid w:val="008670A4"/>
    <w:rsid w:val="00873253"/>
    <w:rsid w:val="0087642B"/>
    <w:rsid w:val="0087740C"/>
    <w:rsid w:val="00877B5B"/>
    <w:rsid w:val="00880E15"/>
    <w:rsid w:val="00883498"/>
    <w:rsid w:val="0088407D"/>
    <w:rsid w:val="008904EC"/>
    <w:rsid w:val="00892F01"/>
    <w:rsid w:val="00894579"/>
    <w:rsid w:val="00895B3C"/>
    <w:rsid w:val="00896987"/>
    <w:rsid w:val="00897E04"/>
    <w:rsid w:val="008A1B2C"/>
    <w:rsid w:val="008A1EA5"/>
    <w:rsid w:val="008A3697"/>
    <w:rsid w:val="008A6AF0"/>
    <w:rsid w:val="008A773E"/>
    <w:rsid w:val="008B0D41"/>
    <w:rsid w:val="008B1113"/>
    <w:rsid w:val="008B24C8"/>
    <w:rsid w:val="008B6274"/>
    <w:rsid w:val="008B6E86"/>
    <w:rsid w:val="008C42FC"/>
    <w:rsid w:val="008C60BB"/>
    <w:rsid w:val="008C6929"/>
    <w:rsid w:val="008C793F"/>
    <w:rsid w:val="008D6B26"/>
    <w:rsid w:val="008E1E26"/>
    <w:rsid w:val="008E23D6"/>
    <w:rsid w:val="008E2FBE"/>
    <w:rsid w:val="008E3B49"/>
    <w:rsid w:val="008E3FED"/>
    <w:rsid w:val="008E70DB"/>
    <w:rsid w:val="008F0D77"/>
    <w:rsid w:val="008F12DF"/>
    <w:rsid w:val="008F1558"/>
    <w:rsid w:val="008F1610"/>
    <w:rsid w:val="008F17C5"/>
    <w:rsid w:val="008F4563"/>
    <w:rsid w:val="009008C9"/>
    <w:rsid w:val="00900A45"/>
    <w:rsid w:val="0090147E"/>
    <w:rsid w:val="009024FF"/>
    <w:rsid w:val="00910C27"/>
    <w:rsid w:val="009135AD"/>
    <w:rsid w:val="00913B98"/>
    <w:rsid w:val="00913E3C"/>
    <w:rsid w:val="00915032"/>
    <w:rsid w:val="0092247F"/>
    <w:rsid w:val="009224FA"/>
    <w:rsid w:val="00924753"/>
    <w:rsid w:val="0093232A"/>
    <w:rsid w:val="009323C1"/>
    <w:rsid w:val="00934ACC"/>
    <w:rsid w:val="00936A84"/>
    <w:rsid w:val="00940757"/>
    <w:rsid w:val="00941266"/>
    <w:rsid w:val="00941C8B"/>
    <w:rsid w:val="009437D2"/>
    <w:rsid w:val="0095116E"/>
    <w:rsid w:val="00951541"/>
    <w:rsid w:val="00955BF6"/>
    <w:rsid w:val="0096039C"/>
    <w:rsid w:val="009616C2"/>
    <w:rsid w:val="009622C1"/>
    <w:rsid w:val="009624E1"/>
    <w:rsid w:val="00965038"/>
    <w:rsid w:val="00965E47"/>
    <w:rsid w:val="00971D9D"/>
    <w:rsid w:val="009729C1"/>
    <w:rsid w:val="009779A3"/>
    <w:rsid w:val="00977A03"/>
    <w:rsid w:val="00977A3E"/>
    <w:rsid w:val="00981F8A"/>
    <w:rsid w:val="00983467"/>
    <w:rsid w:val="00983B49"/>
    <w:rsid w:val="00985319"/>
    <w:rsid w:val="00987C70"/>
    <w:rsid w:val="00993A48"/>
    <w:rsid w:val="009975FD"/>
    <w:rsid w:val="009A2D22"/>
    <w:rsid w:val="009A4691"/>
    <w:rsid w:val="009A598E"/>
    <w:rsid w:val="009A77D6"/>
    <w:rsid w:val="009B1861"/>
    <w:rsid w:val="009B4D19"/>
    <w:rsid w:val="009B55DD"/>
    <w:rsid w:val="009B5BFD"/>
    <w:rsid w:val="009C13CF"/>
    <w:rsid w:val="009C1B6F"/>
    <w:rsid w:val="009C518B"/>
    <w:rsid w:val="009C6010"/>
    <w:rsid w:val="009C61DA"/>
    <w:rsid w:val="009C7E9D"/>
    <w:rsid w:val="009D0DB5"/>
    <w:rsid w:val="009D1055"/>
    <w:rsid w:val="009D3255"/>
    <w:rsid w:val="009D40C9"/>
    <w:rsid w:val="009E3952"/>
    <w:rsid w:val="009E5E41"/>
    <w:rsid w:val="009E6852"/>
    <w:rsid w:val="009E69C4"/>
    <w:rsid w:val="009E6CE0"/>
    <w:rsid w:val="009E75DE"/>
    <w:rsid w:val="009F120D"/>
    <w:rsid w:val="009F3DDC"/>
    <w:rsid w:val="009F3EE4"/>
    <w:rsid w:val="009F414D"/>
    <w:rsid w:val="009F6BE5"/>
    <w:rsid w:val="00A03AE1"/>
    <w:rsid w:val="00A05074"/>
    <w:rsid w:val="00A072C6"/>
    <w:rsid w:val="00A11434"/>
    <w:rsid w:val="00A1259D"/>
    <w:rsid w:val="00A141A9"/>
    <w:rsid w:val="00A14A72"/>
    <w:rsid w:val="00A16633"/>
    <w:rsid w:val="00A16E9D"/>
    <w:rsid w:val="00A17A4F"/>
    <w:rsid w:val="00A23205"/>
    <w:rsid w:val="00A27544"/>
    <w:rsid w:val="00A27A6D"/>
    <w:rsid w:val="00A30BE6"/>
    <w:rsid w:val="00A314EF"/>
    <w:rsid w:val="00A32A1F"/>
    <w:rsid w:val="00A3391D"/>
    <w:rsid w:val="00A33D77"/>
    <w:rsid w:val="00A34927"/>
    <w:rsid w:val="00A34C05"/>
    <w:rsid w:val="00A36964"/>
    <w:rsid w:val="00A36BEC"/>
    <w:rsid w:val="00A375D9"/>
    <w:rsid w:val="00A453FC"/>
    <w:rsid w:val="00A5094A"/>
    <w:rsid w:val="00A5104E"/>
    <w:rsid w:val="00A53668"/>
    <w:rsid w:val="00A5445B"/>
    <w:rsid w:val="00A600DD"/>
    <w:rsid w:val="00A64E26"/>
    <w:rsid w:val="00A7515E"/>
    <w:rsid w:val="00A75C75"/>
    <w:rsid w:val="00A80E08"/>
    <w:rsid w:val="00A865E9"/>
    <w:rsid w:val="00A86A0C"/>
    <w:rsid w:val="00A86F95"/>
    <w:rsid w:val="00A90766"/>
    <w:rsid w:val="00A91A7B"/>
    <w:rsid w:val="00A92BB3"/>
    <w:rsid w:val="00A93177"/>
    <w:rsid w:val="00A9432B"/>
    <w:rsid w:val="00A97203"/>
    <w:rsid w:val="00AA0881"/>
    <w:rsid w:val="00AA23AC"/>
    <w:rsid w:val="00AA4557"/>
    <w:rsid w:val="00AA6D5B"/>
    <w:rsid w:val="00AB25B3"/>
    <w:rsid w:val="00AB3F39"/>
    <w:rsid w:val="00AB4682"/>
    <w:rsid w:val="00AB6D15"/>
    <w:rsid w:val="00AC61E7"/>
    <w:rsid w:val="00AC69B1"/>
    <w:rsid w:val="00AD062B"/>
    <w:rsid w:val="00AD2F28"/>
    <w:rsid w:val="00AD489D"/>
    <w:rsid w:val="00AD4F48"/>
    <w:rsid w:val="00AD7E05"/>
    <w:rsid w:val="00AE0C71"/>
    <w:rsid w:val="00AE2CAA"/>
    <w:rsid w:val="00AE3686"/>
    <w:rsid w:val="00AE3A3E"/>
    <w:rsid w:val="00AE43F4"/>
    <w:rsid w:val="00AE5D50"/>
    <w:rsid w:val="00AE5D8A"/>
    <w:rsid w:val="00AE65D9"/>
    <w:rsid w:val="00AE6D2A"/>
    <w:rsid w:val="00AF00E7"/>
    <w:rsid w:val="00AF0210"/>
    <w:rsid w:val="00AF11CC"/>
    <w:rsid w:val="00AF1825"/>
    <w:rsid w:val="00AF35CD"/>
    <w:rsid w:val="00AF45D4"/>
    <w:rsid w:val="00AF5739"/>
    <w:rsid w:val="00AF73F2"/>
    <w:rsid w:val="00B02E5F"/>
    <w:rsid w:val="00B079EB"/>
    <w:rsid w:val="00B10C19"/>
    <w:rsid w:val="00B121BD"/>
    <w:rsid w:val="00B1242C"/>
    <w:rsid w:val="00B1244A"/>
    <w:rsid w:val="00B14B29"/>
    <w:rsid w:val="00B15B55"/>
    <w:rsid w:val="00B16DBE"/>
    <w:rsid w:val="00B215E4"/>
    <w:rsid w:val="00B218A5"/>
    <w:rsid w:val="00B25704"/>
    <w:rsid w:val="00B25B77"/>
    <w:rsid w:val="00B3037C"/>
    <w:rsid w:val="00B33E9A"/>
    <w:rsid w:val="00B36830"/>
    <w:rsid w:val="00B409C0"/>
    <w:rsid w:val="00B4416E"/>
    <w:rsid w:val="00B445D9"/>
    <w:rsid w:val="00B47392"/>
    <w:rsid w:val="00B51BDC"/>
    <w:rsid w:val="00B54B0A"/>
    <w:rsid w:val="00B55097"/>
    <w:rsid w:val="00B609B3"/>
    <w:rsid w:val="00B6157E"/>
    <w:rsid w:val="00B647A6"/>
    <w:rsid w:val="00B65A06"/>
    <w:rsid w:val="00B65FA4"/>
    <w:rsid w:val="00B66D9D"/>
    <w:rsid w:val="00B71521"/>
    <w:rsid w:val="00B71FFF"/>
    <w:rsid w:val="00B72911"/>
    <w:rsid w:val="00B72BFD"/>
    <w:rsid w:val="00B72F3D"/>
    <w:rsid w:val="00B73CDF"/>
    <w:rsid w:val="00B75450"/>
    <w:rsid w:val="00B75478"/>
    <w:rsid w:val="00B76B0B"/>
    <w:rsid w:val="00B77A1A"/>
    <w:rsid w:val="00B77C55"/>
    <w:rsid w:val="00B81660"/>
    <w:rsid w:val="00B87B36"/>
    <w:rsid w:val="00B904AB"/>
    <w:rsid w:val="00B94C6B"/>
    <w:rsid w:val="00B95BD4"/>
    <w:rsid w:val="00BA3D61"/>
    <w:rsid w:val="00BB0CF2"/>
    <w:rsid w:val="00BB2119"/>
    <w:rsid w:val="00BB2DBA"/>
    <w:rsid w:val="00BB45E5"/>
    <w:rsid w:val="00BB50BE"/>
    <w:rsid w:val="00BC2F23"/>
    <w:rsid w:val="00BC60DD"/>
    <w:rsid w:val="00BC6988"/>
    <w:rsid w:val="00BC71A2"/>
    <w:rsid w:val="00BD0340"/>
    <w:rsid w:val="00BD03B3"/>
    <w:rsid w:val="00BD1BD6"/>
    <w:rsid w:val="00BD20BA"/>
    <w:rsid w:val="00BD2F85"/>
    <w:rsid w:val="00BD2FBF"/>
    <w:rsid w:val="00BD34A2"/>
    <w:rsid w:val="00BD598E"/>
    <w:rsid w:val="00BE1A0F"/>
    <w:rsid w:val="00BE2BE8"/>
    <w:rsid w:val="00BE2C83"/>
    <w:rsid w:val="00BE2CD0"/>
    <w:rsid w:val="00BE3D00"/>
    <w:rsid w:val="00BE6723"/>
    <w:rsid w:val="00BF3266"/>
    <w:rsid w:val="00C017DE"/>
    <w:rsid w:val="00C01B23"/>
    <w:rsid w:val="00C023EB"/>
    <w:rsid w:val="00C03490"/>
    <w:rsid w:val="00C058F9"/>
    <w:rsid w:val="00C06C8A"/>
    <w:rsid w:val="00C106A1"/>
    <w:rsid w:val="00C108F2"/>
    <w:rsid w:val="00C11950"/>
    <w:rsid w:val="00C16505"/>
    <w:rsid w:val="00C175F9"/>
    <w:rsid w:val="00C20709"/>
    <w:rsid w:val="00C23162"/>
    <w:rsid w:val="00C23C18"/>
    <w:rsid w:val="00C24FB0"/>
    <w:rsid w:val="00C31D44"/>
    <w:rsid w:val="00C36AB0"/>
    <w:rsid w:val="00C41822"/>
    <w:rsid w:val="00C41C11"/>
    <w:rsid w:val="00C4338B"/>
    <w:rsid w:val="00C4487C"/>
    <w:rsid w:val="00C44B64"/>
    <w:rsid w:val="00C46E03"/>
    <w:rsid w:val="00C50AF8"/>
    <w:rsid w:val="00C54D25"/>
    <w:rsid w:val="00C64720"/>
    <w:rsid w:val="00C6718A"/>
    <w:rsid w:val="00C70577"/>
    <w:rsid w:val="00C710CB"/>
    <w:rsid w:val="00C71757"/>
    <w:rsid w:val="00C72794"/>
    <w:rsid w:val="00C76684"/>
    <w:rsid w:val="00C770B0"/>
    <w:rsid w:val="00C77300"/>
    <w:rsid w:val="00C804AA"/>
    <w:rsid w:val="00C80C7C"/>
    <w:rsid w:val="00C81A5E"/>
    <w:rsid w:val="00C83EEE"/>
    <w:rsid w:val="00C84F15"/>
    <w:rsid w:val="00C87D50"/>
    <w:rsid w:val="00C930F2"/>
    <w:rsid w:val="00CA1413"/>
    <w:rsid w:val="00CB188C"/>
    <w:rsid w:val="00CB5696"/>
    <w:rsid w:val="00CB5C4F"/>
    <w:rsid w:val="00CB7704"/>
    <w:rsid w:val="00CB79A2"/>
    <w:rsid w:val="00CC082A"/>
    <w:rsid w:val="00CC2971"/>
    <w:rsid w:val="00CD110D"/>
    <w:rsid w:val="00CD23A0"/>
    <w:rsid w:val="00CD414A"/>
    <w:rsid w:val="00CD4EDE"/>
    <w:rsid w:val="00CE0F39"/>
    <w:rsid w:val="00CE1B05"/>
    <w:rsid w:val="00CE3189"/>
    <w:rsid w:val="00CE391E"/>
    <w:rsid w:val="00CF0A2A"/>
    <w:rsid w:val="00CF1454"/>
    <w:rsid w:val="00CF7B9F"/>
    <w:rsid w:val="00D0052F"/>
    <w:rsid w:val="00D0366F"/>
    <w:rsid w:val="00D07AE8"/>
    <w:rsid w:val="00D14504"/>
    <w:rsid w:val="00D147B4"/>
    <w:rsid w:val="00D17423"/>
    <w:rsid w:val="00D20117"/>
    <w:rsid w:val="00D24E0C"/>
    <w:rsid w:val="00D25673"/>
    <w:rsid w:val="00D2710B"/>
    <w:rsid w:val="00D27C7E"/>
    <w:rsid w:val="00D3187F"/>
    <w:rsid w:val="00D40689"/>
    <w:rsid w:val="00D40ADB"/>
    <w:rsid w:val="00D40E1E"/>
    <w:rsid w:val="00D41969"/>
    <w:rsid w:val="00D43F3B"/>
    <w:rsid w:val="00D46D97"/>
    <w:rsid w:val="00D51729"/>
    <w:rsid w:val="00D519AD"/>
    <w:rsid w:val="00D56B6A"/>
    <w:rsid w:val="00D63C10"/>
    <w:rsid w:val="00D66F2C"/>
    <w:rsid w:val="00D670CD"/>
    <w:rsid w:val="00D70F57"/>
    <w:rsid w:val="00D70F65"/>
    <w:rsid w:val="00D7321E"/>
    <w:rsid w:val="00D765E2"/>
    <w:rsid w:val="00D822D2"/>
    <w:rsid w:val="00D8250E"/>
    <w:rsid w:val="00D8344A"/>
    <w:rsid w:val="00D84A4F"/>
    <w:rsid w:val="00D84CAB"/>
    <w:rsid w:val="00D856EF"/>
    <w:rsid w:val="00D86F3F"/>
    <w:rsid w:val="00D90BBA"/>
    <w:rsid w:val="00D92CAE"/>
    <w:rsid w:val="00D9410C"/>
    <w:rsid w:val="00D9445E"/>
    <w:rsid w:val="00D95689"/>
    <w:rsid w:val="00DA1C23"/>
    <w:rsid w:val="00DA2B67"/>
    <w:rsid w:val="00DA2ECC"/>
    <w:rsid w:val="00DB1D51"/>
    <w:rsid w:val="00DB5558"/>
    <w:rsid w:val="00DB6474"/>
    <w:rsid w:val="00DC05E9"/>
    <w:rsid w:val="00DC0E73"/>
    <w:rsid w:val="00DC15FC"/>
    <w:rsid w:val="00DC60F0"/>
    <w:rsid w:val="00DC6F46"/>
    <w:rsid w:val="00DD12ED"/>
    <w:rsid w:val="00DD32F0"/>
    <w:rsid w:val="00DD4DF8"/>
    <w:rsid w:val="00DE36F7"/>
    <w:rsid w:val="00DE49FD"/>
    <w:rsid w:val="00DE70E6"/>
    <w:rsid w:val="00DF0733"/>
    <w:rsid w:val="00DF26C0"/>
    <w:rsid w:val="00DF63C0"/>
    <w:rsid w:val="00E008A7"/>
    <w:rsid w:val="00E0160F"/>
    <w:rsid w:val="00E03DCC"/>
    <w:rsid w:val="00E143A0"/>
    <w:rsid w:val="00E15005"/>
    <w:rsid w:val="00E160A1"/>
    <w:rsid w:val="00E17235"/>
    <w:rsid w:val="00E20621"/>
    <w:rsid w:val="00E20CA3"/>
    <w:rsid w:val="00E22F2E"/>
    <w:rsid w:val="00E23CF7"/>
    <w:rsid w:val="00E24162"/>
    <w:rsid w:val="00E24FE1"/>
    <w:rsid w:val="00E349B5"/>
    <w:rsid w:val="00E368E0"/>
    <w:rsid w:val="00E37F5D"/>
    <w:rsid w:val="00E40BD1"/>
    <w:rsid w:val="00E457FC"/>
    <w:rsid w:val="00E45806"/>
    <w:rsid w:val="00E45FE2"/>
    <w:rsid w:val="00E52352"/>
    <w:rsid w:val="00E525CC"/>
    <w:rsid w:val="00E538C3"/>
    <w:rsid w:val="00E550E2"/>
    <w:rsid w:val="00E624DB"/>
    <w:rsid w:val="00E63945"/>
    <w:rsid w:val="00E64889"/>
    <w:rsid w:val="00E67841"/>
    <w:rsid w:val="00E67BA3"/>
    <w:rsid w:val="00E721E1"/>
    <w:rsid w:val="00E8033C"/>
    <w:rsid w:val="00E80C25"/>
    <w:rsid w:val="00E84B6F"/>
    <w:rsid w:val="00E85682"/>
    <w:rsid w:val="00E86542"/>
    <w:rsid w:val="00E87CC0"/>
    <w:rsid w:val="00E87EA7"/>
    <w:rsid w:val="00E91641"/>
    <w:rsid w:val="00E92829"/>
    <w:rsid w:val="00E94D07"/>
    <w:rsid w:val="00EA12C9"/>
    <w:rsid w:val="00EA6981"/>
    <w:rsid w:val="00EA70AD"/>
    <w:rsid w:val="00EB0AD7"/>
    <w:rsid w:val="00EB1F0E"/>
    <w:rsid w:val="00EB35F5"/>
    <w:rsid w:val="00EB7F30"/>
    <w:rsid w:val="00EC0579"/>
    <w:rsid w:val="00EC0D43"/>
    <w:rsid w:val="00EC3ACC"/>
    <w:rsid w:val="00EC3BE2"/>
    <w:rsid w:val="00EC4FAF"/>
    <w:rsid w:val="00EC5914"/>
    <w:rsid w:val="00EC7FEB"/>
    <w:rsid w:val="00ED3888"/>
    <w:rsid w:val="00ED3C7E"/>
    <w:rsid w:val="00EE00B5"/>
    <w:rsid w:val="00EE051C"/>
    <w:rsid w:val="00EE140B"/>
    <w:rsid w:val="00EE3A3E"/>
    <w:rsid w:val="00EE7CE5"/>
    <w:rsid w:val="00EF0E5A"/>
    <w:rsid w:val="00EF1EEB"/>
    <w:rsid w:val="00EF2B1F"/>
    <w:rsid w:val="00EF76C2"/>
    <w:rsid w:val="00EF7998"/>
    <w:rsid w:val="00F03E9B"/>
    <w:rsid w:val="00F043DA"/>
    <w:rsid w:val="00F1108F"/>
    <w:rsid w:val="00F1433D"/>
    <w:rsid w:val="00F17E0D"/>
    <w:rsid w:val="00F23579"/>
    <w:rsid w:val="00F238CA"/>
    <w:rsid w:val="00F31152"/>
    <w:rsid w:val="00F311F9"/>
    <w:rsid w:val="00F31C33"/>
    <w:rsid w:val="00F346FE"/>
    <w:rsid w:val="00F34E17"/>
    <w:rsid w:val="00F36176"/>
    <w:rsid w:val="00F423D2"/>
    <w:rsid w:val="00F433D0"/>
    <w:rsid w:val="00F43A07"/>
    <w:rsid w:val="00F46D44"/>
    <w:rsid w:val="00F50FA7"/>
    <w:rsid w:val="00F51F9A"/>
    <w:rsid w:val="00F55434"/>
    <w:rsid w:val="00F6735E"/>
    <w:rsid w:val="00F7198C"/>
    <w:rsid w:val="00F7412F"/>
    <w:rsid w:val="00F7521D"/>
    <w:rsid w:val="00F76185"/>
    <w:rsid w:val="00F76D0F"/>
    <w:rsid w:val="00F812A8"/>
    <w:rsid w:val="00F83062"/>
    <w:rsid w:val="00F83804"/>
    <w:rsid w:val="00F86AAF"/>
    <w:rsid w:val="00F87838"/>
    <w:rsid w:val="00F87CE2"/>
    <w:rsid w:val="00F87E54"/>
    <w:rsid w:val="00F9097E"/>
    <w:rsid w:val="00F91867"/>
    <w:rsid w:val="00F93970"/>
    <w:rsid w:val="00F941AC"/>
    <w:rsid w:val="00F95701"/>
    <w:rsid w:val="00F96C1E"/>
    <w:rsid w:val="00F972CB"/>
    <w:rsid w:val="00FA2461"/>
    <w:rsid w:val="00FA5384"/>
    <w:rsid w:val="00FB01C3"/>
    <w:rsid w:val="00FB0435"/>
    <w:rsid w:val="00FB0FF7"/>
    <w:rsid w:val="00FC0049"/>
    <w:rsid w:val="00FC0D76"/>
    <w:rsid w:val="00FC49D5"/>
    <w:rsid w:val="00FC507E"/>
    <w:rsid w:val="00FC5BF0"/>
    <w:rsid w:val="00FC6575"/>
    <w:rsid w:val="00FC6F05"/>
    <w:rsid w:val="00FC7EEE"/>
    <w:rsid w:val="00FD0B1B"/>
    <w:rsid w:val="00FD2BFC"/>
    <w:rsid w:val="00FD3CAB"/>
    <w:rsid w:val="00FD523E"/>
    <w:rsid w:val="00FD7F7D"/>
    <w:rsid w:val="00FE0FEE"/>
    <w:rsid w:val="00FE796C"/>
    <w:rsid w:val="00FF07FF"/>
    <w:rsid w:val="00FF557C"/>
    <w:rsid w:val="00FF5C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BEDD"/>
  <w15:chartTrackingRefBased/>
  <w15:docId w15:val="{96F4DAC4-1A23-4D2E-BBD2-A9443BA8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54"/>
  </w:style>
  <w:style w:type="paragraph" w:styleId="Heading2">
    <w:name w:val="heading 2"/>
    <w:basedOn w:val="Normal"/>
    <w:next w:val="Normal"/>
    <w:link w:val="Heading2Char"/>
    <w:uiPriority w:val="9"/>
    <w:unhideWhenUsed/>
    <w:qFormat/>
    <w:rsid w:val="004B637C"/>
    <w:pPr>
      <w:spacing w:before="360" w:after="12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4B637C"/>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semiHidden/>
    <w:unhideWhenUsed/>
    <w:rsid w:val="00584F94"/>
    <w:rPr>
      <w:sz w:val="16"/>
      <w:szCs w:val="16"/>
    </w:rPr>
  </w:style>
  <w:style w:type="paragraph" w:styleId="CommentText">
    <w:name w:val="annotation text"/>
    <w:basedOn w:val="Normal"/>
    <w:link w:val="CommentTextChar"/>
    <w:uiPriority w:val="99"/>
    <w:unhideWhenUsed/>
    <w:rsid w:val="00584F94"/>
    <w:pPr>
      <w:spacing w:line="240" w:lineRule="auto"/>
    </w:pPr>
    <w:rPr>
      <w:sz w:val="20"/>
      <w:szCs w:val="20"/>
    </w:rPr>
  </w:style>
  <w:style w:type="character" w:customStyle="1" w:styleId="CommentTextChar">
    <w:name w:val="Comment Text Char"/>
    <w:basedOn w:val="DefaultParagraphFont"/>
    <w:link w:val="CommentText"/>
    <w:uiPriority w:val="99"/>
    <w:rsid w:val="00584F94"/>
    <w:rPr>
      <w:sz w:val="20"/>
      <w:szCs w:val="20"/>
    </w:rPr>
  </w:style>
  <w:style w:type="paragraph" w:styleId="CommentSubject">
    <w:name w:val="annotation subject"/>
    <w:basedOn w:val="CommentText"/>
    <w:next w:val="CommentText"/>
    <w:link w:val="CommentSubjectChar"/>
    <w:uiPriority w:val="99"/>
    <w:semiHidden/>
    <w:unhideWhenUsed/>
    <w:rsid w:val="00584F94"/>
    <w:rPr>
      <w:b/>
      <w:bCs/>
    </w:rPr>
  </w:style>
  <w:style w:type="character" w:customStyle="1" w:styleId="CommentSubjectChar">
    <w:name w:val="Comment Subject Char"/>
    <w:basedOn w:val="CommentTextChar"/>
    <w:link w:val="CommentSubject"/>
    <w:uiPriority w:val="99"/>
    <w:semiHidden/>
    <w:rsid w:val="00584F94"/>
    <w:rPr>
      <w:b/>
      <w:bCs/>
      <w:sz w:val="20"/>
      <w:szCs w:val="20"/>
    </w:rPr>
  </w:style>
  <w:style w:type="paragraph" w:styleId="BalloonText">
    <w:name w:val="Balloon Text"/>
    <w:basedOn w:val="Normal"/>
    <w:link w:val="BalloonTextChar"/>
    <w:uiPriority w:val="99"/>
    <w:semiHidden/>
    <w:unhideWhenUsed/>
    <w:rsid w:val="0058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F94"/>
    <w:rPr>
      <w:rFonts w:ascii="Segoe UI" w:hAnsi="Segoe UI" w:cs="Segoe UI"/>
      <w:sz w:val="18"/>
      <w:szCs w:val="18"/>
    </w:rPr>
  </w:style>
  <w:style w:type="paragraph" w:styleId="Header">
    <w:name w:val="header"/>
    <w:basedOn w:val="Normal"/>
    <w:link w:val="HeaderChar"/>
    <w:uiPriority w:val="99"/>
    <w:unhideWhenUsed/>
    <w:rsid w:val="00AD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62B"/>
  </w:style>
  <w:style w:type="paragraph" w:styleId="Footer">
    <w:name w:val="footer"/>
    <w:basedOn w:val="Normal"/>
    <w:link w:val="FooterChar"/>
    <w:unhideWhenUsed/>
    <w:rsid w:val="00AD062B"/>
    <w:pPr>
      <w:tabs>
        <w:tab w:val="center" w:pos="4513"/>
        <w:tab w:val="right" w:pos="9026"/>
      </w:tabs>
      <w:spacing w:after="0" w:line="240" w:lineRule="auto"/>
    </w:pPr>
  </w:style>
  <w:style w:type="character" w:customStyle="1" w:styleId="FooterChar">
    <w:name w:val="Footer Char"/>
    <w:basedOn w:val="DefaultParagraphFont"/>
    <w:link w:val="Footer"/>
    <w:rsid w:val="00AD062B"/>
  </w:style>
  <w:style w:type="character" w:styleId="PageNumber">
    <w:name w:val="page number"/>
    <w:basedOn w:val="DefaultParagraphFont"/>
    <w:rsid w:val="00EE00B5"/>
  </w:style>
  <w:style w:type="character" w:customStyle="1" w:styleId="Heading2Char">
    <w:name w:val="Heading 2 Char"/>
    <w:basedOn w:val="DefaultParagraphFont"/>
    <w:link w:val="Heading2"/>
    <w:uiPriority w:val="9"/>
    <w:rsid w:val="004B637C"/>
    <w:rPr>
      <w:rFonts w:ascii="Times New Roman" w:hAnsi="Times New Roman"/>
      <w:b/>
      <w:sz w:val="28"/>
      <w:szCs w:val="28"/>
    </w:rPr>
  </w:style>
  <w:style w:type="character" w:customStyle="1" w:styleId="Heading3Char">
    <w:name w:val="Heading 3 Char"/>
    <w:basedOn w:val="DefaultParagraphFont"/>
    <w:link w:val="Heading3"/>
    <w:uiPriority w:val="9"/>
    <w:rsid w:val="004B637C"/>
    <w:rPr>
      <w:rFonts w:ascii="Times New Roman" w:hAnsi="Times New Roman"/>
      <w:b/>
      <w:sz w:val="24"/>
      <w:szCs w:val="24"/>
    </w:rPr>
  </w:style>
  <w:style w:type="paragraph" w:customStyle="1" w:styleId="Default">
    <w:name w:val="Default"/>
    <w:rsid w:val="004B637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54B0A"/>
    <w:pPr>
      <w:spacing w:after="0" w:line="240" w:lineRule="auto"/>
    </w:pPr>
  </w:style>
  <w:style w:type="character" w:styleId="Hyperlink">
    <w:name w:val="Hyperlink"/>
    <w:basedOn w:val="DefaultParagraphFont"/>
    <w:uiPriority w:val="99"/>
    <w:unhideWhenUsed/>
    <w:rsid w:val="000B17DC"/>
    <w:rPr>
      <w:color w:val="0563C1" w:themeColor="hyperlink"/>
      <w:u w:val="single"/>
    </w:rPr>
  </w:style>
  <w:style w:type="character" w:customStyle="1" w:styleId="UnresolvedMention1">
    <w:name w:val="Unresolved Mention1"/>
    <w:basedOn w:val="DefaultParagraphFont"/>
    <w:uiPriority w:val="99"/>
    <w:semiHidden/>
    <w:unhideWhenUsed/>
    <w:rsid w:val="000B17DC"/>
    <w:rPr>
      <w:color w:val="605E5C"/>
      <w:shd w:val="clear" w:color="auto" w:fill="E1DFDD"/>
    </w:rPr>
  </w:style>
  <w:style w:type="character" w:customStyle="1" w:styleId="UnresolvedMention10">
    <w:name w:val="Unresolved Mention1"/>
    <w:basedOn w:val="DefaultParagraphFont"/>
    <w:uiPriority w:val="99"/>
    <w:semiHidden/>
    <w:unhideWhenUsed/>
    <w:rsid w:val="00FF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743">
      <w:bodyDiv w:val="1"/>
      <w:marLeft w:val="0"/>
      <w:marRight w:val="0"/>
      <w:marTop w:val="0"/>
      <w:marBottom w:val="0"/>
      <w:divBdr>
        <w:top w:val="none" w:sz="0" w:space="0" w:color="auto"/>
        <w:left w:val="none" w:sz="0" w:space="0" w:color="auto"/>
        <w:bottom w:val="none" w:sz="0" w:space="0" w:color="auto"/>
        <w:right w:val="none" w:sz="0" w:space="0" w:color="auto"/>
      </w:divBdr>
    </w:div>
    <w:div w:id="68231289">
      <w:bodyDiv w:val="1"/>
      <w:marLeft w:val="0"/>
      <w:marRight w:val="0"/>
      <w:marTop w:val="0"/>
      <w:marBottom w:val="0"/>
      <w:divBdr>
        <w:top w:val="none" w:sz="0" w:space="0" w:color="auto"/>
        <w:left w:val="none" w:sz="0" w:space="0" w:color="auto"/>
        <w:bottom w:val="none" w:sz="0" w:space="0" w:color="auto"/>
        <w:right w:val="none" w:sz="0" w:space="0" w:color="auto"/>
      </w:divBdr>
    </w:div>
    <w:div w:id="80031903">
      <w:bodyDiv w:val="1"/>
      <w:marLeft w:val="0"/>
      <w:marRight w:val="0"/>
      <w:marTop w:val="0"/>
      <w:marBottom w:val="0"/>
      <w:divBdr>
        <w:top w:val="none" w:sz="0" w:space="0" w:color="auto"/>
        <w:left w:val="none" w:sz="0" w:space="0" w:color="auto"/>
        <w:bottom w:val="none" w:sz="0" w:space="0" w:color="auto"/>
        <w:right w:val="none" w:sz="0" w:space="0" w:color="auto"/>
      </w:divBdr>
    </w:div>
    <w:div w:id="118646573">
      <w:bodyDiv w:val="1"/>
      <w:marLeft w:val="0"/>
      <w:marRight w:val="0"/>
      <w:marTop w:val="0"/>
      <w:marBottom w:val="0"/>
      <w:divBdr>
        <w:top w:val="none" w:sz="0" w:space="0" w:color="auto"/>
        <w:left w:val="none" w:sz="0" w:space="0" w:color="auto"/>
        <w:bottom w:val="none" w:sz="0" w:space="0" w:color="auto"/>
        <w:right w:val="none" w:sz="0" w:space="0" w:color="auto"/>
      </w:divBdr>
    </w:div>
    <w:div w:id="189027048">
      <w:bodyDiv w:val="1"/>
      <w:marLeft w:val="0"/>
      <w:marRight w:val="0"/>
      <w:marTop w:val="0"/>
      <w:marBottom w:val="0"/>
      <w:divBdr>
        <w:top w:val="none" w:sz="0" w:space="0" w:color="auto"/>
        <w:left w:val="none" w:sz="0" w:space="0" w:color="auto"/>
        <w:bottom w:val="none" w:sz="0" w:space="0" w:color="auto"/>
        <w:right w:val="none" w:sz="0" w:space="0" w:color="auto"/>
      </w:divBdr>
    </w:div>
    <w:div w:id="273828186">
      <w:bodyDiv w:val="1"/>
      <w:marLeft w:val="0"/>
      <w:marRight w:val="0"/>
      <w:marTop w:val="0"/>
      <w:marBottom w:val="0"/>
      <w:divBdr>
        <w:top w:val="none" w:sz="0" w:space="0" w:color="auto"/>
        <w:left w:val="none" w:sz="0" w:space="0" w:color="auto"/>
        <w:bottom w:val="none" w:sz="0" w:space="0" w:color="auto"/>
        <w:right w:val="none" w:sz="0" w:space="0" w:color="auto"/>
      </w:divBdr>
    </w:div>
    <w:div w:id="353850906">
      <w:bodyDiv w:val="1"/>
      <w:marLeft w:val="0"/>
      <w:marRight w:val="0"/>
      <w:marTop w:val="0"/>
      <w:marBottom w:val="0"/>
      <w:divBdr>
        <w:top w:val="none" w:sz="0" w:space="0" w:color="auto"/>
        <w:left w:val="none" w:sz="0" w:space="0" w:color="auto"/>
        <w:bottom w:val="none" w:sz="0" w:space="0" w:color="auto"/>
        <w:right w:val="none" w:sz="0" w:space="0" w:color="auto"/>
      </w:divBdr>
    </w:div>
    <w:div w:id="410008955">
      <w:bodyDiv w:val="1"/>
      <w:marLeft w:val="0"/>
      <w:marRight w:val="0"/>
      <w:marTop w:val="0"/>
      <w:marBottom w:val="0"/>
      <w:divBdr>
        <w:top w:val="none" w:sz="0" w:space="0" w:color="auto"/>
        <w:left w:val="none" w:sz="0" w:space="0" w:color="auto"/>
        <w:bottom w:val="none" w:sz="0" w:space="0" w:color="auto"/>
        <w:right w:val="none" w:sz="0" w:space="0" w:color="auto"/>
      </w:divBdr>
    </w:div>
    <w:div w:id="428474804">
      <w:bodyDiv w:val="1"/>
      <w:marLeft w:val="0"/>
      <w:marRight w:val="0"/>
      <w:marTop w:val="0"/>
      <w:marBottom w:val="0"/>
      <w:divBdr>
        <w:top w:val="none" w:sz="0" w:space="0" w:color="auto"/>
        <w:left w:val="none" w:sz="0" w:space="0" w:color="auto"/>
        <w:bottom w:val="none" w:sz="0" w:space="0" w:color="auto"/>
        <w:right w:val="none" w:sz="0" w:space="0" w:color="auto"/>
      </w:divBdr>
    </w:div>
    <w:div w:id="454376468">
      <w:bodyDiv w:val="1"/>
      <w:marLeft w:val="0"/>
      <w:marRight w:val="0"/>
      <w:marTop w:val="0"/>
      <w:marBottom w:val="0"/>
      <w:divBdr>
        <w:top w:val="none" w:sz="0" w:space="0" w:color="auto"/>
        <w:left w:val="none" w:sz="0" w:space="0" w:color="auto"/>
        <w:bottom w:val="none" w:sz="0" w:space="0" w:color="auto"/>
        <w:right w:val="none" w:sz="0" w:space="0" w:color="auto"/>
      </w:divBdr>
    </w:div>
    <w:div w:id="473256336">
      <w:bodyDiv w:val="1"/>
      <w:marLeft w:val="0"/>
      <w:marRight w:val="0"/>
      <w:marTop w:val="0"/>
      <w:marBottom w:val="0"/>
      <w:divBdr>
        <w:top w:val="none" w:sz="0" w:space="0" w:color="auto"/>
        <w:left w:val="none" w:sz="0" w:space="0" w:color="auto"/>
        <w:bottom w:val="none" w:sz="0" w:space="0" w:color="auto"/>
        <w:right w:val="none" w:sz="0" w:space="0" w:color="auto"/>
      </w:divBdr>
    </w:div>
    <w:div w:id="710113881">
      <w:bodyDiv w:val="1"/>
      <w:marLeft w:val="0"/>
      <w:marRight w:val="0"/>
      <w:marTop w:val="0"/>
      <w:marBottom w:val="0"/>
      <w:divBdr>
        <w:top w:val="none" w:sz="0" w:space="0" w:color="auto"/>
        <w:left w:val="none" w:sz="0" w:space="0" w:color="auto"/>
        <w:bottom w:val="none" w:sz="0" w:space="0" w:color="auto"/>
        <w:right w:val="none" w:sz="0" w:space="0" w:color="auto"/>
      </w:divBdr>
    </w:div>
    <w:div w:id="821773221">
      <w:bodyDiv w:val="1"/>
      <w:marLeft w:val="0"/>
      <w:marRight w:val="0"/>
      <w:marTop w:val="0"/>
      <w:marBottom w:val="0"/>
      <w:divBdr>
        <w:top w:val="none" w:sz="0" w:space="0" w:color="auto"/>
        <w:left w:val="none" w:sz="0" w:space="0" w:color="auto"/>
        <w:bottom w:val="none" w:sz="0" w:space="0" w:color="auto"/>
        <w:right w:val="none" w:sz="0" w:space="0" w:color="auto"/>
      </w:divBdr>
    </w:div>
    <w:div w:id="914705910">
      <w:bodyDiv w:val="1"/>
      <w:marLeft w:val="0"/>
      <w:marRight w:val="0"/>
      <w:marTop w:val="0"/>
      <w:marBottom w:val="0"/>
      <w:divBdr>
        <w:top w:val="none" w:sz="0" w:space="0" w:color="auto"/>
        <w:left w:val="none" w:sz="0" w:space="0" w:color="auto"/>
        <w:bottom w:val="none" w:sz="0" w:space="0" w:color="auto"/>
        <w:right w:val="none" w:sz="0" w:space="0" w:color="auto"/>
      </w:divBdr>
    </w:div>
    <w:div w:id="975916880">
      <w:bodyDiv w:val="1"/>
      <w:marLeft w:val="0"/>
      <w:marRight w:val="0"/>
      <w:marTop w:val="0"/>
      <w:marBottom w:val="0"/>
      <w:divBdr>
        <w:top w:val="none" w:sz="0" w:space="0" w:color="auto"/>
        <w:left w:val="none" w:sz="0" w:space="0" w:color="auto"/>
        <w:bottom w:val="none" w:sz="0" w:space="0" w:color="auto"/>
        <w:right w:val="none" w:sz="0" w:space="0" w:color="auto"/>
      </w:divBdr>
    </w:div>
    <w:div w:id="1016880105">
      <w:bodyDiv w:val="1"/>
      <w:marLeft w:val="0"/>
      <w:marRight w:val="0"/>
      <w:marTop w:val="0"/>
      <w:marBottom w:val="0"/>
      <w:divBdr>
        <w:top w:val="none" w:sz="0" w:space="0" w:color="auto"/>
        <w:left w:val="none" w:sz="0" w:space="0" w:color="auto"/>
        <w:bottom w:val="none" w:sz="0" w:space="0" w:color="auto"/>
        <w:right w:val="none" w:sz="0" w:space="0" w:color="auto"/>
      </w:divBdr>
    </w:div>
    <w:div w:id="1047529143">
      <w:bodyDiv w:val="1"/>
      <w:marLeft w:val="0"/>
      <w:marRight w:val="0"/>
      <w:marTop w:val="0"/>
      <w:marBottom w:val="0"/>
      <w:divBdr>
        <w:top w:val="none" w:sz="0" w:space="0" w:color="auto"/>
        <w:left w:val="none" w:sz="0" w:space="0" w:color="auto"/>
        <w:bottom w:val="none" w:sz="0" w:space="0" w:color="auto"/>
        <w:right w:val="none" w:sz="0" w:space="0" w:color="auto"/>
      </w:divBdr>
    </w:div>
    <w:div w:id="1050181049">
      <w:bodyDiv w:val="1"/>
      <w:marLeft w:val="0"/>
      <w:marRight w:val="0"/>
      <w:marTop w:val="0"/>
      <w:marBottom w:val="0"/>
      <w:divBdr>
        <w:top w:val="none" w:sz="0" w:space="0" w:color="auto"/>
        <w:left w:val="none" w:sz="0" w:space="0" w:color="auto"/>
        <w:bottom w:val="none" w:sz="0" w:space="0" w:color="auto"/>
        <w:right w:val="none" w:sz="0" w:space="0" w:color="auto"/>
      </w:divBdr>
    </w:div>
    <w:div w:id="1095587969">
      <w:bodyDiv w:val="1"/>
      <w:marLeft w:val="0"/>
      <w:marRight w:val="0"/>
      <w:marTop w:val="0"/>
      <w:marBottom w:val="0"/>
      <w:divBdr>
        <w:top w:val="none" w:sz="0" w:space="0" w:color="auto"/>
        <w:left w:val="none" w:sz="0" w:space="0" w:color="auto"/>
        <w:bottom w:val="none" w:sz="0" w:space="0" w:color="auto"/>
        <w:right w:val="none" w:sz="0" w:space="0" w:color="auto"/>
      </w:divBdr>
    </w:div>
    <w:div w:id="1161232821">
      <w:bodyDiv w:val="1"/>
      <w:marLeft w:val="0"/>
      <w:marRight w:val="0"/>
      <w:marTop w:val="0"/>
      <w:marBottom w:val="0"/>
      <w:divBdr>
        <w:top w:val="none" w:sz="0" w:space="0" w:color="auto"/>
        <w:left w:val="none" w:sz="0" w:space="0" w:color="auto"/>
        <w:bottom w:val="none" w:sz="0" w:space="0" w:color="auto"/>
        <w:right w:val="none" w:sz="0" w:space="0" w:color="auto"/>
      </w:divBdr>
    </w:div>
    <w:div w:id="1179348873">
      <w:bodyDiv w:val="1"/>
      <w:marLeft w:val="0"/>
      <w:marRight w:val="0"/>
      <w:marTop w:val="0"/>
      <w:marBottom w:val="0"/>
      <w:divBdr>
        <w:top w:val="none" w:sz="0" w:space="0" w:color="auto"/>
        <w:left w:val="none" w:sz="0" w:space="0" w:color="auto"/>
        <w:bottom w:val="none" w:sz="0" w:space="0" w:color="auto"/>
        <w:right w:val="none" w:sz="0" w:space="0" w:color="auto"/>
      </w:divBdr>
    </w:div>
    <w:div w:id="1185945962">
      <w:bodyDiv w:val="1"/>
      <w:marLeft w:val="0"/>
      <w:marRight w:val="0"/>
      <w:marTop w:val="0"/>
      <w:marBottom w:val="0"/>
      <w:divBdr>
        <w:top w:val="none" w:sz="0" w:space="0" w:color="auto"/>
        <w:left w:val="none" w:sz="0" w:space="0" w:color="auto"/>
        <w:bottom w:val="none" w:sz="0" w:space="0" w:color="auto"/>
        <w:right w:val="none" w:sz="0" w:space="0" w:color="auto"/>
      </w:divBdr>
    </w:div>
    <w:div w:id="1230729612">
      <w:bodyDiv w:val="1"/>
      <w:marLeft w:val="0"/>
      <w:marRight w:val="0"/>
      <w:marTop w:val="0"/>
      <w:marBottom w:val="0"/>
      <w:divBdr>
        <w:top w:val="none" w:sz="0" w:space="0" w:color="auto"/>
        <w:left w:val="none" w:sz="0" w:space="0" w:color="auto"/>
        <w:bottom w:val="none" w:sz="0" w:space="0" w:color="auto"/>
        <w:right w:val="none" w:sz="0" w:space="0" w:color="auto"/>
      </w:divBdr>
    </w:div>
    <w:div w:id="1313175059">
      <w:bodyDiv w:val="1"/>
      <w:marLeft w:val="0"/>
      <w:marRight w:val="0"/>
      <w:marTop w:val="0"/>
      <w:marBottom w:val="0"/>
      <w:divBdr>
        <w:top w:val="none" w:sz="0" w:space="0" w:color="auto"/>
        <w:left w:val="none" w:sz="0" w:space="0" w:color="auto"/>
        <w:bottom w:val="none" w:sz="0" w:space="0" w:color="auto"/>
        <w:right w:val="none" w:sz="0" w:space="0" w:color="auto"/>
      </w:divBdr>
    </w:div>
    <w:div w:id="1333802202">
      <w:bodyDiv w:val="1"/>
      <w:marLeft w:val="0"/>
      <w:marRight w:val="0"/>
      <w:marTop w:val="0"/>
      <w:marBottom w:val="0"/>
      <w:divBdr>
        <w:top w:val="none" w:sz="0" w:space="0" w:color="auto"/>
        <w:left w:val="none" w:sz="0" w:space="0" w:color="auto"/>
        <w:bottom w:val="none" w:sz="0" w:space="0" w:color="auto"/>
        <w:right w:val="none" w:sz="0" w:space="0" w:color="auto"/>
      </w:divBdr>
    </w:div>
    <w:div w:id="1337340605">
      <w:bodyDiv w:val="1"/>
      <w:marLeft w:val="0"/>
      <w:marRight w:val="0"/>
      <w:marTop w:val="0"/>
      <w:marBottom w:val="0"/>
      <w:divBdr>
        <w:top w:val="none" w:sz="0" w:space="0" w:color="auto"/>
        <w:left w:val="none" w:sz="0" w:space="0" w:color="auto"/>
        <w:bottom w:val="none" w:sz="0" w:space="0" w:color="auto"/>
        <w:right w:val="none" w:sz="0" w:space="0" w:color="auto"/>
      </w:divBdr>
    </w:div>
    <w:div w:id="1449817183">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51711255">
      <w:bodyDiv w:val="1"/>
      <w:marLeft w:val="0"/>
      <w:marRight w:val="0"/>
      <w:marTop w:val="0"/>
      <w:marBottom w:val="0"/>
      <w:divBdr>
        <w:top w:val="none" w:sz="0" w:space="0" w:color="auto"/>
        <w:left w:val="none" w:sz="0" w:space="0" w:color="auto"/>
        <w:bottom w:val="none" w:sz="0" w:space="0" w:color="auto"/>
        <w:right w:val="none" w:sz="0" w:space="0" w:color="auto"/>
      </w:divBdr>
    </w:div>
    <w:div w:id="1863351076">
      <w:bodyDiv w:val="1"/>
      <w:marLeft w:val="0"/>
      <w:marRight w:val="0"/>
      <w:marTop w:val="0"/>
      <w:marBottom w:val="0"/>
      <w:divBdr>
        <w:top w:val="none" w:sz="0" w:space="0" w:color="auto"/>
        <w:left w:val="none" w:sz="0" w:space="0" w:color="auto"/>
        <w:bottom w:val="none" w:sz="0" w:space="0" w:color="auto"/>
        <w:right w:val="none" w:sz="0" w:space="0" w:color="auto"/>
      </w:divBdr>
    </w:div>
    <w:div w:id="1873877037">
      <w:bodyDiv w:val="1"/>
      <w:marLeft w:val="0"/>
      <w:marRight w:val="0"/>
      <w:marTop w:val="0"/>
      <w:marBottom w:val="0"/>
      <w:divBdr>
        <w:top w:val="none" w:sz="0" w:space="0" w:color="auto"/>
        <w:left w:val="none" w:sz="0" w:space="0" w:color="auto"/>
        <w:bottom w:val="none" w:sz="0" w:space="0" w:color="auto"/>
        <w:right w:val="none" w:sz="0" w:space="0" w:color="auto"/>
      </w:divBdr>
    </w:div>
    <w:div w:id="1994480957">
      <w:bodyDiv w:val="1"/>
      <w:marLeft w:val="0"/>
      <w:marRight w:val="0"/>
      <w:marTop w:val="0"/>
      <w:marBottom w:val="0"/>
      <w:divBdr>
        <w:top w:val="none" w:sz="0" w:space="0" w:color="auto"/>
        <w:left w:val="none" w:sz="0" w:space="0" w:color="auto"/>
        <w:bottom w:val="none" w:sz="0" w:space="0" w:color="auto"/>
        <w:right w:val="none" w:sz="0" w:space="0" w:color="auto"/>
      </w:divBdr>
    </w:div>
    <w:div w:id="2037385995">
      <w:bodyDiv w:val="1"/>
      <w:marLeft w:val="0"/>
      <w:marRight w:val="0"/>
      <w:marTop w:val="0"/>
      <w:marBottom w:val="0"/>
      <w:divBdr>
        <w:top w:val="none" w:sz="0" w:space="0" w:color="auto"/>
        <w:left w:val="none" w:sz="0" w:space="0" w:color="auto"/>
        <w:bottom w:val="none" w:sz="0" w:space="0" w:color="auto"/>
        <w:right w:val="none" w:sz="0" w:space="0" w:color="auto"/>
      </w:divBdr>
    </w:div>
    <w:div w:id="21285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DFB1A17-9246-4A4E-8227-8AA7C71F95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E1D19FE3496A419725A14719CCF6B6" ma:contentTypeVersion="" ma:contentTypeDescription="PDMS Document Site Content Type" ma:contentTypeScope="" ma:versionID="286b844a2568187c8cc474b4c420fa8a">
  <xsd:schema xmlns:xsd="http://www.w3.org/2001/XMLSchema" xmlns:xs="http://www.w3.org/2001/XMLSchema" xmlns:p="http://schemas.microsoft.com/office/2006/metadata/properties" xmlns:ns2="FDFB1A17-9246-4A4E-8227-8AA7C71F95CE" targetNamespace="http://schemas.microsoft.com/office/2006/metadata/properties" ma:root="true" ma:fieldsID="ceae3dcb74662e9b77a4b24530dee154" ns2:_="">
    <xsd:import namespace="FDFB1A17-9246-4A4E-8227-8AA7C71F95C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1A17-9246-4A4E-8227-8AA7C71F95C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AFCB3-9355-4302-9DEE-E5F0B3E8B0FF}">
  <ds:schemaRefs>
    <ds:schemaRef ds:uri="http://schemas.microsoft.com/sharepoint/v3/contenttype/forms"/>
  </ds:schemaRefs>
</ds:datastoreItem>
</file>

<file path=customXml/itemProps2.xml><?xml version="1.0" encoding="utf-8"?>
<ds:datastoreItem xmlns:ds="http://schemas.openxmlformats.org/officeDocument/2006/customXml" ds:itemID="{6FF17C04-4641-4CB9-B3F3-83F6BD81D78A}">
  <ds:schemaRefs>
    <ds:schemaRef ds:uri="FDFB1A17-9246-4A4E-8227-8AA7C71F95C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DFEF7E-8CB3-43FE-A3D3-80CC9DFDBA0B}">
  <ds:schemaRefs>
    <ds:schemaRef ds:uri="http://schemas.openxmlformats.org/officeDocument/2006/bibliography"/>
  </ds:schemaRefs>
</ds:datastoreItem>
</file>

<file path=customXml/itemProps4.xml><?xml version="1.0" encoding="utf-8"?>
<ds:datastoreItem xmlns:ds="http://schemas.openxmlformats.org/officeDocument/2006/customXml" ds:itemID="{009C48D9-11B7-4D9B-9962-F0028CEB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1A17-9246-4A4E-8227-8AA7C71F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2938</Words>
  <Characters>15600</Characters>
  <Application>Microsoft Office Word</Application>
  <DocSecurity>0</DocSecurity>
  <Lines>242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Kurt</dc:creator>
  <cp:keywords>[SEC=OFFICIAL]</cp:keywords>
  <dc:description/>
  <cp:lastModifiedBy>ROSS, Lydia</cp:lastModifiedBy>
  <cp:revision>29</cp:revision>
  <dcterms:created xsi:type="dcterms:W3CDTF">2025-06-10T00:18:00Z</dcterms:created>
  <dcterms:modified xsi:type="dcterms:W3CDTF">2025-06-17T01:25:00Z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v=2022.1;a=SHA256;h=08B8D98E82DF71F38A66005E1830D770B933328957AC53DD384CA0EC80ED8840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2025-03-05T06:22:20Z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2025-03-05T06:22:20Z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33ca26634c5043f183bab78b1d8ff0bc</vt:lpwstr>
  </property>
  <property fmtid="{D5CDD505-2E9C-101B-9397-08002B2CF9AE}" pid="20" name="PM_InsertionValue">
    <vt:lpwstr>OFFICIAL</vt:lpwstr>
  </property>
  <property fmtid="{D5CDD505-2E9C-101B-9397-08002B2CF9AE}" pid="21" name="PM_Originator_Hash_SHA1">
    <vt:lpwstr>FB5EDF3AAC38FEB5BD2A49A5A5BA652847B8266E</vt:lpwstr>
  </property>
  <property fmtid="{D5CDD505-2E9C-101B-9397-08002B2CF9AE}" pid="22" name="PM_DisplayValueSecClassificationWithQualifier">
    <vt:lpwstr>OFFICIAL</vt:lpwstr>
  </property>
  <property fmtid="{D5CDD505-2E9C-101B-9397-08002B2CF9AE}" pid="23" name="PM_Originating_FileId">
    <vt:lpwstr>F719874B5A26412684DC854B98401A5E</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95CE5BE2DBED573B0F130ED75C3651F45B544D852DB6F71DC40A84DC180BA5F9</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3FD9E06181D37767D899A45B761DBEB2</vt:lpwstr>
  </property>
  <property fmtid="{D5CDD505-2E9C-101B-9397-08002B2CF9AE}" pid="32" name="PM_Hash_Salt">
    <vt:lpwstr>9139DCC8BEB314204BDC4579498FC362</vt:lpwstr>
  </property>
  <property fmtid="{D5CDD505-2E9C-101B-9397-08002B2CF9AE}" pid="33" name="PM_Hash_SHA1">
    <vt:lpwstr>E72076F1B9FDC42C0BB2EA20525BA39A9F9919E7</vt:lpwstr>
  </property>
  <property fmtid="{D5CDD505-2E9C-101B-9397-08002B2CF9AE}" pid="34" name="ContentTypeId">
    <vt:lpwstr>0x010100266966F133664895A6EE3632470D45F500B2E1D19FE3496A419725A14719CCF6B6</vt:lpwstr>
  </property>
  <property fmtid="{D5CDD505-2E9C-101B-9397-08002B2CF9AE}" pid="35" name="PM_Expires">
    <vt:lpwstr/>
  </property>
  <property fmtid="{D5CDD505-2E9C-101B-9397-08002B2CF9AE}" pid="36" name="PM_DownTo">
    <vt:lpwstr/>
  </property>
  <property fmtid="{D5CDD505-2E9C-101B-9397-08002B2CF9AE}" pid="37" name="PM_SecurityClassification_Prev">
    <vt:lpwstr>OFFICIAL</vt:lpwstr>
  </property>
  <property fmtid="{D5CDD505-2E9C-101B-9397-08002B2CF9AE}" pid="38" name="PM_Qualifier_Prev">
    <vt:lpwstr/>
  </property>
</Properties>
</file>