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6CD9E" w14:textId="1BBB024C" w:rsidR="00C56FD6" w:rsidRPr="00907977" w:rsidRDefault="00C56FD6" w:rsidP="00C56FD6">
      <w:pPr>
        <w:spacing w:after="0" w:line="240" w:lineRule="auto"/>
        <w:jc w:val="center"/>
        <w:rPr>
          <w:b/>
        </w:rPr>
      </w:pPr>
      <w:r w:rsidRPr="00907977">
        <w:rPr>
          <w:b/>
        </w:rPr>
        <w:t>EXPLANATORY STATEMENT</w:t>
      </w:r>
    </w:p>
    <w:p w14:paraId="0E9AE5A4" w14:textId="77777777" w:rsidR="00C56FD6" w:rsidRPr="00907977" w:rsidRDefault="00C56FD6" w:rsidP="00C56FD6">
      <w:pPr>
        <w:spacing w:after="0" w:line="240" w:lineRule="auto"/>
        <w:jc w:val="center"/>
        <w:rPr>
          <w:b/>
        </w:rPr>
      </w:pPr>
    </w:p>
    <w:p w14:paraId="676883BE" w14:textId="77777777" w:rsidR="00C56FD6" w:rsidRPr="00907977" w:rsidRDefault="00C56FD6" w:rsidP="00C56FD6">
      <w:pPr>
        <w:spacing w:after="0" w:line="240" w:lineRule="auto"/>
        <w:jc w:val="center"/>
        <w:rPr>
          <w:b/>
          <w:i/>
        </w:rPr>
      </w:pPr>
      <w:r w:rsidRPr="00907977">
        <w:rPr>
          <w:b/>
          <w:i/>
        </w:rPr>
        <w:t>HEALTH INSURANCE ACT 1973</w:t>
      </w:r>
    </w:p>
    <w:p w14:paraId="2F92EE96" w14:textId="77777777" w:rsidR="00C56FD6" w:rsidRPr="00907977" w:rsidRDefault="00C56FD6" w:rsidP="00C56FD6">
      <w:pPr>
        <w:spacing w:after="0" w:line="240" w:lineRule="auto"/>
        <w:jc w:val="center"/>
        <w:rPr>
          <w:b/>
        </w:rPr>
      </w:pPr>
    </w:p>
    <w:p w14:paraId="4A9E896E" w14:textId="4E469EA0" w:rsidR="009F6B8D" w:rsidRPr="00907977" w:rsidRDefault="009140C0" w:rsidP="00854A82">
      <w:pPr>
        <w:spacing w:after="0" w:line="240" w:lineRule="auto"/>
        <w:jc w:val="center"/>
        <w:rPr>
          <w:rFonts w:cs="Times New Roman"/>
          <w:b/>
          <w:szCs w:val="24"/>
        </w:rPr>
      </w:pPr>
      <w:bookmarkStart w:id="0" w:name="_Hlk86053712"/>
      <w:bookmarkStart w:id="1" w:name="_Hlk98757110"/>
      <w:r w:rsidRPr="00907977">
        <w:rPr>
          <w:b/>
          <w:i/>
        </w:rPr>
        <w:t>Health Insurance (Accredited Pathology Laboratories—Approval) Amendment</w:t>
      </w:r>
      <w:r w:rsidR="00854A82" w:rsidRPr="00907977">
        <w:rPr>
          <w:b/>
          <w:i/>
        </w:rPr>
        <w:t xml:space="preserve"> (Relevant Standards) </w:t>
      </w:r>
      <w:r w:rsidRPr="00907977">
        <w:rPr>
          <w:b/>
          <w:i/>
        </w:rPr>
        <w:t>Principles (No.</w:t>
      </w:r>
      <w:r w:rsidR="00201EBF">
        <w:rPr>
          <w:b/>
          <w:i/>
        </w:rPr>
        <w:t>2</w:t>
      </w:r>
      <w:r w:rsidRPr="00907977">
        <w:rPr>
          <w:b/>
          <w:i/>
        </w:rPr>
        <w:t>) 202</w:t>
      </w:r>
      <w:bookmarkEnd w:id="0"/>
      <w:r w:rsidR="00680C4D">
        <w:rPr>
          <w:b/>
          <w:i/>
        </w:rPr>
        <w:t>5</w:t>
      </w:r>
    </w:p>
    <w:bookmarkEnd w:id="1"/>
    <w:p w14:paraId="17122760" w14:textId="6924FA2D" w:rsidR="00C56FD6" w:rsidRPr="00907977" w:rsidRDefault="00C56FD6" w:rsidP="0017238F">
      <w:pPr>
        <w:spacing w:after="240" w:line="240" w:lineRule="auto"/>
        <w:jc w:val="both"/>
        <w:rPr>
          <w:rFonts w:cs="Times New Roman"/>
          <w:b/>
          <w:szCs w:val="24"/>
        </w:rPr>
      </w:pPr>
      <w:r w:rsidRPr="00907977">
        <w:rPr>
          <w:rFonts w:cs="Times New Roman"/>
          <w:b/>
          <w:szCs w:val="24"/>
        </w:rPr>
        <w:t xml:space="preserve">Authority </w:t>
      </w:r>
    </w:p>
    <w:p w14:paraId="2E7D39DC" w14:textId="13622C37" w:rsidR="00C56FD6" w:rsidRPr="00907977" w:rsidRDefault="003A0387" w:rsidP="00DF0774">
      <w:pPr>
        <w:spacing w:after="240" w:line="240" w:lineRule="auto"/>
        <w:rPr>
          <w:rFonts w:cs="Times New Roman"/>
          <w:szCs w:val="24"/>
        </w:rPr>
      </w:pPr>
      <w:r w:rsidRPr="00907977">
        <w:rPr>
          <w:rFonts w:cs="Times New Roman"/>
          <w:szCs w:val="24"/>
        </w:rPr>
        <w:t>Subs</w:t>
      </w:r>
      <w:r w:rsidR="00C56FD6" w:rsidRPr="00907977">
        <w:rPr>
          <w:rFonts w:cs="Times New Roman"/>
          <w:szCs w:val="24"/>
        </w:rPr>
        <w:t>ection 23DNA</w:t>
      </w:r>
      <w:r w:rsidRPr="00907977">
        <w:rPr>
          <w:rFonts w:cs="Times New Roman"/>
          <w:szCs w:val="24"/>
        </w:rPr>
        <w:t>(1)</w:t>
      </w:r>
      <w:r w:rsidR="00C56FD6" w:rsidRPr="00907977">
        <w:rPr>
          <w:rFonts w:cs="Times New Roman"/>
          <w:szCs w:val="24"/>
        </w:rPr>
        <w:t xml:space="preserve"> of the </w:t>
      </w:r>
      <w:r w:rsidR="00C56FD6" w:rsidRPr="00907977">
        <w:rPr>
          <w:rFonts w:cs="Times New Roman"/>
          <w:i/>
          <w:szCs w:val="24"/>
        </w:rPr>
        <w:t>Health Insurance Act 1973</w:t>
      </w:r>
      <w:r w:rsidR="00C56FD6" w:rsidRPr="00907977">
        <w:rPr>
          <w:rFonts w:cs="Times New Roman"/>
          <w:szCs w:val="24"/>
        </w:rPr>
        <w:t xml:space="preserve"> (the </w:t>
      </w:r>
      <w:r w:rsidR="00C56FD6" w:rsidRPr="00FD0D61">
        <w:rPr>
          <w:rFonts w:cs="Times New Roman"/>
          <w:b/>
          <w:bCs/>
          <w:szCs w:val="24"/>
        </w:rPr>
        <w:t>Act</w:t>
      </w:r>
      <w:r w:rsidR="00C56FD6" w:rsidRPr="00907977">
        <w:rPr>
          <w:rFonts w:cs="Times New Roman"/>
          <w:szCs w:val="24"/>
        </w:rPr>
        <w:t xml:space="preserve">) provides for the Minister to determine the principles to be applied in exercising his or her powers under section 23DN of the Act to approve in principle, or refuse to approve, premises as an accredited pathology laboratory. The current principles determined under section 23DNA are the </w:t>
      </w:r>
      <w:r w:rsidR="00C56FD6" w:rsidRPr="00907977">
        <w:rPr>
          <w:rFonts w:cs="Times New Roman"/>
          <w:i/>
          <w:szCs w:val="24"/>
        </w:rPr>
        <w:t xml:space="preserve">Health Insurance (Accredited Pathology Laboratories – Approval) Principles 2017 </w:t>
      </w:r>
      <w:r w:rsidR="00C56FD6" w:rsidRPr="00907977">
        <w:rPr>
          <w:rFonts w:cs="Times New Roman"/>
          <w:szCs w:val="24"/>
        </w:rPr>
        <w:t xml:space="preserve">(the </w:t>
      </w:r>
      <w:r w:rsidR="00261DB7" w:rsidRPr="00FD0D61">
        <w:rPr>
          <w:rFonts w:cs="Times New Roman"/>
          <w:b/>
          <w:bCs/>
          <w:szCs w:val="24"/>
        </w:rPr>
        <w:t>Approval Principles</w:t>
      </w:r>
      <w:r w:rsidR="00C56FD6" w:rsidRPr="00907977">
        <w:rPr>
          <w:rFonts w:cs="Times New Roman"/>
          <w:szCs w:val="24"/>
        </w:rPr>
        <w:t xml:space="preserve">).  </w:t>
      </w:r>
    </w:p>
    <w:p w14:paraId="4980CB39" w14:textId="505B2557" w:rsidR="00EE4EB2" w:rsidRPr="00907977" w:rsidRDefault="00EE4EB2" w:rsidP="00354611">
      <w:pPr>
        <w:shd w:val="clear" w:color="auto" w:fill="FFFFFF"/>
        <w:spacing w:line="240" w:lineRule="auto"/>
        <w:rPr>
          <w:szCs w:val="24"/>
        </w:rPr>
      </w:pPr>
      <w:r w:rsidRPr="00907977">
        <w:rPr>
          <w:szCs w:val="24"/>
        </w:rPr>
        <w:t>Under subsection 33(3) of the </w:t>
      </w:r>
      <w:r w:rsidRPr="00907977">
        <w:rPr>
          <w:i/>
          <w:iCs/>
          <w:szCs w:val="24"/>
        </w:rPr>
        <w:t>Acts Interpretation Act 1901</w:t>
      </w:r>
      <w:r w:rsidRPr="00907977">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9718D3F" w14:textId="70F5553A" w:rsidR="007F3893" w:rsidRPr="0017238F" w:rsidRDefault="001671A6" w:rsidP="0017238F">
      <w:pPr>
        <w:spacing w:after="240" w:line="240" w:lineRule="auto"/>
        <w:rPr>
          <w:rFonts w:cs="Times New Roman"/>
          <w:b/>
          <w:bCs/>
          <w:szCs w:val="24"/>
        </w:rPr>
      </w:pPr>
      <w:r w:rsidRPr="0017238F">
        <w:rPr>
          <w:rFonts w:cs="Times New Roman"/>
          <w:b/>
          <w:bCs/>
          <w:szCs w:val="24"/>
        </w:rPr>
        <w:t>Purpose</w:t>
      </w:r>
      <w:r w:rsidR="00AB617F" w:rsidRPr="0017238F">
        <w:rPr>
          <w:rFonts w:cs="Times New Roman"/>
          <w:b/>
          <w:bCs/>
          <w:szCs w:val="24"/>
        </w:rPr>
        <w:t xml:space="preserve"> and operation</w:t>
      </w:r>
    </w:p>
    <w:p w14:paraId="61D398FE" w14:textId="249760E1" w:rsidR="00AB617F" w:rsidRDefault="00406816" w:rsidP="00F64221">
      <w:pPr>
        <w:spacing w:after="120" w:line="240" w:lineRule="auto"/>
        <w:rPr>
          <w:szCs w:val="24"/>
        </w:rPr>
      </w:pPr>
      <w:r w:rsidRPr="00907977">
        <w:rPr>
          <w:szCs w:val="24"/>
        </w:rPr>
        <w:t xml:space="preserve">The purpose of the </w:t>
      </w:r>
      <w:r w:rsidR="009140C0" w:rsidRPr="00907977">
        <w:rPr>
          <w:i/>
          <w:iCs/>
          <w:szCs w:val="24"/>
        </w:rPr>
        <w:t xml:space="preserve">Health Insurance (Accredited Pathology Laboratories—Approval) Amendment </w:t>
      </w:r>
      <w:r w:rsidR="00854A82" w:rsidRPr="00907977">
        <w:rPr>
          <w:i/>
          <w:iCs/>
          <w:szCs w:val="24"/>
        </w:rPr>
        <w:t xml:space="preserve">(Relevant Standards) </w:t>
      </w:r>
      <w:r w:rsidR="009140C0" w:rsidRPr="00907977">
        <w:rPr>
          <w:i/>
          <w:iCs/>
          <w:szCs w:val="24"/>
        </w:rPr>
        <w:t>Principles (No.</w:t>
      </w:r>
      <w:r w:rsidR="00D01543">
        <w:rPr>
          <w:i/>
          <w:iCs/>
          <w:szCs w:val="24"/>
        </w:rPr>
        <w:t>2</w:t>
      </w:r>
      <w:r w:rsidR="009140C0" w:rsidRPr="00907977">
        <w:rPr>
          <w:i/>
          <w:iCs/>
          <w:szCs w:val="24"/>
        </w:rPr>
        <w:t>) 202</w:t>
      </w:r>
      <w:r w:rsidR="00D01543">
        <w:rPr>
          <w:i/>
          <w:iCs/>
          <w:szCs w:val="24"/>
        </w:rPr>
        <w:t xml:space="preserve">5 </w:t>
      </w:r>
      <w:r w:rsidRPr="00907977">
        <w:rPr>
          <w:szCs w:val="24"/>
        </w:rPr>
        <w:t xml:space="preserve">(the </w:t>
      </w:r>
      <w:r w:rsidRPr="00FD0D61">
        <w:rPr>
          <w:b/>
          <w:bCs/>
          <w:szCs w:val="24"/>
        </w:rPr>
        <w:t xml:space="preserve">Amending </w:t>
      </w:r>
      <w:r w:rsidR="00926FBD" w:rsidRPr="00FD0D61">
        <w:rPr>
          <w:b/>
          <w:bCs/>
          <w:szCs w:val="24"/>
        </w:rPr>
        <w:t>Instrument</w:t>
      </w:r>
      <w:r w:rsidRPr="00907977">
        <w:rPr>
          <w:szCs w:val="24"/>
        </w:rPr>
        <w:t xml:space="preserve">) is to amend the </w:t>
      </w:r>
      <w:r w:rsidR="00261DB7">
        <w:rPr>
          <w:szCs w:val="24"/>
        </w:rPr>
        <w:t>Approval Principles</w:t>
      </w:r>
      <w:r w:rsidRPr="00907977">
        <w:rPr>
          <w:szCs w:val="24"/>
        </w:rPr>
        <w:t xml:space="preserve"> to</w:t>
      </w:r>
      <w:r w:rsidR="00DF5236">
        <w:rPr>
          <w:szCs w:val="24"/>
        </w:rPr>
        <w:t xml:space="preserve"> incorporate the following revised accreditation standards</w:t>
      </w:r>
      <w:r w:rsidR="00AB617F">
        <w:rPr>
          <w:szCs w:val="24"/>
        </w:rPr>
        <w:t>:</w:t>
      </w:r>
    </w:p>
    <w:p w14:paraId="1F041A89" w14:textId="523986D5" w:rsidR="00E50A49" w:rsidRDefault="00E50A49" w:rsidP="00AB617F">
      <w:pPr>
        <w:pStyle w:val="ListParagraph"/>
        <w:numPr>
          <w:ilvl w:val="0"/>
          <w:numId w:val="34"/>
        </w:numPr>
        <w:spacing w:after="120" w:line="240" w:lineRule="auto"/>
        <w:rPr>
          <w:szCs w:val="24"/>
        </w:rPr>
      </w:pPr>
      <w:r w:rsidRPr="009124FD">
        <w:rPr>
          <w:i/>
          <w:iCs/>
          <w:szCs w:val="24"/>
        </w:rPr>
        <w:t>Requirements for Cervical Screening (Third Edition 202</w:t>
      </w:r>
      <w:r w:rsidR="009124FD" w:rsidRPr="009124FD">
        <w:rPr>
          <w:i/>
          <w:iCs/>
          <w:szCs w:val="24"/>
        </w:rPr>
        <w:t>5</w:t>
      </w:r>
      <w:r w:rsidRPr="009124FD">
        <w:rPr>
          <w:i/>
          <w:iCs/>
          <w:szCs w:val="24"/>
        </w:rPr>
        <w:t>)</w:t>
      </w:r>
      <w:r>
        <w:rPr>
          <w:szCs w:val="24"/>
        </w:rPr>
        <w:t xml:space="preserve"> (</w:t>
      </w:r>
      <w:r w:rsidRPr="00FD0D61">
        <w:rPr>
          <w:b/>
          <w:bCs/>
          <w:szCs w:val="24"/>
        </w:rPr>
        <w:t>2025 Cervical Screening Standard</w:t>
      </w:r>
      <w:r>
        <w:rPr>
          <w:szCs w:val="24"/>
        </w:rPr>
        <w:t>);</w:t>
      </w:r>
      <w:r w:rsidR="00DF5236">
        <w:rPr>
          <w:szCs w:val="24"/>
        </w:rPr>
        <w:t xml:space="preserve"> and</w:t>
      </w:r>
    </w:p>
    <w:p w14:paraId="2208CF04" w14:textId="012D81BE" w:rsidR="006450FA" w:rsidRPr="009124FD" w:rsidRDefault="003F2314" w:rsidP="00E50A49">
      <w:pPr>
        <w:pStyle w:val="ListParagraph"/>
        <w:numPr>
          <w:ilvl w:val="0"/>
          <w:numId w:val="34"/>
        </w:numPr>
        <w:spacing w:after="120" w:line="240" w:lineRule="auto"/>
        <w:rPr>
          <w:szCs w:val="24"/>
        </w:rPr>
      </w:pPr>
      <w:bookmarkStart w:id="2" w:name="_Hlk195528503"/>
      <w:r w:rsidRPr="00AD67EB">
        <w:rPr>
          <w:i/>
          <w:iCs/>
          <w:szCs w:val="24"/>
          <w:shd w:val="clear" w:color="auto" w:fill="FFFFFF"/>
        </w:rPr>
        <w:t>Requirements for supervision in the clinical governance of medical pathology laboratories (Eight Edition 2025)</w:t>
      </w:r>
      <w:bookmarkEnd w:id="2"/>
      <w:r w:rsidR="00333118" w:rsidRPr="00AB617F">
        <w:rPr>
          <w:szCs w:val="24"/>
          <w:shd w:val="clear" w:color="auto" w:fill="FFFFFF"/>
        </w:rPr>
        <w:t xml:space="preserve"> (</w:t>
      </w:r>
      <w:r w:rsidR="00333118" w:rsidRPr="00FD0D61">
        <w:rPr>
          <w:b/>
          <w:bCs/>
          <w:szCs w:val="24"/>
          <w:shd w:val="clear" w:color="auto" w:fill="FFFFFF"/>
        </w:rPr>
        <w:t>2025 Supervision Standard</w:t>
      </w:r>
      <w:r w:rsidR="00333118" w:rsidRPr="00AB617F">
        <w:rPr>
          <w:szCs w:val="24"/>
          <w:shd w:val="clear" w:color="auto" w:fill="FFFFFF"/>
        </w:rPr>
        <w:t>)</w:t>
      </w:r>
      <w:r w:rsidR="00DF5236">
        <w:rPr>
          <w:szCs w:val="24"/>
          <w:shd w:val="clear" w:color="auto" w:fill="FFFFFF"/>
        </w:rPr>
        <w:t>.</w:t>
      </w:r>
    </w:p>
    <w:p w14:paraId="5977EB96" w14:textId="4397D548" w:rsidR="0017238F" w:rsidRPr="0017238F" w:rsidRDefault="00081F5C" w:rsidP="00F925ED">
      <w:pPr>
        <w:shd w:val="clear" w:color="auto" w:fill="FFFFFF"/>
        <w:spacing w:line="240" w:lineRule="auto"/>
        <w:rPr>
          <w:szCs w:val="24"/>
        </w:rPr>
      </w:pPr>
      <w:r w:rsidRPr="00354611">
        <w:rPr>
          <w:szCs w:val="24"/>
        </w:rPr>
        <w:t>In accordance with s</w:t>
      </w:r>
      <w:r w:rsidR="00FD0D61">
        <w:rPr>
          <w:szCs w:val="24"/>
        </w:rPr>
        <w:t>ection</w:t>
      </w:r>
      <w:r w:rsidR="00932FD8" w:rsidRPr="00354611">
        <w:rPr>
          <w:szCs w:val="24"/>
        </w:rPr>
        <w:t> </w:t>
      </w:r>
      <w:r w:rsidRPr="00354611">
        <w:rPr>
          <w:szCs w:val="24"/>
        </w:rPr>
        <w:t xml:space="preserve">14 of the </w:t>
      </w:r>
      <w:r w:rsidRPr="00F925ED">
        <w:rPr>
          <w:i/>
          <w:iCs/>
        </w:rPr>
        <w:t>Legislation Act 2003</w:t>
      </w:r>
      <w:r w:rsidRPr="00354611">
        <w:rPr>
          <w:szCs w:val="24"/>
        </w:rPr>
        <w:t xml:space="preserve">, </w:t>
      </w:r>
      <w:r w:rsidR="00920BF6" w:rsidRPr="00354611">
        <w:rPr>
          <w:szCs w:val="24"/>
        </w:rPr>
        <w:t xml:space="preserve">the </w:t>
      </w:r>
      <w:r w:rsidRPr="00354611">
        <w:rPr>
          <w:szCs w:val="24"/>
        </w:rPr>
        <w:t>revised accreditation standard</w:t>
      </w:r>
      <w:r w:rsidR="00AB7F5A" w:rsidRPr="00354611">
        <w:rPr>
          <w:szCs w:val="24"/>
        </w:rPr>
        <w:t>s</w:t>
      </w:r>
      <w:r w:rsidR="00920BF6" w:rsidRPr="00354611">
        <w:rPr>
          <w:szCs w:val="24"/>
        </w:rPr>
        <w:t xml:space="preserve"> </w:t>
      </w:r>
      <w:r w:rsidR="00AB7F5A" w:rsidRPr="00354611">
        <w:rPr>
          <w:szCs w:val="24"/>
        </w:rPr>
        <w:t>are</w:t>
      </w:r>
      <w:r w:rsidR="00FF45E3" w:rsidRPr="00354611">
        <w:rPr>
          <w:szCs w:val="24"/>
        </w:rPr>
        <w:t xml:space="preserve"> </w:t>
      </w:r>
      <w:r w:rsidRPr="00354611">
        <w:rPr>
          <w:szCs w:val="24"/>
        </w:rPr>
        <w:t xml:space="preserve">to be incorporated </w:t>
      </w:r>
      <w:r w:rsidR="003F7B73" w:rsidRPr="00354611">
        <w:rPr>
          <w:szCs w:val="24"/>
        </w:rPr>
        <w:t>as they exist at the time of</w:t>
      </w:r>
      <w:r w:rsidR="00354611" w:rsidRPr="00354611">
        <w:rPr>
          <w:szCs w:val="24"/>
        </w:rPr>
        <w:t xml:space="preserve"> </w:t>
      </w:r>
      <w:r w:rsidRPr="00354611">
        <w:rPr>
          <w:szCs w:val="24"/>
        </w:rPr>
        <w:t xml:space="preserve">commencement of this </w:t>
      </w:r>
      <w:r w:rsidR="009F3739" w:rsidRPr="00354611">
        <w:rPr>
          <w:szCs w:val="24"/>
        </w:rPr>
        <w:t>Amending Instrument</w:t>
      </w:r>
      <w:r w:rsidR="00E5035A" w:rsidRPr="00354611">
        <w:rPr>
          <w:szCs w:val="24"/>
        </w:rPr>
        <w:t>.</w:t>
      </w:r>
      <w:r w:rsidR="009F3739" w:rsidRPr="0017238F">
        <w:rPr>
          <w:szCs w:val="24"/>
        </w:rPr>
        <w:t xml:space="preserve"> </w:t>
      </w:r>
    </w:p>
    <w:p w14:paraId="1C50472E" w14:textId="77777777" w:rsidR="00985B30" w:rsidRPr="0017238F" w:rsidRDefault="00985B30" w:rsidP="00F925ED">
      <w:pPr>
        <w:shd w:val="clear" w:color="auto" w:fill="FFFFFF"/>
        <w:spacing w:after="240" w:line="240" w:lineRule="auto"/>
        <w:rPr>
          <w:b/>
          <w:bCs/>
          <w:szCs w:val="24"/>
        </w:rPr>
      </w:pPr>
      <w:r w:rsidRPr="0017238F">
        <w:rPr>
          <w:b/>
          <w:bCs/>
          <w:szCs w:val="24"/>
        </w:rPr>
        <w:t>Background</w:t>
      </w:r>
    </w:p>
    <w:p w14:paraId="7711EE75" w14:textId="7DDFDC5A" w:rsidR="008A7266" w:rsidRPr="0017238F" w:rsidRDefault="00A73EF8" w:rsidP="00F925ED">
      <w:pPr>
        <w:shd w:val="clear" w:color="auto" w:fill="FFFFFF"/>
        <w:spacing w:line="240" w:lineRule="auto"/>
        <w:rPr>
          <w:szCs w:val="24"/>
        </w:rPr>
      </w:pPr>
      <w:r w:rsidRPr="0017238F">
        <w:rPr>
          <w:szCs w:val="24"/>
        </w:rPr>
        <w:t xml:space="preserve">With the exception of some basic tests conducted by some medical practitioners within their own medical practice, </w:t>
      </w:r>
      <w:r w:rsidR="00DF201C" w:rsidRPr="0017238F">
        <w:rPr>
          <w:szCs w:val="24"/>
        </w:rPr>
        <w:t>M</w:t>
      </w:r>
      <w:r w:rsidRPr="0017238F">
        <w:rPr>
          <w:szCs w:val="24"/>
        </w:rPr>
        <w:t xml:space="preserve">edicare benefits for pathology services are only payable when they are rendered by or on behalf of an approved pathology practitioner, in an accredited pathology laboratory operated by an approved pathology authority. The </w:t>
      </w:r>
      <w:r w:rsidR="00261DB7" w:rsidRPr="0017238F">
        <w:rPr>
          <w:szCs w:val="24"/>
        </w:rPr>
        <w:t>Approval Principles</w:t>
      </w:r>
      <w:r w:rsidRPr="0017238F">
        <w:rPr>
          <w:szCs w:val="24"/>
        </w:rPr>
        <w:t xml:space="preserve"> approved under section 23DNA </w:t>
      </w:r>
      <w:r w:rsidR="008A7266" w:rsidRPr="0017238F">
        <w:rPr>
          <w:szCs w:val="24"/>
        </w:rPr>
        <w:t>of the Act:</w:t>
      </w:r>
    </w:p>
    <w:p w14:paraId="03BA9F1B" w14:textId="23914C9F" w:rsidR="008A7266" w:rsidRDefault="00A73EF8" w:rsidP="008A7266">
      <w:pPr>
        <w:pStyle w:val="ListParagraph"/>
        <w:numPr>
          <w:ilvl w:val="0"/>
          <w:numId w:val="32"/>
        </w:numPr>
        <w:spacing w:after="0" w:line="240" w:lineRule="auto"/>
      </w:pPr>
      <w:r w:rsidRPr="00907977">
        <w:t>operate to ensure that appropriate standards are met and maintained in pathology laboratories at which Medicare eligible pathology services can be provided</w:t>
      </w:r>
      <w:r w:rsidR="003F7B73">
        <w:t>; and</w:t>
      </w:r>
    </w:p>
    <w:p w14:paraId="4B07ED8E" w14:textId="21DBBD55" w:rsidR="00A73EF8" w:rsidRPr="008A7266" w:rsidRDefault="008A7266" w:rsidP="009124FD">
      <w:pPr>
        <w:pStyle w:val="ListParagraph"/>
        <w:numPr>
          <w:ilvl w:val="0"/>
          <w:numId w:val="32"/>
        </w:numPr>
        <w:spacing w:line="240" w:lineRule="auto"/>
        <w:rPr>
          <w:szCs w:val="24"/>
        </w:rPr>
      </w:pPr>
      <w:r w:rsidRPr="00C07C87">
        <w:rPr>
          <w:szCs w:val="24"/>
        </w:rPr>
        <w:t>underpin the National Pathology Accreditation Scheme (</w:t>
      </w:r>
      <w:r w:rsidRPr="00FD0D61">
        <w:rPr>
          <w:b/>
          <w:bCs/>
          <w:szCs w:val="24"/>
        </w:rPr>
        <w:t>NPAS</w:t>
      </w:r>
      <w:r w:rsidRPr="00C07C87">
        <w:rPr>
          <w:szCs w:val="24"/>
        </w:rPr>
        <w:t>), a compulsory accreditation scheme that requires pathology laboratories to meet specified quality standards for their services to be eligible for Medicare benefits</w:t>
      </w:r>
      <w:r w:rsidR="00A73EF8" w:rsidRPr="00907977">
        <w:t>.</w:t>
      </w:r>
    </w:p>
    <w:p w14:paraId="188E19DF" w14:textId="3965305F" w:rsidR="00A73EF8" w:rsidRPr="0017238F" w:rsidRDefault="00A73EF8" w:rsidP="00F925ED">
      <w:pPr>
        <w:spacing w:after="240" w:line="240" w:lineRule="auto"/>
        <w:rPr>
          <w:rFonts w:cs="Times New Roman"/>
          <w:szCs w:val="24"/>
        </w:rPr>
      </w:pPr>
      <w:r w:rsidRPr="0017238F">
        <w:rPr>
          <w:rFonts w:cs="Times New Roman"/>
          <w:szCs w:val="24"/>
        </w:rPr>
        <w:t xml:space="preserve">The </w:t>
      </w:r>
      <w:r w:rsidR="00261DB7" w:rsidRPr="0017238F">
        <w:rPr>
          <w:rFonts w:cs="Times New Roman"/>
          <w:szCs w:val="24"/>
        </w:rPr>
        <w:t>Approval Principles</w:t>
      </w:r>
      <w:r w:rsidRPr="0017238F">
        <w:rPr>
          <w:rFonts w:cs="Times New Roman"/>
          <w:szCs w:val="24"/>
        </w:rPr>
        <w:t xml:space="preserve"> set out the criteria for different categories of accredited pathology laboratories and specify the standards that must be met as part of the accreditation assessment for each category of laboratory and kinds of services provided in that laboratory. The </w:t>
      </w:r>
      <w:r w:rsidRPr="0017238F">
        <w:rPr>
          <w:rFonts w:cs="Times New Roman"/>
          <w:szCs w:val="24"/>
        </w:rPr>
        <w:lastRenderedPageBreak/>
        <w:t xml:space="preserve">overarching objectives of the </w:t>
      </w:r>
      <w:r w:rsidR="00261DB7" w:rsidRPr="0017238F">
        <w:rPr>
          <w:rFonts w:cs="Times New Roman"/>
          <w:szCs w:val="24"/>
        </w:rPr>
        <w:t>Approval Principles</w:t>
      </w:r>
      <w:r w:rsidRPr="0017238F">
        <w:rPr>
          <w:rFonts w:cs="Times New Roman"/>
          <w:szCs w:val="24"/>
        </w:rPr>
        <w:t xml:space="preserve"> include promoting the delivery of reliable test results and reducing the risk of misdiagnosis in the provision of pathology services.</w:t>
      </w:r>
    </w:p>
    <w:p w14:paraId="45C41168" w14:textId="18A8BDD9" w:rsidR="008A7266" w:rsidRPr="0017238F" w:rsidRDefault="00A73EF8" w:rsidP="006D55BB">
      <w:pPr>
        <w:spacing w:after="240" w:line="240" w:lineRule="auto"/>
        <w:rPr>
          <w:rFonts w:cs="Times New Roman"/>
          <w:szCs w:val="24"/>
        </w:rPr>
      </w:pPr>
      <w:r w:rsidRPr="0017238F">
        <w:rPr>
          <w:rFonts w:cs="Times New Roman"/>
          <w:szCs w:val="24"/>
        </w:rPr>
        <w:t xml:space="preserve">The Schedule to the </w:t>
      </w:r>
      <w:r w:rsidR="00261DB7" w:rsidRPr="0017238F">
        <w:rPr>
          <w:rFonts w:cs="Times New Roman"/>
          <w:szCs w:val="24"/>
        </w:rPr>
        <w:t>Approval Principles</w:t>
      </w:r>
      <w:r w:rsidRPr="0017238F">
        <w:rPr>
          <w:rFonts w:cs="Times New Roman"/>
          <w:szCs w:val="24"/>
        </w:rPr>
        <w:t xml:space="preserve"> specifies accreditation materials that set out relevant </w:t>
      </w:r>
      <w:r w:rsidR="004271E6" w:rsidRPr="0017238F">
        <w:rPr>
          <w:rFonts w:cs="Times New Roman"/>
          <w:szCs w:val="24"/>
        </w:rPr>
        <w:t xml:space="preserve">quality </w:t>
      </w:r>
      <w:r w:rsidRPr="0017238F">
        <w:rPr>
          <w:rFonts w:cs="Times New Roman"/>
          <w:szCs w:val="24"/>
        </w:rPr>
        <w:t xml:space="preserve">standards against which applicants for accreditation are to be assessed. </w:t>
      </w:r>
      <w:r w:rsidR="00BC4B23" w:rsidRPr="0017238F">
        <w:rPr>
          <w:rFonts w:cs="Times New Roman"/>
          <w:szCs w:val="24"/>
        </w:rPr>
        <w:t>The</w:t>
      </w:r>
      <w:r w:rsidR="00CC51FF" w:rsidRPr="0017238F">
        <w:rPr>
          <w:rFonts w:cs="Times New Roman"/>
          <w:szCs w:val="24"/>
        </w:rPr>
        <w:t>se documents</w:t>
      </w:r>
      <w:r w:rsidRPr="0017238F">
        <w:rPr>
          <w:rFonts w:cs="Times New Roman"/>
          <w:szCs w:val="24"/>
        </w:rPr>
        <w:t xml:space="preserve"> are developed and maintained by </w:t>
      </w:r>
      <w:r w:rsidR="007158AB" w:rsidRPr="0017238F">
        <w:rPr>
          <w:rFonts w:cs="Times New Roman"/>
          <w:szCs w:val="24"/>
        </w:rPr>
        <w:t>National Pathology Accreditation Advisory Council (</w:t>
      </w:r>
      <w:r w:rsidR="007158AB" w:rsidRPr="00FD0D61">
        <w:rPr>
          <w:rFonts w:cs="Times New Roman"/>
          <w:b/>
          <w:bCs/>
          <w:szCs w:val="24"/>
        </w:rPr>
        <w:t>NPAAC</w:t>
      </w:r>
      <w:r w:rsidR="007158AB" w:rsidRPr="0017238F">
        <w:rPr>
          <w:rFonts w:cs="Times New Roman"/>
          <w:szCs w:val="24"/>
        </w:rPr>
        <w:t xml:space="preserve">) </w:t>
      </w:r>
      <w:r w:rsidRPr="0017238F">
        <w:rPr>
          <w:rFonts w:cs="Times New Roman"/>
          <w:szCs w:val="24"/>
        </w:rPr>
        <w:t>or endorsed by NPAAC as supplementary accreditation materials</w:t>
      </w:r>
      <w:r w:rsidR="00AB617F" w:rsidRPr="0017238F">
        <w:rPr>
          <w:rFonts w:cs="Times New Roman"/>
          <w:szCs w:val="24"/>
        </w:rPr>
        <w:t xml:space="preserve">, and they are intended to ensure pathology best practice, support the therapeutics regulatory framework and assure the quality of Australian pathology services. Individual accreditation standards should be read in conjunction with the overarching pathology accreditation standard, the </w:t>
      </w:r>
      <w:r w:rsidR="00AB617F" w:rsidRPr="000C2239">
        <w:rPr>
          <w:rFonts w:cs="Times New Roman"/>
          <w:i/>
          <w:iCs/>
          <w:szCs w:val="24"/>
        </w:rPr>
        <w:t>Requirements for Medical Pathology Services (Third Edition 2018)</w:t>
      </w:r>
      <w:r w:rsidR="00AB617F" w:rsidRPr="0017238F">
        <w:rPr>
          <w:rFonts w:cs="Times New Roman"/>
          <w:szCs w:val="24"/>
        </w:rPr>
        <w:t xml:space="preserve"> which sets out the core elements of good laboratory practice.</w:t>
      </w:r>
    </w:p>
    <w:p w14:paraId="383B5B41" w14:textId="3FEF83F4" w:rsidR="00521C8B" w:rsidRDefault="008A7266" w:rsidP="00B22A30">
      <w:pPr>
        <w:spacing w:after="240" w:line="240" w:lineRule="auto"/>
        <w:rPr>
          <w:rFonts w:cs="Times New Roman"/>
          <w:szCs w:val="24"/>
        </w:rPr>
      </w:pPr>
      <w:r w:rsidRPr="0017238F">
        <w:rPr>
          <w:rFonts w:cs="Times New Roman"/>
          <w:szCs w:val="24"/>
        </w:rPr>
        <w:t xml:space="preserve">The NPAAC is a committee </w:t>
      </w:r>
      <w:r w:rsidRPr="00F925ED">
        <w:rPr>
          <w:rFonts w:cs="Times New Roman"/>
          <w:szCs w:val="24"/>
        </w:rPr>
        <w:t>established under subsection 9(1) of the </w:t>
      </w:r>
      <w:r w:rsidR="000D594B">
        <w:rPr>
          <w:rFonts w:cs="Times New Roman"/>
          <w:szCs w:val="24"/>
        </w:rPr>
        <w:br/>
      </w:r>
      <w:r w:rsidRPr="000D594B">
        <w:rPr>
          <w:rFonts w:cs="Times New Roman"/>
          <w:i/>
          <w:iCs/>
          <w:szCs w:val="24"/>
        </w:rPr>
        <w:t>National Health Act 1953</w:t>
      </w:r>
      <w:r w:rsidRPr="00F925ED">
        <w:rPr>
          <w:rFonts w:cs="Times New Roman"/>
          <w:szCs w:val="24"/>
        </w:rPr>
        <w:t xml:space="preserve"> </w:t>
      </w:r>
      <w:r w:rsidRPr="0017238F">
        <w:rPr>
          <w:rFonts w:cs="Times New Roman"/>
          <w:szCs w:val="24"/>
        </w:rPr>
        <w:t>whose responsibilities include making recommendations to the Australian Government and the states and territories on matters relating to the accreditation of pathology laboratories and the introduction and maintenance of uniform standards of practice in pathology laboratories throughout Australia. Its membership includes pathology experts from various professional and scientific organisations, consumer representatives and representatives from the Australian Government and states and territories.</w:t>
      </w:r>
    </w:p>
    <w:p w14:paraId="265B1B12" w14:textId="7FB6A902" w:rsidR="00521C8B" w:rsidRDefault="00CB4E07" w:rsidP="00521C8B">
      <w:pPr>
        <w:spacing w:after="240" w:line="240" w:lineRule="auto"/>
        <w:rPr>
          <w:rFonts w:cs="Times New Roman"/>
          <w:szCs w:val="24"/>
        </w:rPr>
      </w:pPr>
      <w:r w:rsidRPr="0017238F">
        <w:rPr>
          <w:rFonts w:cs="Times New Roman"/>
          <w:szCs w:val="24"/>
        </w:rPr>
        <w:t xml:space="preserve">NPAAC and the NPAS are supported by the </w:t>
      </w:r>
      <w:r w:rsidR="00A879C6" w:rsidRPr="0017238F">
        <w:rPr>
          <w:rFonts w:cs="Times New Roman"/>
          <w:szCs w:val="24"/>
        </w:rPr>
        <w:t xml:space="preserve">Australian Commission on Safety and Quality in Health Care (the </w:t>
      </w:r>
      <w:r w:rsidR="00A879C6" w:rsidRPr="00FD0D61">
        <w:rPr>
          <w:rFonts w:cs="Times New Roman"/>
          <w:b/>
          <w:bCs/>
          <w:szCs w:val="24"/>
        </w:rPr>
        <w:t>Commission</w:t>
      </w:r>
      <w:r w:rsidR="00A879C6" w:rsidRPr="0017238F">
        <w:rPr>
          <w:rFonts w:cs="Times New Roman"/>
          <w:szCs w:val="24"/>
        </w:rPr>
        <w:t>)</w:t>
      </w:r>
      <w:r w:rsidR="00E1644D" w:rsidRPr="0017238F">
        <w:rPr>
          <w:rFonts w:cs="Times New Roman"/>
          <w:szCs w:val="24"/>
        </w:rPr>
        <w:t xml:space="preserve"> </w:t>
      </w:r>
      <w:r w:rsidRPr="0017238F">
        <w:rPr>
          <w:rFonts w:cs="Times New Roman"/>
          <w:szCs w:val="24"/>
        </w:rPr>
        <w:t>under an arrangement with the Department of Health</w:t>
      </w:r>
      <w:r w:rsidR="0079719D" w:rsidRPr="0017238F">
        <w:rPr>
          <w:rFonts w:cs="Times New Roman"/>
          <w:szCs w:val="24"/>
        </w:rPr>
        <w:t>, Disability</w:t>
      </w:r>
      <w:r w:rsidR="00CC51FF" w:rsidRPr="0017238F">
        <w:rPr>
          <w:rFonts w:cs="Times New Roman"/>
          <w:szCs w:val="24"/>
        </w:rPr>
        <w:t xml:space="preserve"> and </w:t>
      </w:r>
      <w:r w:rsidR="0079719D" w:rsidRPr="0017238F">
        <w:rPr>
          <w:rFonts w:cs="Times New Roman"/>
          <w:szCs w:val="24"/>
        </w:rPr>
        <w:t>Ageing</w:t>
      </w:r>
      <w:r w:rsidR="00CC51FF" w:rsidRPr="0017238F">
        <w:rPr>
          <w:rFonts w:cs="Times New Roman"/>
          <w:szCs w:val="24"/>
        </w:rPr>
        <w:t xml:space="preserve"> (the </w:t>
      </w:r>
      <w:r w:rsidR="00CC51FF" w:rsidRPr="00FD0D61">
        <w:rPr>
          <w:rFonts w:cs="Times New Roman"/>
          <w:b/>
          <w:bCs/>
          <w:szCs w:val="24"/>
        </w:rPr>
        <w:t>Department</w:t>
      </w:r>
      <w:r w:rsidR="00CC51FF" w:rsidRPr="0017238F">
        <w:rPr>
          <w:rFonts w:cs="Times New Roman"/>
          <w:szCs w:val="24"/>
        </w:rPr>
        <w:t>)</w:t>
      </w:r>
      <w:r w:rsidRPr="0017238F">
        <w:rPr>
          <w:rFonts w:cs="Times New Roman"/>
          <w:szCs w:val="24"/>
        </w:rPr>
        <w:t xml:space="preserve">. The Department </w:t>
      </w:r>
      <w:r w:rsidR="004271E6" w:rsidRPr="0017238F">
        <w:rPr>
          <w:rFonts w:cs="Times New Roman"/>
          <w:szCs w:val="24"/>
        </w:rPr>
        <w:t>retains</w:t>
      </w:r>
      <w:r w:rsidR="00CC51FF" w:rsidRPr="0017238F">
        <w:rPr>
          <w:rFonts w:cs="Times New Roman"/>
          <w:szCs w:val="24"/>
        </w:rPr>
        <w:t xml:space="preserve"> </w:t>
      </w:r>
      <w:r w:rsidRPr="0017238F">
        <w:rPr>
          <w:rFonts w:cs="Times New Roman"/>
          <w:szCs w:val="24"/>
        </w:rPr>
        <w:t>policy</w:t>
      </w:r>
      <w:r w:rsidR="009A5785" w:rsidRPr="0017238F">
        <w:rPr>
          <w:rFonts w:cs="Times New Roman"/>
          <w:szCs w:val="24"/>
        </w:rPr>
        <w:t xml:space="preserve"> and </w:t>
      </w:r>
      <w:r w:rsidRPr="0017238F">
        <w:rPr>
          <w:rFonts w:cs="Times New Roman"/>
          <w:szCs w:val="24"/>
        </w:rPr>
        <w:t xml:space="preserve">regulatory responsibilities </w:t>
      </w:r>
      <w:r w:rsidR="00CC51FF" w:rsidRPr="0017238F">
        <w:rPr>
          <w:rFonts w:cs="Times New Roman"/>
          <w:szCs w:val="24"/>
        </w:rPr>
        <w:t>for pathology accreditation</w:t>
      </w:r>
      <w:r w:rsidR="00AB617F" w:rsidRPr="0017238F">
        <w:rPr>
          <w:rFonts w:cs="Times New Roman"/>
          <w:szCs w:val="24"/>
        </w:rPr>
        <w:t xml:space="preserve"> </w:t>
      </w:r>
      <w:r w:rsidR="00D9778E" w:rsidRPr="0017238F">
        <w:rPr>
          <w:rFonts w:cs="Times New Roman"/>
          <w:szCs w:val="24"/>
        </w:rPr>
        <w:t>and t</w:t>
      </w:r>
      <w:r w:rsidR="00A73EF8" w:rsidRPr="0017238F">
        <w:rPr>
          <w:rFonts w:cs="Times New Roman"/>
          <w:szCs w:val="24"/>
        </w:rPr>
        <w:t>he National Association of Testing Authorities</w:t>
      </w:r>
      <w:r w:rsidR="00882AD4" w:rsidRPr="0017238F">
        <w:rPr>
          <w:rFonts w:cs="Times New Roman"/>
          <w:szCs w:val="24"/>
        </w:rPr>
        <w:t>, Australia</w:t>
      </w:r>
      <w:r w:rsidR="00A73EF8" w:rsidRPr="0017238F">
        <w:rPr>
          <w:rFonts w:cs="Times New Roman"/>
          <w:szCs w:val="24"/>
        </w:rPr>
        <w:t xml:space="preserve"> (</w:t>
      </w:r>
      <w:r w:rsidR="00A73EF8" w:rsidRPr="00FD0D61">
        <w:rPr>
          <w:rFonts w:cs="Times New Roman"/>
          <w:b/>
          <w:bCs/>
          <w:szCs w:val="24"/>
        </w:rPr>
        <w:t>NATA</w:t>
      </w:r>
      <w:r w:rsidR="00A73EF8" w:rsidRPr="0017238F">
        <w:rPr>
          <w:rFonts w:cs="Times New Roman"/>
          <w:szCs w:val="24"/>
        </w:rPr>
        <w:t>) is the independent assessment body that conducts the accreditation assessment of pathology laboratories</w:t>
      </w:r>
      <w:r w:rsidR="00AB617F" w:rsidRPr="0017238F">
        <w:rPr>
          <w:rFonts w:cs="Times New Roman"/>
          <w:szCs w:val="24"/>
        </w:rPr>
        <w:t xml:space="preserve"> with relevant </w:t>
      </w:r>
      <w:r w:rsidR="00A73EF8" w:rsidRPr="0017238F">
        <w:rPr>
          <w:rFonts w:cs="Times New Roman"/>
          <w:szCs w:val="24"/>
        </w:rPr>
        <w:t>accreditation standards.</w:t>
      </w:r>
      <w:bookmarkStart w:id="3" w:name="_Hlk200623370"/>
    </w:p>
    <w:p w14:paraId="6F475352" w14:textId="7EBCA6E2" w:rsidR="00AE45C0" w:rsidRPr="00F925ED" w:rsidRDefault="00AE45C0" w:rsidP="00F925ED">
      <w:pPr>
        <w:shd w:val="clear" w:color="auto" w:fill="FFFFFF"/>
        <w:spacing w:after="240" w:line="240" w:lineRule="auto"/>
        <w:rPr>
          <w:b/>
          <w:bCs/>
          <w:szCs w:val="24"/>
        </w:rPr>
      </w:pPr>
      <w:r w:rsidRPr="00F925ED">
        <w:rPr>
          <w:b/>
          <w:bCs/>
          <w:szCs w:val="24"/>
        </w:rPr>
        <w:t>Requirements for Cervical Screening (Third Edition 2025)</w:t>
      </w:r>
    </w:p>
    <w:bookmarkEnd w:id="3"/>
    <w:p w14:paraId="39C8E0A8" w14:textId="732970D0" w:rsidR="00356980" w:rsidRPr="00F925ED" w:rsidRDefault="00E17611" w:rsidP="00F925ED">
      <w:pPr>
        <w:spacing w:after="240" w:line="240" w:lineRule="auto"/>
        <w:rPr>
          <w:rFonts w:cs="Times New Roman"/>
          <w:szCs w:val="24"/>
        </w:rPr>
      </w:pPr>
      <w:r w:rsidRPr="00E17611">
        <w:rPr>
          <w:rFonts w:cs="Times New Roman"/>
          <w:szCs w:val="24"/>
        </w:rPr>
        <w:t xml:space="preserve">The 2025 Cervical Screening Standard </w:t>
      </w:r>
      <w:r w:rsidR="00766454">
        <w:rPr>
          <w:rFonts w:cs="Times New Roman"/>
          <w:szCs w:val="24"/>
        </w:rPr>
        <w:t xml:space="preserve">replaces </w:t>
      </w:r>
      <w:r w:rsidR="00E50A49">
        <w:rPr>
          <w:rFonts w:cs="Times New Roman"/>
          <w:szCs w:val="24"/>
        </w:rPr>
        <w:t xml:space="preserve">the </w:t>
      </w:r>
      <w:r w:rsidR="00766454" w:rsidRPr="009124FD">
        <w:rPr>
          <w:i/>
          <w:iCs/>
          <w:szCs w:val="24"/>
        </w:rPr>
        <w:t>Requirements for Cervical Screening (</w:t>
      </w:r>
      <w:r w:rsidR="00766454">
        <w:rPr>
          <w:i/>
          <w:iCs/>
          <w:szCs w:val="24"/>
        </w:rPr>
        <w:t xml:space="preserve">Second </w:t>
      </w:r>
      <w:r w:rsidR="00766454" w:rsidRPr="009124FD">
        <w:rPr>
          <w:i/>
          <w:iCs/>
          <w:szCs w:val="24"/>
        </w:rPr>
        <w:t>Edition 202</w:t>
      </w:r>
      <w:r w:rsidR="00766454">
        <w:rPr>
          <w:i/>
          <w:iCs/>
          <w:szCs w:val="24"/>
        </w:rPr>
        <w:t>4</w:t>
      </w:r>
      <w:r w:rsidR="00766454" w:rsidRPr="009124FD">
        <w:rPr>
          <w:i/>
          <w:iCs/>
          <w:szCs w:val="24"/>
        </w:rPr>
        <w:t>)</w:t>
      </w:r>
      <w:r w:rsidR="00766454">
        <w:rPr>
          <w:szCs w:val="24"/>
        </w:rPr>
        <w:t xml:space="preserve"> (</w:t>
      </w:r>
      <w:r w:rsidR="00E50A49" w:rsidRPr="00766454">
        <w:rPr>
          <w:rFonts w:cs="Times New Roman"/>
          <w:b/>
          <w:bCs/>
          <w:szCs w:val="24"/>
        </w:rPr>
        <w:t>20</w:t>
      </w:r>
      <w:r w:rsidR="002424AD" w:rsidRPr="00766454">
        <w:rPr>
          <w:rFonts w:cs="Times New Roman"/>
          <w:b/>
          <w:bCs/>
          <w:szCs w:val="24"/>
        </w:rPr>
        <w:t>2</w:t>
      </w:r>
      <w:r w:rsidR="00E50A49" w:rsidRPr="00766454">
        <w:rPr>
          <w:rFonts w:cs="Times New Roman"/>
          <w:b/>
          <w:bCs/>
          <w:szCs w:val="24"/>
        </w:rPr>
        <w:t>4 Cervical Screening Standar</w:t>
      </w:r>
      <w:r w:rsidR="002424AD" w:rsidRPr="00766454">
        <w:rPr>
          <w:rFonts w:cs="Times New Roman"/>
          <w:b/>
          <w:bCs/>
          <w:szCs w:val="24"/>
        </w:rPr>
        <w:t>d</w:t>
      </w:r>
      <w:r w:rsidR="00766454">
        <w:rPr>
          <w:rFonts w:cs="Times New Roman"/>
          <w:szCs w:val="24"/>
        </w:rPr>
        <w:t>)</w:t>
      </w:r>
      <w:r w:rsidR="002424AD">
        <w:rPr>
          <w:rFonts w:cs="Times New Roman"/>
          <w:szCs w:val="24"/>
        </w:rPr>
        <w:t xml:space="preserve"> </w:t>
      </w:r>
      <w:r w:rsidR="00D55421">
        <w:rPr>
          <w:rFonts w:cs="Times New Roman"/>
          <w:szCs w:val="24"/>
        </w:rPr>
        <w:t xml:space="preserve">which </w:t>
      </w:r>
      <w:r w:rsidR="002424AD">
        <w:rPr>
          <w:rFonts w:cs="Times New Roman"/>
          <w:szCs w:val="24"/>
        </w:rPr>
        <w:t xml:space="preserve">came into effect on 1 February 2025. The 2025 Cervical Screening Standard </w:t>
      </w:r>
      <w:r w:rsidR="00D9778E">
        <w:rPr>
          <w:rFonts w:cs="Times New Roman"/>
          <w:szCs w:val="24"/>
        </w:rPr>
        <w:t>will apply to accredited pathology laboratories providing pathology services as part of the National Cervical Screening Program (</w:t>
      </w:r>
      <w:r w:rsidR="00D9778E" w:rsidRPr="00FD0D61">
        <w:rPr>
          <w:rFonts w:cs="Times New Roman"/>
          <w:b/>
          <w:bCs/>
          <w:szCs w:val="24"/>
        </w:rPr>
        <w:t>NCSP</w:t>
      </w:r>
      <w:r w:rsidR="00D9778E">
        <w:rPr>
          <w:rFonts w:cs="Times New Roman"/>
          <w:szCs w:val="24"/>
        </w:rPr>
        <w:t xml:space="preserve">) from 1 July 2025. It provides </w:t>
      </w:r>
      <w:r w:rsidR="002424AD">
        <w:rPr>
          <w:rFonts w:cs="Times New Roman"/>
          <w:szCs w:val="24"/>
        </w:rPr>
        <w:t xml:space="preserve">a </w:t>
      </w:r>
      <w:r w:rsidR="00D9778E">
        <w:rPr>
          <w:rFonts w:cs="Times New Roman"/>
          <w:szCs w:val="24"/>
        </w:rPr>
        <w:t xml:space="preserve">nationally consistent statement about the standard of care consumers can expect from pathology laboratories involved </w:t>
      </w:r>
      <w:r w:rsidR="00E50A49">
        <w:rPr>
          <w:rFonts w:cs="Times New Roman"/>
          <w:szCs w:val="24"/>
        </w:rPr>
        <w:t>in the NCSP and supports the safe delivery of quality care to patients.</w:t>
      </w:r>
      <w:r w:rsidR="00356980" w:rsidRPr="00F925ED">
        <w:rPr>
          <w:rFonts w:cs="Times New Roman"/>
          <w:szCs w:val="24"/>
        </w:rPr>
        <w:t xml:space="preserve"> </w:t>
      </w:r>
    </w:p>
    <w:p w14:paraId="67455DAC" w14:textId="2F1BC4BE" w:rsidR="00E50A49" w:rsidRDefault="00E50A49" w:rsidP="00F925ED">
      <w:pPr>
        <w:spacing w:after="240" w:line="240" w:lineRule="auto"/>
        <w:rPr>
          <w:rFonts w:cs="Times New Roman"/>
          <w:szCs w:val="24"/>
        </w:rPr>
      </w:pPr>
      <w:r>
        <w:rPr>
          <w:rFonts w:cs="Times New Roman"/>
          <w:szCs w:val="24"/>
        </w:rPr>
        <w:t xml:space="preserve">The 2025 Cervical Screening Standard has been </w:t>
      </w:r>
      <w:r w:rsidR="005D5689">
        <w:rPr>
          <w:rFonts w:cs="Times New Roman"/>
          <w:szCs w:val="24"/>
        </w:rPr>
        <w:t>revised to</w:t>
      </w:r>
      <w:r w:rsidR="002424AD">
        <w:rPr>
          <w:rFonts w:cs="Times New Roman"/>
          <w:szCs w:val="24"/>
        </w:rPr>
        <w:t>:</w:t>
      </w:r>
    </w:p>
    <w:p w14:paraId="7BBA6A30" w14:textId="73B4CB69" w:rsidR="002424AD" w:rsidRPr="0017238F" w:rsidRDefault="0017238F" w:rsidP="00F925ED">
      <w:pPr>
        <w:numPr>
          <w:ilvl w:val="0"/>
          <w:numId w:val="32"/>
        </w:numPr>
        <w:spacing w:after="0" w:line="240" w:lineRule="auto"/>
      </w:pPr>
      <w:r>
        <w:t>r</w:t>
      </w:r>
      <w:r w:rsidR="002424AD" w:rsidRPr="0017238F">
        <w:t xml:space="preserve">efine the mandatory program indicators and numerical standards at Appendix 1 of the Standard to </w:t>
      </w:r>
      <w:r w:rsidR="00DE44B4" w:rsidRPr="0017238F">
        <w:t xml:space="preserve">ensure they are accurate and unambiguous. The program indicators and numerical standards are set by the NCSP’s Clinical Advisory Group </w:t>
      </w:r>
      <w:r w:rsidR="005D5689" w:rsidRPr="0017238F">
        <w:t>(</w:t>
      </w:r>
      <w:r w:rsidR="005D5689" w:rsidRPr="00FD0D61">
        <w:rPr>
          <w:b/>
          <w:bCs/>
        </w:rPr>
        <w:t>CAG</w:t>
      </w:r>
      <w:r w:rsidR="005D5689" w:rsidRPr="0017238F">
        <w:t xml:space="preserve">) </w:t>
      </w:r>
      <w:r w:rsidR="00DE44B4" w:rsidRPr="0017238F">
        <w:t xml:space="preserve">and </w:t>
      </w:r>
      <w:r w:rsidR="002424AD" w:rsidRPr="0017238F">
        <w:t xml:space="preserve">provide a nationally consistent approach to performance measurement under the NCSP. These </w:t>
      </w:r>
      <w:r w:rsidR="00DE44B4" w:rsidRPr="0017238F">
        <w:t xml:space="preserve">requirements </w:t>
      </w:r>
      <w:r w:rsidR="002424AD" w:rsidRPr="0017238F">
        <w:t>will:</w:t>
      </w:r>
    </w:p>
    <w:p w14:paraId="3988AE2C" w14:textId="1275F44B" w:rsidR="002424AD" w:rsidRPr="000D594B" w:rsidRDefault="002424AD" w:rsidP="00F925ED">
      <w:pPr>
        <w:pStyle w:val="ListParagraph"/>
        <w:numPr>
          <w:ilvl w:val="1"/>
          <w:numId w:val="32"/>
        </w:numPr>
        <w:spacing w:after="0" w:line="240" w:lineRule="auto"/>
        <w:rPr>
          <w:szCs w:val="24"/>
        </w:rPr>
      </w:pPr>
      <w:r w:rsidRPr="000D594B">
        <w:rPr>
          <w:szCs w:val="24"/>
        </w:rPr>
        <w:t xml:space="preserve">support laboratories to monitor the implementation of the safety and quality practices prescribed in the 2025 Cervical Screening Standard and undertake quality improvement activities where required; </w:t>
      </w:r>
    </w:p>
    <w:p w14:paraId="4B8E95D7" w14:textId="77777777" w:rsidR="002424AD" w:rsidRPr="000D594B" w:rsidRDefault="002424AD" w:rsidP="00F925ED">
      <w:pPr>
        <w:pStyle w:val="ListParagraph"/>
        <w:numPr>
          <w:ilvl w:val="1"/>
          <w:numId w:val="32"/>
        </w:numPr>
        <w:spacing w:after="0" w:line="240" w:lineRule="auto"/>
        <w:rPr>
          <w:szCs w:val="24"/>
        </w:rPr>
      </w:pPr>
      <w:r w:rsidRPr="000D594B">
        <w:rPr>
          <w:szCs w:val="24"/>
        </w:rPr>
        <w:t>enable NATA to revoke a laboratory’s accreditation where it does not meet relevant standards; and</w:t>
      </w:r>
    </w:p>
    <w:p w14:paraId="38173A5D" w14:textId="77777777" w:rsidR="002424AD" w:rsidRPr="0017238F" w:rsidRDefault="002424AD" w:rsidP="00F925ED">
      <w:pPr>
        <w:pStyle w:val="ListParagraph"/>
        <w:numPr>
          <w:ilvl w:val="1"/>
          <w:numId w:val="32"/>
        </w:numPr>
        <w:spacing w:after="0" w:line="240" w:lineRule="auto"/>
      </w:pPr>
      <w:r w:rsidRPr="000D594B">
        <w:rPr>
          <w:szCs w:val="24"/>
        </w:rPr>
        <w:t>maintain clinical and participant confidence in the effectiveness of the NCSP</w:t>
      </w:r>
      <w:r w:rsidRPr="0017238F">
        <w:t xml:space="preserve">. </w:t>
      </w:r>
    </w:p>
    <w:p w14:paraId="36753860" w14:textId="0210C96A" w:rsidR="00573FB6" w:rsidRPr="0017238F" w:rsidRDefault="0017238F" w:rsidP="00F925ED">
      <w:pPr>
        <w:pStyle w:val="ListParagraph"/>
        <w:numPr>
          <w:ilvl w:val="0"/>
          <w:numId w:val="32"/>
        </w:numPr>
        <w:spacing w:after="0" w:line="240" w:lineRule="auto"/>
      </w:pPr>
      <w:r>
        <w:lastRenderedPageBreak/>
        <w:t>r</w:t>
      </w:r>
      <w:r w:rsidR="008607B8" w:rsidRPr="0017238F">
        <w:t xml:space="preserve">emove the transitional </w:t>
      </w:r>
      <w:r w:rsidR="00573FB6" w:rsidRPr="0017238F">
        <w:t>a</w:t>
      </w:r>
      <w:r w:rsidR="008607B8" w:rsidRPr="0017238F">
        <w:t xml:space="preserve">rrangements </w:t>
      </w:r>
      <w:r w:rsidR="000D594B">
        <w:t>which</w:t>
      </w:r>
      <w:r w:rsidR="008607B8" w:rsidRPr="0017238F">
        <w:t xml:space="preserve"> </w:t>
      </w:r>
      <w:r w:rsidR="00573FB6" w:rsidRPr="0017238F">
        <w:t xml:space="preserve">permitted </w:t>
      </w:r>
      <w:r w:rsidR="008607B8" w:rsidRPr="0017238F">
        <w:t xml:space="preserve">laboratories to report program indicator data in accordance with the requirements of the 2024 Cervical Screening Standard or the </w:t>
      </w:r>
      <w:r w:rsidR="00573FB6" w:rsidRPr="0017238F">
        <w:t>previous standards</w:t>
      </w:r>
      <w:r w:rsidR="007C1485">
        <w:rPr>
          <w:rStyle w:val="FootnoteReference"/>
        </w:rPr>
        <w:footnoteReference w:id="1"/>
      </w:r>
      <w:r w:rsidR="00573FB6" w:rsidRPr="0017238F">
        <w:t xml:space="preserve"> from 1 February 2025 until 30 June 2025.</w:t>
      </w:r>
      <w:r w:rsidR="005D5689" w:rsidRPr="0017238F">
        <w:t xml:space="preserve"> Reporting in accordance with the requirements of the 202</w:t>
      </w:r>
      <w:r w:rsidR="00D1396A">
        <w:t>5</w:t>
      </w:r>
      <w:r w:rsidR="005D5689" w:rsidRPr="0017238F">
        <w:t xml:space="preserve"> Cervical Screening Standard will be mandatory from 1 July 2025. </w:t>
      </w:r>
    </w:p>
    <w:p w14:paraId="1BB34EA2" w14:textId="249B1FC6" w:rsidR="005D5689" w:rsidRPr="0017238F" w:rsidRDefault="0017238F" w:rsidP="00B22A30">
      <w:pPr>
        <w:pStyle w:val="ListParagraph"/>
        <w:numPr>
          <w:ilvl w:val="0"/>
          <w:numId w:val="32"/>
        </w:numPr>
        <w:spacing w:after="240" w:line="240" w:lineRule="auto"/>
        <w:ind w:left="714" w:hanging="357"/>
      </w:pPr>
      <w:r>
        <w:t>u</w:t>
      </w:r>
      <w:r w:rsidR="00573FB6" w:rsidRPr="0017238F">
        <w:t>pdate action “7.03 Reporting to the National Cancer Screening Register</w:t>
      </w:r>
      <w:r>
        <w:t>”</w:t>
      </w:r>
      <w:r w:rsidR="00573FB6" w:rsidRPr="0017238F">
        <w:t xml:space="preserve"> to require laboratories to comply with the “Summary Guide for Pathology Laboratories reporting to the National Cervical Screening Register (</w:t>
      </w:r>
      <w:r w:rsidR="00573FB6" w:rsidRPr="00FD0D61">
        <w:rPr>
          <w:b/>
          <w:bCs/>
        </w:rPr>
        <w:t>NCSR</w:t>
      </w:r>
      <w:r w:rsidR="00573FB6" w:rsidRPr="0017238F">
        <w:t>) for the National Cervical Screening Program, Version 1.0.”</w:t>
      </w:r>
      <w:r w:rsidR="005D5689" w:rsidRPr="0017238F">
        <w:t xml:space="preserve"> This document is published on the NCSR website and can be accessed readily and free of charge at: </w:t>
      </w:r>
    </w:p>
    <w:p w14:paraId="5B25EC32" w14:textId="2C9ADDDD" w:rsidR="00573FB6" w:rsidRDefault="00CB76C6" w:rsidP="00F925ED">
      <w:pPr>
        <w:spacing w:after="240" w:line="240" w:lineRule="auto"/>
        <w:ind w:left="720"/>
      </w:pPr>
      <w:r w:rsidRPr="002A5EB8">
        <w:rPr>
          <w:u w:val="single"/>
        </w:rPr>
        <w:t>https://www.ncsr.gov.au/content/dam/ncsr/documents/NCSR-Summary-Guide-Pathology-Reporting-Requirements.pdf</w:t>
      </w:r>
      <w:r w:rsidR="00DC2611" w:rsidRPr="0017238F">
        <w:t>.</w:t>
      </w:r>
    </w:p>
    <w:p w14:paraId="422BBE20" w14:textId="1FFBED20" w:rsidR="00833134" w:rsidRDefault="00833134" w:rsidP="000C2239">
      <w:pPr>
        <w:keepNext/>
        <w:spacing w:after="240" w:line="240" w:lineRule="auto"/>
        <w:rPr>
          <w:rFonts w:cs="Times New Roman"/>
          <w:b/>
          <w:bCs/>
          <w:i/>
          <w:iCs/>
          <w:szCs w:val="24"/>
        </w:rPr>
      </w:pPr>
      <w:r w:rsidRPr="00124E6C">
        <w:rPr>
          <w:rFonts w:cs="Times New Roman"/>
          <w:b/>
          <w:bCs/>
          <w:i/>
          <w:iCs/>
          <w:szCs w:val="24"/>
        </w:rPr>
        <w:t>Requirements for supervision in the clinical governance of medical pathology laboratories (Eight Edition 2025)</w:t>
      </w:r>
    </w:p>
    <w:p w14:paraId="3BE43D4D" w14:textId="3BFEFDBE" w:rsidR="00F11841" w:rsidRDefault="00C076BE" w:rsidP="00B22A30">
      <w:pPr>
        <w:keepNext/>
        <w:spacing w:after="240" w:line="240" w:lineRule="auto"/>
        <w:rPr>
          <w:rFonts w:cs="Times New Roman"/>
          <w:szCs w:val="24"/>
        </w:rPr>
      </w:pPr>
      <w:r w:rsidRPr="00B00489">
        <w:rPr>
          <w:rFonts w:cs="Times New Roman"/>
          <w:szCs w:val="24"/>
        </w:rPr>
        <w:t xml:space="preserve">The </w:t>
      </w:r>
      <w:r w:rsidR="000714B7" w:rsidRPr="00B00489">
        <w:rPr>
          <w:rFonts w:cs="Times New Roman"/>
          <w:szCs w:val="24"/>
        </w:rPr>
        <w:t xml:space="preserve">2025 Supervision Standard </w:t>
      </w:r>
      <w:r w:rsidR="00233810">
        <w:rPr>
          <w:rFonts w:cs="Times New Roman"/>
          <w:szCs w:val="24"/>
        </w:rPr>
        <w:t xml:space="preserve">continues to require a </w:t>
      </w:r>
      <w:r w:rsidRPr="00B00489">
        <w:rPr>
          <w:rFonts w:cs="Times New Roman"/>
          <w:szCs w:val="24"/>
        </w:rPr>
        <w:t xml:space="preserve">governance system </w:t>
      </w:r>
      <w:r w:rsidR="00233810">
        <w:rPr>
          <w:rFonts w:cs="Times New Roman"/>
          <w:szCs w:val="24"/>
        </w:rPr>
        <w:t xml:space="preserve">where the </w:t>
      </w:r>
      <w:r w:rsidR="00697133" w:rsidRPr="00B00489">
        <w:rPr>
          <w:rFonts w:cs="Times New Roman"/>
          <w:szCs w:val="24"/>
        </w:rPr>
        <w:t>d</w:t>
      </w:r>
      <w:r w:rsidRPr="00B00489">
        <w:rPr>
          <w:rFonts w:cs="Times New Roman"/>
          <w:szCs w:val="24"/>
        </w:rPr>
        <w:t xml:space="preserve">esignated </w:t>
      </w:r>
      <w:r w:rsidR="00697133" w:rsidRPr="00B00489">
        <w:rPr>
          <w:rFonts w:cs="Times New Roman"/>
          <w:szCs w:val="24"/>
        </w:rPr>
        <w:t>p</w:t>
      </w:r>
      <w:r w:rsidRPr="00B00489">
        <w:rPr>
          <w:rFonts w:cs="Times New Roman"/>
          <w:szCs w:val="24"/>
        </w:rPr>
        <w:t>erson</w:t>
      </w:r>
      <w:r w:rsidRPr="00B00489">
        <w:rPr>
          <w:rFonts w:cs="Times New Roman"/>
          <w:i/>
          <w:iCs/>
          <w:szCs w:val="24"/>
        </w:rPr>
        <w:t xml:space="preserve"> </w:t>
      </w:r>
      <w:r w:rsidR="001C07C6" w:rsidRPr="009124FD">
        <w:rPr>
          <w:rFonts w:cs="Times New Roman"/>
          <w:szCs w:val="24"/>
        </w:rPr>
        <w:t>for an accredited pathology laboratory</w:t>
      </w:r>
      <w:r w:rsidR="001C07C6" w:rsidRPr="00B00489">
        <w:rPr>
          <w:rFonts w:cs="Times New Roman"/>
          <w:i/>
          <w:iCs/>
          <w:szCs w:val="24"/>
        </w:rPr>
        <w:t xml:space="preserve"> </w:t>
      </w:r>
      <w:r w:rsidRPr="00B00489">
        <w:rPr>
          <w:rFonts w:cs="Times New Roman"/>
          <w:szCs w:val="24"/>
        </w:rPr>
        <w:t xml:space="preserve">is accountable for the provision of accurate and timely </w:t>
      </w:r>
      <w:r w:rsidR="00233810">
        <w:rPr>
          <w:rFonts w:cs="Times New Roman"/>
          <w:szCs w:val="24"/>
        </w:rPr>
        <w:t>test results.</w:t>
      </w:r>
      <w:r w:rsidRPr="00B00489">
        <w:rPr>
          <w:rFonts w:cs="Times New Roman"/>
          <w:szCs w:val="24"/>
        </w:rPr>
        <w:t xml:space="preserve"> </w:t>
      </w:r>
      <w:r w:rsidR="00CF30D1" w:rsidRPr="00B00489">
        <w:rPr>
          <w:rFonts w:cs="Times New Roman"/>
          <w:szCs w:val="24"/>
        </w:rPr>
        <w:t xml:space="preserve">A </w:t>
      </w:r>
      <w:r w:rsidR="00697133" w:rsidRPr="00B00489">
        <w:rPr>
          <w:rFonts w:cs="Times New Roman"/>
          <w:szCs w:val="24"/>
        </w:rPr>
        <w:t>designated person is</w:t>
      </w:r>
      <w:r w:rsidR="00F11841">
        <w:rPr>
          <w:rFonts w:cs="Times New Roman"/>
          <w:szCs w:val="24"/>
        </w:rPr>
        <w:t xml:space="preserve"> </w:t>
      </w:r>
      <w:r w:rsidR="00697133" w:rsidRPr="00B00489">
        <w:rPr>
          <w:rFonts w:cs="Times New Roman"/>
          <w:szCs w:val="24"/>
        </w:rPr>
        <w:t>a registered medical practitioner with appropriate qualifications, competence and relevant scope of practice</w:t>
      </w:r>
      <w:r w:rsidR="00F11841">
        <w:rPr>
          <w:rFonts w:cs="Times New Roman"/>
          <w:szCs w:val="24"/>
        </w:rPr>
        <w:t>,</w:t>
      </w:r>
      <w:r w:rsidR="00697133" w:rsidRPr="00B00489">
        <w:rPr>
          <w:rFonts w:cs="Times New Roman"/>
          <w:szCs w:val="24"/>
        </w:rPr>
        <w:t xml:space="preserve"> who </w:t>
      </w:r>
      <w:r w:rsidR="00F11841">
        <w:rPr>
          <w:rFonts w:cs="Times New Roman"/>
          <w:szCs w:val="24"/>
        </w:rPr>
        <w:t xml:space="preserve">is </w:t>
      </w:r>
      <w:r w:rsidR="00F11841" w:rsidRPr="00B00489">
        <w:rPr>
          <w:rFonts w:cs="Times New Roman"/>
          <w:szCs w:val="24"/>
        </w:rPr>
        <w:t>responsible</w:t>
      </w:r>
      <w:r w:rsidR="00697133" w:rsidRPr="00B00489">
        <w:rPr>
          <w:rFonts w:cs="Times New Roman"/>
          <w:szCs w:val="24"/>
        </w:rPr>
        <w:t xml:space="preserve"> for the</w:t>
      </w:r>
      <w:r w:rsidR="00F11841">
        <w:rPr>
          <w:rFonts w:cs="Times New Roman"/>
          <w:szCs w:val="24"/>
        </w:rPr>
        <w:t>:</w:t>
      </w:r>
    </w:p>
    <w:p w14:paraId="6BE6B08D" w14:textId="77777777" w:rsidR="00F11841" w:rsidRPr="0017238F" w:rsidRDefault="00697133" w:rsidP="00B22A30">
      <w:pPr>
        <w:pStyle w:val="ListParagraph"/>
        <w:numPr>
          <w:ilvl w:val="0"/>
          <w:numId w:val="32"/>
        </w:numPr>
        <w:spacing w:after="240" w:line="240" w:lineRule="auto"/>
      </w:pPr>
      <w:r w:rsidRPr="0017238F">
        <w:t xml:space="preserve">clinical governance of </w:t>
      </w:r>
      <w:r w:rsidR="002F2679" w:rsidRPr="0017238F">
        <w:t>an accredited pathology laboratory</w:t>
      </w:r>
      <w:r w:rsidR="00F11841" w:rsidRPr="0017238F">
        <w:t>; and</w:t>
      </w:r>
    </w:p>
    <w:p w14:paraId="3355699A" w14:textId="36D10B56" w:rsidR="001C07C6" w:rsidRPr="0017238F" w:rsidRDefault="00697133" w:rsidP="00B22A30">
      <w:pPr>
        <w:pStyle w:val="ListParagraph"/>
        <w:numPr>
          <w:ilvl w:val="0"/>
          <w:numId w:val="32"/>
        </w:numPr>
        <w:spacing w:after="240" w:line="240" w:lineRule="auto"/>
        <w:ind w:left="714" w:hanging="357"/>
      </w:pPr>
      <w:r w:rsidRPr="0017238F">
        <w:t xml:space="preserve">oversight and management of staff and processes to ensure ethical patient care and the provision of accurate and timely test results. </w:t>
      </w:r>
    </w:p>
    <w:p w14:paraId="32BAED17" w14:textId="211A7E26" w:rsidR="00C076BE" w:rsidRDefault="00F11841" w:rsidP="00B22A30">
      <w:pPr>
        <w:keepNext/>
        <w:spacing w:after="240" w:line="240" w:lineRule="auto"/>
        <w:rPr>
          <w:rFonts w:cs="Times New Roman"/>
          <w:szCs w:val="24"/>
        </w:rPr>
      </w:pPr>
      <w:r>
        <w:rPr>
          <w:rFonts w:cs="Times New Roman"/>
          <w:szCs w:val="24"/>
        </w:rPr>
        <w:t xml:space="preserve">This governance system must be </w:t>
      </w:r>
      <w:r w:rsidR="001C07C6" w:rsidRPr="001C07C6">
        <w:rPr>
          <w:rFonts w:cs="Times New Roman"/>
          <w:szCs w:val="24"/>
        </w:rPr>
        <w:t xml:space="preserve">clearly documented and understood </w:t>
      </w:r>
      <w:r w:rsidR="00CF30D1">
        <w:rPr>
          <w:rFonts w:cs="Times New Roman"/>
          <w:szCs w:val="24"/>
        </w:rPr>
        <w:t xml:space="preserve">to ensure </w:t>
      </w:r>
      <w:r w:rsidR="001C07C6" w:rsidRPr="001C07C6">
        <w:rPr>
          <w:rFonts w:cs="Times New Roman"/>
          <w:szCs w:val="24"/>
        </w:rPr>
        <w:t>that all testing is supervised by persons who are appropriately qualified, competent</w:t>
      </w:r>
      <w:r>
        <w:rPr>
          <w:rFonts w:cs="Times New Roman"/>
          <w:szCs w:val="24"/>
        </w:rPr>
        <w:t xml:space="preserve">, </w:t>
      </w:r>
      <w:r w:rsidR="001C07C6" w:rsidRPr="001C07C6">
        <w:rPr>
          <w:rFonts w:cs="Times New Roman"/>
          <w:szCs w:val="24"/>
        </w:rPr>
        <w:t xml:space="preserve">operating within their </w:t>
      </w:r>
      <w:r w:rsidR="001C07C6">
        <w:rPr>
          <w:rFonts w:cs="Times New Roman"/>
          <w:szCs w:val="24"/>
        </w:rPr>
        <w:t>s</w:t>
      </w:r>
      <w:r w:rsidR="001C07C6" w:rsidRPr="001C07C6">
        <w:rPr>
          <w:rFonts w:cs="Times New Roman"/>
          <w:szCs w:val="24"/>
        </w:rPr>
        <w:t xml:space="preserve">cope of </w:t>
      </w:r>
      <w:r w:rsidR="001C07C6">
        <w:rPr>
          <w:rFonts w:cs="Times New Roman"/>
          <w:szCs w:val="24"/>
        </w:rPr>
        <w:t>p</w:t>
      </w:r>
      <w:r w:rsidR="001C07C6" w:rsidRPr="001C07C6">
        <w:rPr>
          <w:rFonts w:cs="Times New Roman"/>
          <w:szCs w:val="24"/>
        </w:rPr>
        <w:t>ractice and accountable for the</w:t>
      </w:r>
      <w:r>
        <w:rPr>
          <w:rFonts w:cs="Times New Roman"/>
          <w:szCs w:val="24"/>
        </w:rPr>
        <w:t xml:space="preserve">ir actions as the designated person. </w:t>
      </w:r>
      <w:r w:rsidR="000714B7">
        <w:rPr>
          <w:rFonts w:cs="Times New Roman"/>
          <w:szCs w:val="24"/>
        </w:rPr>
        <w:t>Th</w:t>
      </w:r>
      <w:r w:rsidR="001C07C6">
        <w:rPr>
          <w:rFonts w:cs="Times New Roman"/>
          <w:szCs w:val="24"/>
        </w:rPr>
        <w:t>ese arrangements minimise potential r</w:t>
      </w:r>
      <w:r w:rsidR="00C076BE" w:rsidRPr="00C076BE">
        <w:rPr>
          <w:rFonts w:cs="Times New Roman"/>
          <w:szCs w:val="24"/>
        </w:rPr>
        <w:t>isks to patient safety and improve patient health outcomes.</w:t>
      </w:r>
      <w:r w:rsidR="00697133">
        <w:rPr>
          <w:rFonts w:cs="Times New Roman"/>
          <w:szCs w:val="24"/>
        </w:rPr>
        <w:t xml:space="preserve"> </w:t>
      </w:r>
    </w:p>
    <w:p w14:paraId="771E5E2A" w14:textId="47D20E22" w:rsidR="00B00489" w:rsidRDefault="00B00489" w:rsidP="00B22A30">
      <w:pPr>
        <w:keepNext/>
        <w:spacing w:after="240" w:line="240" w:lineRule="auto"/>
        <w:rPr>
          <w:rFonts w:cs="Times New Roman"/>
          <w:szCs w:val="24"/>
        </w:rPr>
      </w:pPr>
      <w:r w:rsidRPr="000E661D">
        <w:rPr>
          <w:rFonts w:cs="Times New Roman"/>
          <w:szCs w:val="24"/>
        </w:rPr>
        <w:t xml:space="preserve">The </w:t>
      </w:r>
      <w:r>
        <w:rPr>
          <w:rFonts w:cs="Times New Roman"/>
          <w:szCs w:val="24"/>
        </w:rPr>
        <w:t xml:space="preserve">2025 Supervision Standard </w:t>
      </w:r>
      <w:r w:rsidR="00766454">
        <w:rPr>
          <w:rFonts w:cs="Times New Roman"/>
          <w:szCs w:val="24"/>
        </w:rPr>
        <w:t xml:space="preserve">replaces </w:t>
      </w:r>
      <w:r>
        <w:rPr>
          <w:rFonts w:cs="Times New Roman"/>
          <w:szCs w:val="24"/>
        </w:rPr>
        <w:t xml:space="preserve">the </w:t>
      </w:r>
      <w:r w:rsidR="00766454" w:rsidRPr="00AD67EB">
        <w:rPr>
          <w:i/>
          <w:iCs/>
          <w:szCs w:val="24"/>
          <w:shd w:val="clear" w:color="auto" w:fill="FFFFFF"/>
        </w:rPr>
        <w:t>Requirements for supervision in the clinical governance of medical pathology laboratories (</w:t>
      </w:r>
      <w:r w:rsidR="00766454">
        <w:rPr>
          <w:i/>
          <w:iCs/>
          <w:szCs w:val="24"/>
          <w:shd w:val="clear" w:color="auto" w:fill="FFFFFF"/>
        </w:rPr>
        <w:t>Seventh</w:t>
      </w:r>
      <w:r w:rsidR="00766454" w:rsidRPr="00AD67EB">
        <w:rPr>
          <w:i/>
          <w:iCs/>
          <w:szCs w:val="24"/>
          <w:shd w:val="clear" w:color="auto" w:fill="FFFFFF"/>
        </w:rPr>
        <w:t xml:space="preserve"> Edition 202</w:t>
      </w:r>
      <w:r w:rsidR="00766454">
        <w:rPr>
          <w:i/>
          <w:iCs/>
          <w:szCs w:val="24"/>
          <w:shd w:val="clear" w:color="auto" w:fill="FFFFFF"/>
        </w:rPr>
        <w:t>3</w:t>
      </w:r>
      <w:r w:rsidR="00766454" w:rsidRPr="00AD67EB">
        <w:rPr>
          <w:i/>
          <w:iCs/>
          <w:szCs w:val="24"/>
          <w:shd w:val="clear" w:color="auto" w:fill="FFFFFF"/>
        </w:rPr>
        <w:t>)</w:t>
      </w:r>
      <w:r w:rsidR="00766454" w:rsidRPr="00AB617F">
        <w:rPr>
          <w:szCs w:val="24"/>
          <w:shd w:val="clear" w:color="auto" w:fill="FFFFFF"/>
        </w:rPr>
        <w:t xml:space="preserve"> </w:t>
      </w:r>
      <w:r w:rsidR="00766454">
        <w:rPr>
          <w:szCs w:val="24"/>
          <w:shd w:val="clear" w:color="auto" w:fill="FFFFFF"/>
        </w:rPr>
        <w:t>(</w:t>
      </w:r>
      <w:r w:rsidRPr="00766454">
        <w:rPr>
          <w:rFonts w:cs="Times New Roman"/>
          <w:b/>
          <w:bCs/>
          <w:szCs w:val="24"/>
        </w:rPr>
        <w:t>2023 Supervision Standard</w:t>
      </w:r>
      <w:r w:rsidR="00766454">
        <w:rPr>
          <w:rFonts w:cs="Times New Roman"/>
          <w:szCs w:val="24"/>
        </w:rPr>
        <w:t>)</w:t>
      </w:r>
      <w:r w:rsidR="00FD0D61">
        <w:rPr>
          <w:rFonts w:cs="Times New Roman"/>
          <w:szCs w:val="24"/>
        </w:rPr>
        <w:t>,</w:t>
      </w:r>
      <w:r>
        <w:rPr>
          <w:rFonts w:cs="Times New Roman"/>
          <w:szCs w:val="24"/>
        </w:rPr>
        <w:t xml:space="preserve"> which came into effect on 1 August 2023</w:t>
      </w:r>
      <w:r w:rsidR="00C92290">
        <w:rPr>
          <w:rFonts w:cs="Times New Roman"/>
          <w:szCs w:val="24"/>
        </w:rPr>
        <w:t xml:space="preserve">. </w:t>
      </w:r>
      <w:r w:rsidR="00F925ED">
        <w:rPr>
          <w:rFonts w:cs="Times New Roman"/>
          <w:szCs w:val="24"/>
        </w:rPr>
        <w:t xml:space="preserve">It will </w:t>
      </w:r>
      <w:r w:rsidR="00C92290">
        <w:rPr>
          <w:rFonts w:cs="Times New Roman"/>
          <w:szCs w:val="24"/>
        </w:rPr>
        <w:t xml:space="preserve">come into effect on 1 July 2025 and </w:t>
      </w:r>
      <w:r w:rsidR="00E131D5">
        <w:rPr>
          <w:rFonts w:cs="Times New Roman"/>
          <w:szCs w:val="24"/>
        </w:rPr>
        <w:t>includes amendments to</w:t>
      </w:r>
      <w:r>
        <w:rPr>
          <w:rFonts w:cs="Times New Roman"/>
          <w:szCs w:val="24"/>
        </w:rPr>
        <w:t>:</w:t>
      </w:r>
    </w:p>
    <w:p w14:paraId="630F6878" w14:textId="4E399CD6" w:rsidR="00B00489" w:rsidRDefault="00B00489" w:rsidP="00B22A30">
      <w:pPr>
        <w:pStyle w:val="ListParagraph"/>
        <w:numPr>
          <w:ilvl w:val="0"/>
          <w:numId w:val="32"/>
        </w:numPr>
        <w:spacing w:after="240" w:line="240" w:lineRule="auto"/>
      </w:pPr>
      <w:r w:rsidRPr="0017238F">
        <w:t xml:space="preserve">extend the temporary workforce management provisions </w:t>
      </w:r>
      <w:r w:rsidR="00EB35C8" w:rsidRPr="0017238F">
        <w:t>to provide laboratories with alternative pathways for demonstrating compliance with the 2025 Supervision Standard, in response to ongoing national workforce shortages in the pathology disciplines of genomics (including cytogenteics and biochemical genetic</w:t>
      </w:r>
      <w:r w:rsidR="000A796D">
        <w:t>s</w:t>
      </w:r>
      <w:r w:rsidR="00EB35C8" w:rsidRPr="0017238F">
        <w:t xml:space="preserve">), immunology and chemical pathology, while ensuring patient safety and continued access to quality pathology services. In contrast to </w:t>
      </w:r>
      <w:r w:rsidR="00D73A78" w:rsidRPr="0017238F">
        <w:t xml:space="preserve">the </w:t>
      </w:r>
      <w:r w:rsidR="00EB35C8" w:rsidRPr="00900B8C">
        <w:rPr>
          <w:i/>
          <w:iCs/>
        </w:rPr>
        <w:t>Requirements for supervision in the clinical governance of medical pathology laboratories (Sixth Edition, 2021)</w:t>
      </w:r>
      <w:r w:rsidR="00EB35C8" w:rsidRPr="0017238F">
        <w:t xml:space="preserve"> and the 2023 Supervision Standard, the</w:t>
      </w:r>
      <w:r w:rsidR="00D73A78" w:rsidRPr="0017238F">
        <w:t>se</w:t>
      </w:r>
      <w:r w:rsidR="00EB35C8" w:rsidRPr="0017238F">
        <w:t xml:space="preserve"> transitional workforce provisions will remain in </w:t>
      </w:r>
      <w:r w:rsidR="00EB35C8" w:rsidRPr="0017238F">
        <w:lastRenderedPageBreak/>
        <w:t>effect until the 2025 Supervision Standard is repealed</w:t>
      </w:r>
      <w:r w:rsidR="000A796D">
        <w:t xml:space="preserve"> rather than being time limited</w:t>
      </w:r>
      <w:r w:rsidR="00C92290" w:rsidRPr="0017238F">
        <w:t>; and</w:t>
      </w:r>
    </w:p>
    <w:p w14:paraId="44C5D057" w14:textId="5A40B1C2" w:rsidR="00521C8B" w:rsidRDefault="00C92290" w:rsidP="00B22A30">
      <w:pPr>
        <w:pStyle w:val="ListParagraph"/>
        <w:numPr>
          <w:ilvl w:val="0"/>
          <w:numId w:val="32"/>
        </w:numPr>
        <w:spacing w:after="240" w:line="240" w:lineRule="auto"/>
      </w:pPr>
      <w:r w:rsidRPr="0017238F">
        <w:t>e</w:t>
      </w:r>
      <w:r w:rsidR="00D73A78" w:rsidRPr="0017238F">
        <w:t xml:space="preserve">nable </w:t>
      </w:r>
      <w:r w:rsidR="009124FD" w:rsidRPr="0017238F">
        <w:t>accredited pathology laboratories existing at the date of effect of the 2025 Supervision</w:t>
      </w:r>
      <w:r w:rsidR="004C166D">
        <w:t xml:space="preserve"> Standard</w:t>
      </w:r>
      <w:r w:rsidR="009124FD" w:rsidRPr="0017238F">
        <w:t xml:space="preserve"> to access the temporary workforce management provisions. This will permit </w:t>
      </w:r>
      <w:r w:rsidR="00B00489" w:rsidRPr="0017238F">
        <w:t xml:space="preserve">four additional Category GX laboratories </w:t>
      </w:r>
      <w:r w:rsidR="00E131D5" w:rsidRPr="0017238F">
        <w:t>to access th</w:t>
      </w:r>
      <w:r w:rsidR="009124FD" w:rsidRPr="0017238F">
        <w:t>o</w:t>
      </w:r>
      <w:r w:rsidR="00E131D5" w:rsidRPr="0017238F">
        <w:t xml:space="preserve">se </w:t>
      </w:r>
      <w:r w:rsidR="00B00489" w:rsidRPr="0017238F">
        <w:t>provision</w:t>
      </w:r>
      <w:r w:rsidR="00E131D5" w:rsidRPr="0017238F">
        <w:t>s</w:t>
      </w:r>
      <w:r w:rsidR="009124FD" w:rsidRPr="0017238F">
        <w:t xml:space="preserve">. </w:t>
      </w:r>
    </w:p>
    <w:p w14:paraId="3FF01391" w14:textId="7FEA35E7" w:rsidR="007F57DC" w:rsidRPr="00B82ECA" w:rsidRDefault="007F57DC" w:rsidP="00B22A30">
      <w:pPr>
        <w:spacing w:after="240" w:line="240" w:lineRule="auto"/>
      </w:pPr>
      <w:r w:rsidRPr="00B82ECA">
        <w:t xml:space="preserve">Any subsequent changes </w:t>
      </w:r>
      <w:r w:rsidR="00521C8B">
        <w:t xml:space="preserve">to </w:t>
      </w:r>
      <w:r w:rsidRPr="00B82ECA">
        <w:t xml:space="preserve">or replacement </w:t>
      </w:r>
      <w:r w:rsidR="00521C8B">
        <w:t>of the 2025 Cervical Screening Standard or the 2025 Supervision Standard</w:t>
      </w:r>
      <w:r w:rsidRPr="00B82ECA">
        <w:t xml:space="preserve"> will not apply unless further amendments are made to the </w:t>
      </w:r>
      <w:r w:rsidR="00261DB7">
        <w:t>Approval Principles</w:t>
      </w:r>
      <w:r w:rsidRPr="00B82ECA">
        <w:t>.</w:t>
      </w:r>
      <w:r w:rsidR="00521C8B">
        <w:t xml:space="preserve"> </w:t>
      </w:r>
    </w:p>
    <w:p w14:paraId="2A66E98B" w14:textId="166D6482" w:rsidR="008303B1" w:rsidRDefault="00521C8B" w:rsidP="00B22A30">
      <w:pPr>
        <w:keepNext/>
        <w:spacing w:after="240" w:line="240" w:lineRule="auto"/>
      </w:pPr>
      <w:r>
        <w:t>C</w:t>
      </w:r>
      <w:r w:rsidR="007F57DC" w:rsidRPr="00B82ECA">
        <w:t>op</w:t>
      </w:r>
      <w:r>
        <w:t>ies</w:t>
      </w:r>
      <w:r w:rsidR="007F57DC" w:rsidRPr="00B82ECA">
        <w:t xml:space="preserve"> of the pathology accreditation material</w:t>
      </w:r>
      <w:r>
        <w:t>s</w:t>
      </w:r>
      <w:r w:rsidR="007F57DC" w:rsidRPr="00B82ECA">
        <w:t xml:space="preserve"> listed in the Schedule to the Principles </w:t>
      </w:r>
      <w:r>
        <w:t xml:space="preserve">are </w:t>
      </w:r>
      <w:r w:rsidR="007F57DC" w:rsidRPr="00B82ECA">
        <w:t xml:space="preserve"> published on the Commission’s website and can be accessed readily and free of charge</w:t>
      </w:r>
      <w:r w:rsidR="008303B1">
        <w:t xml:space="preserve"> at</w:t>
      </w:r>
      <w:r w:rsidR="008303B1">
        <w:rPr>
          <w:rFonts w:cs="Times New Roman"/>
          <w:szCs w:val="24"/>
        </w:rPr>
        <w:t>:</w:t>
      </w:r>
    </w:p>
    <w:p w14:paraId="7195A2FC" w14:textId="4C3E227A" w:rsidR="008303B1" w:rsidRDefault="00CB76C6" w:rsidP="00B22A30">
      <w:pPr>
        <w:keepNext/>
        <w:spacing w:after="240" w:line="240" w:lineRule="auto"/>
        <w:rPr>
          <w:rFonts w:cs="Times New Roman"/>
          <w:szCs w:val="24"/>
        </w:rPr>
      </w:pPr>
      <w:r w:rsidRPr="002A5EB8">
        <w:rPr>
          <w:rFonts w:cs="Times New Roman"/>
          <w:szCs w:val="24"/>
          <w:u w:val="single"/>
        </w:rPr>
        <w:t>https://www.safetyandquality.gov.au/our-work/accreditation/pathology-accreditation-standards#national-pathology-accreditation-standards</w:t>
      </w:r>
      <w:r w:rsidR="008303B1">
        <w:rPr>
          <w:rFonts w:cs="Times New Roman"/>
          <w:szCs w:val="24"/>
        </w:rPr>
        <w:t>.</w:t>
      </w:r>
    </w:p>
    <w:p w14:paraId="21DB2E5E" w14:textId="2F7A9B6F" w:rsidR="00C56FD6" w:rsidRPr="00B82ECA" w:rsidRDefault="00C56FD6" w:rsidP="00B22A30">
      <w:pPr>
        <w:keepNext/>
        <w:spacing w:after="240" w:line="240" w:lineRule="auto"/>
        <w:rPr>
          <w:rFonts w:cs="Times New Roman"/>
          <w:b/>
          <w:bCs/>
          <w:szCs w:val="24"/>
        </w:rPr>
      </w:pPr>
      <w:r w:rsidRPr="00B82ECA">
        <w:rPr>
          <w:rFonts w:cs="Times New Roman"/>
          <w:b/>
          <w:bCs/>
          <w:szCs w:val="24"/>
        </w:rPr>
        <w:t>Consultation</w:t>
      </w:r>
    </w:p>
    <w:p w14:paraId="02802F6C" w14:textId="3924985E" w:rsidR="002F6FBD" w:rsidRDefault="00E654EC" w:rsidP="000C2239">
      <w:pPr>
        <w:keepNext/>
        <w:spacing w:after="240" w:line="240" w:lineRule="auto"/>
        <w:rPr>
          <w:rFonts w:cs="Times New Roman"/>
          <w:szCs w:val="24"/>
        </w:rPr>
      </w:pPr>
      <w:r>
        <w:rPr>
          <w:rFonts w:cs="Times New Roman"/>
          <w:szCs w:val="24"/>
        </w:rPr>
        <w:t xml:space="preserve">NPAAC endorsed the </w:t>
      </w:r>
      <w:r w:rsidR="008303B1">
        <w:rPr>
          <w:rFonts w:cs="Times New Roman"/>
          <w:szCs w:val="24"/>
        </w:rPr>
        <w:t xml:space="preserve">2025 Cervical Screening Standard </w:t>
      </w:r>
      <w:r>
        <w:rPr>
          <w:rFonts w:cs="Times New Roman"/>
          <w:szCs w:val="24"/>
        </w:rPr>
        <w:t xml:space="preserve">on </w:t>
      </w:r>
      <w:r w:rsidR="002F6FBD">
        <w:rPr>
          <w:rFonts w:cs="Times New Roman"/>
          <w:szCs w:val="24"/>
        </w:rPr>
        <w:t xml:space="preserve">2 June 2025 </w:t>
      </w:r>
      <w:r>
        <w:rPr>
          <w:rFonts w:cs="Times New Roman"/>
          <w:szCs w:val="24"/>
        </w:rPr>
        <w:t xml:space="preserve">and the </w:t>
      </w:r>
      <w:r w:rsidR="00BD590D">
        <w:rPr>
          <w:rFonts w:cs="Times New Roman"/>
          <w:szCs w:val="24"/>
        </w:rPr>
        <w:br/>
      </w:r>
      <w:r>
        <w:rPr>
          <w:rFonts w:cs="Times New Roman"/>
          <w:szCs w:val="24"/>
        </w:rPr>
        <w:t xml:space="preserve">2025 Supervision Standard on </w:t>
      </w:r>
      <w:r w:rsidR="002F6FBD">
        <w:rPr>
          <w:rFonts w:cs="Times New Roman"/>
          <w:szCs w:val="24"/>
        </w:rPr>
        <w:t xml:space="preserve">14 March 2025 to ensure the suite of accreditation standards for laboratories providing Medicare eligible pathology services remain fit for purpose. </w:t>
      </w:r>
      <w:r>
        <w:rPr>
          <w:rFonts w:cs="Times New Roman"/>
          <w:szCs w:val="24"/>
        </w:rPr>
        <w:t>The amendments to the</w:t>
      </w:r>
      <w:r w:rsidR="002F6FBD">
        <w:rPr>
          <w:rFonts w:cs="Times New Roman"/>
          <w:szCs w:val="24"/>
        </w:rPr>
        <w:t>:</w:t>
      </w:r>
    </w:p>
    <w:p w14:paraId="0B7F4A71" w14:textId="58891E0B" w:rsidR="002F6FBD" w:rsidRPr="00B22A30" w:rsidRDefault="002F6FBD" w:rsidP="00B22A30">
      <w:pPr>
        <w:pStyle w:val="ListParagraph"/>
        <w:numPr>
          <w:ilvl w:val="0"/>
          <w:numId w:val="32"/>
        </w:numPr>
        <w:spacing w:after="240" w:line="240" w:lineRule="auto"/>
      </w:pPr>
      <w:r w:rsidRPr="00B22A30">
        <w:t xml:space="preserve">2025 Cervical Screening Standard </w:t>
      </w:r>
      <w:r w:rsidR="00E654EC" w:rsidRPr="00B22A30">
        <w:t xml:space="preserve">were made in consultation with the NCSP CAG </w:t>
      </w:r>
      <w:r w:rsidRPr="00B22A30">
        <w:t>and the Department; and</w:t>
      </w:r>
    </w:p>
    <w:p w14:paraId="7FB659E5" w14:textId="66463F7B" w:rsidR="008303B1" w:rsidRPr="00B22A30" w:rsidRDefault="002F6FBD" w:rsidP="00B22A30">
      <w:pPr>
        <w:pStyle w:val="ListParagraph"/>
        <w:numPr>
          <w:ilvl w:val="0"/>
          <w:numId w:val="32"/>
        </w:numPr>
        <w:spacing w:after="240" w:line="240" w:lineRule="auto"/>
      </w:pPr>
      <w:r w:rsidRPr="00B22A30">
        <w:t xml:space="preserve">2025 Supervision Standard were made in consultation with the NATA and the Department. </w:t>
      </w:r>
    </w:p>
    <w:p w14:paraId="5A326BF5" w14:textId="115A2D42" w:rsidR="005267D1" w:rsidRDefault="002F6FBD" w:rsidP="00B22A30">
      <w:pPr>
        <w:keepNext/>
        <w:spacing w:after="240" w:line="240" w:lineRule="auto"/>
      </w:pPr>
      <w:r>
        <w:rPr>
          <w:rFonts w:cs="Times New Roman"/>
          <w:szCs w:val="24"/>
        </w:rPr>
        <w:t>Broader stakeholder engagement was not undertaken given the relatively minor nature of the amendments.</w:t>
      </w:r>
    </w:p>
    <w:p w14:paraId="73A8B81C" w14:textId="05E2AA93" w:rsidR="00B22A30" w:rsidRPr="00B22A30" w:rsidRDefault="00B22A30" w:rsidP="000C2239">
      <w:pPr>
        <w:keepNext/>
        <w:spacing w:after="240" w:line="240" w:lineRule="auto"/>
        <w:rPr>
          <w:rFonts w:cs="Times New Roman"/>
          <w:b/>
          <w:bCs/>
          <w:szCs w:val="24"/>
        </w:rPr>
      </w:pPr>
      <w:r w:rsidRPr="00B22A30">
        <w:rPr>
          <w:rFonts w:cs="Times New Roman"/>
          <w:b/>
          <w:bCs/>
          <w:szCs w:val="24"/>
        </w:rPr>
        <w:t>Commencement</w:t>
      </w:r>
    </w:p>
    <w:p w14:paraId="31CFC88A" w14:textId="046D642D" w:rsidR="00132947" w:rsidRPr="00907977" w:rsidRDefault="00132947" w:rsidP="00B22A30">
      <w:pPr>
        <w:spacing w:after="240" w:line="240" w:lineRule="auto"/>
      </w:pPr>
      <w:r w:rsidRPr="00470024">
        <w:t xml:space="preserve">This Amending Instrument commences </w:t>
      </w:r>
      <w:r w:rsidR="00193E60" w:rsidRPr="00470024">
        <w:t>on</w:t>
      </w:r>
      <w:r w:rsidRPr="00470024">
        <w:t xml:space="preserve"> 1 </w:t>
      </w:r>
      <w:r w:rsidR="009E52D5" w:rsidRPr="00470024">
        <w:t>July 2025</w:t>
      </w:r>
      <w:r w:rsidR="00B141A9" w:rsidRPr="00470024">
        <w:t>.</w:t>
      </w:r>
    </w:p>
    <w:p w14:paraId="179557C4" w14:textId="77777777" w:rsidR="00B22A30" w:rsidRPr="00B22A30" w:rsidRDefault="00B22A30" w:rsidP="00B22A30">
      <w:pPr>
        <w:keepNext/>
        <w:spacing w:after="240" w:line="240" w:lineRule="auto"/>
        <w:rPr>
          <w:rFonts w:cs="Times New Roman"/>
          <w:b/>
          <w:bCs/>
          <w:szCs w:val="24"/>
        </w:rPr>
      </w:pPr>
      <w:r w:rsidRPr="00B22A30">
        <w:rPr>
          <w:rFonts w:cs="Times New Roman"/>
          <w:b/>
          <w:bCs/>
          <w:szCs w:val="24"/>
        </w:rPr>
        <w:t>General</w:t>
      </w:r>
    </w:p>
    <w:p w14:paraId="61F74B46" w14:textId="23D7599B" w:rsidR="00132947" w:rsidRPr="00907977" w:rsidRDefault="00132947" w:rsidP="00B22A30">
      <w:pPr>
        <w:spacing w:after="240" w:line="240" w:lineRule="auto"/>
      </w:pPr>
      <w:r w:rsidRPr="00907977">
        <w:t xml:space="preserve">The Amending Instrument is a legislative instrument for the purposes of the </w:t>
      </w:r>
      <w:r w:rsidRPr="00907977">
        <w:rPr>
          <w:i/>
          <w:iCs/>
        </w:rPr>
        <w:t>Legislative Instruments Act 2003</w:t>
      </w:r>
      <w:r w:rsidRPr="00907977">
        <w:t>.</w:t>
      </w:r>
    </w:p>
    <w:p w14:paraId="670FA195" w14:textId="77777777" w:rsidR="00132947" w:rsidRDefault="00132947" w:rsidP="00B22A30">
      <w:pPr>
        <w:spacing w:after="240" w:line="240" w:lineRule="auto"/>
      </w:pPr>
      <w:r w:rsidRPr="00907977">
        <w:t xml:space="preserve">Details of the legislative instrument are set out in </w:t>
      </w:r>
      <w:r w:rsidRPr="00907977">
        <w:rPr>
          <w:u w:val="single"/>
        </w:rPr>
        <w:t>Attachment A</w:t>
      </w:r>
      <w:r w:rsidRPr="00907977">
        <w:t>.</w:t>
      </w:r>
    </w:p>
    <w:p w14:paraId="0BFBCC8B" w14:textId="77777777" w:rsidR="00B22A30" w:rsidRPr="00D230D8" w:rsidRDefault="00B22A30" w:rsidP="00B22A30">
      <w:pPr>
        <w:spacing w:after="240" w:line="240" w:lineRule="auto"/>
      </w:pPr>
      <w:r w:rsidRPr="00D230D8">
        <w:t xml:space="preserve">This Amending Instrument is compatible with the human rights and freedoms recognised or declared under section 3 of the </w:t>
      </w:r>
      <w:r w:rsidRPr="00D230D8">
        <w:rPr>
          <w:i/>
          <w:iCs/>
        </w:rPr>
        <w:t>Human Rights (Parliamentary Scrutiny) Act 2011</w:t>
      </w:r>
      <w:r w:rsidRPr="00D230D8">
        <w:t xml:space="preserve">. A full statement of compatibility is set out in </w:t>
      </w:r>
      <w:r w:rsidRPr="00D230D8">
        <w:rPr>
          <w:u w:val="single"/>
        </w:rPr>
        <w:t>Attachment B</w:t>
      </w:r>
      <w:r w:rsidRPr="00D230D8">
        <w:t>.</w:t>
      </w:r>
    </w:p>
    <w:p w14:paraId="1C9C71C7" w14:textId="77777777" w:rsidR="00B22A30" w:rsidRPr="00907977" w:rsidRDefault="00B22A30" w:rsidP="00132947">
      <w:pPr>
        <w:spacing w:after="160" w:line="259" w:lineRule="auto"/>
      </w:pPr>
    </w:p>
    <w:p w14:paraId="2894110E" w14:textId="3F58BFAD" w:rsidR="00C56FD6" w:rsidRPr="00907977" w:rsidRDefault="00C56FD6" w:rsidP="00C56FD6">
      <w:pPr>
        <w:spacing w:line="240" w:lineRule="auto"/>
        <w:jc w:val="right"/>
        <w:rPr>
          <w:rFonts w:cs="Times New Roman"/>
          <w:b/>
          <w:vanish/>
          <w:szCs w:val="24"/>
          <w:specVanish/>
        </w:rPr>
      </w:pPr>
      <w:r w:rsidRPr="00907977">
        <w:rPr>
          <w:rFonts w:cs="Times New Roman"/>
          <w:szCs w:val="24"/>
        </w:rPr>
        <w:br w:type="page"/>
      </w:r>
      <w:r w:rsidRPr="00907977">
        <w:rPr>
          <w:rFonts w:cs="Times New Roman"/>
          <w:b/>
          <w:szCs w:val="24"/>
        </w:rPr>
        <w:lastRenderedPageBreak/>
        <w:t>ATTACHMENT</w:t>
      </w:r>
      <w:r w:rsidR="00591687" w:rsidRPr="00907977">
        <w:rPr>
          <w:rFonts w:cs="Times New Roman"/>
          <w:b/>
          <w:szCs w:val="24"/>
        </w:rPr>
        <w:t xml:space="preserve"> A</w:t>
      </w:r>
    </w:p>
    <w:p w14:paraId="17D6F0A4" w14:textId="0824B164" w:rsidR="00480990" w:rsidRPr="00907977" w:rsidRDefault="00595E73" w:rsidP="00C56FD6">
      <w:pPr>
        <w:spacing w:after="0" w:line="240" w:lineRule="auto"/>
        <w:rPr>
          <w:rFonts w:cs="Times New Roman"/>
          <w:b/>
          <w:i/>
          <w:szCs w:val="24"/>
        </w:rPr>
      </w:pPr>
      <w:r w:rsidRPr="00907977">
        <w:rPr>
          <w:rFonts w:cs="Times New Roman"/>
          <w:b/>
          <w:i/>
          <w:szCs w:val="24"/>
        </w:rPr>
        <w:t xml:space="preserve"> </w:t>
      </w:r>
    </w:p>
    <w:p w14:paraId="02B5ED00" w14:textId="77777777" w:rsidR="00FA5E10" w:rsidRPr="00907977" w:rsidRDefault="00FA5E10" w:rsidP="00C56FD6">
      <w:pPr>
        <w:spacing w:after="0" w:line="240" w:lineRule="auto"/>
        <w:rPr>
          <w:rFonts w:cs="Times New Roman"/>
          <w:b/>
          <w:i/>
          <w:szCs w:val="24"/>
        </w:rPr>
      </w:pPr>
    </w:p>
    <w:p w14:paraId="16CCC2CC" w14:textId="0BB9CED4" w:rsidR="0066581F" w:rsidRPr="00470024" w:rsidRDefault="00964D64" w:rsidP="00C56FD6">
      <w:pPr>
        <w:spacing w:after="0" w:line="240" w:lineRule="auto"/>
        <w:rPr>
          <w:rFonts w:cs="Times New Roman"/>
          <w:b/>
          <w:i/>
          <w:szCs w:val="24"/>
        </w:rPr>
      </w:pPr>
      <w:r w:rsidRPr="00470024">
        <w:rPr>
          <w:rFonts w:cs="Times New Roman"/>
          <w:b/>
          <w:i/>
          <w:szCs w:val="24"/>
        </w:rPr>
        <w:t xml:space="preserve">Details of the </w:t>
      </w:r>
      <w:r w:rsidR="0066581F" w:rsidRPr="00470024">
        <w:rPr>
          <w:rFonts w:cs="Times New Roman"/>
          <w:b/>
          <w:i/>
          <w:szCs w:val="24"/>
        </w:rPr>
        <w:t>Health Insurance (Accredited Pathology Laboratories—Approval) Amendment (Relevant Standards) Principles (No.</w:t>
      </w:r>
      <w:r w:rsidR="007C30AA" w:rsidRPr="00470024">
        <w:rPr>
          <w:rFonts w:cs="Times New Roman"/>
          <w:b/>
          <w:i/>
          <w:szCs w:val="24"/>
        </w:rPr>
        <w:t>2</w:t>
      </w:r>
      <w:r w:rsidR="0066581F" w:rsidRPr="00470024">
        <w:rPr>
          <w:rFonts w:cs="Times New Roman"/>
          <w:b/>
          <w:i/>
          <w:szCs w:val="24"/>
        </w:rPr>
        <w:t>) 202</w:t>
      </w:r>
      <w:r w:rsidR="00DB68F7" w:rsidRPr="00470024">
        <w:rPr>
          <w:rFonts w:cs="Times New Roman"/>
          <w:b/>
          <w:i/>
          <w:szCs w:val="24"/>
        </w:rPr>
        <w:t>5</w:t>
      </w:r>
    </w:p>
    <w:p w14:paraId="4A9818FD" w14:textId="77777777" w:rsidR="00D605D3" w:rsidRPr="00470024" w:rsidRDefault="00D605D3" w:rsidP="00C56FD6">
      <w:pPr>
        <w:spacing w:after="0" w:line="240" w:lineRule="auto"/>
        <w:rPr>
          <w:rFonts w:cs="Times New Roman"/>
          <w:b/>
          <w:i/>
          <w:szCs w:val="24"/>
        </w:rPr>
      </w:pPr>
    </w:p>
    <w:p w14:paraId="39EC6BEB" w14:textId="77777777" w:rsidR="00492691" w:rsidRPr="00470024" w:rsidRDefault="00492691" w:rsidP="00492691">
      <w:pPr>
        <w:spacing w:after="0" w:line="240" w:lineRule="auto"/>
        <w:rPr>
          <w:b/>
        </w:rPr>
      </w:pPr>
      <w:r w:rsidRPr="00470024">
        <w:rPr>
          <w:b/>
        </w:rPr>
        <w:t>1.  Name of legislative instrument</w:t>
      </w:r>
    </w:p>
    <w:p w14:paraId="3DF4E067" w14:textId="77777777" w:rsidR="00492691" w:rsidRPr="00470024" w:rsidRDefault="00492691" w:rsidP="00492691">
      <w:pPr>
        <w:spacing w:after="0" w:line="240" w:lineRule="auto"/>
      </w:pPr>
    </w:p>
    <w:p w14:paraId="76519493" w14:textId="2F75303A" w:rsidR="00492691" w:rsidRPr="00470024" w:rsidRDefault="00492691" w:rsidP="00492691">
      <w:pPr>
        <w:spacing w:after="0" w:line="240" w:lineRule="auto"/>
        <w:rPr>
          <w:i/>
        </w:rPr>
      </w:pPr>
      <w:r w:rsidRPr="00470024">
        <w:t xml:space="preserve">Section 1 provides that the title of the legislative instrument is the </w:t>
      </w:r>
      <w:r w:rsidR="0066581F" w:rsidRPr="00470024">
        <w:rPr>
          <w:bCs/>
          <w:i/>
        </w:rPr>
        <w:t>Health Insurance (Accredited Pathology Laboratories—Approval) Amendment (Relevant Standards) Principles (No.</w:t>
      </w:r>
      <w:r w:rsidR="00DB68F7" w:rsidRPr="00470024">
        <w:rPr>
          <w:bCs/>
          <w:i/>
        </w:rPr>
        <w:t>2</w:t>
      </w:r>
      <w:r w:rsidR="0066581F" w:rsidRPr="00470024">
        <w:rPr>
          <w:bCs/>
          <w:i/>
        </w:rPr>
        <w:t>) 202</w:t>
      </w:r>
      <w:r w:rsidR="00DB68F7" w:rsidRPr="00470024">
        <w:rPr>
          <w:bCs/>
          <w:i/>
        </w:rPr>
        <w:t>5</w:t>
      </w:r>
      <w:r w:rsidR="0066581F" w:rsidRPr="00470024">
        <w:rPr>
          <w:bCs/>
          <w:i/>
        </w:rPr>
        <w:t xml:space="preserve"> </w:t>
      </w:r>
      <w:r w:rsidRPr="00470024">
        <w:t>(the Amending Instrument)</w:t>
      </w:r>
      <w:r w:rsidRPr="00470024">
        <w:rPr>
          <w:i/>
        </w:rPr>
        <w:t>.</w:t>
      </w:r>
    </w:p>
    <w:p w14:paraId="32BDBE58" w14:textId="77777777" w:rsidR="00492691" w:rsidRPr="00470024" w:rsidRDefault="00492691" w:rsidP="00492691">
      <w:pPr>
        <w:spacing w:after="0" w:line="240" w:lineRule="auto"/>
        <w:rPr>
          <w:i/>
        </w:rPr>
      </w:pPr>
    </w:p>
    <w:p w14:paraId="343C0206" w14:textId="77777777" w:rsidR="00492691" w:rsidRPr="00470024" w:rsidRDefault="00492691" w:rsidP="00492691">
      <w:pPr>
        <w:spacing w:after="0" w:line="240" w:lineRule="auto"/>
        <w:rPr>
          <w:b/>
        </w:rPr>
      </w:pPr>
      <w:r w:rsidRPr="00470024">
        <w:rPr>
          <w:b/>
        </w:rPr>
        <w:t>2.  Commencement</w:t>
      </w:r>
    </w:p>
    <w:p w14:paraId="7D2661AA" w14:textId="77777777" w:rsidR="00492691" w:rsidRPr="00470024" w:rsidRDefault="00492691" w:rsidP="00492691">
      <w:pPr>
        <w:spacing w:after="0" w:line="240" w:lineRule="auto"/>
      </w:pPr>
    </w:p>
    <w:p w14:paraId="24769D69" w14:textId="203DEE43" w:rsidR="00492691" w:rsidRPr="00470024" w:rsidRDefault="00492691" w:rsidP="00197866">
      <w:pPr>
        <w:spacing w:after="0" w:line="240" w:lineRule="auto"/>
      </w:pPr>
      <w:r w:rsidRPr="00470024">
        <w:t xml:space="preserve">Subsection 2(1) provides </w:t>
      </w:r>
      <w:r w:rsidR="00E4187A" w:rsidRPr="00470024">
        <w:t xml:space="preserve">that </w:t>
      </w:r>
      <w:r w:rsidR="00AF428B" w:rsidRPr="00470024">
        <w:t>the</w:t>
      </w:r>
      <w:r w:rsidR="00E4187A" w:rsidRPr="00470024">
        <w:t xml:space="preserve"> Amending Instrument</w:t>
      </w:r>
      <w:r w:rsidRPr="00470024">
        <w:t xml:space="preserve"> commence</w:t>
      </w:r>
      <w:r w:rsidR="00E4187A" w:rsidRPr="00470024">
        <w:t>s</w:t>
      </w:r>
      <w:r w:rsidRPr="00470024">
        <w:t xml:space="preserve"> </w:t>
      </w:r>
      <w:r w:rsidR="00193E60" w:rsidRPr="00470024">
        <w:t>on</w:t>
      </w:r>
      <w:r w:rsidR="005D4005" w:rsidRPr="00470024">
        <w:t xml:space="preserve"> 1 </w:t>
      </w:r>
      <w:r w:rsidR="00841CCA" w:rsidRPr="00470024">
        <w:t>July 2025</w:t>
      </w:r>
      <w:r w:rsidR="00AF428B" w:rsidRPr="00470024">
        <w:t xml:space="preserve">. </w:t>
      </w:r>
    </w:p>
    <w:p w14:paraId="1204D9B1" w14:textId="77777777" w:rsidR="00FA5E10" w:rsidRPr="00470024" w:rsidRDefault="00FA5E10" w:rsidP="00492691">
      <w:pPr>
        <w:spacing w:after="0" w:line="240" w:lineRule="auto"/>
        <w:rPr>
          <w:b/>
        </w:rPr>
      </w:pPr>
    </w:p>
    <w:p w14:paraId="758193AB" w14:textId="77777777" w:rsidR="00492691" w:rsidRPr="00470024" w:rsidRDefault="00492691" w:rsidP="00492691">
      <w:pPr>
        <w:spacing w:after="0" w:line="240" w:lineRule="auto"/>
        <w:rPr>
          <w:b/>
        </w:rPr>
      </w:pPr>
      <w:r w:rsidRPr="00470024">
        <w:rPr>
          <w:b/>
        </w:rPr>
        <w:t>3.  Authority</w:t>
      </w:r>
    </w:p>
    <w:p w14:paraId="070AEEC0" w14:textId="77777777" w:rsidR="00492691" w:rsidRPr="00470024" w:rsidRDefault="00492691" w:rsidP="00492691">
      <w:pPr>
        <w:spacing w:after="0" w:line="240" w:lineRule="auto"/>
      </w:pPr>
    </w:p>
    <w:p w14:paraId="3905DF9B" w14:textId="0A3FD09E" w:rsidR="00492691" w:rsidRPr="00470024" w:rsidRDefault="00492691" w:rsidP="00492691">
      <w:pPr>
        <w:spacing w:after="0" w:line="240" w:lineRule="auto"/>
      </w:pPr>
      <w:r w:rsidRPr="00470024">
        <w:t xml:space="preserve">Section 3 provides for the authority for the </w:t>
      </w:r>
      <w:r w:rsidR="0000652F" w:rsidRPr="00470024">
        <w:t xml:space="preserve">Amending </w:t>
      </w:r>
      <w:r w:rsidRPr="00470024">
        <w:t xml:space="preserve">Instrument and that it is made under subsection 23DNA(1) of the </w:t>
      </w:r>
      <w:r w:rsidRPr="00470024">
        <w:rPr>
          <w:i/>
        </w:rPr>
        <w:t xml:space="preserve">Health Insurance Act 1973 </w:t>
      </w:r>
      <w:r w:rsidRPr="00470024">
        <w:t>(the Act).</w:t>
      </w:r>
      <w:r w:rsidRPr="00470024">
        <w:br/>
      </w:r>
    </w:p>
    <w:p w14:paraId="31600DA2" w14:textId="023D947C" w:rsidR="00492691" w:rsidRPr="00470024" w:rsidRDefault="00492691" w:rsidP="00492691">
      <w:pPr>
        <w:spacing w:after="0" w:line="240" w:lineRule="auto"/>
        <w:rPr>
          <w:b/>
        </w:rPr>
      </w:pPr>
      <w:r w:rsidRPr="00470024">
        <w:rPr>
          <w:b/>
        </w:rPr>
        <w:t>4.  Schedule</w:t>
      </w:r>
      <w:r w:rsidR="00EB4FC8" w:rsidRPr="00470024">
        <w:rPr>
          <w:b/>
        </w:rPr>
        <w:t>s</w:t>
      </w:r>
    </w:p>
    <w:p w14:paraId="4CF7CEE7" w14:textId="77777777" w:rsidR="00492691" w:rsidRPr="00470024" w:rsidRDefault="00492691" w:rsidP="00492691">
      <w:pPr>
        <w:spacing w:after="0" w:line="240" w:lineRule="auto"/>
      </w:pPr>
    </w:p>
    <w:p w14:paraId="59C93F98" w14:textId="2D04EC59" w:rsidR="00492691" w:rsidRPr="00470024" w:rsidRDefault="00492691" w:rsidP="00492691">
      <w:pPr>
        <w:spacing w:after="0" w:line="240" w:lineRule="auto"/>
      </w:pPr>
      <w:r w:rsidRPr="00470024">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18999598" w14:textId="77777777" w:rsidR="00492691" w:rsidRPr="00470024" w:rsidRDefault="00492691" w:rsidP="00492691">
      <w:pPr>
        <w:spacing w:after="0" w:line="240" w:lineRule="auto"/>
      </w:pPr>
    </w:p>
    <w:p w14:paraId="570CA6DC" w14:textId="090D67D2" w:rsidR="00492691" w:rsidRPr="00470024" w:rsidRDefault="00492691" w:rsidP="00492691">
      <w:pPr>
        <w:spacing w:after="0" w:line="240" w:lineRule="auto"/>
        <w:rPr>
          <w:iCs/>
        </w:rPr>
      </w:pPr>
      <w:r w:rsidRPr="00470024">
        <w:t xml:space="preserve">There is one Schedule in the instrument. This Schedule provides for the amendments to the </w:t>
      </w:r>
      <w:r w:rsidR="00CE7212" w:rsidRPr="00470024">
        <w:rPr>
          <w:i/>
        </w:rPr>
        <w:t xml:space="preserve">Health Insurance (Accredited Pathology Laboratories – Approval) Principles 2017 </w:t>
      </w:r>
      <w:r w:rsidR="00CE7212" w:rsidRPr="00470024">
        <w:rPr>
          <w:iCs/>
        </w:rPr>
        <w:t xml:space="preserve">(the </w:t>
      </w:r>
      <w:r w:rsidR="00261DB7">
        <w:rPr>
          <w:iCs/>
        </w:rPr>
        <w:t>Approval Principles</w:t>
      </w:r>
      <w:r w:rsidR="00CE7212" w:rsidRPr="00470024">
        <w:rPr>
          <w:iCs/>
        </w:rPr>
        <w:t>)</w:t>
      </w:r>
      <w:r w:rsidRPr="00470024">
        <w:rPr>
          <w:iCs/>
        </w:rPr>
        <w:t xml:space="preserve"> commencing on </w:t>
      </w:r>
      <w:r w:rsidR="00CE7212" w:rsidRPr="00470024">
        <w:rPr>
          <w:iCs/>
        </w:rPr>
        <w:t xml:space="preserve">1 </w:t>
      </w:r>
      <w:r w:rsidR="009E52D5" w:rsidRPr="00470024">
        <w:rPr>
          <w:iCs/>
        </w:rPr>
        <w:t>July 2025</w:t>
      </w:r>
      <w:r w:rsidRPr="00470024">
        <w:rPr>
          <w:iCs/>
        </w:rPr>
        <w:t>.</w:t>
      </w:r>
    </w:p>
    <w:p w14:paraId="1B6A1A12" w14:textId="77777777" w:rsidR="00492691" w:rsidRPr="00470024" w:rsidRDefault="00492691" w:rsidP="00492691">
      <w:pPr>
        <w:spacing w:after="0" w:line="240" w:lineRule="auto"/>
      </w:pPr>
    </w:p>
    <w:p w14:paraId="7A300449" w14:textId="631D20B2" w:rsidR="00492691" w:rsidRPr="00470024" w:rsidRDefault="00492691" w:rsidP="00492691">
      <w:pPr>
        <w:spacing w:after="0" w:line="240" w:lineRule="auto"/>
      </w:pPr>
      <w:r w:rsidRPr="00470024">
        <w:rPr>
          <w:b/>
        </w:rPr>
        <w:t>Schedule 1</w:t>
      </w:r>
    </w:p>
    <w:p w14:paraId="1F216300" w14:textId="77777777" w:rsidR="00492691" w:rsidRPr="00470024" w:rsidRDefault="00492691" w:rsidP="00492691">
      <w:pPr>
        <w:spacing w:after="0" w:line="240" w:lineRule="auto"/>
        <w:rPr>
          <w:i/>
        </w:rPr>
      </w:pPr>
    </w:p>
    <w:p w14:paraId="5EDFC1DA" w14:textId="68D35C4D" w:rsidR="00492691" w:rsidRPr="00470024" w:rsidRDefault="00492691" w:rsidP="00492691">
      <w:pPr>
        <w:spacing w:after="0" w:line="240" w:lineRule="auto"/>
        <w:rPr>
          <w:i/>
        </w:rPr>
      </w:pPr>
      <w:r w:rsidRPr="00470024">
        <w:rPr>
          <w:i/>
        </w:rPr>
        <w:t>Health Insurance (Accredited Pathology Laboratories – Approval) Principles 2017</w:t>
      </w:r>
      <w:r w:rsidR="00A8792D" w:rsidRPr="00470024">
        <w:rPr>
          <w:i/>
        </w:rPr>
        <w:t>.</w:t>
      </w:r>
      <w:r w:rsidRPr="00470024">
        <w:rPr>
          <w:i/>
        </w:rPr>
        <w:t xml:space="preserve"> </w:t>
      </w:r>
    </w:p>
    <w:p w14:paraId="491CB3A4" w14:textId="77777777" w:rsidR="00492691" w:rsidRPr="00470024" w:rsidRDefault="00492691" w:rsidP="00492691">
      <w:pPr>
        <w:spacing w:after="0" w:line="240" w:lineRule="auto"/>
      </w:pPr>
    </w:p>
    <w:p w14:paraId="32F6011D" w14:textId="77777777" w:rsidR="000C2239" w:rsidRPr="003643F8" w:rsidRDefault="000C2239" w:rsidP="000C2239">
      <w:pPr>
        <w:spacing w:after="0" w:line="240" w:lineRule="auto"/>
        <w:rPr>
          <w:rFonts w:cs="Times New Roman"/>
          <w:b/>
          <w:bCs/>
          <w:color w:val="000000"/>
          <w:shd w:val="clear" w:color="auto" w:fill="FFFFFF"/>
        </w:rPr>
      </w:pPr>
      <w:bookmarkStart w:id="4" w:name="_Hlk137211036"/>
      <w:r w:rsidRPr="003643F8">
        <w:rPr>
          <w:rFonts w:cs="Times New Roman"/>
          <w:b/>
          <w:bCs/>
          <w:color w:val="000000"/>
          <w:shd w:val="clear" w:color="auto" w:fill="FFFFFF"/>
        </w:rPr>
        <w:t xml:space="preserve">Item 1 </w:t>
      </w:r>
    </w:p>
    <w:p w14:paraId="393F8C1A" w14:textId="537C62F5" w:rsidR="000C2239" w:rsidRPr="003643F8" w:rsidRDefault="000C2239" w:rsidP="004C166D">
      <w:pPr>
        <w:spacing w:before="80" w:after="0" w:line="240" w:lineRule="auto"/>
      </w:pPr>
      <w:r w:rsidRPr="003643F8">
        <w:t>Item 1 repeals the existing definition of S(FC) laboratory in subsection 5(2)</w:t>
      </w:r>
      <w:r w:rsidR="004C166D">
        <w:t>.</w:t>
      </w:r>
      <w:r w:rsidRPr="003643F8">
        <w:t xml:space="preserve"> The </w:t>
      </w:r>
      <w:r w:rsidR="004C166D">
        <w:t xml:space="preserve">substituted </w:t>
      </w:r>
      <w:r w:rsidRPr="003643F8">
        <w:t>definition provides that S(FC) laboratory has the same meaning as in the “</w:t>
      </w:r>
      <w:r w:rsidRPr="003643F8">
        <w:rPr>
          <w:i/>
          <w:iCs/>
          <w:szCs w:val="24"/>
          <w:shd w:val="clear" w:color="auto" w:fill="FFFFFF"/>
        </w:rPr>
        <w:t>Requirements for Supervision in the Clinical Governance of Medical Pathology Laboratories (</w:t>
      </w:r>
      <w:r>
        <w:rPr>
          <w:i/>
          <w:iCs/>
          <w:szCs w:val="24"/>
          <w:shd w:val="clear" w:color="auto" w:fill="FFFFFF"/>
        </w:rPr>
        <w:t xml:space="preserve">Eighth </w:t>
      </w:r>
      <w:r w:rsidRPr="003643F8">
        <w:rPr>
          <w:i/>
          <w:iCs/>
          <w:szCs w:val="24"/>
          <w:shd w:val="clear" w:color="auto" w:fill="FFFFFF"/>
        </w:rPr>
        <w:t>Edition 202</w:t>
      </w:r>
      <w:r>
        <w:rPr>
          <w:i/>
          <w:iCs/>
          <w:szCs w:val="24"/>
          <w:shd w:val="clear" w:color="auto" w:fill="FFFFFF"/>
        </w:rPr>
        <w:t>5</w:t>
      </w:r>
      <w:r w:rsidRPr="003643F8">
        <w:rPr>
          <w:i/>
          <w:iCs/>
          <w:szCs w:val="24"/>
          <w:shd w:val="clear" w:color="auto" w:fill="FFFFFF"/>
        </w:rPr>
        <w:t xml:space="preserve">)” </w:t>
      </w:r>
      <w:r w:rsidRPr="003643F8">
        <w:rPr>
          <w:szCs w:val="24"/>
          <w:shd w:val="clear" w:color="auto" w:fill="FFFFFF"/>
        </w:rPr>
        <w:t>(202</w:t>
      </w:r>
      <w:r>
        <w:rPr>
          <w:szCs w:val="24"/>
          <w:shd w:val="clear" w:color="auto" w:fill="FFFFFF"/>
        </w:rPr>
        <w:t>5</w:t>
      </w:r>
      <w:r w:rsidRPr="003643F8">
        <w:rPr>
          <w:szCs w:val="24"/>
          <w:shd w:val="clear" w:color="auto" w:fill="FFFFFF"/>
        </w:rPr>
        <w:t xml:space="preserve"> Supervision Standard)</w:t>
      </w:r>
      <w:r w:rsidRPr="003643F8">
        <w:t>.</w:t>
      </w:r>
    </w:p>
    <w:p w14:paraId="55EE8E19" w14:textId="77777777" w:rsidR="000C2239" w:rsidRPr="003643F8" w:rsidRDefault="000C2239" w:rsidP="000C2239">
      <w:pPr>
        <w:spacing w:after="0" w:line="240" w:lineRule="auto"/>
      </w:pPr>
    </w:p>
    <w:p w14:paraId="3BCE27F4" w14:textId="77777777" w:rsidR="000C2239" w:rsidRPr="003643F8" w:rsidRDefault="000C2239" w:rsidP="000C2239">
      <w:pPr>
        <w:spacing w:after="0" w:line="240" w:lineRule="auto"/>
        <w:rPr>
          <w:rFonts w:cs="Times New Roman"/>
        </w:rPr>
      </w:pPr>
      <w:r w:rsidRPr="003643F8">
        <w:rPr>
          <w:rFonts w:cs="Times New Roman"/>
          <w:b/>
          <w:bCs/>
          <w:color w:val="000000"/>
          <w:shd w:val="clear" w:color="auto" w:fill="FFFFFF"/>
        </w:rPr>
        <w:t xml:space="preserve">Item 2 </w:t>
      </w:r>
    </w:p>
    <w:p w14:paraId="6EDF916E" w14:textId="542540C9" w:rsidR="000C2239" w:rsidRPr="003643F8" w:rsidRDefault="000C2239" w:rsidP="000C2239">
      <w:pPr>
        <w:spacing w:before="80" w:after="0" w:line="240" w:lineRule="auto"/>
      </w:pPr>
      <w:r w:rsidRPr="003643F8">
        <w:t xml:space="preserve">Subsection 18(3) of the </w:t>
      </w:r>
      <w:r w:rsidR="00F75CAC">
        <w:t xml:space="preserve">Approval </w:t>
      </w:r>
      <w:r w:rsidRPr="003643F8">
        <w:t xml:space="preserve">Principles currently provides that the designated person is responsible for compliance with relevant standards of direction, control and supervision that apply to the relevant category of laboratory under the </w:t>
      </w:r>
      <w:r w:rsidR="004A44AC">
        <w:t>“</w:t>
      </w:r>
      <w:r w:rsidR="004A44AC" w:rsidRPr="003643F8">
        <w:rPr>
          <w:i/>
          <w:iCs/>
        </w:rPr>
        <w:t>Requirements for Supervision in the Clinical Governance of Medical Pathology Laboratories (</w:t>
      </w:r>
      <w:r w:rsidR="004A44AC">
        <w:rPr>
          <w:i/>
          <w:iCs/>
        </w:rPr>
        <w:t>Seventh</w:t>
      </w:r>
      <w:r w:rsidR="004A44AC" w:rsidRPr="003643F8">
        <w:rPr>
          <w:i/>
          <w:iCs/>
        </w:rPr>
        <w:t xml:space="preserve"> Edition 202</w:t>
      </w:r>
      <w:r w:rsidR="004A44AC">
        <w:rPr>
          <w:i/>
          <w:iCs/>
        </w:rPr>
        <w:t>3</w:t>
      </w:r>
      <w:r w:rsidR="004A44AC" w:rsidRPr="003643F8">
        <w:rPr>
          <w:i/>
          <w:iCs/>
        </w:rPr>
        <w:t>)</w:t>
      </w:r>
      <w:r w:rsidR="004A44AC">
        <w:t>” (2023 Supervision Standard)</w:t>
      </w:r>
      <w:r w:rsidRPr="003643F8">
        <w:t>.</w:t>
      </w:r>
    </w:p>
    <w:p w14:paraId="11DB2858" w14:textId="77777777" w:rsidR="000C2239" w:rsidRPr="003643F8" w:rsidRDefault="000C2239" w:rsidP="000C2239">
      <w:pPr>
        <w:spacing w:after="0" w:line="240" w:lineRule="auto"/>
      </w:pPr>
    </w:p>
    <w:p w14:paraId="1FA7635B" w14:textId="1CB9C25D" w:rsidR="000C2239" w:rsidRPr="003643F8" w:rsidRDefault="000C2239" w:rsidP="000C2239">
      <w:pPr>
        <w:spacing w:after="0" w:line="240" w:lineRule="auto"/>
      </w:pPr>
      <w:r w:rsidRPr="003643F8">
        <w:lastRenderedPageBreak/>
        <w:t xml:space="preserve">Subsection 18(5) of the </w:t>
      </w:r>
      <w:r w:rsidR="004A44AC">
        <w:t xml:space="preserve">Approval </w:t>
      </w:r>
      <w:r w:rsidRPr="003643F8">
        <w:t>Principles currently provides that the responsibilities of the designated person for premises under section 18 may be delegated, but only in accordance with the 202</w:t>
      </w:r>
      <w:r w:rsidR="00F75CAC">
        <w:t>3</w:t>
      </w:r>
      <w:r w:rsidRPr="003643F8">
        <w:t xml:space="preserve"> Supervision Standard.</w:t>
      </w:r>
    </w:p>
    <w:p w14:paraId="739B540D" w14:textId="77777777" w:rsidR="000C2239" w:rsidRPr="003643F8" w:rsidRDefault="000C2239" w:rsidP="000C2239">
      <w:pPr>
        <w:spacing w:after="0" w:line="240" w:lineRule="auto"/>
      </w:pPr>
    </w:p>
    <w:p w14:paraId="28F46731" w14:textId="20030BBC" w:rsidR="000C2239" w:rsidRPr="003643F8" w:rsidRDefault="000C2239" w:rsidP="000C2239">
      <w:pPr>
        <w:spacing w:after="0" w:line="240" w:lineRule="auto"/>
        <w:rPr>
          <w:i/>
          <w:iCs/>
        </w:rPr>
      </w:pPr>
      <w:r w:rsidRPr="003643F8">
        <w:t>Item 2 amends these subsections to omit references to the 202</w:t>
      </w:r>
      <w:r w:rsidR="00F75CAC">
        <w:t>3</w:t>
      </w:r>
      <w:r w:rsidRPr="003643F8">
        <w:t xml:space="preserve"> Supervision Standard</w:t>
      </w:r>
      <w:r w:rsidRPr="003643F8">
        <w:rPr>
          <w:i/>
          <w:iCs/>
        </w:rPr>
        <w:t xml:space="preserve"> </w:t>
      </w:r>
      <w:r w:rsidRPr="003643F8">
        <w:t>and instead refer to the 202</w:t>
      </w:r>
      <w:r w:rsidR="00F75CAC">
        <w:t>5</w:t>
      </w:r>
      <w:r w:rsidRPr="003643F8">
        <w:t xml:space="preserve"> Supervision Standard.</w:t>
      </w:r>
    </w:p>
    <w:bookmarkEnd w:id="4"/>
    <w:p w14:paraId="43278F01" w14:textId="77777777" w:rsidR="000C2239" w:rsidRPr="003643F8" w:rsidRDefault="000C2239" w:rsidP="000C2239">
      <w:pPr>
        <w:spacing w:after="0" w:line="240" w:lineRule="auto"/>
      </w:pPr>
    </w:p>
    <w:p w14:paraId="5FA5E8C9" w14:textId="77777777" w:rsidR="000C2239" w:rsidRPr="003643F8" w:rsidRDefault="000C2239" w:rsidP="000C2239">
      <w:pPr>
        <w:spacing w:after="0" w:line="240" w:lineRule="auto"/>
        <w:rPr>
          <w:b/>
        </w:rPr>
      </w:pPr>
      <w:r w:rsidRPr="003643F8">
        <w:rPr>
          <w:b/>
        </w:rPr>
        <w:t xml:space="preserve">Item 3 </w:t>
      </w:r>
    </w:p>
    <w:p w14:paraId="7AE05589" w14:textId="5F73204A" w:rsidR="000C2239" w:rsidRDefault="000C2239" w:rsidP="00F75CAC">
      <w:pPr>
        <w:spacing w:after="0" w:line="240" w:lineRule="auto"/>
      </w:pPr>
      <w:r w:rsidRPr="003643F8">
        <w:t>The note to subsection 18(5) currently states that the 202</w:t>
      </w:r>
      <w:r w:rsidR="00F75CAC">
        <w:t>3</w:t>
      </w:r>
      <w:r w:rsidRPr="003643F8">
        <w:t xml:space="preserve"> Supervision Standard is listed in Schedule 1 of the </w:t>
      </w:r>
      <w:r w:rsidR="004A44AC">
        <w:t xml:space="preserve">Approval </w:t>
      </w:r>
      <w:r w:rsidRPr="003643F8">
        <w:t>Principles.</w:t>
      </w:r>
    </w:p>
    <w:p w14:paraId="098B0750" w14:textId="77777777" w:rsidR="00F75CAC" w:rsidRPr="003643F8" w:rsidRDefault="00F75CAC" w:rsidP="00F75CAC">
      <w:pPr>
        <w:spacing w:after="0" w:line="240" w:lineRule="auto"/>
      </w:pPr>
    </w:p>
    <w:p w14:paraId="0B3E65E7" w14:textId="5A706F3D" w:rsidR="000C2239" w:rsidRPr="003643F8" w:rsidRDefault="000C2239" w:rsidP="00F75CAC">
      <w:pPr>
        <w:spacing w:after="0" w:line="240" w:lineRule="auto"/>
      </w:pPr>
      <w:r w:rsidRPr="003643F8">
        <w:t>Item 3 amends this note to refer to the 202</w:t>
      </w:r>
      <w:r w:rsidR="00F75CAC">
        <w:t>5</w:t>
      </w:r>
      <w:r w:rsidRPr="003643F8">
        <w:t xml:space="preserve"> Supervision Standard, which will be listed in Schedule 1 of the </w:t>
      </w:r>
      <w:r w:rsidR="004A44AC">
        <w:t xml:space="preserve">Approval </w:t>
      </w:r>
      <w:r w:rsidRPr="003643F8">
        <w:t>Principles instead of the 202</w:t>
      </w:r>
      <w:r w:rsidR="00F75CAC">
        <w:t>3</w:t>
      </w:r>
      <w:r w:rsidRPr="003643F8">
        <w:t xml:space="preserve"> Supervision Standard (see item 4 below).</w:t>
      </w:r>
    </w:p>
    <w:p w14:paraId="6AD22D3F" w14:textId="77777777" w:rsidR="000C2239" w:rsidRPr="00F75CAC" w:rsidRDefault="000C2239" w:rsidP="00492691">
      <w:pPr>
        <w:spacing w:after="0" w:line="240" w:lineRule="auto"/>
      </w:pPr>
    </w:p>
    <w:p w14:paraId="6D24868C" w14:textId="3CF42EDC" w:rsidR="00492691" w:rsidRPr="00470024" w:rsidRDefault="00492691" w:rsidP="00492691">
      <w:pPr>
        <w:spacing w:after="0" w:line="240" w:lineRule="auto"/>
        <w:rPr>
          <w:b/>
        </w:rPr>
      </w:pPr>
      <w:r w:rsidRPr="00470024">
        <w:rPr>
          <w:b/>
        </w:rPr>
        <w:t xml:space="preserve">Item </w:t>
      </w:r>
      <w:r w:rsidR="000C2239">
        <w:rPr>
          <w:b/>
        </w:rPr>
        <w:t>4</w:t>
      </w:r>
    </w:p>
    <w:p w14:paraId="2D4A9F3F" w14:textId="77777777" w:rsidR="00492691" w:rsidRPr="00470024" w:rsidRDefault="00492691" w:rsidP="00492691">
      <w:pPr>
        <w:spacing w:after="0" w:line="240" w:lineRule="auto"/>
        <w:rPr>
          <w:b/>
        </w:rPr>
      </w:pPr>
    </w:p>
    <w:p w14:paraId="0B626B1C" w14:textId="7EB67EC4" w:rsidR="00A667C1" w:rsidRPr="00F75CAC" w:rsidRDefault="00492691" w:rsidP="00F75CAC">
      <w:pPr>
        <w:spacing w:after="0" w:line="240" w:lineRule="auto"/>
      </w:pPr>
      <w:r w:rsidRPr="00470024">
        <w:t xml:space="preserve">Item </w:t>
      </w:r>
      <w:r w:rsidR="00F75CAC">
        <w:t>4</w:t>
      </w:r>
      <w:r w:rsidRPr="00470024">
        <w:t xml:space="preserve"> repeals the </w:t>
      </w:r>
      <w:r w:rsidR="00DC2548" w:rsidRPr="00470024">
        <w:t xml:space="preserve">accreditation </w:t>
      </w:r>
      <w:r w:rsidRPr="00470024">
        <w:t xml:space="preserve">standard listed in Item </w:t>
      </w:r>
      <w:r w:rsidR="001C3F72" w:rsidRPr="00470024">
        <w:t>11</w:t>
      </w:r>
      <w:r w:rsidR="00CE7212" w:rsidRPr="00470024">
        <w:t xml:space="preserve"> </w:t>
      </w:r>
      <w:r w:rsidRPr="00470024">
        <w:t xml:space="preserve">of the </w:t>
      </w:r>
      <w:r w:rsidR="00E4187A" w:rsidRPr="00470024">
        <w:t>t</w:t>
      </w:r>
      <w:r w:rsidRPr="00470024">
        <w:t xml:space="preserve">able </w:t>
      </w:r>
      <w:r w:rsidR="00E4187A" w:rsidRPr="00470024">
        <w:t>in Schedule</w:t>
      </w:r>
      <w:r w:rsidR="00CE7212" w:rsidRPr="00470024">
        <w:t> </w:t>
      </w:r>
      <w:r w:rsidR="00E4187A" w:rsidRPr="00470024">
        <w:t xml:space="preserve">1 of the </w:t>
      </w:r>
      <w:r w:rsidR="00261DB7">
        <w:t>Approval Principles</w:t>
      </w:r>
      <w:r w:rsidR="00E4187A" w:rsidRPr="00470024">
        <w:t xml:space="preserve"> </w:t>
      </w:r>
      <w:r w:rsidRPr="00470024">
        <w:t>and substitute</w:t>
      </w:r>
      <w:r w:rsidR="00D8715A" w:rsidRPr="00470024">
        <w:t>s</w:t>
      </w:r>
      <w:r w:rsidRPr="00470024">
        <w:t xml:space="preserve"> </w:t>
      </w:r>
      <w:r w:rsidR="00D956EC" w:rsidRPr="00470024">
        <w:t xml:space="preserve">it </w:t>
      </w:r>
      <w:r w:rsidR="00CE7212" w:rsidRPr="00470024">
        <w:t xml:space="preserve">with the </w:t>
      </w:r>
      <w:r w:rsidR="00AE4BE2" w:rsidRPr="00470024">
        <w:t xml:space="preserve">revised standard titled </w:t>
      </w:r>
      <w:r w:rsidR="00B91DEB" w:rsidRPr="00470024">
        <w:t>“</w:t>
      </w:r>
      <w:r w:rsidR="00944FF3" w:rsidRPr="00470024">
        <w:rPr>
          <w:i/>
          <w:iCs/>
          <w:shd w:val="clear" w:color="auto" w:fill="FFFFFF"/>
        </w:rPr>
        <w:t>Requirements for cervical screening (Third Edition 2025</w:t>
      </w:r>
      <w:r w:rsidR="00944FF3" w:rsidRPr="00F75CAC">
        <w:t>)</w:t>
      </w:r>
      <w:r w:rsidR="00A667C1" w:rsidRPr="00F75CAC">
        <w:t>”</w:t>
      </w:r>
      <w:r w:rsidR="00CC7A85" w:rsidRPr="00F75CAC">
        <w:t>.</w:t>
      </w:r>
    </w:p>
    <w:p w14:paraId="0BA4FC75" w14:textId="77777777" w:rsidR="00F75CAC" w:rsidRPr="00F75CAC" w:rsidRDefault="00F75CAC" w:rsidP="00F75CAC">
      <w:pPr>
        <w:spacing w:after="0" w:line="240" w:lineRule="auto"/>
      </w:pPr>
    </w:p>
    <w:p w14:paraId="6550BD09" w14:textId="3CCD8428" w:rsidR="00F75CAC" w:rsidRPr="00F75CAC" w:rsidRDefault="00F75CAC" w:rsidP="00F75CAC">
      <w:pPr>
        <w:spacing w:after="0" w:line="240" w:lineRule="auto"/>
        <w:rPr>
          <w:b/>
        </w:rPr>
      </w:pPr>
      <w:r w:rsidRPr="00F75CAC">
        <w:rPr>
          <w:b/>
        </w:rPr>
        <w:t>Item 5</w:t>
      </w:r>
    </w:p>
    <w:p w14:paraId="53E0219C" w14:textId="740E4C66" w:rsidR="001C3F72" w:rsidRPr="00F75CAC" w:rsidRDefault="001C3F72" w:rsidP="00F75CAC">
      <w:pPr>
        <w:spacing w:after="0" w:line="240" w:lineRule="auto"/>
        <w:rPr>
          <w:i/>
          <w:iCs/>
        </w:rPr>
      </w:pPr>
      <w:r w:rsidRPr="00470024">
        <w:t xml:space="preserve">Item </w:t>
      </w:r>
      <w:r w:rsidR="00FD0D61">
        <w:t>5</w:t>
      </w:r>
      <w:r w:rsidRPr="00470024">
        <w:t xml:space="preserve"> repeals the accreditation standard listed in Item 19 of the table in Schedule 1 of the </w:t>
      </w:r>
      <w:r w:rsidR="00261DB7">
        <w:t>Approval Principles</w:t>
      </w:r>
      <w:r w:rsidRPr="00470024">
        <w:t xml:space="preserve"> and substitutes it with the revised standard titled </w:t>
      </w:r>
      <w:r w:rsidRPr="00F75CAC">
        <w:rPr>
          <w:i/>
          <w:iCs/>
        </w:rPr>
        <w:t>“</w:t>
      </w:r>
      <w:r w:rsidR="00CC7A85" w:rsidRPr="00F75CAC">
        <w:rPr>
          <w:i/>
          <w:iCs/>
        </w:rPr>
        <w:t>Requirements for supervision in the clinical governance of medical pathology laboratories (Eight Edition 2025)</w:t>
      </w:r>
      <w:r w:rsidRPr="00F75CAC">
        <w:rPr>
          <w:i/>
          <w:iCs/>
        </w:rPr>
        <w:t>”</w:t>
      </w:r>
      <w:r w:rsidR="00CC7A85" w:rsidRPr="00F75CAC">
        <w:rPr>
          <w:i/>
          <w:iCs/>
        </w:rPr>
        <w:t>.</w:t>
      </w:r>
    </w:p>
    <w:p w14:paraId="37806644" w14:textId="24906AA3" w:rsidR="00F75CAC" w:rsidRDefault="00F75CAC">
      <w:pPr>
        <w:spacing w:after="160" w:line="259" w:lineRule="auto"/>
      </w:pPr>
      <w:r>
        <w:br w:type="page"/>
      </w:r>
    </w:p>
    <w:p w14:paraId="5357C635" w14:textId="432741D4" w:rsidR="001C3F72" w:rsidRPr="00F75CAC" w:rsidRDefault="00AD67EB" w:rsidP="00AD67EB">
      <w:pPr>
        <w:spacing w:after="0" w:line="240" w:lineRule="auto"/>
        <w:jc w:val="right"/>
      </w:pPr>
      <w:r w:rsidRPr="00907977">
        <w:rPr>
          <w:rFonts w:cs="Times New Roman"/>
          <w:b/>
          <w:szCs w:val="24"/>
        </w:rPr>
        <w:lastRenderedPageBreak/>
        <w:t xml:space="preserve">ATTACHMENT </w:t>
      </w:r>
      <w:r>
        <w:rPr>
          <w:rFonts w:cs="Times New Roman"/>
          <w:b/>
          <w:szCs w:val="24"/>
        </w:rPr>
        <w:t>B</w:t>
      </w:r>
    </w:p>
    <w:p w14:paraId="207335F8" w14:textId="21AC3083" w:rsidR="00FA5E10" w:rsidRPr="00AD67EB" w:rsidRDefault="00FA5E10" w:rsidP="00AD67EB">
      <w:pPr>
        <w:spacing w:after="0" w:line="240" w:lineRule="auto"/>
        <w:rPr>
          <w:rFonts w:cs="Times New Roman"/>
          <w:b/>
          <w:i/>
          <w:szCs w:val="24"/>
        </w:rPr>
      </w:pPr>
    </w:p>
    <w:p w14:paraId="29B58D8E" w14:textId="77777777" w:rsidR="00AD67EB" w:rsidRPr="00907977" w:rsidRDefault="00AD67EB" w:rsidP="00D81175">
      <w:pPr>
        <w:spacing w:after="160" w:line="259" w:lineRule="auto"/>
        <w:jc w:val="center"/>
        <w:rPr>
          <w:rFonts w:cs="Times New Roman"/>
          <w:b/>
          <w:vanish/>
          <w:szCs w:val="24"/>
          <w:specVanish/>
        </w:rPr>
      </w:pPr>
    </w:p>
    <w:p w14:paraId="39825ED4" w14:textId="34993FD9" w:rsidR="00C56FD6" w:rsidRPr="00907977" w:rsidRDefault="00C56FD6" w:rsidP="00D81175">
      <w:pPr>
        <w:spacing w:after="160" w:line="259" w:lineRule="auto"/>
        <w:jc w:val="center"/>
        <w:rPr>
          <w:rFonts w:cs="Times New Roman"/>
          <w:b/>
          <w:szCs w:val="24"/>
        </w:rPr>
      </w:pPr>
      <w:r w:rsidRPr="00907977">
        <w:rPr>
          <w:rFonts w:cs="Times New Roman"/>
          <w:b/>
          <w:szCs w:val="24"/>
        </w:rPr>
        <w:t>Statement of Compatibility with Human Rights</w:t>
      </w:r>
    </w:p>
    <w:p w14:paraId="597CD0B1" w14:textId="77777777" w:rsidR="00C56FD6" w:rsidRPr="00907977" w:rsidRDefault="00C56FD6" w:rsidP="00C56FD6">
      <w:pPr>
        <w:spacing w:after="0" w:line="240" w:lineRule="auto"/>
        <w:jc w:val="center"/>
        <w:rPr>
          <w:rFonts w:cs="Times New Roman"/>
          <w:i/>
          <w:szCs w:val="24"/>
        </w:rPr>
      </w:pPr>
      <w:r w:rsidRPr="00907977">
        <w:rPr>
          <w:rFonts w:cs="Times New Roman"/>
          <w:i/>
          <w:szCs w:val="24"/>
        </w:rPr>
        <w:t xml:space="preserve">Prepared in accordance with Part 3 of the </w:t>
      </w:r>
    </w:p>
    <w:p w14:paraId="245F02CD" w14:textId="77777777" w:rsidR="00C56FD6" w:rsidRPr="00907977" w:rsidRDefault="00C56FD6" w:rsidP="00C56FD6">
      <w:pPr>
        <w:spacing w:after="0" w:line="240" w:lineRule="auto"/>
        <w:jc w:val="center"/>
        <w:rPr>
          <w:rFonts w:cs="Times New Roman"/>
          <w:szCs w:val="24"/>
        </w:rPr>
      </w:pPr>
      <w:r w:rsidRPr="00907977">
        <w:rPr>
          <w:rFonts w:cs="Times New Roman"/>
          <w:i/>
          <w:szCs w:val="24"/>
        </w:rPr>
        <w:t>Human Rights (Parliamentary Scrutiny) Act 2011</w:t>
      </w:r>
      <w:r w:rsidRPr="00907977">
        <w:rPr>
          <w:rFonts w:cs="Times New Roman"/>
          <w:i/>
          <w:szCs w:val="24"/>
        </w:rPr>
        <w:br/>
      </w:r>
    </w:p>
    <w:p w14:paraId="1DB7B402" w14:textId="31DB68FA" w:rsidR="0066581F" w:rsidRPr="00907977" w:rsidRDefault="0066581F" w:rsidP="00C56FD6">
      <w:pPr>
        <w:spacing w:before="120" w:after="120" w:line="240" w:lineRule="auto"/>
        <w:jc w:val="center"/>
        <w:rPr>
          <w:b/>
          <w:i/>
          <w:iCs/>
        </w:rPr>
      </w:pPr>
      <w:r w:rsidRPr="00907977">
        <w:rPr>
          <w:rFonts w:cs="Times New Roman"/>
          <w:b/>
          <w:i/>
          <w:iCs/>
          <w:szCs w:val="24"/>
        </w:rPr>
        <w:t>Health Insurance (Accredited Pathology Laboratories—Approval) Amendment (Relevant Standards) Principles (No.</w:t>
      </w:r>
      <w:r w:rsidR="00201EBF">
        <w:rPr>
          <w:rFonts w:cs="Times New Roman"/>
          <w:b/>
          <w:i/>
          <w:iCs/>
          <w:szCs w:val="24"/>
        </w:rPr>
        <w:t>2</w:t>
      </w:r>
      <w:r w:rsidRPr="00907977">
        <w:rPr>
          <w:rFonts w:cs="Times New Roman"/>
          <w:b/>
          <w:i/>
          <w:iCs/>
          <w:szCs w:val="24"/>
        </w:rPr>
        <w:t>) 202</w:t>
      </w:r>
      <w:r w:rsidR="00C650C9">
        <w:rPr>
          <w:rFonts w:cs="Times New Roman"/>
          <w:b/>
          <w:i/>
          <w:iCs/>
          <w:szCs w:val="24"/>
        </w:rPr>
        <w:t>5</w:t>
      </w:r>
    </w:p>
    <w:p w14:paraId="1D02ABEB" w14:textId="19DD30F9" w:rsidR="00C56FD6" w:rsidRPr="00907977" w:rsidRDefault="00C56FD6" w:rsidP="00C56FD6">
      <w:pPr>
        <w:spacing w:before="120" w:after="120" w:line="240" w:lineRule="auto"/>
        <w:jc w:val="center"/>
        <w:rPr>
          <w:rFonts w:cs="Times New Roman"/>
          <w:szCs w:val="24"/>
        </w:rPr>
      </w:pPr>
      <w:r w:rsidRPr="00907977">
        <w:rPr>
          <w:rFonts w:cs="Times New Roman"/>
          <w:szCs w:val="24"/>
        </w:rPr>
        <w:t xml:space="preserve">This Legislative Instrument is compatible with the human rights and freedoms recognised or declared in the international instruments listed in section 3 of the </w:t>
      </w:r>
      <w:r w:rsidRPr="00907977">
        <w:rPr>
          <w:rFonts w:cs="Times New Roman"/>
          <w:i/>
          <w:szCs w:val="24"/>
        </w:rPr>
        <w:t>Human Rights (Parliamentary Scrutiny) Act 2011</w:t>
      </w:r>
      <w:r w:rsidRPr="00907977">
        <w:rPr>
          <w:rFonts w:cs="Times New Roman"/>
          <w:szCs w:val="24"/>
        </w:rPr>
        <w:t>.</w:t>
      </w:r>
    </w:p>
    <w:p w14:paraId="0A8A0EF2" w14:textId="77777777" w:rsidR="00C56FD6" w:rsidRPr="00907977" w:rsidRDefault="00C56FD6" w:rsidP="00CD1439">
      <w:pPr>
        <w:keepNext/>
        <w:spacing w:after="120"/>
        <w:jc w:val="both"/>
        <w:rPr>
          <w:rFonts w:cs="Times New Roman"/>
          <w:b/>
          <w:szCs w:val="24"/>
        </w:rPr>
      </w:pPr>
      <w:r w:rsidRPr="00907977">
        <w:rPr>
          <w:rFonts w:cs="Times New Roman"/>
          <w:b/>
          <w:szCs w:val="24"/>
        </w:rPr>
        <w:t>Overview of the Legislative Instrument</w:t>
      </w:r>
    </w:p>
    <w:p w14:paraId="63E5CFE8" w14:textId="67C761D1" w:rsidR="000E010D" w:rsidRPr="00907977" w:rsidRDefault="000E010D" w:rsidP="00CD1439">
      <w:pPr>
        <w:keepNext/>
        <w:spacing w:before="120" w:after="120" w:line="240" w:lineRule="auto"/>
      </w:pPr>
      <w:r w:rsidRPr="00907977">
        <w:t xml:space="preserve">This Legislative Instrument </w:t>
      </w:r>
      <w:r w:rsidR="00E4187A" w:rsidRPr="00907977">
        <w:t>amends</w:t>
      </w:r>
      <w:r w:rsidRPr="00907977">
        <w:t xml:space="preserve"> the </w:t>
      </w:r>
      <w:r w:rsidRPr="00907977">
        <w:rPr>
          <w:i/>
        </w:rPr>
        <w:t xml:space="preserve">Health Insurance (Accredited Pathology Laboratories – Approval) Principles 2017 </w:t>
      </w:r>
      <w:r w:rsidRPr="00907977">
        <w:rPr>
          <w:iCs/>
        </w:rPr>
        <w:t>(</w:t>
      </w:r>
      <w:r w:rsidR="00261DB7">
        <w:t>Approval Principles</w:t>
      </w:r>
      <w:r w:rsidRPr="00907977">
        <w:t>) to incorporate</w:t>
      </w:r>
      <w:r w:rsidR="005360FE" w:rsidRPr="00907977">
        <w:t xml:space="preserve"> </w:t>
      </w:r>
      <w:r w:rsidRPr="00907977">
        <w:t>revised version</w:t>
      </w:r>
      <w:r w:rsidR="00D81175">
        <w:t>s</w:t>
      </w:r>
      <w:r w:rsidRPr="00907977">
        <w:t xml:space="preserve"> of</w:t>
      </w:r>
      <w:r w:rsidR="00D8715A">
        <w:t xml:space="preserve"> </w:t>
      </w:r>
      <w:r w:rsidR="00D81175">
        <w:t xml:space="preserve">the </w:t>
      </w:r>
      <w:r w:rsidR="00AF01C7" w:rsidRPr="00907977">
        <w:t xml:space="preserve">National Pathology Accreditation Advisory Council (NPAAC) </w:t>
      </w:r>
      <w:r w:rsidRPr="00907977">
        <w:t>accreditation standard</w:t>
      </w:r>
      <w:r w:rsidR="00174DCC">
        <w:t>s</w:t>
      </w:r>
      <w:r w:rsidRPr="00907977">
        <w:t xml:space="preserve"> currently listed in Schedule 1 of the </w:t>
      </w:r>
      <w:r w:rsidR="00261DB7">
        <w:t>Approval Principles</w:t>
      </w:r>
      <w:r w:rsidRPr="00907977">
        <w:t>, namely the -</w:t>
      </w:r>
    </w:p>
    <w:p w14:paraId="6F91BB38" w14:textId="6700798C" w:rsidR="00174DCC" w:rsidRDefault="004F03DB" w:rsidP="004F03DB">
      <w:pPr>
        <w:pStyle w:val="ListParagraph"/>
        <w:numPr>
          <w:ilvl w:val="0"/>
          <w:numId w:val="31"/>
        </w:numPr>
        <w:spacing w:line="240" w:lineRule="auto"/>
        <w:rPr>
          <w:i/>
          <w:iCs/>
          <w:shd w:val="clear" w:color="auto" w:fill="FFFFFF"/>
        </w:rPr>
      </w:pPr>
      <w:r w:rsidRPr="004F03DB">
        <w:rPr>
          <w:i/>
          <w:iCs/>
          <w:shd w:val="clear" w:color="auto" w:fill="FFFFFF"/>
        </w:rPr>
        <w:t>Requirements for Cervical Screening (Third Edition 2025)</w:t>
      </w:r>
      <w:r w:rsidR="00174DCC" w:rsidRPr="000338A7">
        <w:rPr>
          <w:shd w:val="clear" w:color="auto" w:fill="FFFFFF"/>
        </w:rPr>
        <w:t>;</w:t>
      </w:r>
      <w:r w:rsidRPr="000338A7">
        <w:rPr>
          <w:shd w:val="clear" w:color="auto" w:fill="FFFFFF"/>
        </w:rPr>
        <w:t xml:space="preserve"> and </w:t>
      </w:r>
    </w:p>
    <w:p w14:paraId="5B66A434" w14:textId="7DA048CC" w:rsidR="004F03DB" w:rsidRPr="004F03DB" w:rsidRDefault="004F03DB" w:rsidP="004F03DB">
      <w:pPr>
        <w:pStyle w:val="ListParagraph"/>
        <w:numPr>
          <w:ilvl w:val="0"/>
          <w:numId w:val="31"/>
        </w:numPr>
        <w:spacing w:line="240" w:lineRule="auto"/>
        <w:rPr>
          <w:i/>
          <w:iCs/>
          <w:shd w:val="clear" w:color="auto" w:fill="FFFFFF"/>
        </w:rPr>
      </w:pPr>
      <w:r w:rsidRPr="004F03DB">
        <w:rPr>
          <w:i/>
          <w:iCs/>
          <w:shd w:val="clear" w:color="auto" w:fill="FFFFFF"/>
        </w:rPr>
        <w:t>Requirements for supervision in the clinical governance of medical pathology laboratories (Eight</w:t>
      </w:r>
      <w:r w:rsidR="004C166D">
        <w:rPr>
          <w:i/>
          <w:iCs/>
          <w:shd w:val="clear" w:color="auto" w:fill="FFFFFF"/>
        </w:rPr>
        <w:t>h</w:t>
      </w:r>
      <w:r w:rsidRPr="004F03DB">
        <w:rPr>
          <w:i/>
          <w:iCs/>
          <w:shd w:val="clear" w:color="auto" w:fill="FFFFFF"/>
        </w:rPr>
        <w:t xml:space="preserve"> Edition 2025)</w:t>
      </w:r>
    </w:p>
    <w:p w14:paraId="405A30EC" w14:textId="6D3A70FC" w:rsidR="00422D6D" w:rsidRPr="00907977" w:rsidRDefault="00422D6D" w:rsidP="00422D6D">
      <w:pPr>
        <w:spacing w:line="240" w:lineRule="auto"/>
      </w:pPr>
      <w:r w:rsidRPr="00907977">
        <w:t xml:space="preserve">The </w:t>
      </w:r>
      <w:r w:rsidR="00261DB7">
        <w:t>Approval Principles</w:t>
      </w:r>
      <w:r w:rsidR="00FE214D" w:rsidRPr="00907977">
        <w:t xml:space="preserve"> are made by the </w:t>
      </w:r>
      <w:r w:rsidRPr="00907977">
        <w:t xml:space="preserve">Minister under </w:t>
      </w:r>
      <w:r w:rsidR="00E4187A" w:rsidRPr="00907977">
        <w:t>sub</w:t>
      </w:r>
      <w:r w:rsidRPr="00907977">
        <w:t>section 23DN</w:t>
      </w:r>
      <w:r w:rsidR="00D94434" w:rsidRPr="00907977">
        <w:t>A(1)</w:t>
      </w:r>
      <w:r w:rsidRPr="00907977">
        <w:t xml:space="preserve"> of </w:t>
      </w:r>
      <w:r w:rsidR="00E4187A" w:rsidRPr="00907977">
        <w:t xml:space="preserve">the </w:t>
      </w:r>
      <w:r w:rsidR="00E4187A" w:rsidRPr="00907977">
        <w:rPr>
          <w:i/>
          <w:iCs/>
        </w:rPr>
        <w:t xml:space="preserve">Health Insurance Act 1973 </w:t>
      </w:r>
      <w:r w:rsidR="00E4187A" w:rsidRPr="00907977">
        <w:t>(</w:t>
      </w:r>
      <w:r w:rsidRPr="00907977">
        <w:t>the Act</w:t>
      </w:r>
      <w:r w:rsidR="00E4187A" w:rsidRPr="00907977">
        <w:t>)</w:t>
      </w:r>
      <w:r w:rsidRPr="00907977">
        <w:t xml:space="preserve"> </w:t>
      </w:r>
      <w:r w:rsidR="00FE214D" w:rsidRPr="00907977">
        <w:t xml:space="preserve">and </w:t>
      </w:r>
      <w:r w:rsidR="004A44AC">
        <w:t xml:space="preserve">will be </w:t>
      </w:r>
      <w:r w:rsidR="00FE214D" w:rsidRPr="00907977">
        <w:t xml:space="preserve">applied in exercising the Minister’s powers </w:t>
      </w:r>
      <w:r w:rsidRPr="00907977">
        <w:t xml:space="preserve">to approve in principle, or refuse to approve, premises as an accredited pathology laboratory. </w:t>
      </w:r>
    </w:p>
    <w:p w14:paraId="5F139716" w14:textId="0AE4416C" w:rsidR="00422D6D" w:rsidRPr="00907977" w:rsidRDefault="00422D6D" w:rsidP="00422D6D">
      <w:pPr>
        <w:spacing w:line="240" w:lineRule="auto"/>
      </w:pPr>
      <w:r w:rsidRPr="00907977">
        <w:t xml:space="preserve">With the exception of some basic tests conducted by some medical practitioners within their own medical practice, Medicare benefits for pathology services are only payable when they are rendered by or on behalf of an approved pathology practitioner, in an accredited pathology laboratory operated by an approved pathology authority. The </w:t>
      </w:r>
      <w:r w:rsidR="00261DB7">
        <w:t>Approval Principles</w:t>
      </w:r>
      <w:r w:rsidRPr="00907977">
        <w:t xml:space="preserve"> approved under section 23DNA</w:t>
      </w:r>
      <w:r w:rsidR="004A44AC">
        <w:t xml:space="preserve"> of the Act</w:t>
      </w:r>
      <w:r w:rsidRPr="00907977">
        <w:t xml:space="preserve"> operate to ensure that appropriate standards are met and maintained in pathology laboratories at which Medicare eligible pathology services can be provided.</w:t>
      </w:r>
    </w:p>
    <w:p w14:paraId="0D982087" w14:textId="7EE01DC6" w:rsidR="00422D6D" w:rsidRPr="00907977" w:rsidRDefault="00422D6D" w:rsidP="00422D6D">
      <w:pPr>
        <w:spacing w:line="240" w:lineRule="auto"/>
      </w:pPr>
      <w:r w:rsidRPr="00907977">
        <w:t xml:space="preserve">The </w:t>
      </w:r>
      <w:r w:rsidR="00261DB7">
        <w:t>Approval Principles</w:t>
      </w:r>
      <w:r w:rsidRPr="00907977">
        <w:t xml:space="preserve"> set out the criteria for different categories of accredited pathology laboratories and specify the standards that must be met as part of the accreditation assessment for each category of laboratory and kinds of services provided in that laboratory. The overarching objectives of the</w:t>
      </w:r>
      <w:r w:rsidR="00AB7F5A">
        <w:t xml:space="preserve"> </w:t>
      </w:r>
      <w:r w:rsidR="00261DB7">
        <w:t>Approval Principles</w:t>
      </w:r>
      <w:r w:rsidRPr="00907977">
        <w:t xml:space="preserve"> include promoting the delivery of reliable test results and reducing the risk of misdiagnosis in the provision of pathology services.</w:t>
      </w:r>
    </w:p>
    <w:p w14:paraId="3DE6F6FE" w14:textId="7E582A45" w:rsidR="00EE7E96" w:rsidRPr="00907977" w:rsidRDefault="00422D6D" w:rsidP="00422D6D">
      <w:pPr>
        <w:spacing w:line="240" w:lineRule="auto"/>
      </w:pPr>
      <w:r w:rsidRPr="00907977">
        <w:t xml:space="preserve">The Schedule to the </w:t>
      </w:r>
      <w:r w:rsidR="00261DB7">
        <w:t>Approval Principles</w:t>
      </w:r>
      <w:r w:rsidRPr="00907977">
        <w:t xml:space="preserve"> specifies accreditation materials that set out relevant standards against which applicants for accreditation are to be assessed. These documents are developed and maintained by </w:t>
      </w:r>
      <w:r w:rsidR="00D81175">
        <w:t xml:space="preserve">the </w:t>
      </w:r>
      <w:r w:rsidRPr="00907977">
        <w:t xml:space="preserve">NPAAC or endorsed by </w:t>
      </w:r>
      <w:r w:rsidR="00D81175">
        <w:t>them</w:t>
      </w:r>
      <w:r w:rsidRPr="00907977">
        <w:t xml:space="preserve"> as supplementary accreditation materials. </w:t>
      </w:r>
    </w:p>
    <w:p w14:paraId="10D36BBA" w14:textId="090D255F" w:rsidR="00E11389" w:rsidRDefault="00EE7E96" w:rsidP="00E11389">
      <w:pPr>
        <w:spacing w:after="240" w:line="240" w:lineRule="auto"/>
        <w:rPr>
          <w:rFonts w:cs="Times New Roman"/>
          <w:szCs w:val="24"/>
        </w:rPr>
      </w:pPr>
      <w:r w:rsidRPr="00907977">
        <w:t>NPAAC and the National Pathology Accreditation Scheme are supported by the Australian Commission on Safety and Quality in Health Care (the Commission) under an arrangement with the Department of Health</w:t>
      </w:r>
      <w:r w:rsidR="00D81175">
        <w:t>, Disability</w:t>
      </w:r>
      <w:r w:rsidRPr="00907977">
        <w:t xml:space="preserve"> and Age</w:t>
      </w:r>
      <w:r w:rsidR="00D81175">
        <w:t>ing</w:t>
      </w:r>
      <w:r w:rsidRPr="00907977">
        <w:t xml:space="preserve"> (the Department). The Department holds policy and regulatory responsibilities for pathology accreditation</w:t>
      </w:r>
      <w:r w:rsidR="00E11389" w:rsidRPr="0017238F">
        <w:rPr>
          <w:rFonts w:cs="Times New Roman"/>
          <w:szCs w:val="24"/>
        </w:rPr>
        <w:t xml:space="preserve"> and the National Association of Testing Authorities, Australia (NATA) is the independent assessment body </w:t>
      </w:r>
      <w:r w:rsidR="00E11389" w:rsidRPr="0017238F">
        <w:rPr>
          <w:rFonts w:cs="Times New Roman"/>
          <w:szCs w:val="24"/>
        </w:rPr>
        <w:lastRenderedPageBreak/>
        <w:t>that conducts the accreditation assessment of pathology laboratories with relevant accreditation standards.</w:t>
      </w:r>
    </w:p>
    <w:p w14:paraId="7D3C3D34" w14:textId="06BD8F32" w:rsidR="004C3152" w:rsidRPr="000340D5" w:rsidRDefault="004C3152" w:rsidP="00D7220E">
      <w:pPr>
        <w:spacing w:before="120" w:after="120" w:line="240" w:lineRule="auto"/>
        <w:rPr>
          <w:rFonts w:cs="Calibri"/>
        </w:rPr>
      </w:pPr>
      <w:r w:rsidRPr="000340D5">
        <w:t>The review of these pathology accreditation standards is part of the ongoing process of refining the pathology accreditation requirements to maintain their currency and to ensure they reflect contemporary clinical best practice</w:t>
      </w:r>
      <w:r w:rsidR="00EB4FC8" w:rsidRPr="000340D5">
        <w:t xml:space="preserve"> and </w:t>
      </w:r>
      <w:r w:rsidR="004C166D">
        <w:t>are</w:t>
      </w:r>
      <w:r w:rsidR="00EB4FC8" w:rsidRPr="000340D5">
        <w:t xml:space="preserve"> responsive to operational requirements for the pathology sector</w:t>
      </w:r>
      <w:r w:rsidRPr="000340D5">
        <w:t xml:space="preserve">. They should be read in conjunction with the NPAAC overarching document, the </w:t>
      </w:r>
      <w:bookmarkStart w:id="5" w:name="_Hlk98484538"/>
      <w:r w:rsidRPr="000340D5">
        <w:rPr>
          <w:i/>
          <w:iCs/>
        </w:rPr>
        <w:t>Requirements for Medical Pathology Services</w:t>
      </w:r>
      <w:r w:rsidR="0041258D" w:rsidRPr="000340D5">
        <w:t xml:space="preserve"> </w:t>
      </w:r>
      <w:bookmarkEnd w:id="5"/>
      <w:r w:rsidR="00E11389">
        <w:t xml:space="preserve">(Third Edition 2018) </w:t>
      </w:r>
      <w:r w:rsidRPr="000340D5">
        <w:t xml:space="preserve">which sets out the core elements of good laboratory practice, in addition to the other materials that form the national pathology accreditation framework. Copies of the pathology accreditation materials </w:t>
      </w:r>
      <w:r w:rsidR="00C11A79" w:rsidRPr="000340D5">
        <w:t xml:space="preserve">are published </w:t>
      </w:r>
      <w:r w:rsidR="008111DD" w:rsidRPr="000340D5">
        <w:t xml:space="preserve">on </w:t>
      </w:r>
      <w:r w:rsidR="00C11A79" w:rsidRPr="000340D5">
        <w:t>the Commission</w:t>
      </w:r>
      <w:r w:rsidR="00EE7E96" w:rsidRPr="000340D5">
        <w:t>’s</w:t>
      </w:r>
      <w:r w:rsidR="00F237BC" w:rsidRPr="000340D5">
        <w:t xml:space="preserve"> </w:t>
      </w:r>
      <w:r w:rsidR="0048295F" w:rsidRPr="000340D5">
        <w:t xml:space="preserve">pathology accreditation standards </w:t>
      </w:r>
      <w:r w:rsidR="00C11A79" w:rsidRPr="000340D5">
        <w:t>web</w:t>
      </w:r>
      <w:r w:rsidR="0048295F" w:rsidRPr="000340D5">
        <w:t>page</w:t>
      </w:r>
      <w:r w:rsidR="008111DD" w:rsidRPr="000340D5">
        <w:t xml:space="preserve"> (</w:t>
      </w:r>
      <w:r w:rsidR="00CB76C6" w:rsidRPr="002A5EB8">
        <w:rPr>
          <w:u w:val="single"/>
        </w:rPr>
        <w:t>https://www.safetyandquality.gov.au/our-work/accreditation/pathology-accreditation-standards#national-pathology-accreditation-standards</w:t>
      </w:r>
      <w:r w:rsidR="008111DD" w:rsidRPr="000340D5">
        <w:t>).</w:t>
      </w:r>
      <w:r w:rsidR="00C11A79" w:rsidRPr="000340D5">
        <w:t xml:space="preserve"> </w:t>
      </w:r>
    </w:p>
    <w:p w14:paraId="7BB41ACB" w14:textId="60AF504C" w:rsidR="00C56FD6" w:rsidRPr="00907977" w:rsidRDefault="00C56FD6" w:rsidP="00D7220E">
      <w:pPr>
        <w:spacing w:before="120" w:after="120" w:line="240" w:lineRule="auto"/>
        <w:rPr>
          <w:rFonts w:cs="Times New Roman"/>
          <w:szCs w:val="24"/>
        </w:rPr>
      </w:pPr>
      <w:r w:rsidRPr="000340D5">
        <w:rPr>
          <w:rFonts w:cs="Times New Roman"/>
          <w:szCs w:val="24"/>
        </w:rPr>
        <w:t>The pathology accreditation standards are aimed at assuring the quality of Australian</w:t>
      </w:r>
      <w:r w:rsidRPr="0057328A">
        <w:rPr>
          <w:rFonts w:cs="Times New Roman"/>
          <w:szCs w:val="24"/>
        </w:rPr>
        <w:t xml:space="preserve"> pathology services.</w:t>
      </w:r>
    </w:p>
    <w:p w14:paraId="4774E00C" w14:textId="77777777" w:rsidR="00C56FD6" w:rsidRPr="00907977" w:rsidRDefault="00C56FD6" w:rsidP="00CD1439">
      <w:pPr>
        <w:keepNext/>
        <w:spacing w:line="240" w:lineRule="auto"/>
        <w:rPr>
          <w:rFonts w:cs="Times New Roman"/>
          <w:szCs w:val="24"/>
        </w:rPr>
      </w:pPr>
      <w:r w:rsidRPr="00907977">
        <w:rPr>
          <w:rFonts w:cs="Times New Roman"/>
          <w:b/>
          <w:szCs w:val="24"/>
        </w:rPr>
        <w:t>Human rights implications</w:t>
      </w:r>
    </w:p>
    <w:p w14:paraId="72BC9D5C" w14:textId="3078A8E1" w:rsidR="00E40343" w:rsidRPr="00907977" w:rsidRDefault="00E40343" w:rsidP="00CD1439">
      <w:pPr>
        <w:keepNext/>
        <w:spacing w:before="120" w:line="240" w:lineRule="auto"/>
        <w:rPr>
          <w:color w:val="000000"/>
          <w:shd w:val="clear" w:color="auto" w:fill="FFFFFF"/>
        </w:rPr>
      </w:pPr>
      <w:r w:rsidRPr="00907977">
        <w:rPr>
          <w:color w:val="000000"/>
          <w:shd w:val="clear" w:color="auto" w:fill="FFFFFF"/>
        </w:rPr>
        <w:t>This instrument engages Articles 9 and 12 of the International Covenant on Economic Social and Cultural Rights (ICESCR), specifically the rights to health and social security.</w:t>
      </w:r>
    </w:p>
    <w:p w14:paraId="62E17873" w14:textId="77777777" w:rsidR="00E40343" w:rsidRPr="00907977" w:rsidRDefault="00E40343" w:rsidP="00CD1439">
      <w:pPr>
        <w:keepNext/>
        <w:shd w:val="clear" w:color="auto" w:fill="FFFFFF"/>
        <w:spacing w:before="120" w:after="120" w:line="240" w:lineRule="auto"/>
        <w:rPr>
          <w:rFonts w:eastAsia="Times New Roman" w:cs="Times New Roman"/>
          <w:color w:val="000000"/>
          <w:szCs w:val="24"/>
          <w:lang w:eastAsia="en-AU"/>
        </w:rPr>
      </w:pPr>
      <w:r w:rsidRPr="00907977">
        <w:rPr>
          <w:rFonts w:eastAsia="Times New Roman" w:cs="Times New Roman"/>
          <w:i/>
          <w:iCs/>
          <w:color w:val="000000"/>
          <w:szCs w:val="24"/>
          <w:lang w:eastAsia="en-AU"/>
        </w:rPr>
        <w:t>The Right to Health</w:t>
      </w:r>
    </w:p>
    <w:p w14:paraId="7ED6C238" w14:textId="28D82C98" w:rsidR="00E40343" w:rsidRPr="00907977" w:rsidRDefault="00E40343" w:rsidP="00CD1439">
      <w:pPr>
        <w:keepNext/>
        <w:shd w:val="clear" w:color="auto" w:fill="FFFFFF"/>
        <w:spacing w:before="120" w:after="120" w:line="240" w:lineRule="auto"/>
        <w:rPr>
          <w:rFonts w:eastAsia="Times New Roman" w:cs="Times New Roman"/>
          <w:color w:val="000000"/>
          <w:szCs w:val="24"/>
          <w:lang w:eastAsia="en-AU"/>
        </w:rPr>
      </w:pPr>
      <w:r w:rsidRPr="00907977">
        <w:rPr>
          <w:rFonts w:eastAsia="Times New Roman" w:cs="Times New Roman"/>
          <w:color w:val="000000"/>
          <w:szCs w:val="24"/>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r w:rsidR="00EB4FC8" w:rsidRPr="00907977">
        <w:rPr>
          <w:rFonts w:eastAsia="Times New Roman" w:cs="Times New Roman"/>
          <w:color w:val="000000"/>
          <w:szCs w:val="24"/>
          <w:lang w:eastAsia="en-AU"/>
        </w:rPr>
        <w:t>healthy but</w:t>
      </w:r>
      <w:r w:rsidRPr="00907977">
        <w:rPr>
          <w:rFonts w:eastAsia="Times New Roman" w:cs="Times New Roman"/>
          <w:color w:val="000000"/>
          <w:szCs w:val="24"/>
          <w:lang w:eastAsia="en-AU"/>
        </w:rPr>
        <w:t xml:space="preserve"> is a right to a system of health protection which provides equality of opportunity for people to enjoy the highest attainable level of health.</w:t>
      </w:r>
    </w:p>
    <w:p w14:paraId="0FE5D482" w14:textId="789FCCFB" w:rsidR="00E40343" w:rsidRPr="00907977" w:rsidRDefault="00E40343" w:rsidP="00E40343">
      <w:pPr>
        <w:shd w:val="clear" w:color="auto" w:fill="FFFFFF"/>
        <w:spacing w:before="120" w:after="120" w:line="240" w:lineRule="auto"/>
        <w:rPr>
          <w:rFonts w:eastAsia="Times New Roman" w:cs="Times New Roman"/>
          <w:color w:val="000000"/>
          <w:szCs w:val="24"/>
          <w:lang w:eastAsia="en-AU"/>
        </w:rPr>
      </w:pPr>
      <w:r w:rsidRPr="00907977">
        <w:rPr>
          <w:rFonts w:eastAsia="Times New Roman" w:cs="Times New Roman"/>
          <w:color w:val="000000"/>
          <w:szCs w:val="24"/>
          <w:lang w:eastAsia="en-AU"/>
        </w:rPr>
        <w:t>The Committee reports that the</w:t>
      </w:r>
      <w:r w:rsidR="00EB4FC8" w:rsidRPr="00907977">
        <w:rPr>
          <w:rFonts w:eastAsia="Times New Roman" w:cs="Times New Roman"/>
          <w:color w:val="000000"/>
          <w:szCs w:val="24"/>
          <w:lang w:eastAsia="en-AU"/>
        </w:rPr>
        <w:t xml:space="preserve"> </w:t>
      </w:r>
      <w:r w:rsidRPr="00907977">
        <w:rPr>
          <w:rFonts w:eastAsia="Times New Roman" w:cs="Times New Roman"/>
          <w:i/>
          <w:iCs/>
          <w:color w:val="000000"/>
          <w:szCs w:val="24"/>
          <w:lang w:eastAsia="en-AU"/>
        </w:rPr>
        <w:t>‘highest attainable standard of health’</w:t>
      </w:r>
      <w:r w:rsidR="00EB4FC8" w:rsidRPr="00907977">
        <w:rPr>
          <w:rFonts w:eastAsia="Times New Roman" w:cs="Times New Roman"/>
          <w:color w:val="000000"/>
          <w:szCs w:val="24"/>
          <w:lang w:eastAsia="en-AU"/>
        </w:rPr>
        <w:t xml:space="preserve"> </w:t>
      </w:r>
      <w:r w:rsidRPr="00907977">
        <w:rPr>
          <w:rFonts w:eastAsia="Times New Roman" w:cs="Times New Roman"/>
          <w:color w:val="000000"/>
          <w:szCs w:val="24"/>
          <w:lang w:eastAsia="en-AU"/>
        </w:rPr>
        <w:t>takes into account the country’s available resources. This right may be understood as a right of access to a variety of public health and health care facilities, goods, services, programs, and conditions necessary for the realisation of the highest attainable standard of health.</w:t>
      </w:r>
    </w:p>
    <w:p w14:paraId="7F1643EF" w14:textId="77777777" w:rsidR="00E40343" w:rsidRPr="00907977" w:rsidRDefault="00E40343" w:rsidP="00CD1439">
      <w:pPr>
        <w:keepNext/>
        <w:shd w:val="clear" w:color="auto" w:fill="FFFFFF"/>
        <w:spacing w:before="120" w:after="120" w:line="240" w:lineRule="auto"/>
        <w:rPr>
          <w:rFonts w:eastAsia="Times New Roman" w:cs="Times New Roman"/>
          <w:color w:val="000000"/>
          <w:szCs w:val="24"/>
          <w:lang w:eastAsia="en-AU"/>
        </w:rPr>
      </w:pPr>
      <w:r w:rsidRPr="00907977">
        <w:rPr>
          <w:rFonts w:eastAsia="Times New Roman" w:cs="Times New Roman"/>
          <w:i/>
          <w:iCs/>
          <w:color w:val="000000"/>
          <w:szCs w:val="24"/>
          <w:lang w:eastAsia="en-AU"/>
        </w:rPr>
        <w:t>The Right to Social Security</w:t>
      </w:r>
    </w:p>
    <w:p w14:paraId="14391752" w14:textId="77777777" w:rsidR="00E40343" w:rsidRPr="00907977" w:rsidRDefault="00E40343" w:rsidP="00CD1439">
      <w:pPr>
        <w:keepNext/>
        <w:shd w:val="clear" w:color="auto" w:fill="FFFFFF"/>
        <w:spacing w:before="120" w:after="120" w:line="240" w:lineRule="auto"/>
        <w:rPr>
          <w:rFonts w:eastAsia="Times New Roman" w:cs="Times New Roman"/>
          <w:color w:val="000000"/>
          <w:szCs w:val="24"/>
          <w:lang w:eastAsia="en-AU"/>
        </w:rPr>
      </w:pPr>
      <w:r w:rsidRPr="00907977">
        <w:rPr>
          <w:rFonts w:eastAsia="Times New Roman" w:cs="Times New Roman"/>
          <w:color w:val="000000"/>
          <w:szCs w:val="24"/>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48D6FB9D" w14:textId="3FB7AA0B" w:rsidR="00D8715A" w:rsidRPr="00CD1439" w:rsidRDefault="00E40343" w:rsidP="00CD1439">
      <w:pPr>
        <w:shd w:val="clear" w:color="auto" w:fill="FFFFFF"/>
        <w:spacing w:before="120" w:after="120" w:line="240" w:lineRule="auto"/>
        <w:rPr>
          <w:rFonts w:eastAsia="Times New Roman" w:cs="Times New Roman"/>
          <w:color w:val="000000"/>
          <w:szCs w:val="24"/>
          <w:lang w:eastAsia="en-AU"/>
        </w:rPr>
      </w:pPr>
      <w:r w:rsidRPr="00907977">
        <w:rPr>
          <w:rFonts w:eastAsia="Times New Roman" w:cs="Times New Roman"/>
          <w:color w:val="000000"/>
          <w:szCs w:val="24"/>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6BE76BCC" w14:textId="380C3EEE" w:rsidR="00E40343" w:rsidRPr="00907977" w:rsidRDefault="00E40343" w:rsidP="00CD1439">
      <w:pPr>
        <w:keepNext/>
        <w:spacing w:before="120" w:line="240" w:lineRule="auto"/>
      </w:pPr>
      <w:r w:rsidRPr="00907977">
        <w:rPr>
          <w:i/>
          <w:iCs/>
        </w:rPr>
        <w:lastRenderedPageBreak/>
        <w:t xml:space="preserve">Analysis </w:t>
      </w:r>
    </w:p>
    <w:p w14:paraId="27C1FB03" w14:textId="4DE86EB7" w:rsidR="004C3152" w:rsidRPr="00907977" w:rsidRDefault="004C3152" w:rsidP="00CD1439">
      <w:pPr>
        <w:keepNext/>
        <w:spacing w:before="120" w:line="240" w:lineRule="auto"/>
      </w:pPr>
      <w:r w:rsidRPr="00907977">
        <w:t xml:space="preserve">The Legislative Instrument </w:t>
      </w:r>
      <w:r w:rsidR="00E40343" w:rsidRPr="00907977">
        <w:t xml:space="preserve">advances the right to health and the right to social security by ensuring appropriate accreditation </w:t>
      </w:r>
      <w:r w:rsidR="005812A0" w:rsidRPr="00907977">
        <w:t>requirements</w:t>
      </w:r>
      <w:r w:rsidR="00E40343" w:rsidRPr="00907977">
        <w:t xml:space="preserve"> </w:t>
      </w:r>
      <w:r w:rsidR="005812A0" w:rsidRPr="00907977">
        <w:t>are in place to</w:t>
      </w:r>
      <w:r w:rsidR="00E40343" w:rsidRPr="00907977">
        <w:t xml:space="preserve"> </w:t>
      </w:r>
      <w:r w:rsidRPr="00907977">
        <w:t>maintain access</w:t>
      </w:r>
      <w:r w:rsidR="002603A8" w:rsidRPr="00907977">
        <w:t xml:space="preserve"> to</w:t>
      </w:r>
      <w:r w:rsidRPr="00907977">
        <w:t xml:space="preserve"> quality, safe, clinically relevant and cost-effective Medicare eligible pathology services.</w:t>
      </w:r>
    </w:p>
    <w:p w14:paraId="1BD56CEA" w14:textId="49F11A15" w:rsidR="003B6A0D" w:rsidRPr="00907977" w:rsidRDefault="003B6A0D" w:rsidP="003B6A0D">
      <w:pPr>
        <w:spacing w:before="120" w:line="240" w:lineRule="auto"/>
      </w:pPr>
      <w:r w:rsidRPr="00907977">
        <w:rPr>
          <w:rFonts w:cs="Times New Roman"/>
          <w:szCs w:val="24"/>
        </w:rPr>
        <w:t xml:space="preserve">The revised </w:t>
      </w:r>
      <w:r w:rsidR="007A2AD5" w:rsidRPr="00907977">
        <w:rPr>
          <w:iCs/>
        </w:rPr>
        <w:t>accreditation standard set</w:t>
      </w:r>
      <w:r w:rsidR="007A48B4">
        <w:rPr>
          <w:iCs/>
        </w:rPr>
        <w:t>s</w:t>
      </w:r>
      <w:r w:rsidR="007A2AD5" w:rsidRPr="00907977">
        <w:rPr>
          <w:iCs/>
        </w:rPr>
        <w:t xml:space="preserve"> out </w:t>
      </w:r>
      <w:r w:rsidR="007A48B4">
        <w:rPr>
          <w:iCs/>
        </w:rPr>
        <w:t xml:space="preserve">the </w:t>
      </w:r>
      <w:r w:rsidR="007A2AD5" w:rsidRPr="00907977">
        <w:rPr>
          <w:iCs/>
        </w:rPr>
        <w:t>minimum acceptable standards for good laboratory practice,</w:t>
      </w:r>
      <w:r w:rsidRPr="00907977">
        <w:rPr>
          <w:rFonts w:cs="Times New Roman"/>
          <w:szCs w:val="24"/>
        </w:rPr>
        <w:t xml:space="preserve"> so that patient access is not affected whilst still maintaining appropriate requirements for </w:t>
      </w:r>
      <w:r w:rsidRPr="00907977">
        <w:t xml:space="preserve">quality, safe, clinically relevant and cost-effective Medicare eligible pathology services.  </w:t>
      </w:r>
    </w:p>
    <w:p w14:paraId="57C75D35" w14:textId="2C290530" w:rsidR="004C3152" w:rsidRPr="00907977" w:rsidRDefault="004C3152" w:rsidP="004C3152">
      <w:pPr>
        <w:spacing w:line="240" w:lineRule="auto"/>
      </w:pPr>
      <w:r w:rsidRPr="00907977">
        <w:t xml:space="preserve">The revision of pathology accreditation standards is part of the ongoing process of refining accreditation requirements to maintain their currency and to ensure they reflect contemporary clinical best practice </w:t>
      </w:r>
      <w:r w:rsidR="004C166D">
        <w:t>in</w:t>
      </w:r>
      <w:r w:rsidRPr="00907977">
        <w:t xml:space="preserve"> a comprehensive format. This helps assure the quality of Australian pathology services. </w:t>
      </w:r>
    </w:p>
    <w:p w14:paraId="57860BB8" w14:textId="77777777" w:rsidR="00C56FD6" w:rsidRPr="00907977" w:rsidRDefault="00C56FD6" w:rsidP="00CD1439">
      <w:pPr>
        <w:keepNext/>
        <w:spacing w:line="240" w:lineRule="auto"/>
        <w:rPr>
          <w:rFonts w:cs="Times New Roman"/>
          <w:b/>
          <w:szCs w:val="24"/>
        </w:rPr>
      </w:pPr>
      <w:r w:rsidRPr="00907977">
        <w:rPr>
          <w:rFonts w:cs="Times New Roman"/>
          <w:b/>
          <w:szCs w:val="24"/>
        </w:rPr>
        <w:t>Conclusion</w:t>
      </w:r>
    </w:p>
    <w:p w14:paraId="4C7C6C35" w14:textId="4C33B062" w:rsidR="00C56FD6" w:rsidRPr="00907977" w:rsidRDefault="00C56FD6" w:rsidP="00CD1439">
      <w:pPr>
        <w:keepNext/>
        <w:spacing w:line="240" w:lineRule="auto"/>
        <w:rPr>
          <w:rFonts w:cs="Times New Roman"/>
          <w:szCs w:val="24"/>
        </w:rPr>
      </w:pPr>
      <w:r w:rsidRPr="00907977">
        <w:rPr>
          <w:rFonts w:cs="Times New Roman"/>
          <w:szCs w:val="24"/>
        </w:rPr>
        <w:t xml:space="preserve">This Legislative Instrument is compatible with human rights as it </w:t>
      </w:r>
      <w:r w:rsidR="00E40343" w:rsidRPr="00907977">
        <w:rPr>
          <w:rFonts w:cs="Times New Roman"/>
          <w:szCs w:val="24"/>
        </w:rPr>
        <w:t xml:space="preserve">advances the right to health and the right to social security. </w:t>
      </w:r>
    </w:p>
    <w:p w14:paraId="76026A74" w14:textId="77777777" w:rsidR="009F6C4E" w:rsidRPr="00907977" w:rsidRDefault="009F6C4E" w:rsidP="00C56FD6">
      <w:pPr>
        <w:spacing w:line="240" w:lineRule="auto"/>
        <w:rPr>
          <w:rFonts w:cs="Times New Roman"/>
          <w:szCs w:val="24"/>
        </w:rPr>
      </w:pPr>
    </w:p>
    <w:p w14:paraId="05833184" w14:textId="7351A8F6" w:rsidR="00C56FD6" w:rsidRPr="00907977" w:rsidRDefault="00B7508D" w:rsidP="00C56FD6">
      <w:pPr>
        <w:spacing w:after="0" w:line="240" w:lineRule="auto"/>
        <w:jc w:val="center"/>
        <w:rPr>
          <w:rFonts w:cs="Times New Roman"/>
          <w:b/>
          <w:szCs w:val="24"/>
        </w:rPr>
      </w:pPr>
      <w:r w:rsidRPr="00907977">
        <w:rPr>
          <w:rFonts w:cs="Times New Roman"/>
          <w:b/>
          <w:szCs w:val="24"/>
        </w:rPr>
        <w:t>Mary Warner</w:t>
      </w:r>
    </w:p>
    <w:p w14:paraId="150F3F71" w14:textId="3D78BB3E" w:rsidR="00C56FD6" w:rsidRPr="00907977" w:rsidRDefault="00C56FD6" w:rsidP="00C56FD6">
      <w:pPr>
        <w:spacing w:after="0" w:line="240" w:lineRule="auto"/>
        <w:jc w:val="center"/>
        <w:rPr>
          <w:rFonts w:cs="Times New Roman"/>
          <w:b/>
          <w:szCs w:val="24"/>
        </w:rPr>
      </w:pPr>
      <w:r w:rsidRPr="00907977">
        <w:rPr>
          <w:rFonts w:cs="Times New Roman"/>
          <w:b/>
          <w:szCs w:val="24"/>
        </w:rPr>
        <w:t>Assistant Secretary</w:t>
      </w:r>
    </w:p>
    <w:p w14:paraId="265DFE5D" w14:textId="0202F68E" w:rsidR="00C56FD6" w:rsidRPr="00907977" w:rsidRDefault="00C56FD6" w:rsidP="00C56FD6">
      <w:pPr>
        <w:spacing w:after="0" w:line="240" w:lineRule="auto"/>
        <w:jc w:val="center"/>
        <w:rPr>
          <w:rFonts w:cs="Times New Roman"/>
          <w:b/>
          <w:szCs w:val="24"/>
        </w:rPr>
      </w:pPr>
      <w:r w:rsidRPr="00907977">
        <w:rPr>
          <w:rFonts w:cs="Times New Roman"/>
          <w:b/>
          <w:szCs w:val="24"/>
        </w:rPr>
        <w:t>Medica</w:t>
      </w:r>
      <w:r w:rsidR="00B7508D" w:rsidRPr="00907977">
        <w:rPr>
          <w:rFonts w:cs="Times New Roman"/>
          <w:b/>
          <w:szCs w:val="24"/>
        </w:rPr>
        <w:t xml:space="preserve">re </w:t>
      </w:r>
      <w:r w:rsidRPr="00907977">
        <w:rPr>
          <w:rFonts w:cs="Times New Roman"/>
          <w:b/>
          <w:szCs w:val="24"/>
        </w:rPr>
        <w:t xml:space="preserve">Benefits </w:t>
      </w:r>
      <w:r w:rsidR="00B7508D" w:rsidRPr="00907977">
        <w:rPr>
          <w:rFonts w:cs="Times New Roman"/>
          <w:b/>
          <w:szCs w:val="24"/>
        </w:rPr>
        <w:t xml:space="preserve">and Digital Health </w:t>
      </w:r>
      <w:r w:rsidRPr="00907977">
        <w:rPr>
          <w:rFonts w:cs="Times New Roman"/>
          <w:b/>
          <w:szCs w:val="24"/>
        </w:rPr>
        <w:t>Division</w:t>
      </w:r>
    </w:p>
    <w:p w14:paraId="5D0FA219" w14:textId="367BF0A7" w:rsidR="00AE5F2D" w:rsidRPr="00907977" w:rsidRDefault="00AE5F2D" w:rsidP="00C56FD6">
      <w:pPr>
        <w:spacing w:after="0" w:line="240" w:lineRule="auto"/>
        <w:jc w:val="center"/>
        <w:rPr>
          <w:rFonts w:cs="Times New Roman"/>
          <w:b/>
          <w:szCs w:val="24"/>
        </w:rPr>
      </w:pPr>
      <w:r w:rsidRPr="00907977">
        <w:rPr>
          <w:rFonts w:cs="Times New Roman"/>
          <w:b/>
          <w:szCs w:val="24"/>
        </w:rPr>
        <w:t>Health Resourcing Group</w:t>
      </w:r>
    </w:p>
    <w:p w14:paraId="714DBE38" w14:textId="5B72CDF7" w:rsidR="00280050" w:rsidRPr="0062020B" w:rsidRDefault="004C3152" w:rsidP="0062020B">
      <w:pPr>
        <w:spacing w:after="0" w:line="240" w:lineRule="auto"/>
        <w:jc w:val="center"/>
        <w:rPr>
          <w:rFonts w:cs="Times New Roman"/>
          <w:szCs w:val="24"/>
        </w:rPr>
      </w:pPr>
      <w:r w:rsidRPr="00907977">
        <w:rPr>
          <w:rFonts w:cs="Times New Roman"/>
          <w:b/>
          <w:szCs w:val="24"/>
        </w:rPr>
        <w:t>Department of Health</w:t>
      </w:r>
      <w:r w:rsidR="0079719D">
        <w:rPr>
          <w:rFonts w:cs="Times New Roman"/>
          <w:b/>
          <w:szCs w:val="24"/>
        </w:rPr>
        <w:t>, Disability</w:t>
      </w:r>
      <w:r w:rsidRPr="00907977">
        <w:rPr>
          <w:rFonts w:cs="Times New Roman"/>
          <w:b/>
          <w:szCs w:val="24"/>
        </w:rPr>
        <w:t xml:space="preserve"> </w:t>
      </w:r>
      <w:r w:rsidR="00B7508D" w:rsidRPr="00907977">
        <w:rPr>
          <w:rFonts w:cs="Times New Roman"/>
          <w:b/>
          <w:szCs w:val="24"/>
        </w:rPr>
        <w:t>and Ag</w:t>
      </w:r>
      <w:r w:rsidR="0079719D">
        <w:rPr>
          <w:rFonts w:cs="Times New Roman"/>
          <w:b/>
          <w:szCs w:val="24"/>
        </w:rPr>
        <w:t>eing</w:t>
      </w:r>
    </w:p>
    <w:sectPr w:rsidR="00280050" w:rsidRPr="0062020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01AA" w14:textId="77777777" w:rsidR="006E02D1" w:rsidRDefault="006E02D1" w:rsidP="00340797">
      <w:pPr>
        <w:spacing w:after="0" w:line="240" w:lineRule="auto"/>
      </w:pPr>
      <w:r>
        <w:separator/>
      </w:r>
    </w:p>
  </w:endnote>
  <w:endnote w:type="continuationSeparator" w:id="0">
    <w:p w14:paraId="22BE1091" w14:textId="77777777" w:rsidR="006E02D1" w:rsidRDefault="006E02D1" w:rsidP="0034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68BFD" w14:textId="77777777" w:rsidR="00FD0D61" w:rsidRDefault="00FD0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F91C" w14:textId="77777777" w:rsidR="00FD0D61" w:rsidRDefault="00FD0D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8E32B" w14:textId="77777777" w:rsidR="00FD0D61" w:rsidRDefault="00FD0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2252D" w14:textId="77777777" w:rsidR="006E02D1" w:rsidRDefault="006E02D1" w:rsidP="00340797">
      <w:pPr>
        <w:spacing w:after="0" w:line="240" w:lineRule="auto"/>
      </w:pPr>
      <w:r>
        <w:separator/>
      </w:r>
    </w:p>
  </w:footnote>
  <w:footnote w:type="continuationSeparator" w:id="0">
    <w:p w14:paraId="7A7321F4" w14:textId="77777777" w:rsidR="006E02D1" w:rsidRDefault="006E02D1" w:rsidP="00340797">
      <w:pPr>
        <w:spacing w:after="0" w:line="240" w:lineRule="auto"/>
      </w:pPr>
      <w:r>
        <w:continuationSeparator/>
      </w:r>
    </w:p>
  </w:footnote>
  <w:footnote w:id="1">
    <w:p w14:paraId="50C931C6" w14:textId="10058ED8" w:rsidR="007C1485" w:rsidRDefault="007C1485">
      <w:pPr>
        <w:pStyle w:val="FootnoteText"/>
      </w:pPr>
      <w:r>
        <w:rPr>
          <w:rStyle w:val="FootnoteReference"/>
        </w:rPr>
        <w:footnoteRef/>
      </w:r>
      <w:r>
        <w:t xml:space="preserve"> </w:t>
      </w:r>
      <w:r w:rsidRPr="00573FB6">
        <w:t>Requirements for laboratories reporting tests for the National Cervical Screening Program (Second Edition 2019)</w:t>
      </w:r>
      <w:r>
        <w:t xml:space="preserve">, </w:t>
      </w:r>
      <w:r w:rsidRPr="00573FB6">
        <w:t>Requirements for validation of self-collected vaginal swabs for use in the National Cervical Screening Program (First Edition 2019)</w:t>
      </w:r>
      <w:r>
        <w:t xml:space="preserve"> and</w:t>
      </w:r>
      <w:r w:rsidRPr="00573FB6">
        <w:t xml:space="preserve"> Performance measures for Australian laboratories reporting cervical cytology (Third Edition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D0FD0" w14:textId="77777777" w:rsidR="00FD0D61" w:rsidRDefault="00FD0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4DA21" w14:textId="77777777" w:rsidR="00FD0D61" w:rsidRDefault="00FD0D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86F78" w14:textId="77777777" w:rsidR="00FD0D61" w:rsidRDefault="00FD0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035A"/>
    <w:multiLevelType w:val="hybridMultilevel"/>
    <w:tmpl w:val="88C44BA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45E436E"/>
    <w:multiLevelType w:val="hybridMultilevel"/>
    <w:tmpl w:val="2D8238CA"/>
    <w:lvl w:ilvl="0" w:tplc="343097AC">
      <w:start w:val="1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C54927"/>
    <w:multiLevelType w:val="hybridMultilevel"/>
    <w:tmpl w:val="1D72E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172CE0"/>
    <w:multiLevelType w:val="hybridMultilevel"/>
    <w:tmpl w:val="744AC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127A5"/>
    <w:multiLevelType w:val="hybridMultilevel"/>
    <w:tmpl w:val="270AF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2F15AA"/>
    <w:multiLevelType w:val="hybridMultilevel"/>
    <w:tmpl w:val="929A9DB2"/>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5354A45"/>
    <w:multiLevelType w:val="multilevel"/>
    <w:tmpl w:val="0826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C36525"/>
    <w:multiLevelType w:val="hybridMultilevel"/>
    <w:tmpl w:val="2F880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327664"/>
    <w:multiLevelType w:val="multilevel"/>
    <w:tmpl w:val="F4B21BA6"/>
    <w:lvl w:ilvl="0">
      <w:start w:val="1"/>
      <w:numFmt w:val="decimal"/>
      <w:pStyle w:val="NumberLevel1"/>
      <w:lvlText w:val="%1."/>
      <w:lvlJc w:val="left"/>
      <w:pPr>
        <w:tabs>
          <w:tab w:val="num" w:pos="1418"/>
        </w:tabs>
        <w:ind w:left="709"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95D43CF"/>
    <w:multiLevelType w:val="hybridMultilevel"/>
    <w:tmpl w:val="4AFAA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7A13DC"/>
    <w:multiLevelType w:val="hybridMultilevel"/>
    <w:tmpl w:val="12825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250B58"/>
    <w:multiLevelType w:val="hybridMultilevel"/>
    <w:tmpl w:val="C5922182"/>
    <w:lvl w:ilvl="0" w:tplc="DC74D008">
      <w:start w:val="1"/>
      <w:numFmt w:val="decimal"/>
      <w:lvlText w:val="%1."/>
      <w:lvlJc w:val="left"/>
      <w:pPr>
        <w:ind w:left="928" w:hanging="360"/>
      </w:pPr>
      <w:rPr>
        <w:rFonts w:hint="default"/>
        <w:i w:val="0"/>
        <w:iCs w:val="0"/>
      </w:rPr>
    </w:lvl>
    <w:lvl w:ilvl="1" w:tplc="0C09000F">
      <w:start w:val="1"/>
      <w:numFmt w:val="decimal"/>
      <w:lvlText w:val="%2."/>
      <w:lvlJc w:val="left"/>
      <w:pPr>
        <w:ind w:left="1648" w:hanging="360"/>
      </w:pPr>
      <w:rPr>
        <w:rFonts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2" w15:restartNumberingAfterBreak="0">
    <w:nsid w:val="245B7DDF"/>
    <w:multiLevelType w:val="hybridMultilevel"/>
    <w:tmpl w:val="29A4EF0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784312"/>
    <w:multiLevelType w:val="hybridMultilevel"/>
    <w:tmpl w:val="7A687232"/>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29130A93"/>
    <w:multiLevelType w:val="hybridMultilevel"/>
    <w:tmpl w:val="BE94D0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740C6B"/>
    <w:multiLevelType w:val="hybridMultilevel"/>
    <w:tmpl w:val="1068CD12"/>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0D4784F"/>
    <w:multiLevelType w:val="hybridMultilevel"/>
    <w:tmpl w:val="EDB4A71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3981CB6"/>
    <w:multiLevelType w:val="hybridMultilevel"/>
    <w:tmpl w:val="59963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DA7148"/>
    <w:multiLevelType w:val="multilevel"/>
    <w:tmpl w:val="4C36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155576"/>
    <w:multiLevelType w:val="hybridMultilevel"/>
    <w:tmpl w:val="A0349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F31337"/>
    <w:multiLevelType w:val="hybridMultilevel"/>
    <w:tmpl w:val="9AC61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257DB1"/>
    <w:multiLevelType w:val="hybridMultilevel"/>
    <w:tmpl w:val="6F907B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18C4A14"/>
    <w:multiLevelType w:val="hybridMultilevel"/>
    <w:tmpl w:val="39EEE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BD2CEC"/>
    <w:multiLevelType w:val="hybridMultilevel"/>
    <w:tmpl w:val="23FE4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2C5661"/>
    <w:multiLevelType w:val="hybridMultilevel"/>
    <w:tmpl w:val="8EEC5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ED3F24"/>
    <w:multiLevelType w:val="hybridMultilevel"/>
    <w:tmpl w:val="2D964328"/>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494A5E92"/>
    <w:multiLevelType w:val="multilevel"/>
    <w:tmpl w:val="AB9C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B1766"/>
    <w:multiLevelType w:val="hybridMultilevel"/>
    <w:tmpl w:val="FA1CCD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893B82"/>
    <w:multiLevelType w:val="hybridMultilevel"/>
    <w:tmpl w:val="98B4D3A4"/>
    <w:lvl w:ilvl="0" w:tplc="0C090001">
      <w:start w:val="1"/>
      <w:numFmt w:val="bullet"/>
      <w:lvlText w:val=""/>
      <w:lvlJc w:val="left"/>
      <w:pPr>
        <w:ind w:left="783" w:hanging="360"/>
      </w:pPr>
      <w:rPr>
        <w:rFonts w:ascii="Symbol" w:hAnsi="Symbol" w:hint="default"/>
      </w:rPr>
    </w:lvl>
    <w:lvl w:ilvl="1" w:tplc="C414B8A6">
      <w:numFmt w:val="bullet"/>
      <w:lvlText w:val="•"/>
      <w:lvlJc w:val="left"/>
      <w:pPr>
        <w:ind w:left="1563" w:hanging="420"/>
      </w:pPr>
      <w:rPr>
        <w:rFonts w:ascii="Times New Roman" w:eastAsia="Times New Roman" w:hAnsi="Times New Roman" w:cs="Times New Roman"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9" w15:restartNumberingAfterBreak="0">
    <w:nsid w:val="56BD4D95"/>
    <w:multiLevelType w:val="hybridMultilevel"/>
    <w:tmpl w:val="32706990"/>
    <w:lvl w:ilvl="0" w:tplc="27208398">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E367970"/>
    <w:multiLevelType w:val="hybridMultilevel"/>
    <w:tmpl w:val="26086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0163F2"/>
    <w:multiLevelType w:val="hybridMultilevel"/>
    <w:tmpl w:val="179AB4E2"/>
    <w:lvl w:ilvl="0" w:tplc="0C090001">
      <w:start w:val="1"/>
      <w:numFmt w:val="bullet"/>
      <w:lvlText w:val=""/>
      <w:lvlJc w:val="left"/>
      <w:pPr>
        <w:ind w:left="720" w:hanging="360"/>
      </w:pPr>
      <w:rPr>
        <w:rFonts w:ascii="Symbol" w:hAnsi="Symbol" w:hint="default"/>
        <w: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FFB6607"/>
    <w:multiLevelType w:val="hybridMultilevel"/>
    <w:tmpl w:val="16040C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3A2BE7"/>
    <w:multiLevelType w:val="hybridMultilevel"/>
    <w:tmpl w:val="088E777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4A2381"/>
    <w:multiLevelType w:val="hybridMultilevel"/>
    <w:tmpl w:val="A2DA2A7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AFF15DB"/>
    <w:multiLevelType w:val="hybridMultilevel"/>
    <w:tmpl w:val="F5CAC8F6"/>
    <w:lvl w:ilvl="0" w:tplc="FFFFFFFF">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B1976CD"/>
    <w:multiLevelType w:val="hybridMultilevel"/>
    <w:tmpl w:val="B60A26D8"/>
    <w:lvl w:ilvl="0" w:tplc="4C0CD78A">
      <w:numFmt w:val="bullet"/>
      <w:lvlText w:val="•"/>
      <w:lvlJc w:val="left"/>
      <w:pPr>
        <w:ind w:left="720" w:hanging="360"/>
      </w:pPr>
      <w:rPr>
        <w:rFonts w:ascii="Century Gothic" w:eastAsiaTheme="minorEastAsia" w:hAnsi="Century Goth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903DCC"/>
    <w:multiLevelType w:val="hybridMultilevel"/>
    <w:tmpl w:val="58D42672"/>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6BD22F43"/>
    <w:multiLevelType w:val="hybridMultilevel"/>
    <w:tmpl w:val="CE1EE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4B5A44"/>
    <w:multiLevelType w:val="hybridMultilevel"/>
    <w:tmpl w:val="58EA59DA"/>
    <w:lvl w:ilvl="0" w:tplc="4C0CD78A">
      <w:numFmt w:val="bullet"/>
      <w:lvlText w:val="•"/>
      <w:lvlJc w:val="left"/>
      <w:pPr>
        <w:ind w:left="720" w:hanging="360"/>
      </w:pPr>
      <w:rPr>
        <w:rFonts w:ascii="Century Gothic" w:eastAsiaTheme="minorEastAsia" w:hAnsi="Century Goth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516729"/>
    <w:multiLevelType w:val="hybridMultilevel"/>
    <w:tmpl w:val="121639EC"/>
    <w:lvl w:ilvl="0" w:tplc="0C090001">
      <w:start w:val="1"/>
      <w:numFmt w:val="bullet"/>
      <w:lvlText w:val=""/>
      <w:lvlJc w:val="left"/>
      <w:pPr>
        <w:ind w:left="720" w:hanging="360"/>
      </w:pPr>
      <w:rPr>
        <w:rFonts w:ascii="Symbol" w:hAnsi="Symbol" w:hint="default"/>
        <w:i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042F5D"/>
    <w:multiLevelType w:val="hybridMultilevel"/>
    <w:tmpl w:val="5E38068A"/>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A024B0"/>
    <w:multiLevelType w:val="hybridMultilevel"/>
    <w:tmpl w:val="275C7B70"/>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7D516D"/>
    <w:multiLevelType w:val="hybridMultilevel"/>
    <w:tmpl w:val="FCFE55B4"/>
    <w:lvl w:ilvl="0" w:tplc="0C090001">
      <w:start w:val="1"/>
      <w:numFmt w:val="bullet"/>
      <w:lvlText w:val=""/>
      <w:lvlJc w:val="left"/>
      <w:pPr>
        <w:ind w:left="720" w:hanging="360"/>
      </w:pPr>
      <w:rPr>
        <w:rFonts w:ascii="Symbol" w:hAnsi="Symbol" w:hint="default"/>
        <w: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02723987">
    <w:abstractNumId w:val="22"/>
  </w:num>
  <w:num w:numId="2" w16cid:durableId="1700618522">
    <w:abstractNumId w:val="32"/>
  </w:num>
  <w:num w:numId="3" w16cid:durableId="315377715">
    <w:abstractNumId w:val="1"/>
  </w:num>
  <w:num w:numId="4" w16cid:durableId="758062199">
    <w:abstractNumId w:val="8"/>
  </w:num>
  <w:num w:numId="5" w16cid:durableId="1086265212">
    <w:abstractNumId w:val="17"/>
  </w:num>
  <w:num w:numId="6" w16cid:durableId="2133478623">
    <w:abstractNumId w:val="38"/>
  </w:num>
  <w:num w:numId="7" w16cid:durableId="929773893">
    <w:abstractNumId w:val="30"/>
  </w:num>
  <w:num w:numId="8" w16cid:durableId="1932622908">
    <w:abstractNumId w:val="40"/>
  </w:num>
  <w:num w:numId="9" w16cid:durableId="1960911963">
    <w:abstractNumId w:val="28"/>
  </w:num>
  <w:num w:numId="10" w16cid:durableId="561789488">
    <w:abstractNumId w:val="11"/>
  </w:num>
  <w:num w:numId="11" w16cid:durableId="417949181">
    <w:abstractNumId w:val="26"/>
  </w:num>
  <w:num w:numId="12" w16cid:durableId="704260293">
    <w:abstractNumId w:val="6"/>
  </w:num>
  <w:num w:numId="13" w16cid:durableId="2117941910">
    <w:abstractNumId w:val="33"/>
  </w:num>
  <w:num w:numId="14" w16cid:durableId="1920554700">
    <w:abstractNumId w:val="18"/>
  </w:num>
  <w:num w:numId="15" w16cid:durableId="1271548021">
    <w:abstractNumId w:val="42"/>
  </w:num>
  <w:num w:numId="16" w16cid:durableId="530652159">
    <w:abstractNumId w:val="2"/>
  </w:num>
  <w:num w:numId="17" w16cid:durableId="770203717">
    <w:abstractNumId w:val="41"/>
  </w:num>
  <w:num w:numId="18" w16cid:durableId="1422218977">
    <w:abstractNumId w:val="16"/>
  </w:num>
  <w:num w:numId="19" w16cid:durableId="2015188281">
    <w:abstractNumId w:val="39"/>
  </w:num>
  <w:num w:numId="20" w16cid:durableId="1752851416">
    <w:abstractNumId w:val="36"/>
  </w:num>
  <w:num w:numId="21" w16cid:durableId="696352518">
    <w:abstractNumId w:val="3"/>
  </w:num>
  <w:num w:numId="22" w16cid:durableId="1596667234">
    <w:abstractNumId w:val="20"/>
  </w:num>
  <w:num w:numId="23" w16cid:durableId="96411469">
    <w:abstractNumId w:val="9"/>
  </w:num>
  <w:num w:numId="24" w16cid:durableId="634944753">
    <w:abstractNumId w:val="43"/>
  </w:num>
  <w:num w:numId="25" w16cid:durableId="372845841">
    <w:abstractNumId w:val="31"/>
  </w:num>
  <w:num w:numId="26" w16cid:durableId="1977296958">
    <w:abstractNumId w:val="23"/>
  </w:num>
  <w:num w:numId="27" w16cid:durableId="1100415823">
    <w:abstractNumId w:val="4"/>
  </w:num>
  <w:num w:numId="28" w16cid:durableId="1880897076">
    <w:abstractNumId w:val="7"/>
  </w:num>
  <w:num w:numId="29" w16cid:durableId="1794401123">
    <w:abstractNumId w:val="24"/>
  </w:num>
  <w:num w:numId="30" w16cid:durableId="778572630">
    <w:abstractNumId w:val="19"/>
  </w:num>
  <w:num w:numId="31" w16cid:durableId="2031294530">
    <w:abstractNumId w:val="29"/>
  </w:num>
  <w:num w:numId="32" w16cid:durableId="869295304">
    <w:abstractNumId w:val="14"/>
  </w:num>
  <w:num w:numId="33" w16cid:durableId="1294166998">
    <w:abstractNumId w:val="21"/>
  </w:num>
  <w:num w:numId="34" w16cid:durableId="1648708225">
    <w:abstractNumId w:val="0"/>
  </w:num>
  <w:num w:numId="35" w16cid:durableId="1337459251">
    <w:abstractNumId w:val="10"/>
  </w:num>
  <w:num w:numId="36" w16cid:durableId="2001882931">
    <w:abstractNumId w:val="37"/>
  </w:num>
  <w:num w:numId="37" w16cid:durableId="601376682">
    <w:abstractNumId w:val="35"/>
  </w:num>
  <w:num w:numId="38" w16cid:durableId="1248614127">
    <w:abstractNumId w:val="27"/>
  </w:num>
  <w:num w:numId="39" w16cid:durableId="1065177255">
    <w:abstractNumId w:val="34"/>
  </w:num>
  <w:num w:numId="40" w16cid:durableId="273176306">
    <w:abstractNumId w:val="25"/>
  </w:num>
  <w:num w:numId="41" w16cid:durableId="1066414073">
    <w:abstractNumId w:val="15"/>
  </w:num>
  <w:num w:numId="42" w16cid:durableId="66269717">
    <w:abstractNumId w:val="5"/>
  </w:num>
  <w:num w:numId="43" w16cid:durableId="1031103925">
    <w:abstractNumId w:val="13"/>
  </w:num>
  <w:num w:numId="44" w16cid:durableId="3628293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FD6"/>
    <w:rsid w:val="0000652F"/>
    <w:rsid w:val="00010F0A"/>
    <w:rsid w:val="00020E24"/>
    <w:rsid w:val="0002326F"/>
    <w:rsid w:val="00023F5B"/>
    <w:rsid w:val="00031BED"/>
    <w:rsid w:val="000338A7"/>
    <w:rsid w:val="000340D5"/>
    <w:rsid w:val="00035B2A"/>
    <w:rsid w:val="00040528"/>
    <w:rsid w:val="00050830"/>
    <w:rsid w:val="00050E92"/>
    <w:rsid w:val="00056231"/>
    <w:rsid w:val="00063C43"/>
    <w:rsid w:val="00066700"/>
    <w:rsid w:val="000714B7"/>
    <w:rsid w:val="000715BA"/>
    <w:rsid w:val="000733C3"/>
    <w:rsid w:val="00081F5C"/>
    <w:rsid w:val="0008573F"/>
    <w:rsid w:val="000878B6"/>
    <w:rsid w:val="000933E0"/>
    <w:rsid w:val="00093B9B"/>
    <w:rsid w:val="00093DEF"/>
    <w:rsid w:val="000A13F5"/>
    <w:rsid w:val="000A1CE4"/>
    <w:rsid w:val="000A32D6"/>
    <w:rsid w:val="000A3911"/>
    <w:rsid w:val="000A665E"/>
    <w:rsid w:val="000A6662"/>
    <w:rsid w:val="000A796D"/>
    <w:rsid w:val="000B0D63"/>
    <w:rsid w:val="000B1CA1"/>
    <w:rsid w:val="000B1E95"/>
    <w:rsid w:val="000B5BF4"/>
    <w:rsid w:val="000B6E07"/>
    <w:rsid w:val="000C11E3"/>
    <w:rsid w:val="000C2239"/>
    <w:rsid w:val="000C2B6B"/>
    <w:rsid w:val="000D0D53"/>
    <w:rsid w:val="000D2747"/>
    <w:rsid w:val="000D594B"/>
    <w:rsid w:val="000E010D"/>
    <w:rsid w:val="000E0ED1"/>
    <w:rsid w:val="000E28C6"/>
    <w:rsid w:val="000E61CB"/>
    <w:rsid w:val="000E661D"/>
    <w:rsid w:val="000E7D1A"/>
    <w:rsid w:val="000F3EAB"/>
    <w:rsid w:val="000F76F1"/>
    <w:rsid w:val="001002DB"/>
    <w:rsid w:val="0010125A"/>
    <w:rsid w:val="00102EE4"/>
    <w:rsid w:val="001041E3"/>
    <w:rsid w:val="001054F7"/>
    <w:rsid w:val="001100EE"/>
    <w:rsid w:val="00111639"/>
    <w:rsid w:val="001157A3"/>
    <w:rsid w:val="00124E6C"/>
    <w:rsid w:val="00132947"/>
    <w:rsid w:val="00133EE4"/>
    <w:rsid w:val="001409F1"/>
    <w:rsid w:val="0014249A"/>
    <w:rsid w:val="00151ABC"/>
    <w:rsid w:val="001602B3"/>
    <w:rsid w:val="00161545"/>
    <w:rsid w:val="0016550F"/>
    <w:rsid w:val="001671A6"/>
    <w:rsid w:val="0017238F"/>
    <w:rsid w:val="00174CED"/>
    <w:rsid w:val="00174DCC"/>
    <w:rsid w:val="00175C90"/>
    <w:rsid w:val="001827E4"/>
    <w:rsid w:val="00184AE6"/>
    <w:rsid w:val="001857FD"/>
    <w:rsid w:val="00185BBB"/>
    <w:rsid w:val="00190B26"/>
    <w:rsid w:val="00193E60"/>
    <w:rsid w:val="001952DE"/>
    <w:rsid w:val="0019617B"/>
    <w:rsid w:val="00197866"/>
    <w:rsid w:val="001A1D46"/>
    <w:rsid w:val="001A47B6"/>
    <w:rsid w:val="001A51B6"/>
    <w:rsid w:val="001A7736"/>
    <w:rsid w:val="001B33D3"/>
    <w:rsid w:val="001B464E"/>
    <w:rsid w:val="001C07C6"/>
    <w:rsid w:val="001C3F72"/>
    <w:rsid w:val="001C47E3"/>
    <w:rsid w:val="001C59FC"/>
    <w:rsid w:val="001D22BF"/>
    <w:rsid w:val="001D3C1E"/>
    <w:rsid w:val="001D6ED4"/>
    <w:rsid w:val="001D79E6"/>
    <w:rsid w:val="001E16A5"/>
    <w:rsid w:val="001E478D"/>
    <w:rsid w:val="001E7FDA"/>
    <w:rsid w:val="001F1537"/>
    <w:rsid w:val="001F30DB"/>
    <w:rsid w:val="001F5FBD"/>
    <w:rsid w:val="00201EBF"/>
    <w:rsid w:val="0021697A"/>
    <w:rsid w:val="00221869"/>
    <w:rsid w:val="0022330A"/>
    <w:rsid w:val="0022383D"/>
    <w:rsid w:val="002321E0"/>
    <w:rsid w:val="002326BF"/>
    <w:rsid w:val="00233810"/>
    <w:rsid w:val="002374E9"/>
    <w:rsid w:val="002412ED"/>
    <w:rsid w:val="002424AD"/>
    <w:rsid w:val="00254DDF"/>
    <w:rsid w:val="00256BDC"/>
    <w:rsid w:val="00256CA8"/>
    <w:rsid w:val="002603A8"/>
    <w:rsid w:val="00260F41"/>
    <w:rsid w:val="00261680"/>
    <w:rsid w:val="00261DB7"/>
    <w:rsid w:val="00264478"/>
    <w:rsid w:val="002706C4"/>
    <w:rsid w:val="002709B1"/>
    <w:rsid w:val="00273165"/>
    <w:rsid w:val="002761E0"/>
    <w:rsid w:val="00280050"/>
    <w:rsid w:val="0029587B"/>
    <w:rsid w:val="002A01C4"/>
    <w:rsid w:val="002A0883"/>
    <w:rsid w:val="002A5EB8"/>
    <w:rsid w:val="002A6959"/>
    <w:rsid w:val="002A7459"/>
    <w:rsid w:val="002C348B"/>
    <w:rsid w:val="002C74DF"/>
    <w:rsid w:val="002D213C"/>
    <w:rsid w:val="002D5ABF"/>
    <w:rsid w:val="002D7E24"/>
    <w:rsid w:val="002E09B1"/>
    <w:rsid w:val="002F1FE0"/>
    <w:rsid w:val="002F2679"/>
    <w:rsid w:val="002F2729"/>
    <w:rsid w:val="002F6FBD"/>
    <w:rsid w:val="00302007"/>
    <w:rsid w:val="003040F9"/>
    <w:rsid w:val="00304932"/>
    <w:rsid w:val="00307A27"/>
    <w:rsid w:val="003134D4"/>
    <w:rsid w:val="00316E50"/>
    <w:rsid w:val="003212F1"/>
    <w:rsid w:val="003230D4"/>
    <w:rsid w:val="00325B07"/>
    <w:rsid w:val="00327FD5"/>
    <w:rsid w:val="00333118"/>
    <w:rsid w:val="0033402A"/>
    <w:rsid w:val="00334103"/>
    <w:rsid w:val="003346D1"/>
    <w:rsid w:val="00334868"/>
    <w:rsid w:val="003367A9"/>
    <w:rsid w:val="00340797"/>
    <w:rsid w:val="0034227D"/>
    <w:rsid w:val="00345B3F"/>
    <w:rsid w:val="00354611"/>
    <w:rsid w:val="00356980"/>
    <w:rsid w:val="003603DA"/>
    <w:rsid w:val="00363285"/>
    <w:rsid w:val="00364677"/>
    <w:rsid w:val="00365B0C"/>
    <w:rsid w:val="00367DBB"/>
    <w:rsid w:val="00370983"/>
    <w:rsid w:val="00370BA2"/>
    <w:rsid w:val="00375785"/>
    <w:rsid w:val="00375D3E"/>
    <w:rsid w:val="003815A8"/>
    <w:rsid w:val="00384DD9"/>
    <w:rsid w:val="003859B1"/>
    <w:rsid w:val="00391831"/>
    <w:rsid w:val="0039348C"/>
    <w:rsid w:val="00396383"/>
    <w:rsid w:val="003A01DC"/>
    <w:rsid w:val="003A0387"/>
    <w:rsid w:val="003A5493"/>
    <w:rsid w:val="003A5F2E"/>
    <w:rsid w:val="003B1B5D"/>
    <w:rsid w:val="003B6A0D"/>
    <w:rsid w:val="003C397B"/>
    <w:rsid w:val="003C5C0B"/>
    <w:rsid w:val="003C5CB2"/>
    <w:rsid w:val="003D3A42"/>
    <w:rsid w:val="003D4B5A"/>
    <w:rsid w:val="003D5772"/>
    <w:rsid w:val="003D6B45"/>
    <w:rsid w:val="003D766F"/>
    <w:rsid w:val="003E1A42"/>
    <w:rsid w:val="003E6CE2"/>
    <w:rsid w:val="003F218F"/>
    <w:rsid w:val="003F2314"/>
    <w:rsid w:val="003F7B73"/>
    <w:rsid w:val="00406816"/>
    <w:rsid w:val="0041258D"/>
    <w:rsid w:val="00422D6D"/>
    <w:rsid w:val="004269E3"/>
    <w:rsid w:val="004271E6"/>
    <w:rsid w:val="00430074"/>
    <w:rsid w:val="0044221D"/>
    <w:rsid w:val="00455775"/>
    <w:rsid w:val="004604A8"/>
    <w:rsid w:val="0046788C"/>
    <w:rsid w:val="00470024"/>
    <w:rsid w:val="00480990"/>
    <w:rsid w:val="0048295F"/>
    <w:rsid w:val="00486779"/>
    <w:rsid w:val="00492691"/>
    <w:rsid w:val="004A0D7A"/>
    <w:rsid w:val="004A44AC"/>
    <w:rsid w:val="004B7B78"/>
    <w:rsid w:val="004C166D"/>
    <w:rsid w:val="004C235D"/>
    <w:rsid w:val="004C3152"/>
    <w:rsid w:val="004F03DB"/>
    <w:rsid w:val="004F3D20"/>
    <w:rsid w:val="005043F5"/>
    <w:rsid w:val="00514251"/>
    <w:rsid w:val="005146D7"/>
    <w:rsid w:val="00517520"/>
    <w:rsid w:val="005201CC"/>
    <w:rsid w:val="00521C8B"/>
    <w:rsid w:val="00523BD0"/>
    <w:rsid w:val="00525573"/>
    <w:rsid w:val="005267D1"/>
    <w:rsid w:val="00532B8B"/>
    <w:rsid w:val="005360FE"/>
    <w:rsid w:val="005417C9"/>
    <w:rsid w:val="00541EC8"/>
    <w:rsid w:val="00542E7D"/>
    <w:rsid w:val="00553CEF"/>
    <w:rsid w:val="00561605"/>
    <w:rsid w:val="00564896"/>
    <w:rsid w:val="0056603B"/>
    <w:rsid w:val="00566082"/>
    <w:rsid w:val="005714E9"/>
    <w:rsid w:val="0057328A"/>
    <w:rsid w:val="00573FB6"/>
    <w:rsid w:val="005812A0"/>
    <w:rsid w:val="005826B2"/>
    <w:rsid w:val="00583EDE"/>
    <w:rsid w:val="005851E5"/>
    <w:rsid w:val="00591687"/>
    <w:rsid w:val="00593980"/>
    <w:rsid w:val="00593F54"/>
    <w:rsid w:val="00595E73"/>
    <w:rsid w:val="00595E78"/>
    <w:rsid w:val="005975FA"/>
    <w:rsid w:val="005A25E3"/>
    <w:rsid w:val="005A7AA0"/>
    <w:rsid w:val="005C5608"/>
    <w:rsid w:val="005C57C6"/>
    <w:rsid w:val="005D1203"/>
    <w:rsid w:val="005D2883"/>
    <w:rsid w:val="005D30C7"/>
    <w:rsid w:val="005D4005"/>
    <w:rsid w:val="005D5689"/>
    <w:rsid w:val="005E4890"/>
    <w:rsid w:val="005F1495"/>
    <w:rsid w:val="005F25C2"/>
    <w:rsid w:val="005F29F7"/>
    <w:rsid w:val="005F3199"/>
    <w:rsid w:val="005F4E4D"/>
    <w:rsid w:val="005F6624"/>
    <w:rsid w:val="006024AF"/>
    <w:rsid w:val="00603087"/>
    <w:rsid w:val="006103B0"/>
    <w:rsid w:val="006127A9"/>
    <w:rsid w:val="00616BF9"/>
    <w:rsid w:val="0062020B"/>
    <w:rsid w:val="00621240"/>
    <w:rsid w:val="00630FE7"/>
    <w:rsid w:val="00633922"/>
    <w:rsid w:val="006347E2"/>
    <w:rsid w:val="00636E96"/>
    <w:rsid w:val="006403C6"/>
    <w:rsid w:val="00642CBA"/>
    <w:rsid w:val="006450FA"/>
    <w:rsid w:val="006466D1"/>
    <w:rsid w:val="0065530F"/>
    <w:rsid w:val="0066297C"/>
    <w:rsid w:val="0066581F"/>
    <w:rsid w:val="00670F70"/>
    <w:rsid w:val="00680C4D"/>
    <w:rsid w:val="0068534C"/>
    <w:rsid w:val="00690F43"/>
    <w:rsid w:val="00697133"/>
    <w:rsid w:val="006974D8"/>
    <w:rsid w:val="006A1145"/>
    <w:rsid w:val="006A21BE"/>
    <w:rsid w:val="006A3999"/>
    <w:rsid w:val="006A4458"/>
    <w:rsid w:val="006A6FF3"/>
    <w:rsid w:val="006A77DC"/>
    <w:rsid w:val="006B0093"/>
    <w:rsid w:val="006B021F"/>
    <w:rsid w:val="006B12FA"/>
    <w:rsid w:val="006C39B0"/>
    <w:rsid w:val="006C4AF4"/>
    <w:rsid w:val="006D2D08"/>
    <w:rsid w:val="006D55BB"/>
    <w:rsid w:val="006E02D1"/>
    <w:rsid w:val="006E4BC6"/>
    <w:rsid w:val="006E5542"/>
    <w:rsid w:val="006E6772"/>
    <w:rsid w:val="006E7F89"/>
    <w:rsid w:val="00704B69"/>
    <w:rsid w:val="00710E0C"/>
    <w:rsid w:val="007131E6"/>
    <w:rsid w:val="007158AB"/>
    <w:rsid w:val="00715DC1"/>
    <w:rsid w:val="007210A2"/>
    <w:rsid w:val="007469FE"/>
    <w:rsid w:val="00747357"/>
    <w:rsid w:val="0075323F"/>
    <w:rsid w:val="00753817"/>
    <w:rsid w:val="00755ED6"/>
    <w:rsid w:val="00757E6F"/>
    <w:rsid w:val="00760368"/>
    <w:rsid w:val="0076169F"/>
    <w:rsid w:val="00762D04"/>
    <w:rsid w:val="00766454"/>
    <w:rsid w:val="00775A5E"/>
    <w:rsid w:val="00777930"/>
    <w:rsid w:val="007805F0"/>
    <w:rsid w:val="00780EE4"/>
    <w:rsid w:val="007813B1"/>
    <w:rsid w:val="007846CE"/>
    <w:rsid w:val="007847F1"/>
    <w:rsid w:val="007941B5"/>
    <w:rsid w:val="0079719D"/>
    <w:rsid w:val="00797289"/>
    <w:rsid w:val="007A2AD5"/>
    <w:rsid w:val="007A48B4"/>
    <w:rsid w:val="007A69AB"/>
    <w:rsid w:val="007B17B6"/>
    <w:rsid w:val="007B5FF0"/>
    <w:rsid w:val="007B626F"/>
    <w:rsid w:val="007B7DD7"/>
    <w:rsid w:val="007C1485"/>
    <w:rsid w:val="007C30AA"/>
    <w:rsid w:val="007C3CF1"/>
    <w:rsid w:val="007D298C"/>
    <w:rsid w:val="007D2CC8"/>
    <w:rsid w:val="007D7D1A"/>
    <w:rsid w:val="007E67C3"/>
    <w:rsid w:val="007E7784"/>
    <w:rsid w:val="007F1223"/>
    <w:rsid w:val="007F3893"/>
    <w:rsid w:val="007F57DC"/>
    <w:rsid w:val="007F5CDC"/>
    <w:rsid w:val="0080222C"/>
    <w:rsid w:val="00806F23"/>
    <w:rsid w:val="008111DD"/>
    <w:rsid w:val="008112A0"/>
    <w:rsid w:val="00811C97"/>
    <w:rsid w:val="00813078"/>
    <w:rsid w:val="00824312"/>
    <w:rsid w:val="008303B1"/>
    <w:rsid w:val="00832727"/>
    <w:rsid w:val="00833134"/>
    <w:rsid w:val="00837404"/>
    <w:rsid w:val="00841CCA"/>
    <w:rsid w:val="00854A82"/>
    <w:rsid w:val="008561D6"/>
    <w:rsid w:val="008604F5"/>
    <w:rsid w:val="008607B8"/>
    <w:rsid w:val="00864554"/>
    <w:rsid w:val="0086631A"/>
    <w:rsid w:val="008776C4"/>
    <w:rsid w:val="00882AD4"/>
    <w:rsid w:val="008919CB"/>
    <w:rsid w:val="008931E2"/>
    <w:rsid w:val="008937B1"/>
    <w:rsid w:val="00895365"/>
    <w:rsid w:val="008A3D31"/>
    <w:rsid w:val="008A7266"/>
    <w:rsid w:val="008B1EA0"/>
    <w:rsid w:val="008B3B7F"/>
    <w:rsid w:val="008B6B87"/>
    <w:rsid w:val="008C3CDE"/>
    <w:rsid w:val="008D2D41"/>
    <w:rsid w:val="008D5668"/>
    <w:rsid w:val="008D6645"/>
    <w:rsid w:val="008D779F"/>
    <w:rsid w:val="008D79C8"/>
    <w:rsid w:val="008E2F87"/>
    <w:rsid w:val="008F2153"/>
    <w:rsid w:val="008F2272"/>
    <w:rsid w:val="008F2F01"/>
    <w:rsid w:val="00900B8C"/>
    <w:rsid w:val="009026F6"/>
    <w:rsid w:val="00903067"/>
    <w:rsid w:val="00903BC2"/>
    <w:rsid w:val="00905FD3"/>
    <w:rsid w:val="00906877"/>
    <w:rsid w:val="00907977"/>
    <w:rsid w:val="009124FD"/>
    <w:rsid w:val="00913868"/>
    <w:rsid w:val="009140C0"/>
    <w:rsid w:val="009179B5"/>
    <w:rsid w:val="00920BF6"/>
    <w:rsid w:val="0092396D"/>
    <w:rsid w:val="00926FBD"/>
    <w:rsid w:val="00932FD8"/>
    <w:rsid w:val="009330B0"/>
    <w:rsid w:val="00933BEC"/>
    <w:rsid w:val="00944FF2"/>
    <w:rsid w:val="00944FF3"/>
    <w:rsid w:val="00955133"/>
    <w:rsid w:val="00960DE4"/>
    <w:rsid w:val="0096181F"/>
    <w:rsid w:val="00962D87"/>
    <w:rsid w:val="00964D64"/>
    <w:rsid w:val="009660FC"/>
    <w:rsid w:val="00967826"/>
    <w:rsid w:val="00973B97"/>
    <w:rsid w:val="009749AC"/>
    <w:rsid w:val="009754D9"/>
    <w:rsid w:val="00984062"/>
    <w:rsid w:val="00985B30"/>
    <w:rsid w:val="00986929"/>
    <w:rsid w:val="0099275F"/>
    <w:rsid w:val="00993172"/>
    <w:rsid w:val="009944D8"/>
    <w:rsid w:val="009971FE"/>
    <w:rsid w:val="009A0E44"/>
    <w:rsid w:val="009A1CA8"/>
    <w:rsid w:val="009A3298"/>
    <w:rsid w:val="009A5785"/>
    <w:rsid w:val="009B1C28"/>
    <w:rsid w:val="009B2F78"/>
    <w:rsid w:val="009C431A"/>
    <w:rsid w:val="009C4E27"/>
    <w:rsid w:val="009C6ED9"/>
    <w:rsid w:val="009C7623"/>
    <w:rsid w:val="009D096E"/>
    <w:rsid w:val="009D2843"/>
    <w:rsid w:val="009D3764"/>
    <w:rsid w:val="009D4764"/>
    <w:rsid w:val="009D67F8"/>
    <w:rsid w:val="009E1680"/>
    <w:rsid w:val="009E1758"/>
    <w:rsid w:val="009E2D12"/>
    <w:rsid w:val="009E52D5"/>
    <w:rsid w:val="009F3734"/>
    <w:rsid w:val="009F3739"/>
    <w:rsid w:val="009F4535"/>
    <w:rsid w:val="009F6B8D"/>
    <w:rsid w:val="009F6C4E"/>
    <w:rsid w:val="009F6FA6"/>
    <w:rsid w:val="00A02818"/>
    <w:rsid w:val="00A06093"/>
    <w:rsid w:val="00A20250"/>
    <w:rsid w:val="00A2043F"/>
    <w:rsid w:val="00A26D91"/>
    <w:rsid w:val="00A30B21"/>
    <w:rsid w:val="00A40A00"/>
    <w:rsid w:val="00A40BF1"/>
    <w:rsid w:val="00A43D53"/>
    <w:rsid w:val="00A46DAB"/>
    <w:rsid w:val="00A4737C"/>
    <w:rsid w:val="00A51604"/>
    <w:rsid w:val="00A51FDC"/>
    <w:rsid w:val="00A5250B"/>
    <w:rsid w:val="00A642DB"/>
    <w:rsid w:val="00A666F4"/>
    <w:rsid w:val="00A667C1"/>
    <w:rsid w:val="00A72267"/>
    <w:rsid w:val="00A73EF8"/>
    <w:rsid w:val="00A74174"/>
    <w:rsid w:val="00A75D86"/>
    <w:rsid w:val="00A77683"/>
    <w:rsid w:val="00A8792D"/>
    <w:rsid w:val="00A879C6"/>
    <w:rsid w:val="00A901F3"/>
    <w:rsid w:val="00AA343F"/>
    <w:rsid w:val="00AA7773"/>
    <w:rsid w:val="00AB0376"/>
    <w:rsid w:val="00AB3D2E"/>
    <w:rsid w:val="00AB5EE6"/>
    <w:rsid w:val="00AB617F"/>
    <w:rsid w:val="00AB6A3A"/>
    <w:rsid w:val="00AB7F5A"/>
    <w:rsid w:val="00AC7681"/>
    <w:rsid w:val="00AD2BA6"/>
    <w:rsid w:val="00AD67EB"/>
    <w:rsid w:val="00AD6D91"/>
    <w:rsid w:val="00AE45C0"/>
    <w:rsid w:val="00AE4BE2"/>
    <w:rsid w:val="00AE5F2D"/>
    <w:rsid w:val="00AF01C7"/>
    <w:rsid w:val="00AF150D"/>
    <w:rsid w:val="00AF428B"/>
    <w:rsid w:val="00B00489"/>
    <w:rsid w:val="00B07A40"/>
    <w:rsid w:val="00B13349"/>
    <w:rsid w:val="00B141A9"/>
    <w:rsid w:val="00B22A30"/>
    <w:rsid w:val="00B25D15"/>
    <w:rsid w:val="00B26BB8"/>
    <w:rsid w:val="00B3266D"/>
    <w:rsid w:val="00B51C8F"/>
    <w:rsid w:val="00B51D4A"/>
    <w:rsid w:val="00B54247"/>
    <w:rsid w:val="00B61323"/>
    <w:rsid w:val="00B62893"/>
    <w:rsid w:val="00B70651"/>
    <w:rsid w:val="00B73E4A"/>
    <w:rsid w:val="00B7508D"/>
    <w:rsid w:val="00B82B37"/>
    <w:rsid w:val="00B82ECA"/>
    <w:rsid w:val="00B87490"/>
    <w:rsid w:val="00B87A96"/>
    <w:rsid w:val="00B91DEB"/>
    <w:rsid w:val="00B9356F"/>
    <w:rsid w:val="00B93E9C"/>
    <w:rsid w:val="00B94AAD"/>
    <w:rsid w:val="00BA73E6"/>
    <w:rsid w:val="00BB4A2C"/>
    <w:rsid w:val="00BC4B23"/>
    <w:rsid w:val="00BD1B86"/>
    <w:rsid w:val="00BD590D"/>
    <w:rsid w:val="00BF14DC"/>
    <w:rsid w:val="00BF564A"/>
    <w:rsid w:val="00C01BDE"/>
    <w:rsid w:val="00C02F24"/>
    <w:rsid w:val="00C04902"/>
    <w:rsid w:val="00C076BE"/>
    <w:rsid w:val="00C11A79"/>
    <w:rsid w:val="00C11F6F"/>
    <w:rsid w:val="00C16530"/>
    <w:rsid w:val="00C16C9F"/>
    <w:rsid w:val="00C2194F"/>
    <w:rsid w:val="00C21EBD"/>
    <w:rsid w:val="00C266C3"/>
    <w:rsid w:val="00C35386"/>
    <w:rsid w:val="00C47136"/>
    <w:rsid w:val="00C56FD6"/>
    <w:rsid w:val="00C650C9"/>
    <w:rsid w:val="00C76737"/>
    <w:rsid w:val="00C84F6C"/>
    <w:rsid w:val="00C90D44"/>
    <w:rsid w:val="00C92290"/>
    <w:rsid w:val="00C93249"/>
    <w:rsid w:val="00C935CE"/>
    <w:rsid w:val="00C94FDE"/>
    <w:rsid w:val="00CA3A40"/>
    <w:rsid w:val="00CA3B6C"/>
    <w:rsid w:val="00CA4876"/>
    <w:rsid w:val="00CA5547"/>
    <w:rsid w:val="00CB2915"/>
    <w:rsid w:val="00CB4E07"/>
    <w:rsid w:val="00CB76C6"/>
    <w:rsid w:val="00CC51FF"/>
    <w:rsid w:val="00CC6F87"/>
    <w:rsid w:val="00CC7A85"/>
    <w:rsid w:val="00CD1439"/>
    <w:rsid w:val="00CD3CD8"/>
    <w:rsid w:val="00CD79B8"/>
    <w:rsid w:val="00CE0099"/>
    <w:rsid w:val="00CE0781"/>
    <w:rsid w:val="00CE7212"/>
    <w:rsid w:val="00CE7F03"/>
    <w:rsid w:val="00CF04B1"/>
    <w:rsid w:val="00CF30D1"/>
    <w:rsid w:val="00CF3E5F"/>
    <w:rsid w:val="00D01543"/>
    <w:rsid w:val="00D02263"/>
    <w:rsid w:val="00D029D7"/>
    <w:rsid w:val="00D04455"/>
    <w:rsid w:val="00D07DD4"/>
    <w:rsid w:val="00D1396A"/>
    <w:rsid w:val="00D24E1A"/>
    <w:rsid w:val="00D31995"/>
    <w:rsid w:val="00D34E63"/>
    <w:rsid w:val="00D46FBC"/>
    <w:rsid w:val="00D5015B"/>
    <w:rsid w:val="00D55421"/>
    <w:rsid w:val="00D605D3"/>
    <w:rsid w:val="00D70AAC"/>
    <w:rsid w:val="00D7220E"/>
    <w:rsid w:val="00D73A78"/>
    <w:rsid w:val="00D81082"/>
    <w:rsid w:val="00D81175"/>
    <w:rsid w:val="00D8275D"/>
    <w:rsid w:val="00D85C21"/>
    <w:rsid w:val="00D8715A"/>
    <w:rsid w:val="00D9213A"/>
    <w:rsid w:val="00D921A0"/>
    <w:rsid w:val="00D94434"/>
    <w:rsid w:val="00D956EC"/>
    <w:rsid w:val="00D95901"/>
    <w:rsid w:val="00D9778E"/>
    <w:rsid w:val="00DA1256"/>
    <w:rsid w:val="00DA2376"/>
    <w:rsid w:val="00DA55A6"/>
    <w:rsid w:val="00DA5830"/>
    <w:rsid w:val="00DA6A09"/>
    <w:rsid w:val="00DA7351"/>
    <w:rsid w:val="00DB0C20"/>
    <w:rsid w:val="00DB68F7"/>
    <w:rsid w:val="00DC02E3"/>
    <w:rsid w:val="00DC221C"/>
    <w:rsid w:val="00DC2548"/>
    <w:rsid w:val="00DC2611"/>
    <w:rsid w:val="00DC37AA"/>
    <w:rsid w:val="00DC3CFA"/>
    <w:rsid w:val="00DC3E69"/>
    <w:rsid w:val="00DC6A38"/>
    <w:rsid w:val="00DD0ED6"/>
    <w:rsid w:val="00DD1BA7"/>
    <w:rsid w:val="00DD228D"/>
    <w:rsid w:val="00DD2612"/>
    <w:rsid w:val="00DD44E0"/>
    <w:rsid w:val="00DE37BE"/>
    <w:rsid w:val="00DE3CC8"/>
    <w:rsid w:val="00DE44B4"/>
    <w:rsid w:val="00DF0774"/>
    <w:rsid w:val="00DF201C"/>
    <w:rsid w:val="00DF26C0"/>
    <w:rsid w:val="00DF5236"/>
    <w:rsid w:val="00DF52E0"/>
    <w:rsid w:val="00DF5F4B"/>
    <w:rsid w:val="00DF7D5E"/>
    <w:rsid w:val="00E03AE7"/>
    <w:rsid w:val="00E05941"/>
    <w:rsid w:val="00E11389"/>
    <w:rsid w:val="00E117AA"/>
    <w:rsid w:val="00E131D5"/>
    <w:rsid w:val="00E1644D"/>
    <w:rsid w:val="00E166A9"/>
    <w:rsid w:val="00E17611"/>
    <w:rsid w:val="00E21429"/>
    <w:rsid w:val="00E2362A"/>
    <w:rsid w:val="00E23DF2"/>
    <w:rsid w:val="00E26423"/>
    <w:rsid w:val="00E31C29"/>
    <w:rsid w:val="00E40343"/>
    <w:rsid w:val="00E40EE3"/>
    <w:rsid w:val="00E4187A"/>
    <w:rsid w:val="00E5035A"/>
    <w:rsid w:val="00E50A49"/>
    <w:rsid w:val="00E55183"/>
    <w:rsid w:val="00E55D97"/>
    <w:rsid w:val="00E62E6F"/>
    <w:rsid w:val="00E64493"/>
    <w:rsid w:val="00E654EC"/>
    <w:rsid w:val="00E65DAC"/>
    <w:rsid w:val="00E75263"/>
    <w:rsid w:val="00E805D2"/>
    <w:rsid w:val="00E903A8"/>
    <w:rsid w:val="00E94535"/>
    <w:rsid w:val="00E9702E"/>
    <w:rsid w:val="00EA1C64"/>
    <w:rsid w:val="00EB1288"/>
    <w:rsid w:val="00EB35C8"/>
    <w:rsid w:val="00EB4FC8"/>
    <w:rsid w:val="00EB6F3B"/>
    <w:rsid w:val="00EC26F2"/>
    <w:rsid w:val="00EC2ECA"/>
    <w:rsid w:val="00EC4A21"/>
    <w:rsid w:val="00EC65BA"/>
    <w:rsid w:val="00EC789A"/>
    <w:rsid w:val="00ED1294"/>
    <w:rsid w:val="00ED1EF3"/>
    <w:rsid w:val="00ED4439"/>
    <w:rsid w:val="00ED4D59"/>
    <w:rsid w:val="00ED5764"/>
    <w:rsid w:val="00EE4EB2"/>
    <w:rsid w:val="00EE7AAF"/>
    <w:rsid w:val="00EE7E96"/>
    <w:rsid w:val="00EF1111"/>
    <w:rsid w:val="00EF2215"/>
    <w:rsid w:val="00EF5794"/>
    <w:rsid w:val="00EF691E"/>
    <w:rsid w:val="00EF6AB3"/>
    <w:rsid w:val="00F0710D"/>
    <w:rsid w:val="00F10D99"/>
    <w:rsid w:val="00F11841"/>
    <w:rsid w:val="00F11915"/>
    <w:rsid w:val="00F14D6C"/>
    <w:rsid w:val="00F237BC"/>
    <w:rsid w:val="00F2526A"/>
    <w:rsid w:val="00F27EC4"/>
    <w:rsid w:val="00F33020"/>
    <w:rsid w:val="00F335C3"/>
    <w:rsid w:val="00F427F6"/>
    <w:rsid w:val="00F456B9"/>
    <w:rsid w:val="00F46F48"/>
    <w:rsid w:val="00F572A6"/>
    <w:rsid w:val="00F62F32"/>
    <w:rsid w:val="00F64221"/>
    <w:rsid w:val="00F7090D"/>
    <w:rsid w:val="00F70CDF"/>
    <w:rsid w:val="00F75CAC"/>
    <w:rsid w:val="00F75F79"/>
    <w:rsid w:val="00F8162F"/>
    <w:rsid w:val="00F82D8B"/>
    <w:rsid w:val="00F91435"/>
    <w:rsid w:val="00F925ED"/>
    <w:rsid w:val="00F92F55"/>
    <w:rsid w:val="00F9408E"/>
    <w:rsid w:val="00FA2974"/>
    <w:rsid w:val="00FA3159"/>
    <w:rsid w:val="00FA3404"/>
    <w:rsid w:val="00FA40F7"/>
    <w:rsid w:val="00FA4F4A"/>
    <w:rsid w:val="00FA5E10"/>
    <w:rsid w:val="00FB3C4A"/>
    <w:rsid w:val="00FC1381"/>
    <w:rsid w:val="00FC2C8D"/>
    <w:rsid w:val="00FC3105"/>
    <w:rsid w:val="00FC735B"/>
    <w:rsid w:val="00FC78BA"/>
    <w:rsid w:val="00FD0ACC"/>
    <w:rsid w:val="00FD0D61"/>
    <w:rsid w:val="00FD7ECB"/>
    <w:rsid w:val="00FE214D"/>
    <w:rsid w:val="00FE2A23"/>
    <w:rsid w:val="00FE3581"/>
    <w:rsid w:val="00FE5744"/>
    <w:rsid w:val="00FE5DAE"/>
    <w:rsid w:val="00FF25F6"/>
    <w:rsid w:val="00FF45E3"/>
    <w:rsid w:val="00FF4E2D"/>
    <w:rsid w:val="00FF4F43"/>
    <w:rsid w:val="00FF51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4866"/>
  <w15:chartTrackingRefBased/>
  <w15:docId w15:val="{33787ADB-9F85-4441-8622-7792492A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FD6"/>
    <w:pPr>
      <w:spacing w:after="200" w:line="276" w:lineRule="auto"/>
    </w:pPr>
    <w:rPr>
      <w:rFonts w:cstheme="minorBidi"/>
      <w:szCs w:val="22"/>
    </w:rPr>
  </w:style>
  <w:style w:type="paragraph" w:styleId="Heading2">
    <w:name w:val="heading 2"/>
    <w:basedOn w:val="Normal"/>
    <w:next w:val="Normal"/>
    <w:link w:val="Heading2Char"/>
    <w:uiPriority w:val="9"/>
    <w:semiHidden/>
    <w:unhideWhenUsed/>
    <w:qFormat/>
    <w:rsid w:val="008022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6E5542"/>
    <w:pPr>
      <w:spacing w:before="100" w:beforeAutospacing="1" w:after="100" w:afterAutospacing="1" w:line="240" w:lineRule="auto"/>
      <w:outlineLvl w:val="3"/>
    </w:pPr>
    <w:rPr>
      <w:rFonts w:eastAsia="Times New Roman" w:cs="Times New Roman"/>
      <w:b/>
      <w:bCs/>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1"/>
    <w:basedOn w:val="Normal"/>
    <w:uiPriority w:val="34"/>
    <w:qFormat/>
    <w:rsid w:val="00C56FD6"/>
    <w:pPr>
      <w:ind w:left="720"/>
      <w:contextualSpacing/>
    </w:pPr>
  </w:style>
  <w:style w:type="character" w:styleId="Hyperlink">
    <w:name w:val="Hyperlink"/>
    <w:basedOn w:val="DefaultParagraphFont"/>
    <w:uiPriority w:val="99"/>
    <w:unhideWhenUsed/>
    <w:rsid w:val="00C56FD6"/>
    <w:rPr>
      <w:color w:val="0563C1" w:themeColor="hyperlink"/>
      <w:u w:val="single"/>
    </w:rPr>
  </w:style>
  <w:style w:type="paragraph" w:styleId="Header">
    <w:name w:val="header"/>
    <w:basedOn w:val="Normal"/>
    <w:link w:val="HeaderChar"/>
    <w:uiPriority w:val="99"/>
    <w:unhideWhenUsed/>
    <w:rsid w:val="00406816"/>
    <w:pPr>
      <w:tabs>
        <w:tab w:val="center" w:pos="4320"/>
        <w:tab w:val="right" w:pos="8640"/>
      </w:tabs>
      <w:spacing w:line="240" w:lineRule="auto"/>
    </w:pPr>
    <w:rPr>
      <w:rFonts w:eastAsiaTheme="minorEastAsia"/>
      <w:szCs w:val="24"/>
    </w:rPr>
  </w:style>
  <w:style w:type="character" w:customStyle="1" w:styleId="HeaderChar">
    <w:name w:val="Header Char"/>
    <w:basedOn w:val="DefaultParagraphFont"/>
    <w:link w:val="Header"/>
    <w:uiPriority w:val="99"/>
    <w:rsid w:val="00406816"/>
    <w:rPr>
      <w:rFonts w:eastAsiaTheme="minorEastAsia" w:cstheme="minorBidi"/>
    </w:rPr>
  </w:style>
  <w:style w:type="paragraph" w:customStyle="1" w:styleId="NumberLevel1">
    <w:name w:val="Number Level 1"/>
    <w:aliases w:val="N1,hea Level 1"/>
    <w:basedOn w:val="Normal"/>
    <w:link w:val="NumberLevel1Char"/>
    <w:qFormat/>
    <w:rsid w:val="008937B1"/>
    <w:pPr>
      <w:numPr>
        <w:numId w:val="4"/>
      </w:numPr>
      <w:spacing w:before="140" w:after="140" w:line="280" w:lineRule="atLeast"/>
    </w:pPr>
    <w:rPr>
      <w:rFonts w:ascii="Arial" w:eastAsia="Times New Roman" w:hAnsi="Arial" w:cs="Arial"/>
      <w:sz w:val="22"/>
      <w:lang w:eastAsia="en-AU"/>
    </w:rPr>
  </w:style>
  <w:style w:type="paragraph" w:customStyle="1" w:styleId="NumberLevel2">
    <w:name w:val="Number Level 2"/>
    <w:aliases w:val="N2"/>
    <w:basedOn w:val="Normal"/>
    <w:qFormat/>
    <w:rsid w:val="008937B1"/>
    <w:pPr>
      <w:numPr>
        <w:ilvl w:val="1"/>
        <w:numId w:val="4"/>
      </w:numPr>
      <w:spacing w:before="140" w:after="140" w:line="280" w:lineRule="atLeast"/>
    </w:pPr>
    <w:rPr>
      <w:rFonts w:ascii="Arial" w:eastAsia="Times New Roman" w:hAnsi="Arial" w:cs="Arial"/>
      <w:sz w:val="22"/>
      <w:lang w:eastAsia="en-AU"/>
    </w:rPr>
  </w:style>
  <w:style w:type="paragraph" w:customStyle="1" w:styleId="NumberLevel3">
    <w:name w:val="Number Level 3"/>
    <w:aliases w:val="N3"/>
    <w:basedOn w:val="Normal"/>
    <w:qFormat/>
    <w:rsid w:val="008937B1"/>
    <w:pPr>
      <w:numPr>
        <w:ilvl w:val="2"/>
        <w:numId w:val="4"/>
      </w:numPr>
      <w:spacing w:before="140" w:after="140" w:line="280" w:lineRule="atLeast"/>
    </w:pPr>
    <w:rPr>
      <w:rFonts w:ascii="Arial" w:eastAsia="Times New Roman" w:hAnsi="Arial" w:cs="Arial"/>
      <w:sz w:val="22"/>
      <w:lang w:eastAsia="en-AU"/>
    </w:rPr>
  </w:style>
  <w:style w:type="paragraph" w:customStyle="1" w:styleId="NumberLevel4">
    <w:name w:val="Number Level 4"/>
    <w:aliases w:val="N4"/>
    <w:basedOn w:val="Normal"/>
    <w:qFormat/>
    <w:rsid w:val="008937B1"/>
    <w:pPr>
      <w:numPr>
        <w:ilvl w:val="3"/>
        <w:numId w:val="4"/>
      </w:numPr>
      <w:spacing w:after="140" w:line="280" w:lineRule="atLeast"/>
    </w:pPr>
    <w:rPr>
      <w:rFonts w:ascii="Arial" w:eastAsia="Times New Roman" w:hAnsi="Arial" w:cs="Arial"/>
      <w:sz w:val="22"/>
      <w:lang w:eastAsia="en-AU"/>
    </w:rPr>
  </w:style>
  <w:style w:type="paragraph" w:customStyle="1" w:styleId="NumberLevel5">
    <w:name w:val="Number Level 5"/>
    <w:aliases w:val="N5"/>
    <w:basedOn w:val="Normal"/>
    <w:rsid w:val="008937B1"/>
    <w:pPr>
      <w:numPr>
        <w:ilvl w:val="4"/>
        <w:numId w:val="4"/>
      </w:numPr>
      <w:spacing w:after="140" w:line="280" w:lineRule="atLeast"/>
    </w:pPr>
    <w:rPr>
      <w:rFonts w:ascii="Arial" w:eastAsia="Times New Roman" w:hAnsi="Arial" w:cs="Arial"/>
      <w:sz w:val="22"/>
      <w:lang w:eastAsia="en-AU"/>
    </w:rPr>
  </w:style>
  <w:style w:type="paragraph" w:customStyle="1" w:styleId="NumberLevel6">
    <w:name w:val="Number Level 6"/>
    <w:basedOn w:val="NumberLevel5"/>
    <w:rsid w:val="008937B1"/>
    <w:pPr>
      <w:numPr>
        <w:ilvl w:val="5"/>
      </w:numPr>
    </w:pPr>
  </w:style>
  <w:style w:type="paragraph" w:customStyle="1" w:styleId="NumberLevel7">
    <w:name w:val="Number Level 7"/>
    <w:basedOn w:val="NumberLevel6"/>
    <w:rsid w:val="008937B1"/>
    <w:pPr>
      <w:numPr>
        <w:ilvl w:val="6"/>
      </w:numPr>
    </w:pPr>
  </w:style>
  <w:style w:type="paragraph" w:customStyle="1" w:styleId="NumberLevel8">
    <w:name w:val="Number Level 8"/>
    <w:basedOn w:val="NumberLevel7"/>
    <w:rsid w:val="008937B1"/>
    <w:pPr>
      <w:numPr>
        <w:ilvl w:val="7"/>
      </w:numPr>
    </w:pPr>
  </w:style>
  <w:style w:type="paragraph" w:customStyle="1" w:styleId="NumberLevel9">
    <w:name w:val="Number Level 9"/>
    <w:basedOn w:val="NumberLevel8"/>
    <w:rsid w:val="008937B1"/>
    <w:pPr>
      <w:numPr>
        <w:ilvl w:val="8"/>
      </w:numPr>
    </w:pPr>
  </w:style>
  <w:style w:type="character" w:customStyle="1" w:styleId="NumberLevel1Char">
    <w:name w:val="Number Level 1 Char"/>
    <w:link w:val="NumberLevel1"/>
    <w:locked/>
    <w:rsid w:val="008937B1"/>
    <w:rPr>
      <w:rFonts w:ascii="Arial" w:eastAsia="Times New Roman" w:hAnsi="Arial" w:cs="Arial"/>
      <w:sz w:val="22"/>
      <w:szCs w:val="22"/>
      <w:lang w:eastAsia="en-AU"/>
    </w:rPr>
  </w:style>
  <w:style w:type="paragraph" w:styleId="BalloonText">
    <w:name w:val="Balloon Text"/>
    <w:basedOn w:val="Normal"/>
    <w:link w:val="BalloonTextChar"/>
    <w:uiPriority w:val="99"/>
    <w:semiHidden/>
    <w:unhideWhenUsed/>
    <w:rsid w:val="009C4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31A"/>
    <w:rPr>
      <w:rFonts w:ascii="Segoe UI" w:hAnsi="Segoe UI" w:cs="Segoe UI"/>
      <w:sz w:val="18"/>
      <w:szCs w:val="18"/>
    </w:rPr>
  </w:style>
  <w:style w:type="paragraph" w:customStyle="1" w:styleId="CharCharCharChar">
    <w:name w:val="Char Char Char Char"/>
    <w:basedOn w:val="Normal"/>
    <w:rsid w:val="00EE4EB2"/>
    <w:pPr>
      <w:spacing w:after="0" w:line="240" w:lineRule="auto"/>
    </w:pPr>
    <w:rPr>
      <w:rFonts w:ascii="Arial" w:eastAsia="Times New Roman" w:hAnsi="Arial" w:cs="Arial"/>
      <w:sz w:val="22"/>
    </w:rPr>
  </w:style>
  <w:style w:type="character" w:styleId="CommentReference">
    <w:name w:val="annotation reference"/>
    <w:basedOn w:val="DefaultParagraphFont"/>
    <w:uiPriority w:val="99"/>
    <w:unhideWhenUsed/>
    <w:rsid w:val="007847F1"/>
    <w:rPr>
      <w:sz w:val="16"/>
      <w:szCs w:val="16"/>
    </w:rPr>
  </w:style>
  <w:style w:type="paragraph" w:styleId="CommentText">
    <w:name w:val="annotation text"/>
    <w:basedOn w:val="Normal"/>
    <w:link w:val="CommentTextChar"/>
    <w:uiPriority w:val="99"/>
    <w:unhideWhenUsed/>
    <w:rsid w:val="007847F1"/>
    <w:pPr>
      <w:spacing w:line="240" w:lineRule="auto"/>
    </w:pPr>
    <w:rPr>
      <w:sz w:val="20"/>
      <w:szCs w:val="20"/>
    </w:rPr>
  </w:style>
  <w:style w:type="character" w:customStyle="1" w:styleId="CommentTextChar">
    <w:name w:val="Comment Text Char"/>
    <w:basedOn w:val="DefaultParagraphFont"/>
    <w:link w:val="CommentText"/>
    <w:uiPriority w:val="99"/>
    <w:rsid w:val="007847F1"/>
    <w:rPr>
      <w:rFonts w:cstheme="minorBidi"/>
      <w:sz w:val="20"/>
      <w:szCs w:val="20"/>
    </w:rPr>
  </w:style>
  <w:style w:type="paragraph" w:styleId="CommentSubject">
    <w:name w:val="annotation subject"/>
    <w:basedOn w:val="CommentText"/>
    <w:next w:val="CommentText"/>
    <w:link w:val="CommentSubjectChar"/>
    <w:uiPriority w:val="99"/>
    <w:semiHidden/>
    <w:unhideWhenUsed/>
    <w:rsid w:val="007847F1"/>
    <w:rPr>
      <w:b/>
      <w:bCs/>
    </w:rPr>
  </w:style>
  <w:style w:type="character" w:customStyle="1" w:styleId="CommentSubjectChar">
    <w:name w:val="Comment Subject Char"/>
    <w:basedOn w:val="CommentTextChar"/>
    <w:link w:val="CommentSubject"/>
    <w:uiPriority w:val="99"/>
    <w:semiHidden/>
    <w:rsid w:val="007847F1"/>
    <w:rPr>
      <w:rFonts w:cstheme="minorBidi"/>
      <w:b/>
      <w:bCs/>
      <w:sz w:val="20"/>
      <w:szCs w:val="20"/>
    </w:rPr>
  </w:style>
  <w:style w:type="character" w:styleId="UnresolvedMention">
    <w:name w:val="Unresolved Mention"/>
    <w:basedOn w:val="DefaultParagraphFont"/>
    <w:uiPriority w:val="99"/>
    <w:semiHidden/>
    <w:unhideWhenUsed/>
    <w:rsid w:val="009026F6"/>
    <w:rPr>
      <w:color w:val="605E5C"/>
      <w:shd w:val="clear" w:color="auto" w:fill="E1DFDD"/>
    </w:rPr>
  </w:style>
  <w:style w:type="character" w:styleId="FollowedHyperlink">
    <w:name w:val="FollowedHyperlink"/>
    <w:basedOn w:val="DefaultParagraphFont"/>
    <w:uiPriority w:val="99"/>
    <w:semiHidden/>
    <w:unhideWhenUsed/>
    <w:rsid w:val="00B54247"/>
    <w:rPr>
      <w:color w:val="954F72" w:themeColor="followedHyperlink"/>
      <w:u w:val="single"/>
    </w:rPr>
  </w:style>
  <w:style w:type="character" w:customStyle="1" w:styleId="Heading4Char">
    <w:name w:val="Heading 4 Char"/>
    <w:basedOn w:val="DefaultParagraphFont"/>
    <w:link w:val="Heading4"/>
    <w:uiPriority w:val="9"/>
    <w:rsid w:val="006E5542"/>
    <w:rPr>
      <w:rFonts w:eastAsia="Times New Roman"/>
      <w:b/>
      <w:bCs/>
      <w:lang w:eastAsia="en-AU"/>
    </w:rPr>
  </w:style>
  <w:style w:type="character" w:styleId="Emphasis">
    <w:name w:val="Emphasis"/>
    <w:basedOn w:val="DefaultParagraphFont"/>
    <w:uiPriority w:val="20"/>
    <w:qFormat/>
    <w:rsid w:val="006E5542"/>
    <w:rPr>
      <w:i/>
      <w:iCs/>
    </w:rPr>
  </w:style>
  <w:style w:type="paragraph" w:styleId="NormalWeb">
    <w:name w:val="Normal (Web)"/>
    <w:basedOn w:val="Normal"/>
    <w:uiPriority w:val="99"/>
    <w:unhideWhenUsed/>
    <w:rsid w:val="006E5542"/>
    <w:pPr>
      <w:spacing w:before="100" w:beforeAutospacing="1" w:after="100" w:afterAutospacing="1" w:line="240" w:lineRule="auto"/>
    </w:pPr>
    <w:rPr>
      <w:rFonts w:eastAsia="Times New Roman" w:cs="Times New Roman"/>
      <w:szCs w:val="24"/>
      <w:lang w:eastAsia="en-AU"/>
    </w:rPr>
  </w:style>
  <w:style w:type="paragraph" w:customStyle="1" w:styleId="TableText">
    <w:name w:val="TableText"/>
    <w:basedOn w:val="Normal"/>
    <w:qFormat/>
    <w:rsid w:val="009E1680"/>
    <w:pPr>
      <w:spacing w:before="120" w:after="120" w:line="240" w:lineRule="auto"/>
    </w:pPr>
    <w:rPr>
      <w:rFonts w:ascii="Century Gothic" w:eastAsiaTheme="majorEastAsia" w:hAnsi="Century Gothic" w:cs="Arial"/>
      <w:bCs/>
      <w:sz w:val="20"/>
      <w:szCs w:val="20"/>
    </w:rPr>
  </w:style>
  <w:style w:type="character" w:customStyle="1" w:styleId="Heading2Char">
    <w:name w:val="Heading 2 Char"/>
    <w:basedOn w:val="DefaultParagraphFont"/>
    <w:link w:val="Heading2"/>
    <w:uiPriority w:val="9"/>
    <w:semiHidden/>
    <w:rsid w:val="0080222C"/>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D8275D"/>
    <w:pPr>
      <w:spacing w:after="0" w:line="240" w:lineRule="auto"/>
    </w:pPr>
    <w:rPr>
      <w:rFonts w:cstheme="minorBidi"/>
      <w:szCs w:val="22"/>
    </w:rPr>
  </w:style>
  <w:style w:type="paragraph" w:customStyle="1" w:styleId="ItemHead">
    <w:name w:val="ItemHead"/>
    <w:aliases w:val="ih"/>
    <w:basedOn w:val="Normal"/>
    <w:next w:val="Normal"/>
    <w:rsid w:val="00561605"/>
    <w:pPr>
      <w:keepNext/>
      <w:keepLines/>
      <w:spacing w:before="220" w:after="0" w:line="240" w:lineRule="auto"/>
      <w:ind w:left="709" w:hanging="709"/>
    </w:pPr>
    <w:rPr>
      <w:rFonts w:ascii="Arial" w:eastAsia="Times New Roman" w:hAnsi="Arial" w:cs="Times New Roman"/>
      <w:b/>
      <w:kern w:val="28"/>
      <w:szCs w:val="20"/>
      <w:lang w:eastAsia="en-AU"/>
    </w:rPr>
  </w:style>
  <w:style w:type="paragraph" w:customStyle="1" w:styleId="BoxNote">
    <w:name w:val="BoxNote"/>
    <w:aliases w:val="bn"/>
    <w:basedOn w:val="Normal"/>
    <w:qFormat/>
    <w:rsid w:val="000A665E"/>
    <w:pPr>
      <w:pBdr>
        <w:top w:val="single" w:sz="6" w:space="5" w:color="auto"/>
        <w:left w:val="single" w:sz="6" w:space="5" w:color="auto"/>
        <w:bottom w:val="single" w:sz="6" w:space="5" w:color="auto"/>
        <w:right w:val="single" w:sz="6" w:space="5" w:color="auto"/>
      </w:pBdr>
      <w:tabs>
        <w:tab w:val="left" w:pos="1985"/>
      </w:tabs>
      <w:spacing w:before="122" w:after="0" w:line="198" w:lineRule="exact"/>
      <w:ind w:left="2948" w:hanging="1814"/>
    </w:pPr>
    <w:rPr>
      <w:rFonts w:eastAsia="Times New Roman" w:cs="Times New Roman"/>
      <w:sz w:val="18"/>
      <w:szCs w:val="20"/>
      <w:lang w:eastAsia="en-AU"/>
    </w:rPr>
  </w:style>
  <w:style w:type="paragraph" w:styleId="Footer">
    <w:name w:val="footer"/>
    <w:basedOn w:val="Normal"/>
    <w:link w:val="FooterChar"/>
    <w:uiPriority w:val="99"/>
    <w:unhideWhenUsed/>
    <w:rsid w:val="003407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797"/>
    <w:rPr>
      <w:rFonts w:cstheme="minorBidi"/>
      <w:szCs w:val="22"/>
    </w:rPr>
  </w:style>
  <w:style w:type="paragraph" w:styleId="NoSpacing">
    <w:name w:val="No Spacing"/>
    <w:uiPriority w:val="1"/>
    <w:qFormat/>
    <w:rsid w:val="00D95901"/>
    <w:pPr>
      <w:spacing w:after="0" w:line="240" w:lineRule="auto"/>
    </w:pPr>
    <w:rPr>
      <w:rFonts w:asciiTheme="minorHAnsi" w:hAnsiTheme="minorHAnsi" w:cstheme="minorBidi"/>
      <w:sz w:val="22"/>
      <w:szCs w:val="22"/>
    </w:rPr>
  </w:style>
  <w:style w:type="paragraph" w:customStyle="1" w:styleId="Default">
    <w:name w:val="Default"/>
    <w:rsid w:val="00517520"/>
    <w:pPr>
      <w:autoSpaceDE w:val="0"/>
      <w:autoSpaceDN w:val="0"/>
      <w:adjustRightInd w:val="0"/>
      <w:spacing w:after="0" w:line="240" w:lineRule="auto"/>
    </w:pPr>
    <w:rPr>
      <w:rFonts w:ascii="Century Gothic" w:hAnsi="Century Gothic" w:cs="Calibri"/>
      <w:color w:val="000000"/>
    </w:rPr>
  </w:style>
  <w:style w:type="paragraph" w:styleId="EndnoteText">
    <w:name w:val="endnote text"/>
    <w:basedOn w:val="Normal"/>
    <w:link w:val="EndnoteTextChar"/>
    <w:uiPriority w:val="99"/>
    <w:semiHidden/>
    <w:unhideWhenUsed/>
    <w:rsid w:val="00050830"/>
    <w:pPr>
      <w:spacing w:after="0" w:line="240" w:lineRule="auto"/>
    </w:pPr>
    <w:rPr>
      <w:rFonts w:ascii="Century Gothic" w:hAnsi="Century Gothic"/>
      <w:sz w:val="20"/>
      <w:szCs w:val="20"/>
    </w:rPr>
  </w:style>
  <w:style w:type="character" w:customStyle="1" w:styleId="EndnoteTextChar">
    <w:name w:val="Endnote Text Char"/>
    <w:basedOn w:val="DefaultParagraphFont"/>
    <w:link w:val="EndnoteText"/>
    <w:uiPriority w:val="99"/>
    <w:semiHidden/>
    <w:rsid w:val="00050830"/>
    <w:rPr>
      <w:rFonts w:ascii="Century Gothic" w:hAnsi="Century Gothic" w:cstheme="minorBidi"/>
      <w:sz w:val="20"/>
      <w:szCs w:val="20"/>
    </w:rPr>
  </w:style>
  <w:style w:type="character" w:styleId="EndnoteReference">
    <w:name w:val="endnote reference"/>
    <w:basedOn w:val="DefaultParagraphFont"/>
    <w:uiPriority w:val="99"/>
    <w:semiHidden/>
    <w:unhideWhenUsed/>
    <w:rsid w:val="00050830"/>
    <w:rPr>
      <w:vertAlign w:val="superscript"/>
    </w:rPr>
  </w:style>
  <w:style w:type="paragraph" w:styleId="FootnoteText">
    <w:name w:val="footnote text"/>
    <w:basedOn w:val="Normal"/>
    <w:link w:val="FootnoteTextChar"/>
    <w:uiPriority w:val="99"/>
    <w:semiHidden/>
    <w:unhideWhenUsed/>
    <w:rsid w:val="002424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24AD"/>
    <w:rPr>
      <w:rFonts w:cstheme="minorBidi"/>
      <w:sz w:val="20"/>
      <w:szCs w:val="20"/>
    </w:rPr>
  </w:style>
  <w:style w:type="character" w:styleId="FootnoteReference">
    <w:name w:val="footnote reference"/>
    <w:basedOn w:val="DefaultParagraphFont"/>
    <w:uiPriority w:val="99"/>
    <w:semiHidden/>
    <w:unhideWhenUsed/>
    <w:rsid w:val="002424AD"/>
    <w:rPr>
      <w:vertAlign w:val="superscript"/>
    </w:rPr>
  </w:style>
  <w:style w:type="paragraph" w:customStyle="1" w:styleId="TBLText">
    <w:name w:val="TBL Text"/>
    <w:basedOn w:val="Normal"/>
    <w:uiPriority w:val="9"/>
    <w:qFormat/>
    <w:rsid w:val="00CF30D1"/>
    <w:pPr>
      <w:spacing w:after="0" w:line="240" w:lineRule="auto"/>
    </w:pPr>
    <w:rPr>
      <w:rFonts w:asciiTheme="minorHAnsi" w:eastAsiaTheme="minorEastAsia"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20689">
      <w:bodyDiv w:val="1"/>
      <w:marLeft w:val="0"/>
      <w:marRight w:val="0"/>
      <w:marTop w:val="0"/>
      <w:marBottom w:val="0"/>
      <w:divBdr>
        <w:top w:val="none" w:sz="0" w:space="0" w:color="auto"/>
        <w:left w:val="none" w:sz="0" w:space="0" w:color="auto"/>
        <w:bottom w:val="none" w:sz="0" w:space="0" w:color="auto"/>
        <w:right w:val="none" w:sz="0" w:space="0" w:color="auto"/>
      </w:divBdr>
    </w:div>
    <w:div w:id="190535312">
      <w:bodyDiv w:val="1"/>
      <w:marLeft w:val="0"/>
      <w:marRight w:val="0"/>
      <w:marTop w:val="0"/>
      <w:marBottom w:val="0"/>
      <w:divBdr>
        <w:top w:val="none" w:sz="0" w:space="0" w:color="auto"/>
        <w:left w:val="none" w:sz="0" w:space="0" w:color="auto"/>
        <w:bottom w:val="none" w:sz="0" w:space="0" w:color="auto"/>
        <w:right w:val="none" w:sz="0" w:space="0" w:color="auto"/>
      </w:divBdr>
    </w:div>
    <w:div w:id="195894359">
      <w:bodyDiv w:val="1"/>
      <w:marLeft w:val="0"/>
      <w:marRight w:val="0"/>
      <w:marTop w:val="0"/>
      <w:marBottom w:val="0"/>
      <w:divBdr>
        <w:top w:val="none" w:sz="0" w:space="0" w:color="auto"/>
        <w:left w:val="none" w:sz="0" w:space="0" w:color="auto"/>
        <w:bottom w:val="none" w:sz="0" w:space="0" w:color="auto"/>
        <w:right w:val="none" w:sz="0" w:space="0" w:color="auto"/>
      </w:divBdr>
    </w:div>
    <w:div w:id="205797424">
      <w:bodyDiv w:val="1"/>
      <w:marLeft w:val="0"/>
      <w:marRight w:val="0"/>
      <w:marTop w:val="0"/>
      <w:marBottom w:val="0"/>
      <w:divBdr>
        <w:top w:val="none" w:sz="0" w:space="0" w:color="auto"/>
        <w:left w:val="none" w:sz="0" w:space="0" w:color="auto"/>
        <w:bottom w:val="none" w:sz="0" w:space="0" w:color="auto"/>
        <w:right w:val="none" w:sz="0" w:space="0" w:color="auto"/>
      </w:divBdr>
    </w:div>
    <w:div w:id="226428080">
      <w:bodyDiv w:val="1"/>
      <w:marLeft w:val="0"/>
      <w:marRight w:val="0"/>
      <w:marTop w:val="0"/>
      <w:marBottom w:val="0"/>
      <w:divBdr>
        <w:top w:val="none" w:sz="0" w:space="0" w:color="auto"/>
        <w:left w:val="none" w:sz="0" w:space="0" w:color="auto"/>
        <w:bottom w:val="none" w:sz="0" w:space="0" w:color="auto"/>
        <w:right w:val="none" w:sz="0" w:space="0" w:color="auto"/>
      </w:divBdr>
    </w:div>
    <w:div w:id="241137309">
      <w:bodyDiv w:val="1"/>
      <w:marLeft w:val="0"/>
      <w:marRight w:val="0"/>
      <w:marTop w:val="0"/>
      <w:marBottom w:val="0"/>
      <w:divBdr>
        <w:top w:val="none" w:sz="0" w:space="0" w:color="auto"/>
        <w:left w:val="none" w:sz="0" w:space="0" w:color="auto"/>
        <w:bottom w:val="none" w:sz="0" w:space="0" w:color="auto"/>
        <w:right w:val="none" w:sz="0" w:space="0" w:color="auto"/>
      </w:divBdr>
    </w:div>
    <w:div w:id="342778708">
      <w:bodyDiv w:val="1"/>
      <w:marLeft w:val="0"/>
      <w:marRight w:val="0"/>
      <w:marTop w:val="0"/>
      <w:marBottom w:val="0"/>
      <w:divBdr>
        <w:top w:val="none" w:sz="0" w:space="0" w:color="auto"/>
        <w:left w:val="none" w:sz="0" w:space="0" w:color="auto"/>
        <w:bottom w:val="none" w:sz="0" w:space="0" w:color="auto"/>
        <w:right w:val="none" w:sz="0" w:space="0" w:color="auto"/>
      </w:divBdr>
    </w:div>
    <w:div w:id="491722388">
      <w:bodyDiv w:val="1"/>
      <w:marLeft w:val="0"/>
      <w:marRight w:val="0"/>
      <w:marTop w:val="0"/>
      <w:marBottom w:val="0"/>
      <w:divBdr>
        <w:top w:val="none" w:sz="0" w:space="0" w:color="auto"/>
        <w:left w:val="none" w:sz="0" w:space="0" w:color="auto"/>
        <w:bottom w:val="none" w:sz="0" w:space="0" w:color="auto"/>
        <w:right w:val="none" w:sz="0" w:space="0" w:color="auto"/>
      </w:divBdr>
    </w:div>
    <w:div w:id="710225186">
      <w:bodyDiv w:val="1"/>
      <w:marLeft w:val="0"/>
      <w:marRight w:val="0"/>
      <w:marTop w:val="0"/>
      <w:marBottom w:val="0"/>
      <w:divBdr>
        <w:top w:val="none" w:sz="0" w:space="0" w:color="auto"/>
        <w:left w:val="none" w:sz="0" w:space="0" w:color="auto"/>
        <w:bottom w:val="none" w:sz="0" w:space="0" w:color="auto"/>
        <w:right w:val="none" w:sz="0" w:space="0" w:color="auto"/>
      </w:divBdr>
    </w:div>
    <w:div w:id="831873885">
      <w:bodyDiv w:val="1"/>
      <w:marLeft w:val="0"/>
      <w:marRight w:val="0"/>
      <w:marTop w:val="0"/>
      <w:marBottom w:val="0"/>
      <w:divBdr>
        <w:top w:val="none" w:sz="0" w:space="0" w:color="auto"/>
        <w:left w:val="none" w:sz="0" w:space="0" w:color="auto"/>
        <w:bottom w:val="none" w:sz="0" w:space="0" w:color="auto"/>
        <w:right w:val="none" w:sz="0" w:space="0" w:color="auto"/>
      </w:divBdr>
    </w:div>
    <w:div w:id="1093360164">
      <w:bodyDiv w:val="1"/>
      <w:marLeft w:val="0"/>
      <w:marRight w:val="0"/>
      <w:marTop w:val="0"/>
      <w:marBottom w:val="0"/>
      <w:divBdr>
        <w:top w:val="none" w:sz="0" w:space="0" w:color="auto"/>
        <w:left w:val="none" w:sz="0" w:space="0" w:color="auto"/>
        <w:bottom w:val="none" w:sz="0" w:space="0" w:color="auto"/>
        <w:right w:val="none" w:sz="0" w:space="0" w:color="auto"/>
      </w:divBdr>
    </w:div>
    <w:div w:id="1158813196">
      <w:bodyDiv w:val="1"/>
      <w:marLeft w:val="0"/>
      <w:marRight w:val="0"/>
      <w:marTop w:val="0"/>
      <w:marBottom w:val="0"/>
      <w:divBdr>
        <w:top w:val="none" w:sz="0" w:space="0" w:color="auto"/>
        <w:left w:val="none" w:sz="0" w:space="0" w:color="auto"/>
        <w:bottom w:val="none" w:sz="0" w:space="0" w:color="auto"/>
        <w:right w:val="none" w:sz="0" w:space="0" w:color="auto"/>
      </w:divBdr>
    </w:div>
    <w:div w:id="1305697001">
      <w:bodyDiv w:val="1"/>
      <w:marLeft w:val="0"/>
      <w:marRight w:val="0"/>
      <w:marTop w:val="0"/>
      <w:marBottom w:val="0"/>
      <w:divBdr>
        <w:top w:val="none" w:sz="0" w:space="0" w:color="auto"/>
        <w:left w:val="none" w:sz="0" w:space="0" w:color="auto"/>
        <w:bottom w:val="none" w:sz="0" w:space="0" w:color="auto"/>
        <w:right w:val="none" w:sz="0" w:space="0" w:color="auto"/>
      </w:divBdr>
    </w:div>
    <w:div w:id="1650085705">
      <w:bodyDiv w:val="1"/>
      <w:marLeft w:val="0"/>
      <w:marRight w:val="0"/>
      <w:marTop w:val="0"/>
      <w:marBottom w:val="0"/>
      <w:divBdr>
        <w:top w:val="none" w:sz="0" w:space="0" w:color="auto"/>
        <w:left w:val="none" w:sz="0" w:space="0" w:color="auto"/>
        <w:bottom w:val="none" w:sz="0" w:space="0" w:color="auto"/>
        <w:right w:val="none" w:sz="0" w:space="0" w:color="auto"/>
      </w:divBdr>
    </w:div>
    <w:div w:id="1708335261">
      <w:bodyDiv w:val="1"/>
      <w:marLeft w:val="0"/>
      <w:marRight w:val="0"/>
      <w:marTop w:val="0"/>
      <w:marBottom w:val="0"/>
      <w:divBdr>
        <w:top w:val="none" w:sz="0" w:space="0" w:color="auto"/>
        <w:left w:val="none" w:sz="0" w:space="0" w:color="auto"/>
        <w:bottom w:val="none" w:sz="0" w:space="0" w:color="auto"/>
        <w:right w:val="none" w:sz="0" w:space="0" w:color="auto"/>
      </w:divBdr>
    </w:div>
    <w:div w:id="1725372096">
      <w:bodyDiv w:val="1"/>
      <w:marLeft w:val="0"/>
      <w:marRight w:val="0"/>
      <w:marTop w:val="0"/>
      <w:marBottom w:val="0"/>
      <w:divBdr>
        <w:top w:val="none" w:sz="0" w:space="0" w:color="auto"/>
        <w:left w:val="none" w:sz="0" w:space="0" w:color="auto"/>
        <w:bottom w:val="none" w:sz="0" w:space="0" w:color="auto"/>
        <w:right w:val="none" w:sz="0" w:space="0" w:color="auto"/>
      </w:divBdr>
    </w:div>
    <w:div w:id="1775246350">
      <w:bodyDiv w:val="1"/>
      <w:marLeft w:val="0"/>
      <w:marRight w:val="0"/>
      <w:marTop w:val="0"/>
      <w:marBottom w:val="0"/>
      <w:divBdr>
        <w:top w:val="none" w:sz="0" w:space="0" w:color="auto"/>
        <w:left w:val="none" w:sz="0" w:space="0" w:color="auto"/>
        <w:bottom w:val="none" w:sz="0" w:space="0" w:color="auto"/>
        <w:right w:val="none" w:sz="0" w:space="0" w:color="auto"/>
      </w:divBdr>
    </w:div>
    <w:div w:id="1978073170">
      <w:bodyDiv w:val="1"/>
      <w:marLeft w:val="0"/>
      <w:marRight w:val="0"/>
      <w:marTop w:val="0"/>
      <w:marBottom w:val="0"/>
      <w:divBdr>
        <w:top w:val="none" w:sz="0" w:space="0" w:color="auto"/>
        <w:left w:val="none" w:sz="0" w:space="0" w:color="auto"/>
        <w:bottom w:val="none" w:sz="0" w:space="0" w:color="auto"/>
        <w:right w:val="none" w:sz="0" w:space="0" w:color="auto"/>
      </w:divBdr>
    </w:div>
    <w:div w:id="2069911595">
      <w:bodyDiv w:val="1"/>
      <w:marLeft w:val="0"/>
      <w:marRight w:val="0"/>
      <w:marTop w:val="0"/>
      <w:marBottom w:val="0"/>
      <w:divBdr>
        <w:top w:val="none" w:sz="0" w:space="0" w:color="auto"/>
        <w:left w:val="none" w:sz="0" w:space="0" w:color="auto"/>
        <w:bottom w:val="none" w:sz="0" w:space="0" w:color="auto"/>
        <w:right w:val="none" w:sz="0" w:space="0" w:color="auto"/>
      </w:divBdr>
    </w:div>
    <w:div w:id="2082633735">
      <w:bodyDiv w:val="1"/>
      <w:marLeft w:val="0"/>
      <w:marRight w:val="0"/>
      <w:marTop w:val="0"/>
      <w:marBottom w:val="0"/>
      <w:divBdr>
        <w:top w:val="none" w:sz="0" w:space="0" w:color="auto"/>
        <w:left w:val="none" w:sz="0" w:space="0" w:color="auto"/>
        <w:bottom w:val="none" w:sz="0" w:space="0" w:color="auto"/>
        <w:right w:val="none" w:sz="0" w:space="0" w:color="auto"/>
      </w:divBdr>
    </w:div>
    <w:div w:id="212861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MATT!102540742.1</documentid>
  <senderid>10297</senderid>
  <senderemail>CAMERON.TYNCHEROV@SPARKE.COM.AU</senderemail>
  <lastmodified>2025-06-23T17:58:00.0000000+10:00</lastmodified>
  <database>MATT</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FBE52-0A55-467F-83D5-6F680FE97DEE}">
  <ds:schemaRefs>
    <ds:schemaRef ds:uri="http://www.imanage.com/work/xmlschema"/>
  </ds:schemaRefs>
</ds:datastoreItem>
</file>

<file path=customXml/itemProps2.xml><?xml version="1.0" encoding="utf-8"?>
<ds:datastoreItem xmlns:ds="http://schemas.openxmlformats.org/officeDocument/2006/customXml" ds:itemID="{E20C12F9-EE53-4ED5-957A-05894E66E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3242</Words>
  <Characters>18485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Petrie, Suzanne</dc:creator>
  <cp:keywords/>
  <dc:description/>
  <cp:lastModifiedBy>Department of Health and Aged Care</cp:lastModifiedBy>
  <cp:revision>4</cp:revision>
  <cp:lastPrinted>2023-02-02T23:07:00Z</cp:lastPrinted>
  <dcterms:created xsi:type="dcterms:W3CDTF">2025-06-25T05:57:00Z</dcterms:created>
  <dcterms:modified xsi:type="dcterms:W3CDTF">2025-06-26T00:41:00Z</dcterms:modified>
</cp:coreProperties>
</file>