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3D79" w14:textId="77777777" w:rsidR="00606057" w:rsidRPr="00F240A5" w:rsidRDefault="00606057" w:rsidP="00B37D97">
      <w:pPr>
        <w:pStyle w:val="CommentText"/>
        <w:spacing w:before="120" w:after="240"/>
        <w:rPr>
          <w:rFonts w:eastAsia="Times New Roman" w:cs="Times New Roman"/>
          <w:b/>
          <w:sz w:val="24"/>
          <w:szCs w:val="24"/>
          <w:lang w:eastAsia="en-AU"/>
        </w:rPr>
      </w:pPr>
      <w:r w:rsidRPr="00F240A5">
        <w:rPr>
          <w:rFonts w:eastAsia="Times New Roman" w:cs="Times New Roman"/>
          <w:b/>
          <w:sz w:val="24"/>
          <w:szCs w:val="24"/>
          <w:lang w:eastAsia="en-AU"/>
        </w:rPr>
        <w:t>EXPLANATORY STATEMENT</w:t>
      </w:r>
    </w:p>
    <w:p w14:paraId="30B402E7" w14:textId="77777777" w:rsidR="00F240A5" w:rsidRPr="00F240A5" w:rsidRDefault="002E6AF2" w:rsidP="00B37D97">
      <w:pPr>
        <w:pStyle w:val="CommentText"/>
        <w:spacing w:before="120" w:after="240"/>
        <w:rPr>
          <w:rFonts w:eastAsia="Times New Roman" w:cs="Times New Roman"/>
          <w:b/>
          <w:i/>
          <w:sz w:val="24"/>
          <w:szCs w:val="24"/>
          <w:lang w:eastAsia="en-AU"/>
        </w:rPr>
      </w:pPr>
      <w:r w:rsidRPr="00F240A5">
        <w:rPr>
          <w:rFonts w:eastAsia="Times New Roman" w:cs="Times New Roman"/>
          <w:b/>
          <w:i/>
          <w:sz w:val="24"/>
          <w:szCs w:val="24"/>
          <w:lang w:eastAsia="en-AU"/>
        </w:rPr>
        <w:t xml:space="preserve">Mutual Recognition </w:t>
      </w:r>
      <w:r w:rsidR="00F240A5" w:rsidRPr="00F240A5">
        <w:rPr>
          <w:rFonts w:eastAsia="Times New Roman" w:cs="Times New Roman"/>
          <w:b/>
          <w:i/>
          <w:sz w:val="24"/>
          <w:szCs w:val="24"/>
          <w:lang w:eastAsia="en-AU"/>
        </w:rPr>
        <w:t>Act 1992</w:t>
      </w:r>
    </w:p>
    <w:p w14:paraId="16BD8E82" w14:textId="7F3E993C" w:rsidR="00F240A5" w:rsidRPr="00F240A5" w:rsidRDefault="00CC631E" w:rsidP="00B37D97">
      <w:pPr>
        <w:pStyle w:val="CommentText"/>
        <w:spacing w:before="120" w:after="240"/>
        <w:rPr>
          <w:rFonts w:eastAsia="Times New Roman" w:cs="Times New Roman"/>
          <w:b/>
          <w:sz w:val="24"/>
          <w:szCs w:val="24"/>
          <w:lang w:eastAsia="en-AU"/>
        </w:rPr>
      </w:pPr>
      <w:r>
        <w:rPr>
          <w:rFonts w:eastAsia="Times New Roman" w:cs="Times New Roman"/>
          <w:b/>
          <w:sz w:val="24"/>
          <w:szCs w:val="24"/>
          <w:lang w:eastAsia="en-AU"/>
        </w:rPr>
        <w:t xml:space="preserve">Automatic </w:t>
      </w:r>
      <w:r w:rsidR="00F240A5" w:rsidRPr="00F240A5">
        <w:rPr>
          <w:rFonts w:eastAsia="Times New Roman" w:cs="Times New Roman"/>
          <w:b/>
          <w:sz w:val="24"/>
          <w:szCs w:val="24"/>
          <w:lang w:eastAsia="en-AU"/>
        </w:rPr>
        <w:t xml:space="preserve">Mutual Recognition </w:t>
      </w:r>
      <w:r w:rsidR="00B918F7">
        <w:rPr>
          <w:rFonts w:eastAsia="Times New Roman" w:cs="Times New Roman"/>
          <w:b/>
          <w:sz w:val="24"/>
          <w:szCs w:val="24"/>
          <w:lang w:eastAsia="en-AU"/>
        </w:rPr>
        <w:t>(</w:t>
      </w:r>
      <w:r w:rsidR="001371B2" w:rsidRPr="001371B2">
        <w:rPr>
          <w:rFonts w:eastAsia="Times New Roman" w:cs="Times New Roman"/>
          <w:b/>
          <w:sz w:val="24"/>
          <w:szCs w:val="24"/>
          <w:lang w:eastAsia="en-AU"/>
        </w:rPr>
        <w:t>Australian Capital</w:t>
      </w:r>
      <w:r w:rsidR="00B918F7" w:rsidRPr="001371B2">
        <w:rPr>
          <w:rFonts w:eastAsia="Times New Roman" w:cs="Times New Roman"/>
          <w:b/>
          <w:sz w:val="24"/>
          <w:szCs w:val="24"/>
          <w:lang w:eastAsia="en-AU"/>
        </w:rPr>
        <w:t xml:space="preserve"> Territory</w:t>
      </w:r>
      <w:r w:rsidR="00B918F7">
        <w:rPr>
          <w:rFonts w:eastAsia="Times New Roman" w:cs="Times New Roman"/>
          <w:b/>
          <w:sz w:val="24"/>
          <w:szCs w:val="24"/>
          <w:lang w:eastAsia="en-AU"/>
        </w:rPr>
        <w:t xml:space="preserve">) </w:t>
      </w:r>
      <w:r w:rsidR="002E6AF2" w:rsidRPr="00F240A5">
        <w:rPr>
          <w:rFonts w:eastAsia="Times New Roman" w:cs="Times New Roman"/>
          <w:b/>
          <w:sz w:val="24"/>
          <w:szCs w:val="24"/>
          <w:lang w:eastAsia="en-AU"/>
        </w:rPr>
        <w:t>(</w:t>
      </w:r>
      <w:r w:rsidR="005441DF">
        <w:rPr>
          <w:rFonts w:eastAsia="Times New Roman" w:cs="Times New Roman"/>
          <w:b/>
          <w:sz w:val="24"/>
          <w:szCs w:val="24"/>
          <w:lang w:eastAsia="en-AU"/>
        </w:rPr>
        <w:t>Exemptions</w:t>
      </w:r>
      <w:r w:rsidR="00C62885">
        <w:rPr>
          <w:rFonts w:eastAsia="Times New Roman" w:cs="Times New Roman"/>
          <w:b/>
          <w:sz w:val="24"/>
          <w:szCs w:val="24"/>
          <w:lang w:eastAsia="en-AU"/>
        </w:rPr>
        <w:t>—</w:t>
      </w:r>
      <w:r w:rsidR="00737013">
        <w:rPr>
          <w:rFonts w:eastAsia="Times New Roman" w:cs="Times New Roman"/>
          <w:b/>
          <w:sz w:val="24"/>
          <w:szCs w:val="24"/>
          <w:lang w:eastAsia="en-AU"/>
        </w:rPr>
        <w:t>Construction Occupations</w:t>
      </w:r>
      <w:r w:rsidR="002E6AF2" w:rsidRPr="00F240A5">
        <w:rPr>
          <w:rFonts w:eastAsia="Times New Roman" w:cs="Times New Roman"/>
          <w:b/>
          <w:sz w:val="24"/>
          <w:szCs w:val="24"/>
          <w:lang w:eastAsia="en-AU"/>
        </w:rPr>
        <w:t xml:space="preserve">) </w:t>
      </w:r>
      <w:r w:rsidR="005441DF">
        <w:rPr>
          <w:rFonts w:eastAsia="Times New Roman" w:cs="Times New Roman"/>
          <w:b/>
          <w:sz w:val="24"/>
          <w:szCs w:val="24"/>
          <w:lang w:eastAsia="en-AU"/>
        </w:rPr>
        <w:t>Declaration</w:t>
      </w:r>
      <w:r w:rsidR="002E6AF2" w:rsidRPr="00F240A5">
        <w:rPr>
          <w:rFonts w:eastAsia="Times New Roman" w:cs="Times New Roman"/>
          <w:b/>
          <w:sz w:val="24"/>
          <w:szCs w:val="24"/>
          <w:lang w:eastAsia="en-AU"/>
        </w:rPr>
        <w:t xml:space="preserve"> </w:t>
      </w:r>
      <w:r w:rsidR="00F73C1C">
        <w:rPr>
          <w:rFonts w:eastAsia="Times New Roman" w:cs="Times New Roman"/>
          <w:b/>
          <w:sz w:val="24"/>
          <w:szCs w:val="24"/>
          <w:lang w:eastAsia="en-AU"/>
        </w:rPr>
        <w:t>202</w:t>
      </w:r>
      <w:r w:rsidR="00E70F0B">
        <w:rPr>
          <w:rFonts w:eastAsia="Times New Roman" w:cs="Times New Roman"/>
          <w:b/>
          <w:sz w:val="24"/>
          <w:szCs w:val="24"/>
          <w:lang w:eastAsia="en-AU"/>
        </w:rPr>
        <w:t>5</w:t>
      </w:r>
    </w:p>
    <w:p w14:paraId="617771E2" w14:textId="39C8A665" w:rsidR="00DA5225" w:rsidRDefault="00F240A5" w:rsidP="00B37D97">
      <w:pPr>
        <w:pStyle w:val="CommentText"/>
        <w:spacing w:before="120" w:after="240"/>
        <w:rPr>
          <w:sz w:val="22"/>
          <w:szCs w:val="22"/>
        </w:rPr>
      </w:pPr>
      <w:r w:rsidRPr="00F240A5">
        <w:rPr>
          <w:sz w:val="22"/>
          <w:szCs w:val="22"/>
        </w:rPr>
        <w:t xml:space="preserve">This </w:t>
      </w:r>
      <w:r w:rsidR="00DF51E6">
        <w:rPr>
          <w:sz w:val="22"/>
          <w:szCs w:val="22"/>
        </w:rPr>
        <w:t>e</w:t>
      </w:r>
      <w:r w:rsidRPr="00F240A5">
        <w:rPr>
          <w:sz w:val="22"/>
          <w:szCs w:val="22"/>
        </w:rPr>
        <w:t xml:space="preserve">xplanatory </w:t>
      </w:r>
      <w:r w:rsidR="00DF51E6">
        <w:rPr>
          <w:sz w:val="22"/>
          <w:szCs w:val="22"/>
        </w:rPr>
        <w:t>s</w:t>
      </w:r>
      <w:r w:rsidRPr="00F240A5">
        <w:rPr>
          <w:sz w:val="22"/>
          <w:szCs w:val="22"/>
        </w:rPr>
        <w:t xml:space="preserve">tatement provides notes on the operation of </w:t>
      </w:r>
      <w:r w:rsidR="00DF51E6">
        <w:rPr>
          <w:sz w:val="22"/>
          <w:szCs w:val="22"/>
        </w:rPr>
        <w:t xml:space="preserve">the </w:t>
      </w:r>
      <w:r w:rsidR="00C62885">
        <w:rPr>
          <w:sz w:val="22"/>
          <w:szCs w:val="22"/>
        </w:rPr>
        <w:t>Automatic Mutual Recognition (Australian Capital Territory) (</w:t>
      </w:r>
      <w:r w:rsidR="005441DF">
        <w:rPr>
          <w:sz w:val="22"/>
          <w:szCs w:val="22"/>
        </w:rPr>
        <w:t>Exemptions</w:t>
      </w:r>
      <w:r w:rsidR="00C62885">
        <w:rPr>
          <w:sz w:val="22"/>
          <w:szCs w:val="22"/>
        </w:rPr>
        <w:t>—</w:t>
      </w:r>
      <w:r w:rsidR="00737013">
        <w:rPr>
          <w:sz w:val="22"/>
          <w:szCs w:val="22"/>
        </w:rPr>
        <w:t>Construction Occupations</w:t>
      </w:r>
      <w:r w:rsidR="001371B2">
        <w:rPr>
          <w:sz w:val="22"/>
          <w:szCs w:val="22"/>
        </w:rPr>
        <w:t xml:space="preserve">) </w:t>
      </w:r>
      <w:r w:rsidR="005441DF">
        <w:rPr>
          <w:sz w:val="22"/>
          <w:szCs w:val="22"/>
        </w:rPr>
        <w:t xml:space="preserve">Declaration </w:t>
      </w:r>
      <w:r w:rsidR="00F73C1C">
        <w:rPr>
          <w:sz w:val="22"/>
          <w:szCs w:val="22"/>
        </w:rPr>
        <w:t>202</w:t>
      </w:r>
      <w:r w:rsidR="00BC0E2F">
        <w:rPr>
          <w:sz w:val="22"/>
          <w:szCs w:val="22"/>
        </w:rPr>
        <w:t>5</w:t>
      </w:r>
      <w:r w:rsidR="00DF51E6">
        <w:rPr>
          <w:sz w:val="22"/>
          <w:szCs w:val="22"/>
        </w:rPr>
        <w:t xml:space="preserve"> (the </w:t>
      </w:r>
      <w:r w:rsidR="005441DF">
        <w:rPr>
          <w:sz w:val="22"/>
          <w:szCs w:val="22"/>
        </w:rPr>
        <w:t>Declaration</w:t>
      </w:r>
      <w:r w:rsidR="00DF51E6">
        <w:rPr>
          <w:sz w:val="22"/>
          <w:szCs w:val="22"/>
        </w:rPr>
        <w:t>)</w:t>
      </w:r>
      <w:r w:rsidRPr="00F240A5">
        <w:rPr>
          <w:sz w:val="22"/>
          <w:szCs w:val="22"/>
        </w:rPr>
        <w:t xml:space="preserve">. </w:t>
      </w:r>
      <w:r w:rsidR="00583A1E">
        <w:rPr>
          <w:sz w:val="22"/>
          <w:szCs w:val="22"/>
        </w:rPr>
        <w:t xml:space="preserve">The specific provisions in the </w:t>
      </w:r>
      <w:r w:rsidR="005441DF">
        <w:rPr>
          <w:sz w:val="22"/>
          <w:szCs w:val="22"/>
        </w:rPr>
        <w:t>Declaration</w:t>
      </w:r>
      <w:r w:rsidR="00583A1E">
        <w:rPr>
          <w:sz w:val="22"/>
          <w:szCs w:val="22"/>
        </w:rPr>
        <w:t xml:space="preserve"> are outlined in Attachment A. The information in the explanatory statement</w:t>
      </w:r>
      <w:r w:rsidRPr="00F240A5">
        <w:rPr>
          <w:sz w:val="22"/>
          <w:szCs w:val="22"/>
        </w:rPr>
        <w:t xml:space="preserve"> is </w:t>
      </w:r>
      <w:r w:rsidR="00DF51E6">
        <w:rPr>
          <w:sz w:val="22"/>
          <w:szCs w:val="22"/>
        </w:rPr>
        <w:t xml:space="preserve">an aid to understanding the </w:t>
      </w:r>
      <w:r w:rsidR="005441DF">
        <w:rPr>
          <w:sz w:val="22"/>
          <w:szCs w:val="22"/>
        </w:rPr>
        <w:t>Declaration</w:t>
      </w:r>
      <w:r w:rsidR="00DF51E6">
        <w:rPr>
          <w:sz w:val="22"/>
          <w:szCs w:val="22"/>
        </w:rPr>
        <w:t xml:space="preserve"> </w:t>
      </w:r>
      <w:r w:rsidRPr="00F240A5">
        <w:rPr>
          <w:sz w:val="22"/>
          <w:szCs w:val="22"/>
        </w:rPr>
        <w:t xml:space="preserve">and should not be substituted for the </w:t>
      </w:r>
      <w:r w:rsidR="005441DF">
        <w:rPr>
          <w:sz w:val="22"/>
          <w:szCs w:val="22"/>
        </w:rPr>
        <w:t>Declaration</w:t>
      </w:r>
      <w:r w:rsidRPr="00F240A5">
        <w:rPr>
          <w:sz w:val="22"/>
          <w:szCs w:val="22"/>
        </w:rPr>
        <w:t xml:space="preserve">. </w:t>
      </w:r>
    </w:p>
    <w:p w14:paraId="6CC4F736" w14:textId="1CE7EBE7" w:rsidR="00F42B55" w:rsidRDefault="00F42B55" w:rsidP="00B37D97">
      <w:pPr>
        <w:pStyle w:val="CommentText"/>
        <w:spacing w:before="120" w:after="120"/>
        <w:rPr>
          <w:b/>
          <w:sz w:val="22"/>
          <w:szCs w:val="22"/>
        </w:rPr>
      </w:pPr>
      <w:r w:rsidRPr="00DA5225">
        <w:rPr>
          <w:b/>
          <w:sz w:val="22"/>
          <w:szCs w:val="22"/>
        </w:rPr>
        <w:t>Context</w:t>
      </w:r>
      <w:r w:rsidR="000632B4">
        <w:rPr>
          <w:b/>
          <w:sz w:val="22"/>
          <w:szCs w:val="22"/>
        </w:rPr>
        <w:t xml:space="preserve"> and purpose</w:t>
      </w:r>
    </w:p>
    <w:p w14:paraId="4CB9F489" w14:textId="0C81B9C5" w:rsidR="0093245E" w:rsidRPr="00737013" w:rsidRDefault="0049286B" w:rsidP="00B37D97">
      <w:pPr>
        <w:pStyle w:val="CommentText"/>
        <w:spacing w:before="120" w:after="240"/>
        <w:rPr>
          <w:sz w:val="22"/>
          <w:szCs w:val="22"/>
        </w:rPr>
      </w:pPr>
      <w:r w:rsidRPr="00737013">
        <w:rPr>
          <w:sz w:val="22"/>
          <w:szCs w:val="22"/>
        </w:rPr>
        <w:t xml:space="preserve">Part 3A of the </w:t>
      </w:r>
      <w:r w:rsidRPr="00737013">
        <w:rPr>
          <w:i/>
          <w:sz w:val="22"/>
          <w:szCs w:val="22"/>
        </w:rPr>
        <w:t xml:space="preserve">Mutual Recognition Act 1992 </w:t>
      </w:r>
      <w:r w:rsidRPr="00737013">
        <w:rPr>
          <w:sz w:val="22"/>
          <w:szCs w:val="22"/>
        </w:rPr>
        <w:t>of the Commonwealth (the MR</w:t>
      </w:r>
      <w:r w:rsidR="00F73C1C" w:rsidRPr="00737013">
        <w:rPr>
          <w:sz w:val="22"/>
          <w:szCs w:val="22"/>
        </w:rPr>
        <w:t xml:space="preserve"> </w:t>
      </w:r>
      <w:r w:rsidRPr="00737013">
        <w:rPr>
          <w:sz w:val="22"/>
          <w:szCs w:val="22"/>
        </w:rPr>
        <w:t>A</w:t>
      </w:r>
      <w:r w:rsidR="00F73C1C" w:rsidRPr="00737013">
        <w:rPr>
          <w:sz w:val="22"/>
          <w:szCs w:val="22"/>
        </w:rPr>
        <w:t>ct</w:t>
      </w:r>
      <w:r w:rsidRPr="00737013">
        <w:rPr>
          <w:sz w:val="22"/>
          <w:szCs w:val="22"/>
        </w:rPr>
        <w:t xml:space="preserve">) provides </w:t>
      </w:r>
      <w:r w:rsidR="003051D4" w:rsidRPr="00737013">
        <w:rPr>
          <w:sz w:val="22"/>
          <w:szCs w:val="22"/>
        </w:rPr>
        <w:t>for the automatic mutual recognition of occupational registration</w:t>
      </w:r>
      <w:r w:rsidR="00EE4596" w:rsidRPr="00737013">
        <w:rPr>
          <w:sz w:val="22"/>
          <w:szCs w:val="22"/>
        </w:rPr>
        <w:t>s</w:t>
      </w:r>
      <w:r w:rsidR="003051D4" w:rsidRPr="00737013">
        <w:rPr>
          <w:sz w:val="22"/>
          <w:szCs w:val="22"/>
        </w:rPr>
        <w:t xml:space="preserve"> (AMR). </w:t>
      </w:r>
      <w:r w:rsidR="001748F6" w:rsidRPr="00737013">
        <w:rPr>
          <w:sz w:val="22"/>
          <w:szCs w:val="22"/>
        </w:rPr>
        <w:t xml:space="preserve">AMR </w:t>
      </w:r>
      <w:r w:rsidR="00C62885" w:rsidRPr="00737013">
        <w:rPr>
          <w:sz w:val="22"/>
          <w:szCs w:val="22"/>
        </w:rPr>
        <w:t>allows</w:t>
      </w:r>
      <w:r w:rsidR="00EF7BD5" w:rsidRPr="00737013">
        <w:rPr>
          <w:sz w:val="22"/>
          <w:szCs w:val="22"/>
        </w:rPr>
        <w:t xml:space="preserve"> </w:t>
      </w:r>
      <w:r w:rsidR="001748F6" w:rsidRPr="00737013">
        <w:rPr>
          <w:sz w:val="22"/>
          <w:szCs w:val="22"/>
        </w:rPr>
        <w:t xml:space="preserve">an individual </w:t>
      </w:r>
      <w:r w:rsidR="00930EC6" w:rsidRPr="00737013">
        <w:rPr>
          <w:sz w:val="22"/>
          <w:szCs w:val="22"/>
        </w:rPr>
        <w:t xml:space="preserve">to carry on an activity in a second State, under the </w:t>
      </w:r>
      <w:r w:rsidR="001748F6" w:rsidRPr="00737013">
        <w:rPr>
          <w:sz w:val="22"/>
          <w:szCs w:val="22"/>
        </w:rPr>
        <w:t>regist</w:t>
      </w:r>
      <w:r w:rsidR="00930EC6" w:rsidRPr="00737013">
        <w:rPr>
          <w:sz w:val="22"/>
          <w:szCs w:val="22"/>
        </w:rPr>
        <w:t>ration covering the activity in their home State</w:t>
      </w:r>
      <w:r w:rsidRPr="00737013">
        <w:rPr>
          <w:sz w:val="22"/>
          <w:szCs w:val="22"/>
        </w:rPr>
        <w:t xml:space="preserve"> through Automatic Deemed Registration (ADR)</w:t>
      </w:r>
      <w:r w:rsidR="000632B4" w:rsidRPr="00737013">
        <w:rPr>
          <w:sz w:val="22"/>
          <w:szCs w:val="22"/>
        </w:rPr>
        <w:t>.</w:t>
      </w:r>
    </w:p>
    <w:p w14:paraId="493192EB" w14:textId="30707F84" w:rsidR="00B556BF" w:rsidRDefault="009C0F04" w:rsidP="006A134E">
      <w:pPr>
        <w:pStyle w:val="CommentText"/>
        <w:spacing w:before="120" w:after="240"/>
        <w:rPr>
          <w:sz w:val="22"/>
          <w:szCs w:val="22"/>
        </w:rPr>
      </w:pPr>
      <w:r w:rsidRPr="009C0F04">
        <w:rPr>
          <w:sz w:val="22"/>
          <w:szCs w:val="22"/>
        </w:rPr>
        <w:t>Part 3A of the MRA provides for the making of declarations that exclude certain registrations from ADR where a Minister of a State is satisfied that the declaration is necessary because of a significant risk arising from circumstances or conditions in the declaration State, to consumer protection, the environment, animal welfare or the health or safety of workers or the public.</w:t>
      </w:r>
      <w:r>
        <w:rPr>
          <w:sz w:val="22"/>
          <w:szCs w:val="22"/>
        </w:rPr>
        <w:t xml:space="preserve"> </w:t>
      </w:r>
      <w:r w:rsidR="00930EC6" w:rsidRPr="00737013">
        <w:rPr>
          <w:sz w:val="22"/>
          <w:szCs w:val="22"/>
        </w:rPr>
        <w:t xml:space="preserve">The </w:t>
      </w:r>
      <w:r w:rsidR="00C06FCE" w:rsidRPr="00737013">
        <w:rPr>
          <w:i/>
          <w:sz w:val="22"/>
          <w:szCs w:val="22"/>
        </w:rPr>
        <w:t>Legislation</w:t>
      </w:r>
      <w:r w:rsidR="001D7F10" w:rsidRPr="00737013">
        <w:rPr>
          <w:i/>
          <w:sz w:val="22"/>
          <w:szCs w:val="22"/>
        </w:rPr>
        <w:t xml:space="preserve"> Act 2003</w:t>
      </w:r>
      <w:r w:rsidR="001D7F10" w:rsidRPr="00737013">
        <w:rPr>
          <w:sz w:val="22"/>
          <w:szCs w:val="22"/>
        </w:rPr>
        <w:t xml:space="preserve"> of the Commonwealth provides for the making of legislative instruments. </w:t>
      </w:r>
    </w:p>
    <w:p w14:paraId="7D4E6382" w14:textId="0227113C" w:rsidR="00E70F0B" w:rsidRPr="00E70F0B" w:rsidRDefault="00E70F0B" w:rsidP="006A134E">
      <w:pPr>
        <w:pStyle w:val="CommentText"/>
        <w:spacing w:before="120" w:after="240"/>
        <w:rPr>
          <w:i/>
          <w:iCs/>
          <w:sz w:val="22"/>
          <w:szCs w:val="22"/>
        </w:rPr>
      </w:pPr>
      <w:r w:rsidRPr="00553CDC">
        <w:rPr>
          <w:sz w:val="22"/>
          <w:szCs w:val="22"/>
        </w:rPr>
        <w:t xml:space="preserve">The Determination is exempt from disallowance under subsection 44(1) of the </w:t>
      </w:r>
      <w:r w:rsidRPr="00553CDC">
        <w:rPr>
          <w:i/>
          <w:iCs/>
          <w:sz w:val="22"/>
          <w:szCs w:val="22"/>
        </w:rPr>
        <w:t xml:space="preserve">Legislation Act 2003 </w:t>
      </w:r>
      <w:r w:rsidRPr="00553CDC">
        <w:rPr>
          <w:sz w:val="22"/>
          <w:szCs w:val="22"/>
        </w:rPr>
        <w:t>of the Commonwealth</w:t>
      </w:r>
      <w:r w:rsidRPr="00553CDC">
        <w:rPr>
          <w:i/>
          <w:iCs/>
          <w:sz w:val="22"/>
          <w:szCs w:val="22"/>
        </w:rPr>
        <w:t xml:space="preserve"> </w:t>
      </w:r>
      <w:r w:rsidRPr="00553CDC">
        <w:rPr>
          <w:sz w:val="22"/>
          <w:szCs w:val="22"/>
        </w:rPr>
        <w:t xml:space="preserve">because the enabling legislation, the </w:t>
      </w:r>
      <w:r w:rsidRPr="00553CDC">
        <w:rPr>
          <w:i/>
          <w:iCs/>
          <w:sz w:val="22"/>
          <w:szCs w:val="22"/>
        </w:rPr>
        <w:t xml:space="preserve">Mutual Recognition Act 1992 </w:t>
      </w:r>
      <w:r w:rsidRPr="00553CDC">
        <w:rPr>
          <w:sz w:val="22"/>
          <w:szCs w:val="22"/>
        </w:rPr>
        <w:t>of the Commonwealth facilitates the operation of the Automatic Mutual Recognition Scheme which is an intergovernmental scheme. Section 42</w:t>
      </w:r>
      <w:r w:rsidR="00937E09">
        <w:rPr>
          <w:sz w:val="22"/>
          <w:szCs w:val="22"/>
        </w:rPr>
        <w:t>S</w:t>
      </w:r>
      <w:r w:rsidRPr="00553CDC">
        <w:rPr>
          <w:sz w:val="22"/>
          <w:szCs w:val="22"/>
        </w:rPr>
        <w:t>(</w:t>
      </w:r>
      <w:r w:rsidR="00937E09">
        <w:rPr>
          <w:sz w:val="22"/>
          <w:szCs w:val="22"/>
        </w:rPr>
        <w:t>1</w:t>
      </w:r>
      <w:r w:rsidRPr="00553CDC">
        <w:rPr>
          <w:sz w:val="22"/>
          <w:szCs w:val="22"/>
        </w:rPr>
        <w:t xml:space="preserve">) of the </w:t>
      </w:r>
      <w:r w:rsidRPr="00553CDC">
        <w:rPr>
          <w:i/>
          <w:iCs/>
          <w:sz w:val="22"/>
          <w:szCs w:val="22"/>
        </w:rPr>
        <w:t xml:space="preserve">Mutual Recognition Act 1992 </w:t>
      </w:r>
      <w:r w:rsidRPr="00553CDC">
        <w:rPr>
          <w:sz w:val="22"/>
          <w:szCs w:val="22"/>
        </w:rPr>
        <w:t>of the Commonwealth authorises the instrument to be made for the purposes of the scheme.</w:t>
      </w:r>
      <w:r w:rsidRPr="00553CDC">
        <w:rPr>
          <w:i/>
          <w:iCs/>
          <w:sz w:val="22"/>
          <w:szCs w:val="22"/>
        </w:rPr>
        <w:t xml:space="preserve"> </w:t>
      </w:r>
      <w:r w:rsidRPr="00553CDC">
        <w:rPr>
          <w:sz w:val="22"/>
          <w:szCs w:val="22"/>
        </w:rPr>
        <w:t>There is also a note in section 42</w:t>
      </w:r>
      <w:r w:rsidR="00937E09">
        <w:rPr>
          <w:sz w:val="22"/>
          <w:szCs w:val="22"/>
        </w:rPr>
        <w:t>S</w:t>
      </w:r>
      <w:r w:rsidRPr="00553CDC">
        <w:rPr>
          <w:sz w:val="22"/>
          <w:szCs w:val="22"/>
        </w:rPr>
        <w:t>(</w:t>
      </w:r>
      <w:r w:rsidR="00937E09">
        <w:rPr>
          <w:sz w:val="22"/>
          <w:szCs w:val="22"/>
        </w:rPr>
        <w:t>1</w:t>
      </w:r>
      <w:r w:rsidRPr="00553CDC">
        <w:rPr>
          <w:sz w:val="22"/>
          <w:szCs w:val="22"/>
        </w:rPr>
        <w:t xml:space="preserve">) of the </w:t>
      </w:r>
      <w:r w:rsidRPr="00553CDC">
        <w:rPr>
          <w:i/>
          <w:iCs/>
          <w:sz w:val="22"/>
          <w:szCs w:val="22"/>
        </w:rPr>
        <w:t>Mutual Recognition Act 1992</w:t>
      </w:r>
      <w:r w:rsidRPr="00553CDC">
        <w:rPr>
          <w:sz w:val="22"/>
          <w:szCs w:val="22"/>
        </w:rPr>
        <w:t xml:space="preserve"> of the Commonwealth</w:t>
      </w:r>
      <w:r w:rsidRPr="00553CDC">
        <w:rPr>
          <w:i/>
          <w:iCs/>
          <w:sz w:val="22"/>
          <w:szCs w:val="22"/>
        </w:rPr>
        <w:t xml:space="preserve">, </w:t>
      </w:r>
      <w:r w:rsidRPr="00553CDC">
        <w:rPr>
          <w:sz w:val="22"/>
          <w:szCs w:val="22"/>
        </w:rPr>
        <w:t>which states that the determination is not subject to disallowance.</w:t>
      </w:r>
    </w:p>
    <w:p w14:paraId="6BE3CC70" w14:textId="1A027700" w:rsidR="00F240A5" w:rsidRPr="00F240A5" w:rsidRDefault="00CB5947" w:rsidP="00B37D97">
      <w:pPr>
        <w:pStyle w:val="CommentText"/>
        <w:spacing w:before="120" w:after="120"/>
        <w:rPr>
          <w:b/>
          <w:sz w:val="22"/>
          <w:szCs w:val="22"/>
        </w:rPr>
      </w:pPr>
      <w:r>
        <w:rPr>
          <w:b/>
          <w:sz w:val="22"/>
          <w:szCs w:val="22"/>
        </w:rPr>
        <w:t>Summary</w:t>
      </w:r>
    </w:p>
    <w:p w14:paraId="170A2FD2" w14:textId="30114463" w:rsidR="006A7EE6" w:rsidRDefault="00DF51E6" w:rsidP="00B37D97">
      <w:pPr>
        <w:pStyle w:val="CommentText"/>
        <w:spacing w:before="120" w:after="240"/>
        <w:rPr>
          <w:sz w:val="22"/>
          <w:szCs w:val="22"/>
        </w:rPr>
      </w:pPr>
      <w:r>
        <w:rPr>
          <w:sz w:val="22"/>
          <w:szCs w:val="22"/>
        </w:rPr>
        <w:t xml:space="preserve">Through </w:t>
      </w:r>
      <w:r w:rsidR="00930EC6">
        <w:rPr>
          <w:sz w:val="22"/>
          <w:szCs w:val="22"/>
        </w:rPr>
        <w:t>this</w:t>
      </w:r>
      <w:r>
        <w:rPr>
          <w:sz w:val="22"/>
          <w:szCs w:val="22"/>
        </w:rPr>
        <w:t xml:space="preserve"> </w:t>
      </w:r>
      <w:r w:rsidR="005441DF">
        <w:rPr>
          <w:sz w:val="22"/>
          <w:szCs w:val="22"/>
        </w:rPr>
        <w:t>Declaration</w:t>
      </w:r>
      <w:r w:rsidR="00F240A5">
        <w:rPr>
          <w:sz w:val="22"/>
          <w:szCs w:val="22"/>
        </w:rPr>
        <w:t xml:space="preserve">, the </w:t>
      </w:r>
      <w:r w:rsidR="005441DF">
        <w:rPr>
          <w:sz w:val="22"/>
          <w:szCs w:val="22"/>
        </w:rPr>
        <w:t xml:space="preserve">Chief </w:t>
      </w:r>
      <w:r w:rsidR="00CD313A" w:rsidRPr="00894325">
        <w:rPr>
          <w:sz w:val="22"/>
          <w:szCs w:val="22"/>
        </w:rPr>
        <w:t xml:space="preserve">Minister for </w:t>
      </w:r>
      <w:r w:rsidR="007961EC">
        <w:rPr>
          <w:sz w:val="22"/>
          <w:szCs w:val="22"/>
        </w:rPr>
        <w:t>the Australian Capital Territory (the</w:t>
      </w:r>
      <w:r w:rsidR="005441DF">
        <w:rPr>
          <w:sz w:val="22"/>
          <w:szCs w:val="22"/>
        </w:rPr>
        <w:t xml:space="preserve"> Chief </w:t>
      </w:r>
      <w:r w:rsidR="007961EC">
        <w:rPr>
          <w:sz w:val="22"/>
          <w:szCs w:val="22"/>
        </w:rPr>
        <w:t>Minister)</w:t>
      </w:r>
      <w:r w:rsidR="00CD313A" w:rsidRPr="00894325">
        <w:rPr>
          <w:sz w:val="22"/>
          <w:szCs w:val="22"/>
        </w:rPr>
        <w:t xml:space="preserve"> </w:t>
      </w:r>
      <w:r w:rsidR="005441DF">
        <w:rPr>
          <w:sz w:val="22"/>
          <w:szCs w:val="22"/>
        </w:rPr>
        <w:t xml:space="preserve">exempts registrations for </w:t>
      </w:r>
      <w:r w:rsidR="00737013">
        <w:rPr>
          <w:sz w:val="22"/>
          <w:szCs w:val="22"/>
        </w:rPr>
        <w:t xml:space="preserve">construction </w:t>
      </w:r>
      <w:r w:rsidR="005441DF">
        <w:rPr>
          <w:sz w:val="22"/>
          <w:szCs w:val="22"/>
        </w:rPr>
        <w:t>occupations from another State or Territory from operating in the Territory under AMR</w:t>
      </w:r>
      <w:r w:rsidR="003A159E">
        <w:rPr>
          <w:sz w:val="22"/>
          <w:szCs w:val="22"/>
        </w:rPr>
        <w:t xml:space="preserve"> </w:t>
      </w:r>
      <w:r w:rsidR="003A159E" w:rsidRPr="00553CDC">
        <w:rPr>
          <w:sz w:val="22"/>
          <w:szCs w:val="22"/>
        </w:rPr>
        <w:t>until 1 July 202</w:t>
      </w:r>
      <w:r w:rsidR="00706BAD" w:rsidRPr="00553CDC">
        <w:rPr>
          <w:sz w:val="22"/>
          <w:szCs w:val="22"/>
        </w:rPr>
        <w:t>7</w:t>
      </w:r>
      <w:r w:rsidR="003A159E">
        <w:rPr>
          <w:sz w:val="22"/>
          <w:szCs w:val="22"/>
        </w:rPr>
        <w:t xml:space="preserve"> because of a significant risk to the health and safety of workers or the public, and consumer protection</w:t>
      </w:r>
      <w:r w:rsidR="00950D6B" w:rsidRPr="00894325">
        <w:t>.</w:t>
      </w:r>
      <w:r w:rsidR="00950D6B" w:rsidRPr="00894325">
        <w:rPr>
          <w:sz w:val="22"/>
          <w:szCs w:val="22"/>
        </w:rPr>
        <w:t xml:space="preserve"> The </w:t>
      </w:r>
      <w:r w:rsidR="005441DF">
        <w:rPr>
          <w:sz w:val="22"/>
          <w:szCs w:val="22"/>
        </w:rPr>
        <w:t xml:space="preserve">Declaration </w:t>
      </w:r>
      <w:r w:rsidR="00A14E36">
        <w:rPr>
          <w:sz w:val="22"/>
          <w:szCs w:val="22"/>
        </w:rPr>
        <w:t xml:space="preserve">commences </w:t>
      </w:r>
      <w:r w:rsidR="00F73C1C">
        <w:rPr>
          <w:sz w:val="22"/>
          <w:szCs w:val="22"/>
        </w:rPr>
        <w:t>on 1 July 202</w:t>
      </w:r>
      <w:r w:rsidR="00E70F0B">
        <w:rPr>
          <w:sz w:val="22"/>
          <w:szCs w:val="22"/>
        </w:rPr>
        <w:t>5</w:t>
      </w:r>
      <w:r w:rsidR="00A14E36">
        <w:rPr>
          <w:sz w:val="22"/>
          <w:szCs w:val="22"/>
        </w:rPr>
        <w:t xml:space="preserve">. </w:t>
      </w:r>
    </w:p>
    <w:p w14:paraId="20E0A103" w14:textId="59BC04FB" w:rsidR="009C0F04" w:rsidRDefault="009C0F04" w:rsidP="00B37D97">
      <w:pPr>
        <w:pStyle w:val="CommentText"/>
        <w:spacing w:before="120" w:after="240"/>
        <w:rPr>
          <w:sz w:val="22"/>
          <w:szCs w:val="22"/>
        </w:rPr>
      </w:pPr>
      <w:r w:rsidRPr="009C0F04">
        <w:rPr>
          <w:sz w:val="22"/>
          <w:szCs w:val="22"/>
        </w:rPr>
        <w:t xml:space="preserve">By virtue of the making of the Declaration, the Minister is satisfied that the exclusion is necessary because of a significant risk to consumer protection or the health or safety of workers or the public. The Declaration provides an explanation of the specific risks arising from the registrations in the context of the circumstances and conditions in </w:t>
      </w:r>
      <w:r>
        <w:rPr>
          <w:sz w:val="22"/>
          <w:szCs w:val="22"/>
        </w:rPr>
        <w:t xml:space="preserve">Australian Capital Territory. </w:t>
      </w:r>
    </w:p>
    <w:p w14:paraId="7CCAADE1" w14:textId="5889240C" w:rsidR="00E70F0B" w:rsidRPr="00A14E36" w:rsidRDefault="00E70F0B" w:rsidP="00B37D97">
      <w:pPr>
        <w:pStyle w:val="CommentText"/>
        <w:spacing w:before="120" w:after="240"/>
        <w:rPr>
          <w:sz w:val="22"/>
          <w:szCs w:val="22"/>
        </w:rPr>
      </w:pPr>
      <w:r w:rsidRPr="00553CDC">
        <w:rPr>
          <w:sz w:val="22"/>
          <w:szCs w:val="22"/>
        </w:rPr>
        <w:t xml:space="preserve">The declaration repeals and replaces the </w:t>
      </w:r>
      <w:r w:rsidRPr="00553CDC">
        <w:rPr>
          <w:i/>
          <w:iCs/>
          <w:sz w:val="22"/>
          <w:szCs w:val="22"/>
        </w:rPr>
        <w:t>Automatic Mutual Recognition (Australian Capital Territory) (Exemptions-Construction Occupations) Declaration 2022.</w:t>
      </w:r>
    </w:p>
    <w:p w14:paraId="3AD97452" w14:textId="77777777" w:rsidR="0091157A" w:rsidRDefault="0091157A" w:rsidP="00B37D97">
      <w:pPr>
        <w:pStyle w:val="CommentText"/>
        <w:spacing w:before="120" w:after="120"/>
        <w:rPr>
          <w:b/>
          <w:sz w:val="22"/>
          <w:szCs w:val="22"/>
        </w:rPr>
      </w:pPr>
    </w:p>
    <w:p w14:paraId="78464F43" w14:textId="77777777" w:rsidR="0091157A" w:rsidRDefault="0091157A" w:rsidP="00B37D97">
      <w:pPr>
        <w:pStyle w:val="CommentText"/>
        <w:spacing w:before="120" w:after="120"/>
        <w:rPr>
          <w:b/>
          <w:sz w:val="22"/>
          <w:szCs w:val="22"/>
        </w:rPr>
      </w:pPr>
    </w:p>
    <w:p w14:paraId="3B523A54" w14:textId="729A7E63" w:rsidR="009C0F04" w:rsidRPr="00E04552" w:rsidRDefault="00AD202E" w:rsidP="00E04552">
      <w:pPr>
        <w:pStyle w:val="CommentText"/>
        <w:spacing w:before="120" w:after="120"/>
        <w:rPr>
          <w:b/>
          <w:sz w:val="22"/>
          <w:szCs w:val="22"/>
        </w:rPr>
      </w:pPr>
      <w:r w:rsidRPr="00DF51E6">
        <w:rPr>
          <w:b/>
          <w:sz w:val="22"/>
          <w:szCs w:val="22"/>
        </w:rPr>
        <w:lastRenderedPageBreak/>
        <w:t>Consultation</w:t>
      </w:r>
      <w:bookmarkStart w:id="0" w:name="_Hlk74038032"/>
    </w:p>
    <w:bookmarkEnd w:id="0"/>
    <w:p w14:paraId="23ABC29F" w14:textId="3335BCBB" w:rsidR="00E04552" w:rsidRPr="00E04552" w:rsidRDefault="00E04552" w:rsidP="00E04552">
      <w:pPr>
        <w:spacing w:before="120" w:after="240" w:line="240" w:lineRule="auto"/>
        <w:rPr>
          <w:szCs w:val="22"/>
        </w:rPr>
      </w:pPr>
      <w:r w:rsidRPr="00E04552">
        <w:rPr>
          <w:szCs w:val="22"/>
        </w:rPr>
        <w:t>Between May and June 2025, the Australian Capital Territory conducted consultation with relevant industry stakeholders. This process acknowledged the importance of thoroughly considering the risks, circumstances, and conditions specific to the ACT.</w:t>
      </w:r>
    </w:p>
    <w:p w14:paraId="73128077" w14:textId="2F9627E1" w:rsidR="00E04552" w:rsidRPr="00E04552" w:rsidRDefault="00E04552" w:rsidP="00E04552">
      <w:pPr>
        <w:spacing w:before="120" w:after="240" w:line="240" w:lineRule="auto"/>
        <w:rPr>
          <w:szCs w:val="22"/>
        </w:rPr>
      </w:pPr>
      <w:r w:rsidRPr="00E04552">
        <w:rPr>
          <w:szCs w:val="22"/>
        </w:rPr>
        <w:t>The consultation drew on the expertise of relevant subject matter experts and industry bodies, ensuring that persons likely to be affected by the previous 2022 Declaration had an adequate opportunity to comment on its proposed content.</w:t>
      </w:r>
    </w:p>
    <w:p w14:paraId="096E66AA" w14:textId="5AB526B3" w:rsidR="00E04552" w:rsidRPr="00E04552" w:rsidRDefault="00E04552" w:rsidP="00E04552">
      <w:pPr>
        <w:spacing w:before="120" w:after="240" w:line="240" w:lineRule="auto"/>
        <w:rPr>
          <w:szCs w:val="22"/>
        </w:rPr>
      </w:pPr>
      <w:r w:rsidRPr="00E04552">
        <w:rPr>
          <w:szCs w:val="22"/>
        </w:rPr>
        <w:t>This consultation is both practical and appropriate because it engaged key stakeholders, utili</w:t>
      </w:r>
      <w:r>
        <w:rPr>
          <w:szCs w:val="22"/>
        </w:rPr>
        <w:t>s</w:t>
      </w:r>
      <w:r w:rsidRPr="00E04552">
        <w:rPr>
          <w:szCs w:val="22"/>
        </w:rPr>
        <w:t>ed expert knowledge, and provided sufficient opportunity for affected parties to contribute, thereby supporting well-informed decision-making.</w:t>
      </w:r>
    </w:p>
    <w:p w14:paraId="24596D16" w14:textId="789EF628" w:rsidR="00E04552" w:rsidRPr="00E04552" w:rsidRDefault="00E04552" w:rsidP="00E04552">
      <w:pPr>
        <w:spacing w:before="120" w:after="240" w:line="240" w:lineRule="auto"/>
        <w:rPr>
          <w:szCs w:val="22"/>
        </w:rPr>
      </w:pPr>
      <w:r w:rsidRPr="00E04552">
        <w:rPr>
          <w:szCs w:val="22"/>
        </w:rPr>
        <w:t>The Chief Minister is satisfied that the consultation process undertaken is appropriate and ef</w:t>
      </w:r>
      <w:r>
        <w:rPr>
          <w:szCs w:val="22"/>
        </w:rPr>
        <w:t>f</w:t>
      </w:r>
      <w:r w:rsidRPr="00E04552">
        <w:rPr>
          <w:szCs w:val="22"/>
        </w:rPr>
        <w:t>ective for the purposes of issuing the Declaration.</w:t>
      </w:r>
    </w:p>
    <w:p w14:paraId="7FC2F949" w14:textId="15BA9D6B" w:rsidR="00863A84" w:rsidRDefault="00E04552" w:rsidP="00E04552">
      <w:pPr>
        <w:spacing w:before="120" w:after="240" w:line="240" w:lineRule="auto"/>
        <w:rPr>
          <w:b/>
          <w:szCs w:val="22"/>
        </w:rPr>
      </w:pPr>
      <w:r w:rsidRPr="00E04552">
        <w:rPr>
          <w:szCs w:val="22"/>
        </w:rPr>
        <w:t>The proposed Declaration effectively extends the previous exemption from the 2022 Declaration until 30 June 2027. This extension provides additional time for ACT agencies to address identified risks and to facilitate the safe transition of these occupational licences into the ACT Mutual Recognition (AMR) scheme in the future.</w:t>
      </w:r>
      <w:r w:rsidR="00863A84">
        <w:rPr>
          <w:b/>
          <w:szCs w:val="22"/>
        </w:rPr>
        <w:br w:type="page"/>
      </w:r>
    </w:p>
    <w:p w14:paraId="53D1FA38" w14:textId="7E64E570" w:rsidR="00AE1352" w:rsidRDefault="00AE1352" w:rsidP="00B37D97">
      <w:pPr>
        <w:pStyle w:val="CommentText"/>
        <w:spacing w:before="120" w:after="240"/>
        <w:rPr>
          <w:b/>
          <w:sz w:val="22"/>
          <w:szCs w:val="22"/>
        </w:rPr>
      </w:pPr>
      <w:r>
        <w:rPr>
          <w:b/>
          <w:sz w:val="22"/>
          <w:szCs w:val="22"/>
        </w:rPr>
        <w:lastRenderedPageBreak/>
        <w:t>Attachment A</w:t>
      </w:r>
    </w:p>
    <w:p w14:paraId="51A4FB75" w14:textId="30F0C245" w:rsidR="001E75D1" w:rsidRPr="001E75D1" w:rsidRDefault="00092F0C" w:rsidP="001E75D1">
      <w:pPr>
        <w:pStyle w:val="CommentText"/>
        <w:spacing w:before="120" w:after="240"/>
        <w:rPr>
          <w:rFonts w:eastAsia="Times New Roman" w:cs="Times New Roman"/>
          <w:b/>
          <w:sz w:val="22"/>
          <w:szCs w:val="22"/>
          <w:lang w:eastAsia="en-AU"/>
        </w:rPr>
      </w:pPr>
      <w:r w:rsidRPr="001E75D1">
        <w:rPr>
          <w:b/>
          <w:sz w:val="22"/>
          <w:szCs w:val="22"/>
        </w:rPr>
        <w:t>Detail</w:t>
      </w:r>
      <w:r w:rsidR="00583A1E" w:rsidRPr="001E75D1">
        <w:rPr>
          <w:b/>
          <w:sz w:val="22"/>
          <w:szCs w:val="22"/>
        </w:rPr>
        <w:t xml:space="preserve">s of the </w:t>
      </w:r>
      <w:r w:rsidR="001E75D1" w:rsidRPr="001E75D1">
        <w:rPr>
          <w:rFonts w:eastAsia="Times New Roman" w:cs="Times New Roman"/>
          <w:b/>
          <w:sz w:val="22"/>
          <w:szCs w:val="22"/>
          <w:lang w:eastAsia="en-AU"/>
        </w:rPr>
        <w:t>Automatic Mutual Recognition (Australian Capital Territory) (</w:t>
      </w:r>
      <w:r w:rsidR="00D333F7">
        <w:rPr>
          <w:rFonts w:eastAsia="Times New Roman" w:cs="Times New Roman"/>
          <w:b/>
          <w:sz w:val="22"/>
          <w:szCs w:val="22"/>
          <w:lang w:eastAsia="en-AU"/>
        </w:rPr>
        <w:t>Exemptions</w:t>
      </w:r>
      <w:r w:rsidR="00946987">
        <w:rPr>
          <w:rFonts w:eastAsia="Times New Roman" w:cs="Times New Roman"/>
          <w:b/>
          <w:sz w:val="22"/>
          <w:szCs w:val="22"/>
          <w:lang w:eastAsia="en-AU"/>
        </w:rPr>
        <w:t>—</w:t>
      </w:r>
      <w:r w:rsidR="00737013">
        <w:rPr>
          <w:rFonts w:eastAsia="Times New Roman" w:cs="Times New Roman"/>
          <w:b/>
          <w:sz w:val="22"/>
          <w:szCs w:val="22"/>
          <w:lang w:eastAsia="en-AU"/>
        </w:rPr>
        <w:t>Construction Occupations</w:t>
      </w:r>
      <w:r w:rsidR="001E75D1" w:rsidRPr="001E75D1">
        <w:rPr>
          <w:rFonts w:eastAsia="Times New Roman" w:cs="Times New Roman"/>
          <w:b/>
          <w:sz w:val="22"/>
          <w:szCs w:val="22"/>
          <w:lang w:eastAsia="en-AU"/>
        </w:rPr>
        <w:t xml:space="preserve">) </w:t>
      </w:r>
      <w:r w:rsidR="00D333F7">
        <w:rPr>
          <w:rFonts w:eastAsia="Times New Roman" w:cs="Times New Roman"/>
          <w:b/>
          <w:sz w:val="22"/>
          <w:szCs w:val="22"/>
          <w:lang w:eastAsia="en-AU"/>
        </w:rPr>
        <w:t xml:space="preserve">Declaration </w:t>
      </w:r>
      <w:r w:rsidR="00F73C1C">
        <w:rPr>
          <w:rFonts w:eastAsia="Times New Roman" w:cs="Times New Roman"/>
          <w:b/>
          <w:sz w:val="22"/>
          <w:szCs w:val="22"/>
          <w:lang w:eastAsia="en-AU"/>
        </w:rPr>
        <w:t>202</w:t>
      </w:r>
      <w:r w:rsidR="00DE5F2D">
        <w:rPr>
          <w:rFonts w:eastAsia="Times New Roman" w:cs="Times New Roman"/>
          <w:b/>
          <w:sz w:val="22"/>
          <w:szCs w:val="22"/>
          <w:lang w:eastAsia="en-AU"/>
        </w:rPr>
        <w:t>5</w:t>
      </w:r>
    </w:p>
    <w:p w14:paraId="24C14F38" w14:textId="414F9FF4" w:rsidR="009902F2" w:rsidRDefault="009902F2" w:rsidP="00B37D97">
      <w:pPr>
        <w:pStyle w:val="CommentText"/>
        <w:spacing w:before="120" w:after="240"/>
        <w:rPr>
          <w:b/>
          <w:sz w:val="22"/>
          <w:szCs w:val="22"/>
          <w:u w:val="single"/>
        </w:rPr>
      </w:pPr>
      <w:r>
        <w:rPr>
          <w:b/>
          <w:sz w:val="22"/>
          <w:szCs w:val="22"/>
          <w:u w:val="single"/>
        </w:rPr>
        <w:t xml:space="preserve">Part 1 – Preliminary </w:t>
      </w:r>
    </w:p>
    <w:p w14:paraId="7CFD96A8" w14:textId="6272F2FE" w:rsidR="00AD202E" w:rsidRPr="009902F2" w:rsidRDefault="00581AE4" w:rsidP="00B37D97">
      <w:pPr>
        <w:pStyle w:val="CommentText"/>
        <w:spacing w:before="120" w:after="240"/>
        <w:rPr>
          <w:b/>
          <w:sz w:val="22"/>
          <w:szCs w:val="22"/>
        </w:rPr>
      </w:pPr>
      <w:r>
        <w:rPr>
          <w:b/>
          <w:sz w:val="22"/>
          <w:szCs w:val="22"/>
        </w:rPr>
        <w:t>Section</w:t>
      </w:r>
      <w:r w:rsidR="00AD202E" w:rsidRPr="009902F2">
        <w:rPr>
          <w:b/>
          <w:sz w:val="22"/>
          <w:szCs w:val="22"/>
        </w:rPr>
        <w:t xml:space="preserve"> 1</w:t>
      </w:r>
      <w:r w:rsidR="00B11877" w:rsidRPr="009902F2">
        <w:rPr>
          <w:b/>
          <w:sz w:val="22"/>
          <w:szCs w:val="22"/>
        </w:rPr>
        <w:t xml:space="preserve"> – Name </w:t>
      </w:r>
    </w:p>
    <w:p w14:paraId="3FF4866A" w14:textId="4AF63ADF" w:rsidR="00AD202E" w:rsidRPr="002827C7" w:rsidRDefault="00AD202E" w:rsidP="001E75D1">
      <w:pPr>
        <w:pStyle w:val="CommentText"/>
        <w:spacing w:before="120" w:after="240"/>
        <w:rPr>
          <w:rFonts w:eastAsia="Times New Roman" w:cs="Times New Roman"/>
          <w:b/>
          <w:sz w:val="22"/>
          <w:szCs w:val="22"/>
          <w:lang w:eastAsia="en-AU"/>
        </w:rPr>
      </w:pPr>
      <w:r w:rsidRPr="002827C7">
        <w:rPr>
          <w:sz w:val="22"/>
          <w:szCs w:val="22"/>
        </w:rPr>
        <w:t xml:space="preserve">This </w:t>
      </w:r>
      <w:r w:rsidR="00EE4596" w:rsidRPr="002827C7">
        <w:rPr>
          <w:sz w:val="22"/>
          <w:szCs w:val="22"/>
        </w:rPr>
        <w:t>section</w:t>
      </w:r>
      <w:r w:rsidRPr="002827C7">
        <w:rPr>
          <w:sz w:val="22"/>
          <w:szCs w:val="22"/>
        </w:rPr>
        <w:t xml:space="preserve"> provides that this </w:t>
      </w:r>
      <w:r w:rsidR="00D333F7">
        <w:rPr>
          <w:sz w:val="22"/>
          <w:szCs w:val="22"/>
        </w:rPr>
        <w:t xml:space="preserve">Declaration </w:t>
      </w:r>
      <w:r w:rsidRPr="002827C7">
        <w:rPr>
          <w:sz w:val="22"/>
          <w:szCs w:val="22"/>
        </w:rPr>
        <w:t>is to be cited as the </w:t>
      </w:r>
      <w:r w:rsidR="001E75D1" w:rsidRPr="002827C7">
        <w:rPr>
          <w:rFonts w:eastAsia="Times New Roman" w:cs="Times New Roman"/>
          <w:bCs/>
          <w:sz w:val="22"/>
          <w:szCs w:val="22"/>
          <w:lang w:eastAsia="en-AU"/>
        </w:rPr>
        <w:t>Automatic Mutual Recognition (Australian Capital Territory) (</w:t>
      </w:r>
      <w:r w:rsidR="00D333F7">
        <w:rPr>
          <w:rFonts w:eastAsia="Times New Roman" w:cs="Times New Roman"/>
          <w:bCs/>
          <w:sz w:val="22"/>
          <w:szCs w:val="22"/>
          <w:lang w:eastAsia="en-AU"/>
        </w:rPr>
        <w:t>Exemptions</w:t>
      </w:r>
      <w:r w:rsidR="00946987">
        <w:rPr>
          <w:rFonts w:eastAsia="Times New Roman" w:cs="Times New Roman"/>
          <w:bCs/>
          <w:sz w:val="22"/>
          <w:szCs w:val="22"/>
          <w:lang w:eastAsia="en-AU"/>
        </w:rPr>
        <w:t>—</w:t>
      </w:r>
      <w:r w:rsidR="00737013">
        <w:rPr>
          <w:rFonts w:eastAsia="Times New Roman" w:cs="Times New Roman"/>
          <w:bCs/>
          <w:sz w:val="22"/>
          <w:szCs w:val="22"/>
          <w:lang w:eastAsia="en-AU"/>
        </w:rPr>
        <w:t>Construction Occupations</w:t>
      </w:r>
      <w:r w:rsidR="001E75D1" w:rsidRPr="002827C7">
        <w:rPr>
          <w:rFonts w:eastAsia="Times New Roman" w:cs="Times New Roman"/>
          <w:bCs/>
          <w:sz w:val="22"/>
          <w:szCs w:val="22"/>
          <w:lang w:eastAsia="en-AU"/>
        </w:rPr>
        <w:t xml:space="preserve">) </w:t>
      </w:r>
      <w:r w:rsidR="00D333F7">
        <w:rPr>
          <w:rFonts w:eastAsia="Times New Roman" w:cs="Times New Roman"/>
          <w:bCs/>
          <w:sz w:val="22"/>
          <w:szCs w:val="22"/>
          <w:lang w:eastAsia="en-AU"/>
        </w:rPr>
        <w:t xml:space="preserve">Declaration </w:t>
      </w:r>
      <w:r w:rsidR="00F73C1C">
        <w:rPr>
          <w:rFonts w:eastAsia="Times New Roman" w:cs="Times New Roman"/>
          <w:bCs/>
          <w:sz w:val="22"/>
          <w:szCs w:val="22"/>
          <w:lang w:eastAsia="en-AU"/>
        </w:rPr>
        <w:t>202</w:t>
      </w:r>
      <w:r w:rsidR="00DE5F2D">
        <w:rPr>
          <w:rFonts w:eastAsia="Times New Roman" w:cs="Times New Roman"/>
          <w:bCs/>
          <w:sz w:val="22"/>
          <w:szCs w:val="22"/>
          <w:lang w:eastAsia="en-AU"/>
        </w:rPr>
        <w:t>5</w:t>
      </w:r>
      <w:r w:rsidR="00F73C1C">
        <w:rPr>
          <w:rFonts w:eastAsia="Times New Roman" w:cs="Times New Roman"/>
          <w:bCs/>
          <w:sz w:val="22"/>
          <w:szCs w:val="22"/>
          <w:lang w:eastAsia="en-AU"/>
        </w:rPr>
        <w:t xml:space="preserve"> </w:t>
      </w:r>
      <w:r w:rsidR="00F75BF4" w:rsidRPr="002827C7">
        <w:rPr>
          <w:sz w:val="22"/>
          <w:szCs w:val="22"/>
        </w:rPr>
        <w:t>(</w:t>
      </w:r>
      <w:r w:rsidR="00B11877" w:rsidRPr="002827C7">
        <w:rPr>
          <w:sz w:val="22"/>
          <w:szCs w:val="22"/>
        </w:rPr>
        <w:t xml:space="preserve">the </w:t>
      </w:r>
      <w:r w:rsidR="00D333F7">
        <w:rPr>
          <w:sz w:val="22"/>
          <w:szCs w:val="22"/>
        </w:rPr>
        <w:t>Declaration</w:t>
      </w:r>
      <w:r w:rsidR="00B11877" w:rsidRPr="002827C7">
        <w:rPr>
          <w:sz w:val="22"/>
          <w:szCs w:val="22"/>
        </w:rPr>
        <w:t>)</w:t>
      </w:r>
      <w:r w:rsidRPr="002827C7">
        <w:rPr>
          <w:sz w:val="22"/>
          <w:szCs w:val="22"/>
        </w:rPr>
        <w:t>.</w:t>
      </w:r>
    </w:p>
    <w:p w14:paraId="22D55418" w14:textId="2C11D9D4"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2</w:t>
      </w:r>
      <w:r w:rsidR="00B11877" w:rsidRPr="001D7F10">
        <w:rPr>
          <w:b/>
          <w:sz w:val="22"/>
          <w:szCs w:val="22"/>
        </w:rPr>
        <w:t xml:space="preserve"> – Commencement</w:t>
      </w:r>
    </w:p>
    <w:p w14:paraId="215B990A" w14:textId="6C1573DB" w:rsidR="001E75D1" w:rsidRPr="0054217E" w:rsidRDefault="001E75D1" w:rsidP="001E75D1">
      <w:pPr>
        <w:spacing w:before="120" w:after="240" w:line="240" w:lineRule="auto"/>
        <w:rPr>
          <w:i/>
          <w:szCs w:val="22"/>
          <w:highlight w:val="lightGray"/>
        </w:rPr>
      </w:pPr>
      <w:r w:rsidRPr="005D53EC">
        <w:rPr>
          <w:szCs w:val="22"/>
        </w:rPr>
        <w:t xml:space="preserve">This </w:t>
      </w:r>
      <w:r>
        <w:rPr>
          <w:szCs w:val="22"/>
        </w:rPr>
        <w:t>section</w:t>
      </w:r>
      <w:r w:rsidRPr="005D53EC">
        <w:rPr>
          <w:szCs w:val="22"/>
        </w:rPr>
        <w:t xml:space="preserve"> provides the date on which the </w:t>
      </w:r>
      <w:r w:rsidR="00D333F7">
        <w:rPr>
          <w:szCs w:val="22"/>
        </w:rPr>
        <w:t>Declaration</w:t>
      </w:r>
      <w:r w:rsidRPr="005D53EC">
        <w:rPr>
          <w:szCs w:val="22"/>
        </w:rPr>
        <w:t xml:space="preserve"> comes into operation.</w:t>
      </w:r>
    </w:p>
    <w:p w14:paraId="24A99B0A" w14:textId="164E385F" w:rsidR="00581B41" w:rsidRDefault="00581B41" w:rsidP="00581B41">
      <w:pPr>
        <w:spacing w:before="120" w:after="240" w:line="240" w:lineRule="auto"/>
        <w:rPr>
          <w:i/>
          <w:szCs w:val="22"/>
        </w:rPr>
      </w:pPr>
      <w:r w:rsidRPr="001E75D1">
        <w:rPr>
          <w:szCs w:val="22"/>
        </w:rPr>
        <w:t xml:space="preserve">The </w:t>
      </w:r>
      <w:r w:rsidR="00D333F7">
        <w:rPr>
          <w:szCs w:val="22"/>
        </w:rPr>
        <w:t xml:space="preserve">Declaration </w:t>
      </w:r>
      <w:r w:rsidRPr="001E75D1">
        <w:rPr>
          <w:szCs w:val="22"/>
        </w:rPr>
        <w:t xml:space="preserve">comes into operation </w:t>
      </w:r>
      <w:r w:rsidRPr="00553CDC">
        <w:rPr>
          <w:szCs w:val="22"/>
        </w:rPr>
        <w:t xml:space="preserve">on </w:t>
      </w:r>
      <w:r w:rsidR="00F73C1C" w:rsidRPr="00553CDC">
        <w:rPr>
          <w:szCs w:val="22"/>
        </w:rPr>
        <w:t xml:space="preserve">1 July </w:t>
      </w:r>
      <w:r w:rsidR="000A03EA" w:rsidRPr="00553CDC">
        <w:rPr>
          <w:szCs w:val="22"/>
        </w:rPr>
        <w:t>2025</w:t>
      </w:r>
      <w:r w:rsidR="009C0F04">
        <w:rPr>
          <w:szCs w:val="22"/>
        </w:rPr>
        <w:t>.</w:t>
      </w:r>
    </w:p>
    <w:p w14:paraId="39E32630" w14:textId="1F050119"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3</w:t>
      </w:r>
      <w:r w:rsidR="00B11877" w:rsidRPr="001D7F10">
        <w:rPr>
          <w:b/>
          <w:sz w:val="22"/>
          <w:szCs w:val="22"/>
        </w:rPr>
        <w:t xml:space="preserve"> – Authority</w:t>
      </w:r>
    </w:p>
    <w:p w14:paraId="04D410B3" w14:textId="49ECA007" w:rsidR="000C4BF8" w:rsidRPr="005D53EC" w:rsidRDefault="005D53EC" w:rsidP="00B37D97">
      <w:pPr>
        <w:spacing w:before="120" w:after="240" w:line="240" w:lineRule="auto"/>
        <w:rPr>
          <w:szCs w:val="22"/>
        </w:rPr>
      </w:pPr>
      <w:r w:rsidRPr="005D53EC">
        <w:rPr>
          <w:szCs w:val="22"/>
        </w:rPr>
        <w:t>Th</w:t>
      </w:r>
      <w:r w:rsidR="009902F2">
        <w:rPr>
          <w:szCs w:val="22"/>
        </w:rPr>
        <w:t xml:space="preserve">is </w:t>
      </w:r>
      <w:r w:rsidR="00EE4596">
        <w:rPr>
          <w:szCs w:val="22"/>
        </w:rPr>
        <w:t>section</w:t>
      </w:r>
      <w:r w:rsidR="009902F2">
        <w:rPr>
          <w:szCs w:val="22"/>
        </w:rPr>
        <w:t xml:space="preserve"> outlines the authority </w:t>
      </w:r>
      <w:r w:rsidR="00946987">
        <w:rPr>
          <w:szCs w:val="22"/>
        </w:rPr>
        <w:t xml:space="preserve">under </w:t>
      </w:r>
      <w:r w:rsidR="009902F2">
        <w:rPr>
          <w:szCs w:val="22"/>
        </w:rPr>
        <w:t>which the</w:t>
      </w:r>
      <w:r w:rsidRPr="005D53EC">
        <w:rPr>
          <w:szCs w:val="22"/>
        </w:rPr>
        <w:t xml:space="preserve"> </w:t>
      </w:r>
      <w:r w:rsidR="00311926">
        <w:rPr>
          <w:szCs w:val="22"/>
        </w:rPr>
        <w:t>Declaration</w:t>
      </w:r>
      <w:r w:rsidRPr="005D53EC">
        <w:rPr>
          <w:szCs w:val="22"/>
        </w:rPr>
        <w:t xml:space="preserve"> is made</w:t>
      </w:r>
      <w:r w:rsidR="009902F2">
        <w:rPr>
          <w:szCs w:val="22"/>
        </w:rPr>
        <w:t xml:space="preserve">. The </w:t>
      </w:r>
      <w:r w:rsidR="00311926">
        <w:rPr>
          <w:szCs w:val="22"/>
        </w:rPr>
        <w:t>Declaration</w:t>
      </w:r>
      <w:r w:rsidR="009902F2">
        <w:rPr>
          <w:szCs w:val="22"/>
        </w:rPr>
        <w:t xml:space="preserve"> is made </w:t>
      </w:r>
      <w:r w:rsidRPr="005D53EC">
        <w:rPr>
          <w:szCs w:val="22"/>
        </w:rPr>
        <w:t>under s</w:t>
      </w:r>
      <w:r>
        <w:rPr>
          <w:szCs w:val="22"/>
        </w:rPr>
        <w:t>ection 42</w:t>
      </w:r>
      <w:r w:rsidR="00311926">
        <w:rPr>
          <w:szCs w:val="22"/>
        </w:rPr>
        <w:t>S</w:t>
      </w:r>
      <w:r>
        <w:rPr>
          <w:szCs w:val="22"/>
        </w:rPr>
        <w:t xml:space="preserve"> of the </w:t>
      </w:r>
      <w:r w:rsidRPr="009902F2">
        <w:rPr>
          <w:i/>
          <w:szCs w:val="22"/>
        </w:rPr>
        <w:t xml:space="preserve">Mutual Recognition Act 1992 </w:t>
      </w:r>
      <w:r w:rsidR="00946987">
        <w:rPr>
          <w:szCs w:val="22"/>
        </w:rPr>
        <w:t xml:space="preserve">of the </w:t>
      </w:r>
      <w:r>
        <w:rPr>
          <w:szCs w:val="22"/>
        </w:rPr>
        <w:t xml:space="preserve">Commonwealth. </w:t>
      </w:r>
    </w:p>
    <w:p w14:paraId="0F28E3CC" w14:textId="0D16309D" w:rsidR="00CC631E" w:rsidRDefault="00581AE4" w:rsidP="00CC631E">
      <w:pPr>
        <w:pStyle w:val="CommentText"/>
        <w:spacing w:before="120" w:after="240"/>
        <w:rPr>
          <w:b/>
          <w:sz w:val="22"/>
          <w:szCs w:val="22"/>
        </w:rPr>
      </w:pPr>
      <w:r>
        <w:rPr>
          <w:b/>
          <w:sz w:val="22"/>
          <w:szCs w:val="22"/>
        </w:rPr>
        <w:t>Section</w:t>
      </w:r>
      <w:r w:rsidR="00CC631E" w:rsidRPr="001D7F10">
        <w:rPr>
          <w:b/>
          <w:sz w:val="22"/>
          <w:szCs w:val="22"/>
        </w:rPr>
        <w:t xml:space="preserve"> 4 </w:t>
      </w:r>
      <w:r w:rsidR="00CC631E">
        <w:rPr>
          <w:b/>
          <w:sz w:val="22"/>
          <w:szCs w:val="22"/>
        </w:rPr>
        <w:t>–</w:t>
      </w:r>
      <w:r w:rsidR="00CC631E" w:rsidRPr="001D7F10">
        <w:rPr>
          <w:b/>
          <w:sz w:val="22"/>
          <w:szCs w:val="22"/>
        </w:rPr>
        <w:t xml:space="preserve"> </w:t>
      </w:r>
      <w:r w:rsidR="00CC631E">
        <w:rPr>
          <w:b/>
          <w:sz w:val="22"/>
          <w:szCs w:val="22"/>
        </w:rPr>
        <w:t>Simplified outline of the instrument</w:t>
      </w:r>
    </w:p>
    <w:p w14:paraId="2EB7C61A" w14:textId="3866EB32" w:rsidR="00CC631E" w:rsidRPr="00CC631E" w:rsidRDefault="00CC631E" w:rsidP="00CC631E">
      <w:pPr>
        <w:pStyle w:val="CommentText"/>
        <w:spacing w:before="120" w:after="240"/>
        <w:rPr>
          <w:sz w:val="22"/>
          <w:szCs w:val="22"/>
        </w:rPr>
      </w:pPr>
      <w:r w:rsidRPr="00CC631E">
        <w:rPr>
          <w:sz w:val="22"/>
          <w:szCs w:val="22"/>
        </w:rPr>
        <w:t xml:space="preserve">This </w:t>
      </w:r>
      <w:r w:rsidR="00EE4596">
        <w:rPr>
          <w:sz w:val="22"/>
          <w:szCs w:val="22"/>
        </w:rPr>
        <w:t>section</w:t>
      </w:r>
      <w:r w:rsidRPr="00CC631E">
        <w:rPr>
          <w:sz w:val="22"/>
          <w:szCs w:val="22"/>
        </w:rPr>
        <w:t xml:space="preserve"> explains </w:t>
      </w:r>
      <w:r w:rsidR="00EE4596">
        <w:rPr>
          <w:sz w:val="22"/>
          <w:szCs w:val="22"/>
        </w:rPr>
        <w:t>that the</w:t>
      </w:r>
      <w:r w:rsidRPr="00CC631E">
        <w:rPr>
          <w:sz w:val="22"/>
          <w:szCs w:val="22"/>
        </w:rPr>
        <w:t xml:space="preserve"> purpose of this instrument is to </w:t>
      </w:r>
      <w:r w:rsidR="00DB70DF">
        <w:rPr>
          <w:sz w:val="22"/>
          <w:szCs w:val="22"/>
        </w:rPr>
        <w:t xml:space="preserve">exempt registrations for </w:t>
      </w:r>
      <w:r w:rsidR="003A159E">
        <w:rPr>
          <w:sz w:val="22"/>
          <w:szCs w:val="22"/>
        </w:rPr>
        <w:t xml:space="preserve">construction </w:t>
      </w:r>
      <w:r w:rsidR="00DB70DF">
        <w:rPr>
          <w:sz w:val="22"/>
          <w:szCs w:val="22"/>
        </w:rPr>
        <w:t xml:space="preserve">occupations, or for activities covered </w:t>
      </w:r>
      <w:r w:rsidR="00946987">
        <w:rPr>
          <w:sz w:val="22"/>
          <w:szCs w:val="22"/>
        </w:rPr>
        <w:t xml:space="preserve">by </w:t>
      </w:r>
      <w:r w:rsidR="003A159E">
        <w:rPr>
          <w:sz w:val="22"/>
          <w:szCs w:val="22"/>
        </w:rPr>
        <w:t xml:space="preserve">construction </w:t>
      </w:r>
      <w:r w:rsidR="00946987">
        <w:rPr>
          <w:sz w:val="22"/>
          <w:szCs w:val="22"/>
        </w:rPr>
        <w:t>occupation</w:t>
      </w:r>
      <w:r w:rsidR="003D46F6">
        <w:rPr>
          <w:sz w:val="22"/>
          <w:szCs w:val="22"/>
        </w:rPr>
        <w:t>s</w:t>
      </w:r>
      <w:r w:rsidR="00DB70DF">
        <w:rPr>
          <w:sz w:val="22"/>
          <w:szCs w:val="22"/>
        </w:rPr>
        <w:t>,</w:t>
      </w:r>
      <w:r w:rsidR="00946987">
        <w:rPr>
          <w:sz w:val="22"/>
          <w:szCs w:val="22"/>
        </w:rPr>
        <w:t xml:space="preserve"> </w:t>
      </w:r>
      <w:r w:rsidR="00DB70DF">
        <w:rPr>
          <w:sz w:val="22"/>
          <w:szCs w:val="22"/>
        </w:rPr>
        <w:t xml:space="preserve">from the </w:t>
      </w:r>
      <w:r w:rsidR="00950D6B" w:rsidRPr="00950D6B">
        <w:rPr>
          <w:sz w:val="22"/>
          <w:szCs w:val="22"/>
        </w:rPr>
        <w:t xml:space="preserve">automatic deemed registration </w:t>
      </w:r>
      <w:r w:rsidR="00DB70DF">
        <w:rPr>
          <w:sz w:val="22"/>
          <w:szCs w:val="22"/>
        </w:rPr>
        <w:t xml:space="preserve">provisions of </w:t>
      </w:r>
      <w:r w:rsidR="00950D6B" w:rsidRPr="00950D6B">
        <w:rPr>
          <w:sz w:val="22"/>
          <w:szCs w:val="22"/>
        </w:rPr>
        <w:t>the</w:t>
      </w:r>
      <w:r w:rsidR="00950D6B" w:rsidRPr="00950D6B">
        <w:rPr>
          <w:i/>
          <w:sz w:val="22"/>
          <w:szCs w:val="22"/>
        </w:rPr>
        <w:t xml:space="preserve"> Mutual Recognition Act 1992</w:t>
      </w:r>
      <w:r w:rsidR="00950D6B" w:rsidRPr="00950D6B">
        <w:rPr>
          <w:sz w:val="22"/>
          <w:szCs w:val="22"/>
        </w:rPr>
        <w:t xml:space="preserve"> of the Commonwealth</w:t>
      </w:r>
      <w:r w:rsidR="00DB70DF">
        <w:rPr>
          <w:sz w:val="22"/>
          <w:szCs w:val="22"/>
        </w:rPr>
        <w:t xml:space="preserve"> for a period of </w:t>
      </w:r>
      <w:r w:rsidR="00597EE8">
        <w:rPr>
          <w:sz w:val="22"/>
          <w:szCs w:val="22"/>
        </w:rPr>
        <w:t>t</w:t>
      </w:r>
      <w:r w:rsidR="009C0F04">
        <w:rPr>
          <w:sz w:val="22"/>
          <w:szCs w:val="22"/>
        </w:rPr>
        <w:t>wo</w:t>
      </w:r>
      <w:r w:rsidR="00597EE8">
        <w:rPr>
          <w:sz w:val="22"/>
          <w:szCs w:val="22"/>
        </w:rPr>
        <w:t xml:space="preserve"> years</w:t>
      </w:r>
      <w:r w:rsidR="003A159E">
        <w:rPr>
          <w:sz w:val="22"/>
          <w:szCs w:val="22"/>
        </w:rPr>
        <w:t xml:space="preserve"> because of a significant risk to the health and safety of workers or the public, and consumer protection</w:t>
      </w:r>
      <w:r w:rsidR="00DB70DF">
        <w:rPr>
          <w:sz w:val="22"/>
          <w:szCs w:val="22"/>
        </w:rPr>
        <w:t>.</w:t>
      </w:r>
    </w:p>
    <w:p w14:paraId="730AE0EF" w14:textId="3F375B30" w:rsidR="00AD202E" w:rsidRPr="001D7F10" w:rsidRDefault="00581AE4" w:rsidP="00B37D97">
      <w:pPr>
        <w:pStyle w:val="CommentText"/>
        <w:spacing w:before="120" w:after="240"/>
        <w:rPr>
          <w:b/>
          <w:sz w:val="22"/>
          <w:szCs w:val="22"/>
        </w:rPr>
      </w:pPr>
      <w:r>
        <w:rPr>
          <w:b/>
          <w:sz w:val="22"/>
          <w:szCs w:val="22"/>
        </w:rPr>
        <w:t>Section</w:t>
      </w:r>
      <w:r w:rsidR="00CC631E">
        <w:rPr>
          <w:b/>
          <w:sz w:val="22"/>
          <w:szCs w:val="22"/>
        </w:rPr>
        <w:t xml:space="preserve"> 5</w:t>
      </w:r>
      <w:r w:rsidR="005D53EC" w:rsidRPr="001D7F10">
        <w:rPr>
          <w:b/>
          <w:sz w:val="22"/>
          <w:szCs w:val="22"/>
        </w:rPr>
        <w:t xml:space="preserve"> </w:t>
      </w:r>
      <w:r w:rsidR="00CC631E">
        <w:rPr>
          <w:b/>
          <w:sz w:val="22"/>
          <w:szCs w:val="22"/>
        </w:rPr>
        <w:t>–</w:t>
      </w:r>
      <w:r w:rsidR="005D53EC" w:rsidRPr="001D7F10">
        <w:rPr>
          <w:b/>
          <w:sz w:val="22"/>
          <w:szCs w:val="22"/>
        </w:rPr>
        <w:t xml:space="preserve"> Definitions</w:t>
      </w:r>
    </w:p>
    <w:p w14:paraId="03FA9702" w14:textId="6AB63A72" w:rsidR="00AD202E" w:rsidRDefault="00AD202E" w:rsidP="00B37D97">
      <w:pPr>
        <w:spacing w:before="120" w:after="240" w:line="240" w:lineRule="auto"/>
        <w:rPr>
          <w:szCs w:val="22"/>
        </w:rPr>
      </w:pPr>
      <w:r w:rsidRPr="005D53EC">
        <w:rPr>
          <w:szCs w:val="22"/>
        </w:rPr>
        <w:t xml:space="preserve">This </w:t>
      </w:r>
      <w:r w:rsidR="00EE4596">
        <w:rPr>
          <w:szCs w:val="22"/>
        </w:rPr>
        <w:t>section</w:t>
      </w:r>
      <w:r w:rsidRPr="005D53EC">
        <w:rPr>
          <w:szCs w:val="22"/>
        </w:rPr>
        <w:t xml:space="preserve"> provides, for the purposes of this </w:t>
      </w:r>
      <w:r w:rsidR="00DB70DF">
        <w:rPr>
          <w:szCs w:val="22"/>
        </w:rPr>
        <w:t>Declaration</w:t>
      </w:r>
      <w:r w:rsidRPr="005D53EC">
        <w:rPr>
          <w:szCs w:val="22"/>
        </w:rPr>
        <w:t>, self-explanatory definitions of the following terms:</w:t>
      </w:r>
    </w:p>
    <w:p w14:paraId="5D5862DC" w14:textId="3F98E577" w:rsidR="006E1FF3" w:rsidRDefault="006E1FF3" w:rsidP="005F5553">
      <w:pPr>
        <w:pStyle w:val="Definition"/>
        <w:ind w:left="851" w:hanging="425"/>
        <w:rPr>
          <w:bCs/>
          <w:iCs/>
        </w:rPr>
      </w:pPr>
      <w:r>
        <w:rPr>
          <w:rFonts w:eastAsiaTheme="minorHAnsi" w:cstheme="minorBidi"/>
          <w:szCs w:val="22"/>
          <w:lang w:eastAsia="en-US"/>
        </w:rPr>
        <w:t>-</w:t>
      </w:r>
      <w:r>
        <w:rPr>
          <w:rFonts w:eastAsiaTheme="minorHAnsi" w:cstheme="minorBidi"/>
          <w:szCs w:val="22"/>
          <w:lang w:eastAsia="en-US"/>
        </w:rPr>
        <w:tab/>
      </w:r>
      <w:r w:rsidR="001D7F10" w:rsidRPr="00F32CDB">
        <w:rPr>
          <w:rFonts w:eastAsiaTheme="minorHAnsi" w:cstheme="minorBidi"/>
          <w:b/>
          <w:bCs/>
          <w:szCs w:val="22"/>
          <w:lang w:eastAsia="en-US"/>
        </w:rPr>
        <w:t>Act</w:t>
      </w:r>
      <w:r w:rsidR="001D7F10" w:rsidRPr="00066983">
        <w:rPr>
          <w:rFonts w:eastAsiaTheme="minorHAnsi" w:cstheme="minorBidi"/>
          <w:szCs w:val="22"/>
          <w:lang w:eastAsia="en-US"/>
        </w:rPr>
        <w:t xml:space="preserve"> is defined in this </w:t>
      </w:r>
      <w:r w:rsidR="00EE4596">
        <w:rPr>
          <w:rFonts w:eastAsiaTheme="minorHAnsi" w:cstheme="minorBidi"/>
          <w:szCs w:val="22"/>
          <w:lang w:eastAsia="en-US"/>
        </w:rPr>
        <w:t>section</w:t>
      </w:r>
      <w:r w:rsidR="001D7F10" w:rsidRPr="00066983">
        <w:rPr>
          <w:rFonts w:eastAsiaTheme="minorHAnsi" w:cstheme="minorBidi"/>
          <w:szCs w:val="22"/>
          <w:lang w:eastAsia="en-US"/>
        </w:rPr>
        <w:t xml:space="preserve"> as meaning the </w:t>
      </w:r>
      <w:r w:rsidR="001D7F10" w:rsidRPr="00066983">
        <w:rPr>
          <w:rFonts w:eastAsiaTheme="minorHAnsi" w:cstheme="minorBidi"/>
          <w:i/>
          <w:szCs w:val="22"/>
          <w:lang w:eastAsia="en-US"/>
        </w:rPr>
        <w:t>Mutual Recognition Act 1992</w:t>
      </w:r>
      <w:r w:rsidR="00946987">
        <w:rPr>
          <w:rFonts w:eastAsiaTheme="minorHAnsi"/>
        </w:rPr>
        <w:t xml:space="preserve"> of the Commonwealth</w:t>
      </w:r>
      <w:r w:rsidR="0077681A">
        <w:rPr>
          <w:bCs/>
          <w:iCs/>
        </w:rPr>
        <w:t>;</w:t>
      </w:r>
    </w:p>
    <w:p w14:paraId="66B5F322" w14:textId="37293E52" w:rsidR="005D53EC" w:rsidRDefault="00581AE4" w:rsidP="00B37D97">
      <w:pPr>
        <w:pStyle w:val="CommentText"/>
        <w:spacing w:before="120" w:after="240"/>
        <w:rPr>
          <w:b/>
          <w:sz w:val="22"/>
          <w:szCs w:val="22"/>
        </w:rPr>
      </w:pPr>
      <w:r>
        <w:rPr>
          <w:b/>
          <w:sz w:val="22"/>
          <w:szCs w:val="22"/>
        </w:rPr>
        <w:t>Section</w:t>
      </w:r>
      <w:r w:rsidR="005D53EC" w:rsidRPr="001D7F10">
        <w:rPr>
          <w:b/>
          <w:sz w:val="22"/>
          <w:szCs w:val="22"/>
        </w:rPr>
        <w:t xml:space="preserve"> </w:t>
      </w:r>
      <w:r w:rsidR="00CC631E">
        <w:rPr>
          <w:b/>
          <w:sz w:val="22"/>
          <w:szCs w:val="22"/>
        </w:rPr>
        <w:t>6</w:t>
      </w:r>
      <w:r w:rsidR="005D53EC" w:rsidRPr="001D7F10">
        <w:rPr>
          <w:b/>
          <w:sz w:val="22"/>
          <w:szCs w:val="22"/>
        </w:rPr>
        <w:t xml:space="preserve"> </w:t>
      </w:r>
      <w:r w:rsidR="00B05172">
        <w:rPr>
          <w:b/>
          <w:sz w:val="22"/>
          <w:szCs w:val="22"/>
        </w:rPr>
        <w:t>- Exemption</w:t>
      </w:r>
    </w:p>
    <w:p w14:paraId="7410E87E" w14:textId="1A9DA26F" w:rsidR="002632E7" w:rsidRDefault="009B30AB" w:rsidP="009B30AB">
      <w:pPr>
        <w:spacing w:before="120" w:after="240" w:line="240" w:lineRule="auto"/>
        <w:rPr>
          <w:szCs w:val="22"/>
        </w:rPr>
      </w:pPr>
      <w:bookmarkStart w:id="1" w:name="_Hlk74041245"/>
      <w:r w:rsidRPr="005D53EC">
        <w:rPr>
          <w:szCs w:val="22"/>
        </w:rPr>
        <w:t xml:space="preserve">This </w:t>
      </w:r>
      <w:r w:rsidR="00EE4596">
        <w:rPr>
          <w:szCs w:val="22"/>
        </w:rPr>
        <w:t>section</w:t>
      </w:r>
      <w:r w:rsidRPr="005D53EC">
        <w:rPr>
          <w:szCs w:val="22"/>
        </w:rPr>
        <w:t xml:space="preserve"> </w:t>
      </w:r>
      <w:r>
        <w:rPr>
          <w:szCs w:val="22"/>
        </w:rPr>
        <w:t>list</w:t>
      </w:r>
      <w:r w:rsidR="00892F71">
        <w:rPr>
          <w:szCs w:val="22"/>
        </w:rPr>
        <w:t>s</w:t>
      </w:r>
      <w:r>
        <w:rPr>
          <w:szCs w:val="22"/>
        </w:rPr>
        <w:t xml:space="preserve"> the specific paragraph of the MR</w:t>
      </w:r>
      <w:r w:rsidR="00F73C1C">
        <w:rPr>
          <w:szCs w:val="22"/>
        </w:rPr>
        <w:t xml:space="preserve"> </w:t>
      </w:r>
      <w:r>
        <w:rPr>
          <w:szCs w:val="22"/>
        </w:rPr>
        <w:t>A</w:t>
      </w:r>
      <w:r w:rsidR="00F73C1C">
        <w:rPr>
          <w:szCs w:val="22"/>
        </w:rPr>
        <w:t>ct</w:t>
      </w:r>
      <w:r>
        <w:rPr>
          <w:szCs w:val="22"/>
        </w:rPr>
        <w:t xml:space="preserve"> relied on to make the </w:t>
      </w:r>
      <w:r w:rsidR="00D210A0">
        <w:rPr>
          <w:szCs w:val="22"/>
        </w:rPr>
        <w:t>Declaratio</w:t>
      </w:r>
      <w:r w:rsidR="00AD713B">
        <w:rPr>
          <w:szCs w:val="22"/>
        </w:rPr>
        <w:t>n excluding a registration mentioned from the operation of automatic deemed registration in the Australian Capital Territory</w:t>
      </w:r>
      <w:r w:rsidR="002632E7">
        <w:t xml:space="preserve">. </w:t>
      </w:r>
    </w:p>
    <w:p w14:paraId="1E331432" w14:textId="1FAD2DC4" w:rsidR="002632E7" w:rsidRDefault="00580F16" w:rsidP="009B30AB">
      <w:pPr>
        <w:spacing w:before="120" w:after="240" w:line="240" w:lineRule="auto"/>
        <w:rPr>
          <w:szCs w:val="22"/>
        </w:rPr>
      </w:pPr>
      <w:r>
        <w:rPr>
          <w:szCs w:val="22"/>
        </w:rPr>
        <w:t xml:space="preserve">The </w:t>
      </w:r>
      <w:r w:rsidR="00AD713B">
        <w:rPr>
          <w:szCs w:val="22"/>
        </w:rPr>
        <w:t xml:space="preserve">Declaration </w:t>
      </w:r>
      <w:r>
        <w:rPr>
          <w:szCs w:val="22"/>
        </w:rPr>
        <w:t>is made i</w:t>
      </w:r>
      <w:r w:rsidR="001D1EC6">
        <w:rPr>
          <w:szCs w:val="22"/>
        </w:rPr>
        <w:t xml:space="preserve">n accordance with </w:t>
      </w:r>
      <w:r w:rsidR="00CC631E">
        <w:rPr>
          <w:szCs w:val="22"/>
        </w:rPr>
        <w:t>paragraph 42</w:t>
      </w:r>
      <w:r w:rsidR="00AD713B">
        <w:rPr>
          <w:szCs w:val="22"/>
        </w:rPr>
        <w:t>S</w:t>
      </w:r>
      <w:r w:rsidR="0091157A">
        <w:rPr>
          <w:szCs w:val="22"/>
        </w:rPr>
        <w:t>(1)(a)</w:t>
      </w:r>
      <w:r w:rsidR="00CC631E">
        <w:rPr>
          <w:szCs w:val="22"/>
        </w:rPr>
        <w:t xml:space="preserve"> of the MR</w:t>
      </w:r>
      <w:r w:rsidR="002449EE">
        <w:rPr>
          <w:szCs w:val="22"/>
        </w:rPr>
        <w:t xml:space="preserve"> </w:t>
      </w:r>
      <w:r w:rsidR="00CC631E">
        <w:rPr>
          <w:szCs w:val="22"/>
        </w:rPr>
        <w:t>A</w:t>
      </w:r>
      <w:r w:rsidR="002449EE">
        <w:rPr>
          <w:szCs w:val="22"/>
        </w:rPr>
        <w:t>ct</w:t>
      </w:r>
      <w:r w:rsidR="00E77F47">
        <w:rPr>
          <w:szCs w:val="22"/>
        </w:rPr>
        <w:t>.</w:t>
      </w:r>
      <w:r w:rsidR="002632E7">
        <w:rPr>
          <w:szCs w:val="22"/>
        </w:rPr>
        <w:t xml:space="preserve"> This means that an individual </w:t>
      </w:r>
      <w:r w:rsidR="00AD713B">
        <w:rPr>
          <w:szCs w:val="22"/>
        </w:rPr>
        <w:t xml:space="preserve">cannot rely on automatic deemed registration in the Australian Capital Territory because of the </w:t>
      </w:r>
      <w:r w:rsidR="00597EE8">
        <w:rPr>
          <w:szCs w:val="22"/>
        </w:rPr>
        <w:t xml:space="preserve">significant risk to the health and safety of workers or the public, and </w:t>
      </w:r>
      <w:r w:rsidR="00737013">
        <w:rPr>
          <w:szCs w:val="22"/>
        </w:rPr>
        <w:t>consumer protection</w:t>
      </w:r>
      <w:r w:rsidR="002632E7" w:rsidRPr="002632E7">
        <w:rPr>
          <w:szCs w:val="22"/>
        </w:rPr>
        <w:t>.</w:t>
      </w:r>
    </w:p>
    <w:p w14:paraId="407E8CB4" w14:textId="51E8BF43" w:rsidR="003A159E" w:rsidRDefault="003A159E" w:rsidP="003A159E">
      <w:pPr>
        <w:pStyle w:val="CommentText"/>
        <w:spacing w:before="120" w:after="240"/>
        <w:rPr>
          <w:b/>
          <w:sz w:val="22"/>
          <w:szCs w:val="22"/>
        </w:rPr>
      </w:pPr>
    </w:p>
    <w:p w14:paraId="68FE606D" w14:textId="77777777" w:rsidR="003A159E" w:rsidRDefault="003A159E" w:rsidP="003A159E">
      <w:pPr>
        <w:pStyle w:val="CommentText"/>
        <w:spacing w:before="120" w:after="240"/>
        <w:rPr>
          <w:b/>
          <w:sz w:val="22"/>
          <w:szCs w:val="22"/>
        </w:rPr>
      </w:pPr>
    </w:p>
    <w:p w14:paraId="7EF94915" w14:textId="3660F407" w:rsidR="003A159E" w:rsidRPr="0060515D" w:rsidRDefault="003A159E" w:rsidP="003A159E">
      <w:pPr>
        <w:pStyle w:val="CommentText"/>
        <w:spacing w:before="120" w:after="240"/>
        <w:rPr>
          <w:b/>
          <w:sz w:val="22"/>
          <w:szCs w:val="22"/>
        </w:rPr>
      </w:pPr>
      <w:r w:rsidRPr="0060515D">
        <w:rPr>
          <w:b/>
          <w:sz w:val="22"/>
          <w:szCs w:val="22"/>
        </w:rPr>
        <w:lastRenderedPageBreak/>
        <w:t>Section 7 – Significant risk statement</w:t>
      </w:r>
    </w:p>
    <w:p w14:paraId="3C75AAC2" w14:textId="5FC9CCB7" w:rsidR="003A159E" w:rsidRPr="0060515D" w:rsidRDefault="003A159E" w:rsidP="003A159E">
      <w:pPr>
        <w:pStyle w:val="CommentText"/>
        <w:spacing w:before="120" w:after="240"/>
        <w:rPr>
          <w:sz w:val="22"/>
          <w:szCs w:val="22"/>
        </w:rPr>
      </w:pPr>
      <w:r w:rsidRPr="0060515D">
        <w:rPr>
          <w:sz w:val="22"/>
          <w:szCs w:val="22"/>
        </w:rPr>
        <w:t xml:space="preserve">This section explains the specific significant risks arising from circumstances to the health and safety of workers or the public, </w:t>
      </w:r>
      <w:r>
        <w:rPr>
          <w:sz w:val="22"/>
          <w:szCs w:val="22"/>
        </w:rPr>
        <w:t>and consumer protection in the Territory</w:t>
      </w:r>
      <w:r w:rsidRPr="0060515D">
        <w:rPr>
          <w:sz w:val="22"/>
          <w:szCs w:val="22"/>
        </w:rPr>
        <w:t>.</w:t>
      </w:r>
    </w:p>
    <w:p w14:paraId="09249F55" w14:textId="77777777" w:rsidR="003A159E" w:rsidRPr="0060515D" w:rsidRDefault="003A159E" w:rsidP="003A159E">
      <w:pPr>
        <w:pStyle w:val="CommentText"/>
        <w:spacing w:before="120" w:after="240"/>
        <w:rPr>
          <w:b/>
          <w:sz w:val="22"/>
          <w:szCs w:val="22"/>
        </w:rPr>
      </w:pPr>
      <w:r w:rsidRPr="0060515D">
        <w:rPr>
          <w:b/>
          <w:sz w:val="22"/>
          <w:szCs w:val="22"/>
        </w:rPr>
        <w:t>Section 8 – Human Rights Act statement</w:t>
      </w:r>
    </w:p>
    <w:p w14:paraId="5D0144F6" w14:textId="77777777" w:rsidR="003A159E" w:rsidRDefault="003A159E" w:rsidP="003A159E">
      <w:pPr>
        <w:pStyle w:val="CommentText"/>
        <w:spacing w:before="120" w:after="240"/>
        <w:rPr>
          <w:sz w:val="22"/>
          <w:szCs w:val="22"/>
        </w:rPr>
      </w:pPr>
      <w:r w:rsidRPr="0060515D">
        <w:rPr>
          <w:sz w:val="22"/>
          <w:szCs w:val="22"/>
        </w:rPr>
        <w:t xml:space="preserve">This section outlines that the exclusion of occupations and activities under section 6 is not considered incompatible with the provisions under the </w:t>
      </w:r>
      <w:r w:rsidRPr="0060515D">
        <w:rPr>
          <w:i/>
          <w:iCs/>
          <w:sz w:val="22"/>
          <w:szCs w:val="22"/>
        </w:rPr>
        <w:t>Human Rights Act 2004</w:t>
      </w:r>
      <w:r w:rsidRPr="0060515D">
        <w:rPr>
          <w:sz w:val="22"/>
          <w:szCs w:val="22"/>
        </w:rPr>
        <w:t xml:space="preserve"> (ACT).</w:t>
      </w:r>
    </w:p>
    <w:p w14:paraId="0BE0AA0A" w14:textId="418E4A2D" w:rsidR="0091157A" w:rsidRPr="0060515D" w:rsidRDefault="0091157A" w:rsidP="0091157A">
      <w:pPr>
        <w:pStyle w:val="CommentText"/>
        <w:spacing w:before="120" w:after="240"/>
        <w:rPr>
          <w:b/>
          <w:sz w:val="22"/>
          <w:szCs w:val="22"/>
        </w:rPr>
      </w:pPr>
      <w:r w:rsidRPr="0060515D">
        <w:rPr>
          <w:b/>
          <w:sz w:val="22"/>
          <w:szCs w:val="22"/>
        </w:rPr>
        <w:t xml:space="preserve">Section </w:t>
      </w:r>
      <w:r>
        <w:rPr>
          <w:b/>
          <w:sz w:val="22"/>
          <w:szCs w:val="22"/>
        </w:rPr>
        <w:t>9</w:t>
      </w:r>
      <w:r w:rsidRPr="0060515D">
        <w:rPr>
          <w:b/>
          <w:sz w:val="22"/>
          <w:szCs w:val="22"/>
        </w:rPr>
        <w:t xml:space="preserve"> – </w:t>
      </w:r>
      <w:r>
        <w:rPr>
          <w:b/>
          <w:sz w:val="22"/>
          <w:szCs w:val="22"/>
        </w:rPr>
        <w:t>Sunset</w:t>
      </w:r>
    </w:p>
    <w:p w14:paraId="04E80ABA" w14:textId="1D5867A8" w:rsidR="0091157A" w:rsidRPr="0091157A" w:rsidRDefault="0091157A" w:rsidP="003A159E">
      <w:pPr>
        <w:pStyle w:val="CommentText"/>
        <w:spacing w:before="120" w:after="240"/>
        <w:rPr>
          <w:sz w:val="22"/>
          <w:szCs w:val="22"/>
        </w:rPr>
      </w:pPr>
      <w:r w:rsidRPr="0091157A">
        <w:rPr>
          <w:sz w:val="22"/>
          <w:szCs w:val="22"/>
        </w:rPr>
        <w:t>This section provides for the automatic repeal of the whole of this instrument at the end of 30 June 202</w:t>
      </w:r>
      <w:r>
        <w:rPr>
          <w:sz w:val="22"/>
          <w:szCs w:val="22"/>
        </w:rPr>
        <w:t>7</w:t>
      </w:r>
      <w:r w:rsidRPr="0091157A">
        <w:rPr>
          <w:sz w:val="22"/>
          <w:szCs w:val="22"/>
        </w:rPr>
        <w:t>.</w:t>
      </w:r>
    </w:p>
    <w:p w14:paraId="02D180C5" w14:textId="587173D6" w:rsidR="0091157A" w:rsidRPr="0060515D" w:rsidRDefault="0091157A" w:rsidP="0091157A">
      <w:pPr>
        <w:pStyle w:val="CommentText"/>
        <w:spacing w:before="120" w:after="240"/>
        <w:rPr>
          <w:b/>
          <w:sz w:val="22"/>
          <w:szCs w:val="22"/>
        </w:rPr>
      </w:pPr>
      <w:r w:rsidRPr="0060515D">
        <w:rPr>
          <w:b/>
          <w:sz w:val="22"/>
          <w:szCs w:val="22"/>
        </w:rPr>
        <w:t xml:space="preserve">Section </w:t>
      </w:r>
      <w:r>
        <w:rPr>
          <w:b/>
          <w:sz w:val="22"/>
          <w:szCs w:val="22"/>
        </w:rPr>
        <w:t>10</w:t>
      </w:r>
      <w:r w:rsidRPr="0060515D">
        <w:rPr>
          <w:b/>
          <w:sz w:val="22"/>
          <w:szCs w:val="22"/>
        </w:rPr>
        <w:t xml:space="preserve"> – </w:t>
      </w:r>
      <w:r>
        <w:rPr>
          <w:b/>
          <w:sz w:val="22"/>
          <w:szCs w:val="22"/>
        </w:rPr>
        <w:t>Repeals</w:t>
      </w:r>
    </w:p>
    <w:p w14:paraId="2165503F" w14:textId="45E989E0" w:rsidR="003A159E" w:rsidRDefault="0091157A" w:rsidP="009B30AB">
      <w:pPr>
        <w:spacing w:before="120" w:after="240" w:line="240" w:lineRule="auto"/>
        <w:rPr>
          <w:szCs w:val="22"/>
        </w:rPr>
      </w:pPr>
      <w:r w:rsidRPr="0091157A">
        <w:rPr>
          <w:szCs w:val="22"/>
        </w:rPr>
        <w:t>This section provides that instruments that are specified in Schedule 1 are repealed as set out in the applicable items in that Schedule.</w:t>
      </w:r>
    </w:p>
    <w:bookmarkEnd w:id="1"/>
    <w:p w14:paraId="7B355E2A" w14:textId="77777777" w:rsidR="00B37D97" w:rsidRDefault="00B37D97" w:rsidP="00B37D97">
      <w:pPr>
        <w:keepNext/>
        <w:tabs>
          <w:tab w:val="left" w:pos="3402"/>
        </w:tabs>
        <w:spacing w:before="120" w:after="240" w:line="240" w:lineRule="auto"/>
        <w:ind w:right="397"/>
        <w:rPr>
          <w:szCs w:val="22"/>
          <w:highlight w:val="yellow"/>
        </w:rPr>
      </w:pPr>
    </w:p>
    <w:p w14:paraId="5221AE7A" w14:textId="77777777" w:rsidR="00B37D97" w:rsidRDefault="00B37D97" w:rsidP="00B37D97">
      <w:pPr>
        <w:keepNext/>
        <w:tabs>
          <w:tab w:val="left" w:pos="3402"/>
        </w:tabs>
        <w:spacing w:before="120" w:after="240" w:line="240" w:lineRule="auto"/>
        <w:ind w:right="397"/>
        <w:rPr>
          <w:szCs w:val="22"/>
          <w:highlight w:val="yellow"/>
        </w:rPr>
      </w:pPr>
    </w:p>
    <w:p w14:paraId="417534FC" w14:textId="641237E1" w:rsidR="00A704C0" w:rsidRDefault="00B27AC1" w:rsidP="00B37D97">
      <w:pPr>
        <w:spacing w:before="120" w:after="240" w:line="240" w:lineRule="auto"/>
        <w:rPr>
          <w:rFonts w:eastAsia="Times New Roman" w:cs="Times New Roman"/>
          <w:highlight w:val="yellow"/>
          <w:lang w:eastAsia="en-AU"/>
        </w:rPr>
      </w:pPr>
      <w:bookmarkStart w:id="2" w:name="_Hlk74047284"/>
      <w:r>
        <w:t>Andrew Barr</w:t>
      </w:r>
    </w:p>
    <w:bookmarkEnd w:id="2"/>
    <w:p w14:paraId="41B89F90" w14:textId="5217C6CF" w:rsidR="00D96A14" w:rsidRPr="00B27AC1" w:rsidRDefault="00B27AC1" w:rsidP="00D96A14">
      <w:pPr>
        <w:pStyle w:val="notedraft"/>
        <w:rPr>
          <w:i w:val="0"/>
          <w:iCs/>
          <w:sz w:val="22"/>
          <w:szCs w:val="22"/>
        </w:rPr>
      </w:pPr>
      <w:r w:rsidRPr="00B27AC1">
        <w:rPr>
          <w:i w:val="0"/>
          <w:iCs/>
          <w:sz w:val="22"/>
          <w:szCs w:val="22"/>
        </w:rPr>
        <w:t>Chief Minister</w:t>
      </w:r>
      <w:r w:rsidR="0091157A">
        <w:rPr>
          <w:i w:val="0"/>
          <w:iCs/>
          <w:sz w:val="22"/>
          <w:szCs w:val="22"/>
        </w:rPr>
        <w:t xml:space="preserve"> of the Australian Capital Territory</w:t>
      </w:r>
    </w:p>
    <w:sectPr w:rsidR="00D96A14" w:rsidRPr="00B27AC1" w:rsidSect="00B37D97">
      <w:footerReference w:type="default" r:id="rId9"/>
      <w:pgSz w:w="11907" w:h="16839" w:code="9"/>
      <w:pgMar w:top="164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2521" w14:textId="77777777" w:rsidR="00BB3814" w:rsidRDefault="00BB3814" w:rsidP="00715914">
      <w:pPr>
        <w:spacing w:line="240" w:lineRule="auto"/>
      </w:pPr>
      <w:r>
        <w:separator/>
      </w:r>
    </w:p>
  </w:endnote>
  <w:endnote w:type="continuationSeparator" w:id="0">
    <w:p w14:paraId="7315C84D" w14:textId="77777777" w:rsidR="00BB3814" w:rsidRDefault="00BB381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34923"/>
      <w:docPartObj>
        <w:docPartGallery w:val="Page Numbers (Bottom of Page)"/>
        <w:docPartUnique/>
      </w:docPartObj>
    </w:sdtPr>
    <w:sdtEndPr>
      <w:rPr>
        <w:noProof/>
        <w:sz w:val="18"/>
      </w:rPr>
    </w:sdtEndPr>
    <w:sdtContent>
      <w:p w14:paraId="7383AEF2" w14:textId="1333FA82" w:rsidR="00FA0F6F" w:rsidRPr="00FA0F6F" w:rsidRDefault="00FA0F6F">
        <w:pPr>
          <w:pStyle w:val="Footer"/>
          <w:jc w:val="right"/>
          <w:rPr>
            <w:sz w:val="18"/>
          </w:rPr>
        </w:pPr>
        <w:r w:rsidRPr="00FA0F6F">
          <w:rPr>
            <w:sz w:val="18"/>
          </w:rPr>
          <w:fldChar w:fldCharType="begin"/>
        </w:r>
        <w:r w:rsidRPr="00FA0F6F">
          <w:rPr>
            <w:sz w:val="18"/>
          </w:rPr>
          <w:instrText xml:space="preserve"> PAGE   \* MERGEFORMAT </w:instrText>
        </w:r>
        <w:r w:rsidRPr="00FA0F6F">
          <w:rPr>
            <w:sz w:val="18"/>
          </w:rPr>
          <w:fldChar w:fldCharType="separate"/>
        </w:r>
        <w:r w:rsidR="00390083">
          <w:rPr>
            <w:noProof/>
            <w:sz w:val="18"/>
          </w:rPr>
          <w:t>3</w:t>
        </w:r>
        <w:r w:rsidRPr="00FA0F6F">
          <w:rPr>
            <w:noProof/>
            <w:sz w:val="18"/>
          </w:rPr>
          <w:fldChar w:fldCharType="end"/>
        </w:r>
      </w:p>
    </w:sdtContent>
  </w:sdt>
  <w:p w14:paraId="3A1CCC9A" w14:textId="77777777" w:rsidR="00B37D97" w:rsidRDefault="00B3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DE3E" w14:textId="77777777" w:rsidR="00BB3814" w:rsidRDefault="00BB3814" w:rsidP="00715914">
      <w:pPr>
        <w:spacing w:line="240" w:lineRule="auto"/>
      </w:pPr>
      <w:r>
        <w:separator/>
      </w:r>
    </w:p>
  </w:footnote>
  <w:footnote w:type="continuationSeparator" w:id="0">
    <w:p w14:paraId="1A444388" w14:textId="77777777" w:rsidR="00BB3814" w:rsidRDefault="00BB3814" w:rsidP="007159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F01622"/>
    <w:multiLevelType w:val="hybridMultilevel"/>
    <w:tmpl w:val="6D1080DE"/>
    <w:lvl w:ilvl="0" w:tplc="370C1106">
      <w:start w:val="28"/>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953E36"/>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6C7399"/>
    <w:multiLevelType w:val="hybridMultilevel"/>
    <w:tmpl w:val="074AF530"/>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6D5275F"/>
    <w:multiLevelType w:val="hybridMultilevel"/>
    <w:tmpl w:val="1D968248"/>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165516"/>
    <w:multiLevelType w:val="hybridMultilevel"/>
    <w:tmpl w:val="9D3ED694"/>
    <w:lvl w:ilvl="0" w:tplc="82D8193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264A7A"/>
    <w:multiLevelType w:val="hybridMultilevel"/>
    <w:tmpl w:val="F36E4D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881C0F"/>
    <w:multiLevelType w:val="hybridMultilevel"/>
    <w:tmpl w:val="3ADEB662"/>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D551ED"/>
    <w:multiLevelType w:val="hybridMultilevel"/>
    <w:tmpl w:val="5B203954"/>
    <w:lvl w:ilvl="0" w:tplc="890C3A4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2" w15:restartNumberingAfterBreak="0">
    <w:nsid w:val="76823440"/>
    <w:multiLevelType w:val="hybridMultilevel"/>
    <w:tmpl w:val="703621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004ED"/>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4" w15:restartNumberingAfterBreak="0">
    <w:nsid w:val="7B511B08"/>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5" w15:restartNumberingAfterBreak="0">
    <w:nsid w:val="7D75548A"/>
    <w:multiLevelType w:val="hybridMultilevel"/>
    <w:tmpl w:val="31B2D038"/>
    <w:lvl w:ilvl="0" w:tplc="33E0935C">
      <w:start w:val="1"/>
      <w:numFmt w:val="lowerLetter"/>
      <w:lvlText w:val="%1."/>
      <w:lvlJc w:val="left"/>
      <w:pPr>
        <w:ind w:left="108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4012341">
    <w:abstractNumId w:val="9"/>
  </w:num>
  <w:num w:numId="2" w16cid:durableId="1252740849">
    <w:abstractNumId w:val="7"/>
  </w:num>
  <w:num w:numId="3" w16cid:durableId="335613131">
    <w:abstractNumId w:val="6"/>
  </w:num>
  <w:num w:numId="4" w16cid:durableId="711998349">
    <w:abstractNumId w:val="5"/>
  </w:num>
  <w:num w:numId="5" w16cid:durableId="1607544904">
    <w:abstractNumId w:val="4"/>
  </w:num>
  <w:num w:numId="6" w16cid:durableId="1119493501">
    <w:abstractNumId w:val="8"/>
  </w:num>
  <w:num w:numId="7" w16cid:durableId="1025210479">
    <w:abstractNumId w:val="3"/>
  </w:num>
  <w:num w:numId="8" w16cid:durableId="1960142549">
    <w:abstractNumId w:val="2"/>
  </w:num>
  <w:num w:numId="9" w16cid:durableId="255292882">
    <w:abstractNumId w:val="1"/>
  </w:num>
  <w:num w:numId="10" w16cid:durableId="227884145">
    <w:abstractNumId w:val="0"/>
  </w:num>
  <w:num w:numId="11" w16cid:durableId="1996062425">
    <w:abstractNumId w:val="16"/>
  </w:num>
  <w:num w:numId="12" w16cid:durableId="781923471">
    <w:abstractNumId w:val="10"/>
  </w:num>
  <w:num w:numId="13" w16cid:durableId="402946353">
    <w:abstractNumId w:val="11"/>
  </w:num>
  <w:num w:numId="14" w16cid:durableId="364865115">
    <w:abstractNumId w:val="25"/>
  </w:num>
  <w:num w:numId="15" w16cid:durableId="1582442274">
    <w:abstractNumId w:val="21"/>
  </w:num>
  <w:num w:numId="16" w16cid:durableId="716324008">
    <w:abstractNumId w:val="13"/>
  </w:num>
  <w:num w:numId="17" w16cid:durableId="1088506853">
    <w:abstractNumId w:val="24"/>
  </w:num>
  <w:num w:numId="18" w16cid:durableId="913204269">
    <w:abstractNumId w:val="23"/>
  </w:num>
  <w:num w:numId="19" w16cid:durableId="1612277981">
    <w:abstractNumId w:val="18"/>
  </w:num>
  <w:num w:numId="20" w16cid:durableId="909271781">
    <w:abstractNumId w:val="15"/>
  </w:num>
  <w:num w:numId="21" w16cid:durableId="1467235167">
    <w:abstractNumId w:val="17"/>
  </w:num>
  <w:num w:numId="22" w16cid:durableId="975570961">
    <w:abstractNumId w:val="12"/>
  </w:num>
  <w:num w:numId="23" w16cid:durableId="1938633054">
    <w:abstractNumId w:val="14"/>
  </w:num>
  <w:num w:numId="24" w16cid:durableId="1751196063">
    <w:abstractNumId w:val="22"/>
  </w:num>
  <w:num w:numId="25" w16cid:durableId="411663462">
    <w:abstractNumId w:val="20"/>
  </w:num>
  <w:num w:numId="26" w16cid:durableId="603465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26"/>
    <w:rsid w:val="0000264A"/>
    <w:rsid w:val="00003605"/>
    <w:rsid w:val="00004174"/>
    <w:rsid w:val="00004470"/>
    <w:rsid w:val="00010155"/>
    <w:rsid w:val="000136AF"/>
    <w:rsid w:val="00021382"/>
    <w:rsid w:val="000218CD"/>
    <w:rsid w:val="000258B1"/>
    <w:rsid w:val="00040A89"/>
    <w:rsid w:val="000437C1"/>
    <w:rsid w:val="0004455A"/>
    <w:rsid w:val="0005365D"/>
    <w:rsid w:val="00060641"/>
    <w:rsid w:val="000614BF"/>
    <w:rsid w:val="000632B4"/>
    <w:rsid w:val="00066983"/>
    <w:rsid w:val="0006709C"/>
    <w:rsid w:val="00074376"/>
    <w:rsid w:val="00082472"/>
    <w:rsid w:val="00092F0C"/>
    <w:rsid w:val="000932B7"/>
    <w:rsid w:val="00093940"/>
    <w:rsid w:val="000978F5"/>
    <w:rsid w:val="000A03EA"/>
    <w:rsid w:val="000A1441"/>
    <w:rsid w:val="000B15CD"/>
    <w:rsid w:val="000B35EB"/>
    <w:rsid w:val="000B4E22"/>
    <w:rsid w:val="000C2ED2"/>
    <w:rsid w:val="000C4BF8"/>
    <w:rsid w:val="000D05EF"/>
    <w:rsid w:val="000E2261"/>
    <w:rsid w:val="000E78B7"/>
    <w:rsid w:val="000F0769"/>
    <w:rsid w:val="000F21C1"/>
    <w:rsid w:val="0010253B"/>
    <w:rsid w:val="0010745C"/>
    <w:rsid w:val="00120BFB"/>
    <w:rsid w:val="00132CEB"/>
    <w:rsid w:val="001339B0"/>
    <w:rsid w:val="001371B2"/>
    <w:rsid w:val="00142B62"/>
    <w:rsid w:val="001441B7"/>
    <w:rsid w:val="001460D2"/>
    <w:rsid w:val="001516CB"/>
    <w:rsid w:val="00152336"/>
    <w:rsid w:val="0015343A"/>
    <w:rsid w:val="001578D7"/>
    <w:rsid w:val="00157B8B"/>
    <w:rsid w:val="00166C2F"/>
    <w:rsid w:val="001748F6"/>
    <w:rsid w:val="00174FA1"/>
    <w:rsid w:val="001809D7"/>
    <w:rsid w:val="0018680E"/>
    <w:rsid w:val="001939E1"/>
    <w:rsid w:val="00194C3E"/>
    <w:rsid w:val="00195382"/>
    <w:rsid w:val="001A3FB7"/>
    <w:rsid w:val="001B2CB6"/>
    <w:rsid w:val="001C0348"/>
    <w:rsid w:val="001C61C5"/>
    <w:rsid w:val="001C69C4"/>
    <w:rsid w:val="001C7387"/>
    <w:rsid w:val="001D1EC6"/>
    <w:rsid w:val="001D37EF"/>
    <w:rsid w:val="001D46F1"/>
    <w:rsid w:val="001D7F10"/>
    <w:rsid w:val="001E3590"/>
    <w:rsid w:val="001E7407"/>
    <w:rsid w:val="001E75D1"/>
    <w:rsid w:val="001F05F3"/>
    <w:rsid w:val="001F5D5E"/>
    <w:rsid w:val="001F6219"/>
    <w:rsid w:val="001F66C6"/>
    <w:rsid w:val="001F6CD4"/>
    <w:rsid w:val="00206C4D"/>
    <w:rsid w:val="00215AF1"/>
    <w:rsid w:val="00215D8E"/>
    <w:rsid w:val="002263C1"/>
    <w:rsid w:val="002321E8"/>
    <w:rsid w:val="00232984"/>
    <w:rsid w:val="00234369"/>
    <w:rsid w:val="00235DF3"/>
    <w:rsid w:val="0024010F"/>
    <w:rsid w:val="00240749"/>
    <w:rsid w:val="00243018"/>
    <w:rsid w:val="002449EE"/>
    <w:rsid w:val="002564A4"/>
    <w:rsid w:val="00260F21"/>
    <w:rsid w:val="002632E7"/>
    <w:rsid w:val="0026736C"/>
    <w:rsid w:val="00281308"/>
    <w:rsid w:val="002827C7"/>
    <w:rsid w:val="00284719"/>
    <w:rsid w:val="0029008B"/>
    <w:rsid w:val="00291EAC"/>
    <w:rsid w:val="00297ECB"/>
    <w:rsid w:val="002A7BCF"/>
    <w:rsid w:val="002C3FD1"/>
    <w:rsid w:val="002C50E4"/>
    <w:rsid w:val="002D043A"/>
    <w:rsid w:val="002D266B"/>
    <w:rsid w:val="002D32DF"/>
    <w:rsid w:val="002D4222"/>
    <w:rsid w:val="002D6224"/>
    <w:rsid w:val="002E6AF2"/>
    <w:rsid w:val="00302123"/>
    <w:rsid w:val="00304F8B"/>
    <w:rsid w:val="003051D4"/>
    <w:rsid w:val="00311926"/>
    <w:rsid w:val="00314F0F"/>
    <w:rsid w:val="00322672"/>
    <w:rsid w:val="00332E2E"/>
    <w:rsid w:val="00335BC6"/>
    <w:rsid w:val="0034115C"/>
    <w:rsid w:val="003415D3"/>
    <w:rsid w:val="00344338"/>
    <w:rsid w:val="00344701"/>
    <w:rsid w:val="00350A68"/>
    <w:rsid w:val="00352B0F"/>
    <w:rsid w:val="00360459"/>
    <w:rsid w:val="00361BB3"/>
    <w:rsid w:val="0036251F"/>
    <w:rsid w:val="0036401D"/>
    <w:rsid w:val="003767E2"/>
    <w:rsid w:val="0038049F"/>
    <w:rsid w:val="003817A8"/>
    <w:rsid w:val="00390083"/>
    <w:rsid w:val="003936F5"/>
    <w:rsid w:val="003A159E"/>
    <w:rsid w:val="003A6C5E"/>
    <w:rsid w:val="003B0A7B"/>
    <w:rsid w:val="003C5EA4"/>
    <w:rsid w:val="003C6231"/>
    <w:rsid w:val="003D0BFE"/>
    <w:rsid w:val="003D46F6"/>
    <w:rsid w:val="003D5700"/>
    <w:rsid w:val="003E341B"/>
    <w:rsid w:val="003E370B"/>
    <w:rsid w:val="003E3B98"/>
    <w:rsid w:val="003E4D00"/>
    <w:rsid w:val="003F2656"/>
    <w:rsid w:val="004116CD"/>
    <w:rsid w:val="00415089"/>
    <w:rsid w:val="00417EB9"/>
    <w:rsid w:val="00424CA9"/>
    <w:rsid w:val="004276DF"/>
    <w:rsid w:val="00431E9B"/>
    <w:rsid w:val="004379E3"/>
    <w:rsid w:val="0044015E"/>
    <w:rsid w:val="00442514"/>
    <w:rsid w:val="0044291A"/>
    <w:rsid w:val="00446434"/>
    <w:rsid w:val="00461A3B"/>
    <w:rsid w:val="00465DF4"/>
    <w:rsid w:val="00467661"/>
    <w:rsid w:val="0047171B"/>
    <w:rsid w:val="00472DBE"/>
    <w:rsid w:val="00474A19"/>
    <w:rsid w:val="00477830"/>
    <w:rsid w:val="00487764"/>
    <w:rsid w:val="004918FF"/>
    <w:rsid w:val="0049286B"/>
    <w:rsid w:val="00492CCB"/>
    <w:rsid w:val="00496177"/>
    <w:rsid w:val="00496F97"/>
    <w:rsid w:val="004A476E"/>
    <w:rsid w:val="004B3343"/>
    <w:rsid w:val="004B48B6"/>
    <w:rsid w:val="004B6C48"/>
    <w:rsid w:val="004C4E59"/>
    <w:rsid w:val="004C6809"/>
    <w:rsid w:val="004E063A"/>
    <w:rsid w:val="004E1307"/>
    <w:rsid w:val="004E7BEC"/>
    <w:rsid w:val="004F4336"/>
    <w:rsid w:val="00505790"/>
    <w:rsid w:val="005057F5"/>
    <w:rsid w:val="00505D3D"/>
    <w:rsid w:val="00506AF6"/>
    <w:rsid w:val="00512A20"/>
    <w:rsid w:val="0051446E"/>
    <w:rsid w:val="00516B8D"/>
    <w:rsid w:val="005303C8"/>
    <w:rsid w:val="00537FBC"/>
    <w:rsid w:val="005408EC"/>
    <w:rsid w:val="0054217E"/>
    <w:rsid w:val="005441DF"/>
    <w:rsid w:val="00553CDC"/>
    <w:rsid w:val="00554826"/>
    <w:rsid w:val="005620CD"/>
    <w:rsid w:val="00562877"/>
    <w:rsid w:val="00564A0A"/>
    <w:rsid w:val="00580F16"/>
    <w:rsid w:val="00581AE4"/>
    <w:rsid w:val="00581B41"/>
    <w:rsid w:val="00581CAA"/>
    <w:rsid w:val="00583A1E"/>
    <w:rsid w:val="00584811"/>
    <w:rsid w:val="00585784"/>
    <w:rsid w:val="00593AA6"/>
    <w:rsid w:val="00594161"/>
    <w:rsid w:val="00594749"/>
    <w:rsid w:val="00597EE8"/>
    <w:rsid w:val="005A65D5"/>
    <w:rsid w:val="005A693B"/>
    <w:rsid w:val="005B4067"/>
    <w:rsid w:val="005B7ADA"/>
    <w:rsid w:val="005C00FE"/>
    <w:rsid w:val="005C3F41"/>
    <w:rsid w:val="005D1D92"/>
    <w:rsid w:val="005D2D09"/>
    <w:rsid w:val="005D409A"/>
    <w:rsid w:val="005D53EC"/>
    <w:rsid w:val="005F05A9"/>
    <w:rsid w:val="005F5553"/>
    <w:rsid w:val="00600219"/>
    <w:rsid w:val="00602EAF"/>
    <w:rsid w:val="00604F2A"/>
    <w:rsid w:val="00606057"/>
    <w:rsid w:val="006160BA"/>
    <w:rsid w:val="00620076"/>
    <w:rsid w:val="00627E0A"/>
    <w:rsid w:val="006502AC"/>
    <w:rsid w:val="00652129"/>
    <w:rsid w:val="00653515"/>
    <w:rsid w:val="0065488B"/>
    <w:rsid w:val="0065782D"/>
    <w:rsid w:val="0066750E"/>
    <w:rsid w:val="00670EA1"/>
    <w:rsid w:val="00677AC6"/>
    <w:rsid w:val="00677CC2"/>
    <w:rsid w:val="0068744B"/>
    <w:rsid w:val="00687604"/>
    <w:rsid w:val="006905DE"/>
    <w:rsid w:val="0069207B"/>
    <w:rsid w:val="006922B9"/>
    <w:rsid w:val="00694BE4"/>
    <w:rsid w:val="006A134E"/>
    <w:rsid w:val="006A154F"/>
    <w:rsid w:val="006A437B"/>
    <w:rsid w:val="006A7EE6"/>
    <w:rsid w:val="006B5789"/>
    <w:rsid w:val="006C30C5"/>
    <w:rsid w:val="006C7F8C"/>
    <w:rsid w:val="006E1335"/>
    <w:rsid w:val="006E1FF3"/>
    <w:rsid w:val="006E2E1C"/>
    <w:rsid w:val="006E6246"/>
    <w:rsid w:val="006E69C2"/>
    <w:rsid w:val="006E6DCC"/>
    <w:rsid w:val="006F318F"/>
    <w:rsid w:val="006F607E"/>
    <w:rsid w:val="0070017E"/>
    <w:rsid w:val="00700B2C"/>
    <w:rsid w:val="007045CF"/>
    <w:rsid w:val="007050A2"/>
    <w:rsid w:val="00706BAD"/>
    <w:rsid w:val="00713084"/>
    <w:rsid w:val="00714F20"/>
    <w:rsid w:val="0071590F"/>
    <w:rsid w:val="00715914"/>
    <w:rsid w:val="0072147A"/>
    <w:rsid w:val="00723791"/>
    <w:rsid w:val="00730856"/>
    <w:rsid w:val="007317CC"/>
    <w:rsid w:val="00731E00"/>
    <w:rsid w:val="00737013"/>
    <w:rsid w:val="0074186A"/>
    <w:rsid w:val="007440B7"/>
    <w:rsid w:val="0075001F"/>
    <w:rsid w:val="007500C8"/>
    <w:rsid w:val="00756272"/>
    <w:rsid w:val="00762D38"/>
    <w:rsid w:val="00764731"/>
    <w:rsid w:val="007715C9"/>
    <w:rsid w:val="00771613"/>
    <w:rsid w:val="00774EDD"/>
    <w:rsid w:val="007757EC"/>
    <w:rsid w:val="0077681A"/>
    <w:rsid w:val="00780BDF"/>
    <w:rsid w:val="00783E89"/>
    <w:rsid w:val="00786AAA"/>
    <w:rsid w:val="00793915"/>
    <w:rsid w:val="007961EC"/>
    <w:rsid w:val="007B67F6"/>
    <w:rsid w:val="007C2253"/>
    <w:rsid w:val="007D7911"/>
    <w:rsid w:val="007E163D"/>
    <w:rsid w:val="007E667A"/>
    <w:rsid w:val="007F28C9"/>
    <w:rsid w:val="007F51B2"/>
    <w:rsid w:val="008040DD"/>
    <w:rsid w:val="008117E9"/>
    <w:rsid w:val="00824498"/>
    <w:rsid w:val="00826BD1"/>
    <w:rsid w:val="00826BD7"/>
    <w:rsid w:val="00854D0B"/>
    <w:rsid w:val="00856A31"/>
    <w:rsid w:val="00860B4E"/>
    <w:rsid w:val="00863A84"/>
    <w:rsid w:val="00867B37"/>
    <w:rsid w:val="00874492"/>
    <w:rsid w:val="008754D0"/>
    <w:rsid w:val="00875D13"/>
    <w:rsid w:val="008855C9"/>
    <w:rsid w:val="00886456"/>
    <w:rsid w:val="00892F71"/>
    <w:rsid w:val="00894325"/>
    <w:rsid w:val="0089456B"/>
    <w:rsid w:val="00896176"/>
    <w:rsid w:val="008A1BED"/>
    <w:rsid w:val="008A46E1"/>
    <w:rsid w:val="008A4F43"/>
    <w:rsid w:val="008A5469"/>
    <w:rsid w:val="008A7B60"/>
    <w:rsid w:val="008A7DCB"/>
    <w:rsid w:val="008B2706"/>
    <w:rsid w:val="008C2EAC"/>
    <w:rsid w:val="008D0EE0"/>
    <w:rsid w:val="008E0027"/>
    <w:rsid w:val="008E1878"/>
    <w:rsid w:val="008E1AF2"/>
    <w:rsid w:val="008E59A9"/>
    <w:rsid w:val="008E6067"/>
    <w:rsid w:val="008F54E7"/>
    <w:rsid w:val="008F6EBF"/>
    <w:rsid w:val="00903422"/>
    <w:rsid w:val="00910B0D"/>
    <w:rsid w:val="0091157A"/>
    <w:rsid w:val="00916A21"/>
    <w:rsid w:val="00921A28"/>
    <w:rsid w:val="009254C3"/>
    <w:rsid w:val="00930EC6"/>
    <w:rsid w:val="00932377"/>
    <w:rsid w:val="0093245E"/>
    <w:rsid w:val="00937E09"/>
    <w:rsid w:val="00941236"/>
    <w:rsid w:val="00943FD5"/>
    <w:rsid w:val="00946987"/>
    <w:rsid w:val="00947D5A"/>
    <w:rsid w:val="00950D6B"/>
    <w:rsid w:val="009532A5"/>
    <w:rsid w:val="009545BD"/>
    <w:rsid w:val="00954D5A"/>
    <w:rsid w:val="00964CF0"/>
    <w:rsid w:val="0096621F"/>
    <w:rsid w:val="00966B3A"/>
    <w:rsid w:val="009737D8"/>
    <w:rsid w:val="00977806"/>
    <w:rsid w:val="00982242"/>
    <w:rsid w:val="009868E9"/>
    <w:rsid w:val="009900A3"/>
    <w:rsid w:val="009902F2"/>
    <w:rsid w:val="00992CA0"/>
    <w:rsid w:val="009953A8"/>
    <w:rsid w:val="009B30AB"/>
    <w:rsid w:val="009C0F04"/>
    <w:rsid w:val="009C3413"/>
    <w:rsid w:val="009D21F5"/>
    <w:rsid w:val="009D31D0"/>
    <w:rsid w:val="009F45C0"/>
    <w:rsid w:val="00A0441E"/>
    <w:rsid w:val="00A0754E"/>
    <w:rsid w:val="00A07EF1"/>
    <w:rsid w:val="00A12128"/>
    <w:rsid w:val="00A1358E"/>
    <w:rsid w:val="00A14E36"/>
    <w:rsid w:val="00A22C98"/>
    <w:rsid w:val="00A231E2"/>
    <w:rsid w:val="00A369E3"/>
    <w:rsid w:val="00A57600"/>
    <w:rsid w:val="00A64912"/>
    <w:rsid w:val="00A704C0"/>
    <w:rsid w:val="00A70A74"/>
    <w:rsid w:val="00A720AB"/>
    <w:rsid w:val="00A72673"/>
    <w:rsid w:val="00A75FE9"/>
    <w:rsid w:val="00A839BC"/>
    <w:rsid w:val="00AA5660"/>
    <w:rsid w:val="00AC021E"/>
    <w:rsid w:val="00AD202E"/>
    <w:rsid w:val="00AD53CC"/>
    <w:rsid w:val="00AD5641"/>
    <w:rsid w:val="00AD713B"/>
    <w:rsid w:val="00AE1352"/>
    <w:rsid w:val="00AF06CF"/>
    <w:rsid w:val="00AF50A4"/>
    <w:rsid w:val="00B05172"/>
    <w:rsid w:val="00B07CDB"/>
    <w:rsid w:val="00B11877"/>
    <w:rsid w:val="00B11F29"/>
    <w:rsid w:val="00B16A31"/>
    <w:rsid w:val="00B17DFD"/>
    <w:rsid w:val="00B25306"/>
    <w:rsid w:val="00B27831"/>
    <w:rsid w:val="00B27AC1"/>
    <w:rsid w:val="00B308FE"/>
    <w:rsid w:val="00B33709"/>
    <w:rsid w:val="00B33B3C"/>
    <w:rsid w:val="00B33B46"/>
    <w:rsid w:val="00B34FAA"/>
    <w:rsid w:val="00B36392"/>
    <w:rsid w:val="00B37D97"/>
    <w:rsid w:val="00B418CB"/>
    <w:rsid w:val="00B45805"/>
    <w:rsid w:val="00B47444"/>
    <w:rsid w:val="00B50ADC"/>
    <w:rsid w:val="00B555DF"/>
    <w:rsid w:val="00B556BF"/>
    <w:rsid w:val="00B566B1"/>
    <w:rsid w:val="00B63834"/>
    <w:rsid w:val="00B80199"/>
    <w:rsid w:val="00B83204"/>
    <w:rsid w:val="00B856E7"/>
    <w:rsid w:val="00B8654F"/>
    <w:rsid w:val="00B918F7"/>
    <w:rsid w:val="00B97B2C"/>
    <w:rsid w:val="00BA220B"/>
    <w:rsid w:val="00BA3A57"/>
    <w:rsid w:val="00BB0296"/>
    <w:rsid w:val="00BB0CF9"/>
    <w:rsid w:val="00BB1533"/>
    <w:rsid w:val="00BB3814"/>
    <w:rsid w:val="00BB4E1A"/>
    <w:rsid w:val="00BC015E"/>
    <w:rsid w:val="00BC0E2F"/>
    <w:rsid w:val="00BC76AC"/>
    <w:rsid w:val="00BD0ECB"/>
    <w:rsid w:val="00BE2155"/>
    <w:rsid w:val="00BE25D5"/>
    <w:rsid w:val="00BE719A"/>
    <w:rsid w:val="00BE720A"/>
    <w:rsid w:val="00BF0D73"/>
    <w:rsid w:val="00BF2465"/>
    <w:rsid w:val="00BF2D73"/>
    <w:rsid w:val="00C03975"/>
    <w:rsid w:val="00C06FCE"/>
    <w:rsid w:val="00C16619"/>
    <w:rsid w:val="00C25E7F"/>
    <w:rsid w:val="00C2746F"/>
    <w:rsid w:val="00C27FEF"/>
    <w:rsid w:val="00C323D6"/>
    <w:rsid w:val="00C324A0"/>
    <w:rsid w:val="00C42BF8"/>
    <w:rsid w:val="00C50043"/>
    <w:rsid w:val="00C62885"/>
    <w:rsid w:val="00C7573B"/>
    <w:rsid w:val="00C85DBD"/>
    <w:rsid w:val="00C94C6F"/>
    <w:rsid w:val="00C94FFF"/>
    <w:rsid w:val="00C97A54"/>
    <w:rsid w:val="00CA5B23"/>
    <w:rsid w:val="00CA7ACD"/>
    <w:rsid w:val="00CB56C4"/>
    <w:rsid w:val="00CB5947"/>
    <w:rsid w:val="00CB602E"/>
    <w:rsid w:val="00CB7E90"/>
    <w:rsid w:val="00CC631E"/>
    <w:rsid w:val="00CD313A"/>
    <w:rsid w:val="00CD4BE3"/>
    <w:rsid w:val="00CE0416"/>
    <w:rsid w:val="00CE051D"/>
    <w:rsid w:val="00CE1335"/>
    <w:rsid w:val="00CE493D"/>
    <w:rsid w:val="00CF07FA"/>
    <w:rsid w:val="00CF0BB2"/>
    <w:rsid w:val="00CF3EE8"/>
    <w:rsid w:val="00D13441"/>
    <w:rsid w:val="00D14D97"/>
    <w:rsid w:val="00D150E7"/>
    <w:rsid w:val="00D210A0"/>
    <w:rsid w:val="00D305E9"/>
    <w:rsid w:val="00D333F7"/>
    <w:rsid w:val="00D4294F"/>
    <w:rsid w:val="00D52DC2"/>
    <w:rsid w:val="00D53BCC"/>
    <w:rsid w:val="00D54C9E"/>
    <w:rsid w:val="00D60F57"/>
    <w:rsid w:val="00D6537E"/>
    <w:rsid w:val="00D66E95"/>
    <w:rsid w:val="00D70DFB"/>
    <w:rsid w:val="00D766DF"/>
    <w:rsid w:val="00D8206C"/>
    <w:rsid w:val="00D90EC2"/>
    <w:rsid w:val="00D91F10"/>
    <w:rsid w:val="00D93591"/>
    <w:rsid w:val="00D96A14"/>
    <w:rsid w:val="00DA186E"/>
    <w:rsid w:val="00DA4116"/>
    <w:rsid w:val="00DA5225"/>
    <w:rsid w:val="00DB251C"/>
    <w:rsid w:val="00DB4630"/>
    <w:rsid w:val="00DB514F"/>
    <w:rsid w:val="00DB70DF"/>
    <w:rsid w:val="00DC4F88"/>
    <w:rsid w:val="00DE107C"/>
    <w:rsid w:val="00DE228B"/>
    <w:rsid w:val="00DE5871"/>
    <w:rsid w:val="00DE5F2D"/>
    <w:rsid w:val="00DF2388"/>
    <w:rsid w:val="00DF51E6"/>
    <w:rsid w:val="00E01957"/>
    <w:rsid w:val="00E04552"/>
    <w:rsid w:val="00E05704"/>
    <w:rsid w:val="00E06F62"/>
    <w:rsid w:val="00E25608"/>
    <w:rsid w:val="00E27987"/>
    <w:rsid w:val="00E338EF"/>
    <w:rsid w:val="00E36448"/>
    <w:rsid w:val="00E53C6C"/>
    <w:rsid w:val="00E544BB"/>
    <w:rsid w:val="00E70F0B"/>
    <w:rsid w:val="00E74DC7"/>
    <w:rsid w:val="00E77F47"/>
    <w:rsid w:val="00E8075A"/>
    <w:rsid w:val="00E80B6C"/>
    <w:rsid w:val="00E84F7A"/>
    <w:rsid w:val="00E940D8"/>
    <w:rsid w:val="00E94D5E"/>
    <w:rsid w:val="00EA3847"/>
    <w:rsid w:val="00EA7100"/>
    <w:rsid w:val="00EA7F9F"/>
    <w:rsid w:val="00EB1274"/>
    <w:rsid w:val="00EB14EC"/>
    <w:rsid w:val="00EB384C"/>
    <w:rsid w:val="00EB5500"/>
    <w:rsid w:val="00EB5613"/>
    <w:rsid w:val="00ED2BB6"/>
    <w:rsid w:val="00ED34E1"/>
    <w:rsid w:val="00ED3B8D"/>
    <w:rsid w:val="00EE4596"/>
    <w:rsid w:val="00EE5E36"/>
    <w:rsid w:val="00EF2E3A"/>
    <w:rsid w:val="00EF549C"/>
    <w:rsid w:val="00EF7BD5"/>
    <w:rsid w:val="00F02C7C"/>
    <w:rsid w:val="00F072A7"/>
    <w:rsid w:val="00F078DC"/>
    <w:rsid w:val="00F2080C"/>
    <w:rsid w:val="00F210DB"/>
    <w:rsid w:val="00F21895"/>
    <w:rsid w:val="00F240A5"/>
    <w:rsid w:val="00F27C90"/>
    <w:rsid w:val="00F27CB5"/>
    <w:rsid w:val="00F32BA8"/>
    <w:rsid w:val="00F32CDB"/>
    <w:rsid w:val="00F32EE0"/>
    <w:rsid w:val="00F349F1"/>
    <w:rsid w:val="00F37DEE"/>
    <w:rsid w:val="00F425EE"/>
    <w:rsid w:val="00F42B55"/>
    <w:rsid w:val="00F4350D"/>
    <w:rsid w:val="00F479C4"/>
    <w:rsid w:val="00F52037"/>
    <w:rsid w:val="00F567F7"/>
    <w:rsid w:val="00F6696E"/>
    <w:rsid w:val="00F73791"/>
    <w:rsid w:val="00F73BD6"/>
    <w:rsid w:val="00F73C1C"/>
    <w:rsid w:val="00F75BF4"/>
    <w:rsid w:val="00F82C14"/>
    <w:rsid w:val="00F83989"/>
    <w:rsid w:val="00F84E74"/>
    <w:rsid w:val="00F85099"/>
    <w:rsid w:val="00F87A26"/>
    <w:rsid w:val="00F9379C"/>
    <w:rsid w:val="00F9632C"/>
    <w:rsid w:val="00FA0F6F"/>
    <w:rsid w:val="00FA1E52"/>
    <w:rsid w:val="00FA34A3"/>
    <w:rsid w:val="00FB096F"/>
    <w:rsid w:val="00FB0FC9"/>
    <w:rsid w:val="00FB5A08"/>
    <w:rsid w:val="00FC4F82"/>
    <w:rsid w:val="00FC6A80"/>
    <w:rsid w:val="00FE4369"/>
    <w:rsid w:val="00FE4688"/>
    <w:rsid w:val="00FE5182"/>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9008B"/>
    <w:rPr>
      <w:sz w:val="16"/>
      <w:szCs w:val="16"/>
    </w:rPr>
  </w:style>
  <w:style w:type="paragraph" w:styleId="CommentText">
    <w:name w:val="annotation text"/>
    <w:basedOn w:val="Normal"/>
    <w:link w:val="CommentTextChar"/>
    <w:uiPriority w:val="99"/>
    <w:unhideWhenUsed/>
    <w:rsid w:val="0029008B"/>
    <w:pPr>
      <w:spacing w:line="240" w:lineRule="auto"/>
    </w:pPr>
    <w:rPr>
      <w:sz w:val="20"/>
    </w:rPr>
  </w:style>
  <w:style w:type="character" w:customStyle="1" w:styleId="CommentTextChar">
    <w:name w:val="Comment Text Char"/>
    <w:basedOn w:val="DefaultParagraphFont"/>
    <w:link w:val="CommentText"/>
    <w:uiPriority w:val="99"/>
    <w:rsid w:val="0029008B"/>
  </w:style>
  <w:style w:type="paragraph" w:styleId="CommentSubject">
    <w:name w:val="annotation subject"/>
    <w:basedOn w:val="CommentText"/>
    <w:next w:val="CommentText"/>
    <w:link w:val="CommentSubjectChar"/>
    <w:uiPriority w:val="99"/>
    <w:semiHidden/>
    <w:unhideWhenUsed/>
    <w:rsid w:val="0029008B"/>
    <w:rPr>
      <w:b/>
      <w:bCs/>
    </w:rPr>
  </w:style>
  <w:style w:type="character" w:customStyle="1" w:styleId="CommentSubjectChar">
    <w:name w:val="Comment Subject Char"/>
    <w:basedOn w:val="CommentTextChar"/>
    <w:link w:val="CommentSubject"/>
    <w:uiPriority w:val="99"/>
    <w:semiHidden/>
    <w:rsid w:val="0029008B"/>
    <w:rPr>
      <w:b/>
      <w:bCs/>
    </w:rPr>
  </w:style>
  <w:style w:type="paragraph" w:styleId="ListParagraph">
    <w:name w:val="List Paragraph"/>
    <w:basedOn w:val="Normal"/>
    <w:uiPriority w:val="34"/>
    <w:qFormat/>
    <w:rsid w:val="00E53C6C"/>
    <w:pPr>
      <w:spacing w:after="176" w:line="240" w:lineRule="atLeast"/>
      <w:ind w:left="720"/>
      <w:contextualSpacing/>
    </w:pPr>
    <w:rPr>
      <w:rFonts w:ascii="Montserrat Light" w:eastAsia="Times New Roman" w:hAnsi="Montserrat Light" w:cs="Times New Roman"/>
      <w:color w:val="000000"/>
      <w:sz w:val="18"/>
      <w:lang w:eastAsia="en-AU"/>
    </w:rPr>
  </w:style>
  <w:style w:type="character" w:styleId="Hyperlink">
    <w:name w:val="Hyperlink"/>
    <w:basedOn w:val="DefaultParagraphFont"/>
    <w:uiPriority w:val="99"/>
    <w:unhideWhenUsed/>
    <w:rsid w:val="0065782D"/>
    <w:rPr>
      <w:color w:val="0000FF" w:themeColor="hyperlink"/>
      <w:u w:val="single"/>
    </w:rPr>
  </w:style>
  <w:style w:type="character" w:styleId="FollowedHyperlink">
    <w:name w:val="FollowedHyperlink"/>
    <w:basedOn w:val="DefaultParagraphFont"/>
    <w:uiPriority w:val="99"/>
    <w:semiHidden/>
    <w:unhideWhenUsed/>
    <w:rsid w:val="00A0754E"/>
    <w:rPr>
      <w:color w:val="800080" w:themeColor="followedHyperlink"/>
      <w:u w:val="single"/>
    </w:rPr>
  </w:style>
  <w:style w:type="paragraph" w:customStyle="1" w:styleId="amendheading1">
    <w:name w:val="amendheading1"/>
    <w:basedOn w:val="Normal"/>
    <w:rsid w:val="00AD202E"/>
    <w:pPr>
      <w:spacing w:before="100" w:beforeAutospacing="1" w:after="100" w:afterAutospacing="1" w:line="240" w:lineRule="auto"/>
    </w:pPr>
    <w:rPr>
      <w:rFonts w:eastAsia="Times New Roman" w:cs="Times New Roman"/>
      <w:sz w:val="24"/>
      <w:szCs w:val="24"/>
      <w:lang w:eastAsia="en-AU"/>
    </w:rPr>
  </w:style>
  <w:style w:type="paragraph" w:styleId="FootnoteText">
    <w:name w:val="footnote text"/>
    <w:basedOn w:val="Normal"/>
    <w:link w:val="FootnoteTextChar"/>
    <w:uiPriority w:val="99"/>
    <w:semiHidden/>
    <w:unhideWhenUsed/>
    <w:rsid w:val="000632B4"/>
    <w:pPr>
      <w:spacing w:line="240" w:lineRule="auto"/>
    </w:pPr>
    <w:rPr>
      <w:sz w:val="20"/>
    </w:rPr>
  </w:style>
  <w:style w:type="character" w:customStyle="1" w:styleId="FootnoteTextChar">
    <w:name w:val="Footnote Text Char"/>
    <w:basedOn w:val="DefaultParagraphFont"/>
    <w:link w:val="FootnoteText"/>
    <w:uiPriority w:val="99"/>
    <w:semiHidden/>
    <w:rsid w:val="000632B4"/>
  </w:style>
  <w:style w:type="character" w:styleId="FootnoteReference">
    <w:name w:val="footnote reference"/>
    <w:basedOn w:val="DefaultParagraphFont"/>
    <w:uiPriority w:val="99"/>
    <w:semiHidden/>
    <w:unhideWhenUsed/>
    <w:rsid w:val="000632B4"/>
    <w:rPr>
      <w:vertAlign w:val="superscript"/>
    </w:rPr>
  </w:style>
  <w:style w:type="paragraph" w:customStyle="1" w:styleId="CS-Paragraphnumbering">
    <w:name w:val="CS - Paragraph numbering"/>
    <w:basedOn w:val="Normal"/>
    <w:rsid w:val="008F6EBF"/>
    <w:pPr>
      <w:numPr>
        <w:numId w:val="23"/>
      </w:numPr>
      <w:spacing w:after="120" w:line="276" w:lineRule="auto"/>
      <w:ind w:right="-45"/>
    </w:pPr>
    <w:rPr>
      <w:rFonts w:asciiTheme="minorHAnsi" w:hAnsiTheme="minorHAnsi"/>
      <w:sz w:val="24"/>
      <w:szCs w:val="24"/>
    </w:rPr>
  </w:style>
  <w:style w:type="paragraph" w:customStyle="1" w:styleId="Tabletext0">
    <w:name w:val="Table text"/>
    <w:basedOn w:val="Normal"/>
    <w:qFormat/>
    <w:rsid w:val="00DE5F2D"/>
    <w:pPr>
      <w:spacing w:line="280" w:lineRule="atLeast"/>
    </w:pPr>
    <w:rPr>
      <w:rFonts w:ascii="Calibri" w:eastAsiaTheme="minorEastAsia" w:hAnsi="Calibri"/>
      <w:sz w:val="20"/>
    </w:rPr>
  </w:style>
  <w:style w:type="paragraph" w:styleId="Revision">
    <w:name w:val="Revision"/>
    <w:hidden/>
    <w:uiPriority w:val="99"/>
    <w:semiHidden/>
    <w:rsid w:val="00E2560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7192">
      <w:bodyDiv w:val="1"/>
      <w:marLeft w:val="0"/>
      <w:marRight w:val="0"/>
      <w:marTop w:val="0"/>
      <w:marBottom w:val="0"/>
      <w:divBdr>
        <w:top w:val="none" w:sz="0" w:space="0" w:color="auto"/>
        <w:left w:val="none" w:sz="0" w:space="0" w:color="auto"/>
        <w:bottom w:val="none" w:sz="0" w:space="0" w:color="auto"/>
        <w:right w:val="none" w:sz="0" w:space="0" w:color="auto"/>
      </w:divBdr>
    </w:div>
    <w:div w:id="278798395">
      <w:bodyDiv w:val="1"/>
      <w:marLeft w:val="0"/>
      <w:marRight w:val="0"/>
      <w:marTop w:val="0"/>
      <w:marBottom w:val="0"/>
      <w:divBdr>
        <w:top w:val="none" w:sz="0" w:space="0" w:color="auto"/>
        <w:left w:val="none" w:sz="0" w:space="0" w:color="auto"/>
        <w:bottom w:val="none" w:sz="0" w:space="0" w:color="auto"/>
        <w:right w:val="none" w:sz="0" w:space="0" w:color="auto"/>
      </w:divBdr>
    </w:div>
    <w:div w:id="345332623">
      <w:bodyDiv w:val="1"/>
      <w:marLeft w:val="0"/>
      <w:marRight w:val="0"/>
      <w:marTop w:val="0"/>
      <w:marBottom w:val="0"/>
      <w:divBdr>
        <w:top w:val="none" w:sz="0" w:space="0" w:color="auto"/>
        <w:left w:val="none" w:sz="0" w:space="0" w:color="auto"/>
        <w:bottom w:val="none" w:sz="0" w:space="0" w:color="auto"/>
        <w:right w:val="none" w:sz="0" w:space="0" w:color="auto"/>
      </w:divBdr>
    </w:div>
    <w:div w:id="692729591">
      <w:bodyDiv w:val="1"/>
      <w:marLeft w:val="0"/>
      <w:marRight w:val="0"/>
      <w:marTop w:val="0"/>
      <w:marBottom w:val="0"/>
      <w:divBdr>
        <w:top w:val="none" w:sz="0" w:space="0" w:color="auto"/>
        <w:left w:val="none" w:sz="0" w:space="0" w:color="auto"/>
        <w:bottom w:val="none" w:sz="0" w:space="0" w:color="auto"/>
        <w:right w:val="none" w:sz="0" w:space="0" w:color="auto"/>
      </w:divBdr>
    </w:div>
    <w:div w:id="802312009">
      <w:bodyDiv w:val="1"/>
      <w:marLeft w:val="0"/>
      <w:marRight w:val="0"/>
      <w:marTop w:val="0"/>
      <w:marBottom w:val="0"/>
      <w:divBdr>
        <w:top w:val="none" w:sz="0" w:space="0" w:color="auto"/>
        <w:left w:val="none" w:sz="0" w:space="0" w:color="auto"/>
        <w:bottom w:val="none" w:sz="0" w:space="0" w:color="auto"/>
        <w:right w:val="none" w:sz="0" w:space="0" w:color="auto"/>
      </w:divBdr>
    </w:div>
    <w:div w:id="1260868702">
      <w:bodyDiv w:val="1"/>
      <w:marLeft w:val="0"/>
      <w:marRight w:val="0"/>
      <w:marTop w:val="0"/>
      <w:marBottom w:val="0"/>
      <w:divBdr>
        <w:top w:val="none" w:sz="0" w:space="0" w:color="auto"/>
        <w:left w:val="none" w:sz="0" w:space="0" w:color="auto"/>
        <w:bottom w:val="none" w:sz="0" w:space="0" w:color="auto"/>
        <w:right w:val="none" w:sz="0" w:space="0" w:color="auto"/>
      </w:divBdr>
    </w:div>
    <w:div w:id="1518616415">
      <w:bodyDiv w:val="1"/>
      <w:marLeft w:val="0"/>
      <w:marRight w:val="0"/>
      <w:marTop w:val="0"/>
      <w:marBottom w:val="0"/>
      <w:divBdr>
        <w:top w:val="none" w:sz="0" w:space="0" w:color="auto"/>
        <w:left w:val="none" w:sz="0" w:space="0" w:color="auto"/>
        <w:bottom w:val="none" w:sz="0" w:space="0" w:color="auto"/>
        <w:right w:val="none" w:sz="0" w:space="0" w:color="auto"/>
      </w:divBdr>
    </w:div>
    <w:div w:id="1646013035">
      <w:bodyDiv w:val="1"/>
      <w:marLeft w:val="0"/>
      <w:marRight w:val="0"/>
      <w:marTop w:val="0"/>
      <w:marBottom w:val="0"/>
      <w:divBdr>
        <w:top w:val="none" w:sz="0" w:space="0" w:color="auto"/>
        <w:left w:val="none" w:sz="0" w:space="0" w:color="auto"/>
        <w:bottom w:val="none" w:sz="0" w:space="0" w:color="auto"/>
        <w:right w:val="none" w:sz="0" w:space="0" w:color="auto"/>
      </w:divBdr>
    </w:div>
    <w:div w:id="1752969620">
      <w:bodyDiv w:val="1"/>
      <w:marLeft w:val="0"/>
      <w:marRight w:val="0"/>
      <w:marTop w:val="0"/>
      <w:marBottom w:val="0"/>
      <w:divBdr>
        <w:top w:val="none" w:sz="0" w:space="0" w:color="auto"/>
        <w:left w:val="none" w:sz="0" w:space="0" w:color="auto"/>
        <w:bottom w:val="none" w:sz="0" w:space="0" w:color="auto"/>
        <w:right w:val="none" w:sz="0" w:space="0" w:color="auto"/>
      </w:divBdr>
    </w:div>
    <w:div w:id="1851214694">
      <w:bodyDiv w:val="1"/>
      <w:marLeft w:val="0"/>
      <w:marRight w:val="0"/>
      <w:marTop w:val="0"/>
      <w:marBottom w:val="0"/>
      <w:divBdr>
        <w:top w:val="none" w:sz="0" w:space="0" w:color="auto"/>
        <w:left w:val="none" w:sz="0" w:space="0" w:color="auto"/>
        <w:bottom w:val="none" w:sz="0" w:space="0" w:color="auto"/>
        <w:right w:val="none" w:sz="0" w:space="0" w:color="auto"/>
      </w:divBdr>
    </w:div>
    <w:div w:id="19464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A52064011</value>
    </field>
    <field name="Objective-Title">
      <value order="0">Attach B - Explanatory Statement - Automatic Mutual Recognition (Australian Capital Territory) (Exemptions-Construction Occupations) Declaration 2025</value>
    </field>
    <field name="Objective-Description">
      <value order="0"/>
    </field>
    <field name="Objective-CreationStamp">
      <value order="0">2025-05-02T05:00:24Z</value>
    </field>
    <field name="Objective-IsApproved">
      <value order="0">false</value>
    </field>
    <field name="Objective-IsPublished">
      <value order="0">true</value>
    </field>
    <field name="Objective-DatePublished">
      <value order="0">2025-06-06T01:11:12Z</value>
    </field>
    <field name="Objective-ModificationStamp">
      <value order="0">2025-06-06T01:11:12Z</value>
    </field>
    <field name="Objective-Owner">
      <value order="0">Kym Radic</value>
    </field>
    <field name="Objective-Path">
      <value order="0">Whole of ACT Government:EPSDD - Environment Planning and Sustainable Development Directorate:07. Ministerial, Cabinet and Government Relations:06. Ministerials:2025 - Ministerial Briefs and Correspondence:Planning and Urban Policy:25/0185151 Ministerial - Information Brief - Steel - Recommend to the Chief Minister the extension of the significant risk exemption for construction occupation</value>
    </field>
    <field name="Objective-Parent">
      <value order="0">25/0185151 Ministerial - Information Brief - Steel - Recommend to the Chief Minister the extension of the significant risk exemption for construction occupation</value>
    </field>
    <field name="Objective-State">
      <value order="0">Published</value>
    </field>
    <field name="Objective-VersionId">
      <value order="0">vA67086490</value>
    </field>
    <field name="Objective-Version">
      <value order="0">7.0</value>
    </field>
    <field name="Objective-VersionNumber">
      <value order="0">11</value>
    </field>
    <field name="Objective-VersionComment">
      <value order="0"/>
    </field>
    <field name="Objective-FileNumber">
      <value order="0">1-2025/0185151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DEFC8F01-72EC-4543-8E68-E5C11AB6DC4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5843</Characters>
  <Application>Microsoft Office Word</Application>
  <DocSecurity>0</DocSecurity>
  <Lines>139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2025-06-24T05:40:00Z</dcterms:created>
  <dcterms:modified xsi:type="dcterms:W3CDTF">2025-06-24T05:41:00Z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2025-06-24T05:42:10Z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6958ba61-f7a9-4ce4-80bd-34fcc96310da</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